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F4FC5C7F1AC4F5DB52D624E5ABCAE6F" style="width:450.8pt;height:365.6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CONTEXT OF THE PROPOSAL</w:t>
      </w:r>
    </w:p>
    <w:p>
      <w:pPr>
        <w:rPr>
          <w:noProof/>
        </w:rPr>
      </w:pPr>
      <w:r>
        <w:rPr>
          <w:noProof/>
        </w:rPr>
        <w:t>The Council authorised the European Commission to negotiate, on behalf of the European Union, the renewal of the Protocol and renewal of the Protocol setting out the fishing opportunities and financial contribution provided for in the Fisheries Partnership Agreement between the European Community and the Islamic Republic of Mauritania. At the end of those negotiations, a new Protocol was initialled by the negotiators on 10 July 2015. It covers a period of four years from the date of provisional application laid down in Article 14 – i.e. from the date of its signature.</w:t>
      </w:r>
    </w:p>
    <w:p>
      <w:pPr>
        <w:rPr>
          <w:noProof/>
        </w:rPr>
      </w:pPr>
      <w:r>
        <w:rPr>
          <w:noProof/>
        </w:rPr>
        <w:t xml:space="preserve">The main aim of the Protocol is to grant fishing opportunities to European Union vessels in Mauritanian waters taking into account available scientific assessments, in particular those of the Fishery Committee for the Eastern Central Atlantic (CECAF), and in accordance with scientific advice and the recommendations of the International Commission for the Conservation of Atlantic Tunas (ICCAT), within the limits of the available surplus. The Commission based its position in part on the results of a forward-looking assessment, carried out by external experts, of whether a new Protocol should be concluded. </w:t>
      </w:r>
    </w:p>
    <w:p>
      <w:pPr>
        <w:rPr>
          <w:noProof/>
        </w:rPr>
      </w:pPr>
      <w:r>
        <w:rPr>
          <w:noProof/>
        </w:rPr>
        <w:t>The objective is to also enhance cooperation between the European Union and the Islamic Republic of Mauritania, thereby creating a partnership framework within which to develop a sustainable fisheries policy and sound exploitation of fishery resources in the fishing zone of the Islamic Republic of Mauritania, in the interests of both parties.</w:t>
      </w:r>
    </w:p>
    <w:p>
      <w:pPr>
        <w:rPr>
          <w:noProof/>
        </w:rPr>
      </w:pPr>
      <w:r>
        <w:rPr>
          <w:noProof/>
        </w:rPr>
        <w:t>The Protocol provides for fishing opportunities in the following categories:</w:t>
      </w:r>
    </w:p>
    <w:p>
      <w:pPr>
        <w:pStyle w:val="Tiret0"/>
        <w:numPr>
          <w:ilvl w:val="0"/>
          <w:numId w:val="13"/>
        </w:numPr>
        <w:rPr>
          <w:noProof/>
        </w:rPr>
      </w:pPr>
      <w:r>
        <w:rPr>
          <w:noProof/>
        </w:rPr>
        <w:t>Category 1 – Vessels fishing for crustaceans other than spiny lobster and crab: 5 000 tonnes and 25 vessels;</w:t>
      </w:r>
    </w:p>
    <w:p>
      <w:pPr>
        <w:pStyle w:val="Tiret0"/>
        <w:rPr>
          <w:noProof/>
        </w:rPr>
      </w:pPr>
      <w:r>
        <w:rPr>
          <w:noProof/>
        </w:rPr>
        <w:t>Category 2 - Black hake (non-freezer) trawlers and bottom longliners: 6 000 tonnes and 6 vessels;</w:t>
      </w:r>
    </w:p>
    <w:p>
      <w:pPr>
        <w:pStyle w:val="Tiret0"/>
        <w:rPr>
          <w:noProof/>
        </w:rPr>
      </w:pPr>
      <w:r>
        <w:rPr>
          <w:noProof/>
        </w:rPr>
        <w:t>Category 3 - Vessels fishing for demersal species other than black hake with gear other than trawls: 3 000 tonnes and 6 vessels;</w:t>
      </w:r>
    </w:p>
    <w:p>
      <w:pPr>
        <w:pStyle w:val="Tiret0"/>
        <w:rPr>
          <w:noProof/>
        </w:rPr>
      </w:pPr>
      <w:r>
        <w:rPr>
          <w:noProof/>
        </w:rPr>
        <w:t>Category 4 - Tuna seiners: 12 500 tonnes (reference tonnage) and 25 vessels;</w:t>
      </w:r>
    </w:p>
    <w:p>
      <w:pPr>
        <w:pStyle w:val="Tiret0"/>
        <w:rPr>
          <w:noProof/>
        </w:rPr>
      </w:pPr>
      <w:r>
        <w:rPr>
          <w:noProof/>
        </w:rPr>
        <w:t>Category 5 - Pole-and-line tuna vessels and longliners: 7 500 tonnes (reference tonnage) and 15 vessels;</w:t>
      </w:r>
    </w:p>
    <w:p>
      <w:pPr>
        <w:pStyle w:val="Tiret0"/>
        <w:rPr>
          <w:noProof/>
        </w:rPr>
      </w:pPr>
      <w:r>
        <w:rPr>
          <w:noProof/>
        </w:rPr>
        <w:t>Category 6 - Pelagic freezer trawlers: 247 500 and 19 vessels;</w:t>
      </w:r>
    </w:p>
    <w:p>
      <w:pPr>
        <w:pStyle w:val="Tiret0"/>
        <w:rPr>
          <w:noProof/>
        </w:rPr>
      </w:pPr>
      <w:r>
        <w:rPr>
          <w:noProof/>
        </w:rPr>
        <w:t xml:space="preserve">Category 7 - Non-freezer pelagic vessels: 15 000 tonnes (deducted from volume under category 6 if used) and 2 vessels. </w:t>
      </w:r>
    </w:p>
    <w:p>
      <w:pPr>
        <w:rPr>
          <w:noProof/>
        </w:rPr>
      </w:pPr>
      <w:r>
        <w:rPr>
          <w:noProof/>
        </w:rPr>
        <w:t>The Commission proposes, on this basis, that the Council, with the consent of the Parliament, adopt by Decision the conclusion of this new Protocol.</w:t>
      </w:r>
    </w:p>
    <w:p>
      <w:pPr>
        <w:pStyle w:val="ManualHeading1"/>
        <w:rPr>
          <w:noProof/>
        </w:rPr>
      </w:pPr>
      <w:r>
        <w:t>2.</w:t>
      </w:r>
      <w:r>
        <w:tab/>
      </w:r>
      <w:r>
        <w:rPr>
          <w:noProof/>
        </w:rPr>
        <w:t>RESULTS OF CONSULTATIONS WITH INTERESTED PARTIES AND IMPACT ASSESSMENTS</w:t>
      </w:r>
    </w:p>
    <w:p>
      <w:pPr>
        <w:rPr>
          <w:noProof/>
        </w:rPr>
      </w:pPr>
      <w:r>
        <w:rPr>
          <w:noProof/>
        </w:rPr>
        <w:t>The interested parties were consulted during the evaluation of the Protocol for the period 2012-14. Experts from the Member States were also consulted in technical meetings. These consultations led to the conclusion that it would be beneficial to maintain a fishing protocol with the Islamic Republic of Mauritania.</w:t>
      </w:r>
    </w:p>
    <w:p>
      <w:pPr>
        <w:pStyle w:val="ManualHeading1"/>
        <w:rPr>
          <w:noProof/>
        </w:rPr>
      </w:pPr>
      <w:r>
        <w:t>3.</w:t>
      </w:r>
      <w:r>
        <w:tab/>
      </w:r>
      <w:r>
        <w:rPr>
          <w:noProof/>
        </w:rPr>
        <w:t>LEGAL ELEMENTS OF THE PROPOSAL</w:t>
      </w:r>
    </w:p>
    <w:p>
      <w:pPr>
        <w:rPr>
          <w:noProof/>
        </w:rPr>
      </w:pPr>
      <w:r>
        <w:rPr>
          <w:noProof/>
        </w:rPr>
        <w:t>This procedure is being initiated in parallel with the procedures relating to the Council Decision on the provisional application of the Protocol itself, as well as with the Council Regulation concerning the allocation of the fishing opportunities between EU Member States.</w:t>
      </w:r>
    </w:p>
    <w:p>
      <w:pPr>
        <w:pStyle w:val="ManualHeading1"/>
        <w:rPr>
          <w:noProof/>
        </w:rPr>
      </w:pPr>
      <w:r>
        <w:t>4.</w:t>
      </w:r>
      <w:r>
        <w:tab/>
      </w:r>
      <w:r>
        <w:rPr>
          <w:noProof/>
        </w:rPr>
        <w:t>BUDGETARY IMPLICATIONS</w:t>
      </w:r>
    </w:p>
    <w:p>
      <w:pPr>
        <w:rPr>
          <w:noProof/>
        </w:rPr>
      </w:pPr>
      <w:r>
        <w:rPr>
          <w:noProof/>
        </w:rPr>
        <w:t>The annual financial contribution has been set at EUR 59 125 000 per year, on the basis of:</w:t>
      </w:r>
    </w:p>
    <w:p>
      <w:pPr>
        <w:rPr>
          <w:noProof/>
        </w:rPr>
      </w:pPr>
      <w:r>
        <w:rPr>
          <w:noProof/>
        </w:rPr>
        <w:t xml:space="preserve">a) a total allowable catch of 261 500 tonnes for fishing categories 1, 2, 3, 6 and 7 and a reference tonnage of 20 000 tonnes for fishing categories 4 and 5 of the Protocol, corresponding to an amount linked to access to EUR 55 000 000 per year, and </w:t>
      </w:r>
    </w:p>
    <w:p>
      <w:pPr>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b) support for the development of the sectoral fisheries policy of the Islamic Republic of Mauritania amounting to EUR 4 125 000 per year. This support meets the aims of national fishing policy and in particular the needs of the Islamic Republic of Mauritania as regards supporting scientific and technical cooperation, training, fisheries monitoring, protecting the environment and development infrastructure.</w:t>
      </w:r>
    </w:p>
    <w:p>
      <w:pPr>
        <w:rPr>
          <w:noProof/>
        </w:rPr>
      </w:pPr>
    </w:p>
    <w:p>
      <w:pPr>
        <w:pStyle w:val="Rfrenceinterinstitutionnelle"/>
        <w:rPr>
          <w:noProof/>
        </w:rPr>
      </w:pPr>
      <w:r>
        <w:rPr>
          <w:noProof/>
        </w:rPr>
        <w:t>2015/0229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of the Protocol setting out the fishing opportunities and financial contribution provided for in the Fisheries Partnership Agreement between the European Community and the Islamic Republic of Mauritania for a period of four years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43(2) in conjunction with Article 218(6) second subparagraph, point (a)(v) and Article 218(7) thereof,</w:t>
      </w:r>
    </w:p>
    <w:p>
      <w:pPr>
        <w:rPr>
          <w:noProof/>
        </w:rPr>
      </w:pPr>
      <w:r>
        <w:rPr>
          <w:noProof/>
        </w:rPr>
        <w:t>Having regard to the proposal from the European Commission,</w:t>
      </w:r>
    </w:p>
    <w:p>
      <w:pPr>
        <w:rPr>
          <w:noProof/>
        </w:rPr>
      </w:pPr>
      <w:r>
        <w:rPr>
          <w:noProof/>
        </w:rPr>
        <w:t>Having regard to the consent of the European Parliament</w:t>
      </w:r>
      <w:r>
        <w:rPr>
          <w:rStyle w:val="FootnoteReference"/>
          <w:noProof/>
        </w:rPr>
        <w:footnoteReference w:id="1"/>
      </w:r>
      <w:r>
        <w:rPr>
          <w:noProof/>
        </w:rPr>
        <w:t>,</w:t>
      </w:r>
    </w:p>
    <w:p>
      <w:pPr>
        <w:rPr>
          <w:noProof/>
        </w:rPr>
      </w:pPr>
      <w:r>
        <w:rPr>
          <w:noProof/>
        </w:rPr>
        <w:t>Whereas:</w:t>
      </w:r>
    </w:p>
    <w:p>
      <w:pPr>
        <w:pStyle w:val="ManualConsidrant"/>
        <w:rPr>
          <w:noProof/>
        </w:rPr>
      </w:pPr>
      <w:r>
        <w:t>(1)</w:t>
      </w:r>
      <w:r>
        <w:tab/>
      </w:r>
      <w:r>
        <w:rPr>
          <w:noProof/>
        </w:rPr>
        <w:t>On 30 November 2006, the Council adopted Regulation (EC) No 1801/2006 on the conclusion of the Fisheries Partnership Agreement between the European Community and the Islamic Republic of Mauritania (‘the Partnership Agreement’)</w:t>
      </w:r>
      <w:r>
        <w:rPr>
          <w:rStyle w:val="FootnoteReference"/>
          <w:noProof/>
        </w:rPr>
        <w:footnoteReference w:id="2"/>
      </w:r>
      <w:r>
        <w:rPr>
          <w:noProof/>
        </w:rPr>
        <w:t>.</w:t>
      </w:r>
    </w:p>
    <w:p>
      <w:pPr>
        <w:pStyle w:val="ManualConsidrant"/>
        <w:rPr>
          <w:noProof/>
        </w:rPr>
      </w:pPr>
      <w:r>
        <w:t>(2)</w:t>
      </w:r>
      <w:r>
        <w:tab/>
      </w:r>
      <w:r>
        <w:rPr>
          <w:noProof/>
        </w:rPr>
        <w:t>On 10 July 2015, the Union and Mauritania initialled a new Protocol to the partnership agreement (hereinafter ‘the Protocol’). The Protocol grants EU vessels fishing opportunities in the fishing zone over which the Islamic Republic of Mauritania exercises its jurisdiction.</w:t>
      </w:r>
    </w:p>
    <w:p>
      <w:pPr>
        <w:pStyle w:val="ManualConsidrant"/>
        <w:rPr>
          <w:noProof/>
        </w:rPr>
      </w:pPr>
      <w:r>
        <w:t>(3)</w:t>
      </w:r>
      <w:r>
        <w:tab/>
      </w:r>
      <w:r>
        <w:rPr>
          <w:noProof/>
        </w:rPr>
        <w:t>On  [...], the Council adopted Decision No  …/2015/EU</w:t>
      </w:r>
      <w:r>
        <w:rPr>
          <w:rStyle w:val="FootnoteReference"/>
          <w:noProof/>
        </w:rPr>
        <w:footnoteReference w:id="3"/>
      </w:r>
      <w:r>
        <w:rPr>
          <w:noProof/>
        </w:rPr>
        <w:t>, authorising the signature, on behalf of the Union, of the Protocol and of its provisional implementation subject to its conclusion.</w:t>
      </w:r>
    </w:p>
    <w:p>
      <w:pPr>
        <w:pStyle w:val="ManualConsidrant"/>
        <w:rPr>
          <w:noProof/>
        </w:rPr>
      </w:pPr>
      <w:r>
        <w:t>(4)</w:t>
      </w:r>
      <w:r>
        <w:tab/>
      </w:r>
      <w:r>
        <w:rPr>
          <w:noProof/>
        </w:rPr>
        <w:t>Article 10 of the Partnership Agreement establishes a Joint Committee whose responsibilities include supervising the execution, implementation, interpretation and smooth running of the application of the partnership agreement and re-examining, where appropriate, the level of fishing possibilities on the basis of the financial contribution.</w:t>
      </w:r>
    </w:p>
    <w:p>
      <w:pPr>
        <w:pStyle w:val="ManualConsidrant"/>
        <w:rPr>
          <w:noProof/>
        </w:rPr>
      </w:pPr>
      <w:r>
        <w:t>(5)</w:t>
      </w:r>
      <w:r>
        <w:tab/>
      </w:r>
      <w:r>
        <w:rPr>
          <w:noProof/>
        </w:rPr>
        <w:t>Article 6 of the Protocol states that the Joint Committee may also approve certain amendments to the Protocol. In order to facilitate the approval of such amendments, it is appropriate to empower the Commission, subject to specific conditions, to approve these amendments under a simplified procedure,</w:t>
      </w:r>
    </w:p>
    <w:p>
      <w:pPr>
        <w:pStyle w:val="ManualConsidrant"/>
        <w:rPr>
          <w:noProof/>
        </w:rPr>
      </w:pPr>
      <w:r>
        <w:t>(6)</w:t>
      </w:r>
      <w:r>
        <w:tab/>
      </w:r>
      <w:r>
        <w:rPr>
          <w:noProof/>
        </w:rPr>
        <w:t>The Protocol should be approved,</w:t>
      </w:r>
    </w:p>
    <w:p>
      <w:pPr>
        <w:pStyle w:val="Formuledadoption"/>
        <w:rPr>
          <w:noProof/>
        </w:rPr>
      </w:pPr>
      <w:r>
        <w:rPr>
          <w:noProof/>
        </w:rPr>
        <w:t>HAS ADOPTED THIS DECISION:</w:t>
      </w:r>
    </w:p>
    <w:p>
      <w:pPr>
        <w:pStyle w:val="Titrearticle"/>
        <w:rPr>
          <w:noProof/>
        </w:rPr>
      </w:pPr>
      <w:r>
        <w:rPr>
          <w:noProof/>
        </w:rPr>
        <w:t>Article 1</w:t>
      </w:r>
    </w:p>
    <w:p>
      <w:pPr>
        <w:rPr>
          <w:rFonts w:eastAsia="Times New Roman"/>
          <w:noProof/>
          <w:szCs w:val="20"/>
        </w:rPr>
      </w:pPr>
      <w:r>
        <w:rPr>
          <w:noProof/>
        </w:rPr>
        <w:t>The Protocol setting out the fishing opportunities and financial contribution provided for in the Fisheries Partnership Agreement between the European Community and the Islamic Republic of Mauritania for a period of four years (‘the Protocol’) is hereby approved on behalf of the Union.</w:t>
      </w:r>
    </w:p>
    <w:p>
      <w:pPr>
        <w:rPr>
          <w:rFonts w:eastAsia="Times New Roman"/>
          <w:noProof/>
          <w:szCs w:val="20"/>
        </w:rPr>
      </w:pPr>
      <w:r>
        <w:rPr>
          <w:noProof/>
        </w:rPr>
        <w:t>The text of the Protocol is attached to this Decision as Annex I.</w:t>
      </w:r>
    </w:p>
    <w:p>
      <w:pPr>
        <w:pStyle w:val="Titrearticle"/>
        <w:rPr>
          <w:noProof/>
        </w:rPr>
      </w:pPr>
      <w:r>
        <w:rPr>
          <w:noProof/>
        </w:rPr>
        <w:t>Article 2</w:t>
      </w:r>
    </w:p>
    <w:p>
      <w:pPr>
        <w:rPr>
          <w:noProof/>
        </w:rPr>
      </w:pPr>
      <w:r>
        <w:rPr>
          <w:noProof/>
        </w:rPr>
        <w:t>The President of the Council shall, on behalf of the Union, give the notification provided for in Article 17 of the Protocol with a view to expressing the Union’s consent to be bound by the Protocol.</w:t>
      </w:r>
    </w:p>
    <w:p>
      <w:pPr>
        <w:pStyle w:val="Titrearticle"/>
        <w:rPr>
          <w:noProof/>
        </w:rPr>
      </w:pPr>
      <w:r>
        <w:rPr>
          <w:noProof/>
        </w:rPr>
        <w:t>Article 3</w:t>
      </w:r>
    </w:p>
    <w:p>
      <w:pPr>
        <w:rPr>
          <w:noProof/>
        </w:rPr>
      </w:pPr>
      <w:r>
        <w:rPr>
          <w:noProof/>
        </w:rPr>
        <w:t>In accordance with the provisions and conditions laid down in Annex II to this Decision, the Commission is authorised to approve, on behalf of the Union, any amendments made to the Protocol adopted by the Joint Committee provided for in Article 10 of the Fisheries Partnership Agreement between the European Commission and the Islamic Republic of Mauritania.</w:t>
      </w:r>
    </w:p>
    <w:p>
      <w:pPr>
        <w:pStyle w:val="Titrearticle"/>
        <w:rPr>
          <w:noProof/>
        </w:rPr>
      </w:pPr>
      <w:r>
        <w:rPr>
          <w:noProof/>
        </w:rPr>
        <w:t>Article 4</w:t>
      </w:r>
    </w:p>
    <w:p>
      <w:pPr>
        <w:keepNext/>
        <w:rPr>
          <w:noProof/>
        </w:rPr>
      </w:pPr>
      <w:r>
        <w:rPr>
          <w:noProof/>
        </w:rPr>
        <w:t xml:space="preserve">This Decision shall enter into force on the third day following that of its publication in the </w:t>
      </w:r>
      <w:r>
        <w:rPr>
          <w:i/>
          <w:noProof/>
        </w:rPr>
        <w:t>Official Journal of the European Union</w:t>
      </w:r>
      <w:r>
        <w:rPr>
          <w:noProof/>
        </w:rPr>
        <w:t>.</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sectPr>
          <w:pgSz w:w="11907" w:h="16839"/>
          <w:pgMar w:top="1134" w:right="1417" w:bottom="1134" w:left="1417" w:header="709" w:footer="709" w:gutter="0"/>
          <w:cols w:space="708"/>
          <w:docGrid w:linePitch="360"/>
        </w:sectPr>
      </w:pPr>
      <w:r>
        <w:rPr>
          <w:noProof/>
        </w:rPr>
        <w:tab/>
        <w:t>The President</w:t>
      </w:r>
    </w:p>
    <w:p>
      <w:pPr>
        <w:pStyle w:val="Fichefinanciretitre"/>
        <w:rPr>
          <w:noProof/>
        </w:rPr>
      </w:pPr>
      <w:r>
        <w:rPr>
          <w:noProof/>
        </w:rPr>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noProof/>
        </w:rPr>
        <w:tab/>
      </w:r>
      <w:r>
        <w:rPr>
          <w:b w:val="0"/>
          <w:noProof/>
        </w:rPr>
        <w:t xml:space="preserve">Title of the proposal/initiative </w:t>
      </w:r>
    </w:p>
    <w:p>
      <w:pPr>
        <w:pStyle w:val="ManualHeading2"/>
        <w:rPr>
          <w:b w:val="0"/>
          <w:noProof/>
        </w:rPr>
      </w:pPr>
      <w:r>
        <w:rPr>
          <w:noProof/>
        </w:rPr>
        <w:tab/>
      </w:r>
      <w:r>
        <w:rPr>
          <w:b w:val="0"/>
          <w:noProof/>
        </w:rPr>
        <w:t>1.2.</w:t>
      </w:r>
      <w:r>
        <w:rPr>
          <w:noProof/>
        </w:rPr>
        <w:tab/>
      </w:r>
      <w:r>
        <w:rPr>
          <w:b w:val="0"/>
          <w:noProof/>
        </w:rPr>
        <w:t>Policy area(s) concerned in the ABM/ABB structure</w:t>
      </w:r>
    </w:p>
    <w:p>
      <w:pPr>
        <w:pStyle w:val="ManualHeading2"/>
        <w:rPr>
          <w:b w:val="0"/>
          <w:noProof/>
        </w:rPr>
      </w:pPr>
      <w:r>
        <w:rPr>
          <w:noProof/>
        </w:rPr>
        <w:tab/>
      </w:r>
      <w:r>
        <w:rPr>
          <w:b w:val="0"/>
          <w:noProof/>
        </w:rPr>
        <w:t>1.3.</w:t>
      </w:r>
      <w:r>
        <w:rPr>
          <w:noProof/>
        </w:rPr>
        <w:tab/>
      </w:r>
      <w:r>
        <w:rPr>
          <w:b w:val="0"/>
          <w:noProof/>
        </w:rPr>
        <w:t xml:space="preserve">Nature of the proposal/initiative </w:t>
      </w:r>
    </w:p>
    <w:p>
      <w:pPr>
        <w:pStyle w:val="ManualHeading2"/>
        <w:rPr>
          <w:b w:val="0"/>
          <w:noProof/>
        </w:rPr>
      </w:pPr>
      <w:r>
        <w:rPr>
          <w:noProof/>
        </w:rPr>
        <w:tab/>
      </w:r>
      <w:r>
        <w:rPr>
          <w:b w:val="0"/>
          <w:noProof/>
        </w:rPr>
        <w:t>1.4.</w:t>
      </w:r>
      <w:r>
        <w:rPr>
          <w:noProof/>
        </w:rPr>
        <w:tab/>
      </w:r>
      <w:r>
        <w:rPr>
          <w:b w:val="0"/>
          <w:noProof/>
        </w:rPr>
        <w:t xml:space="preserve">Objective(s) </w:t>
      </w:r>
    </w:p>
    <w:p>
      <w:pPr>
        <w:pStyle w:val="ManualHeading2"/>
        <w:rPr>
          <w:b w:val="0"/>
          <w:noProof/>
        </w:rPr>
      </w:pPr>
      <w:r>
        <w:rPr>
          <w:noProof/>
        </w:rPr>
        <w:tab/>
      </w:r>
      <w:r>
        <w:rPr>
          <w:b w:val="0"/>
          <w:noProof/>
        </w:rPr>
        <w:t>1.5.</w:t>
      </w:r>
      <w:r>
        <w:rPr>
          <w:noProof/>
        </w:rPr>
        <w:tab/>
      </w:r>
      <w:r>
        <w:rPr>
          <w:b w:val="0"/>
          <w:noProof/>
        </w:rPr>
        <w:t xml:space="preserve">Grounds for the proposal/initiative </w:t>
      </w:r>
    </w:p>
    <w:p>
      <w:pPr>
        <w:pStyle w:val="ManualHeading2"/>
        <w:rPr>
          <w:b w:val="0"/>
          <w:noProof/>
        </w:rPr>
      </w:pPr>
      <w:r>
        <w:rPr>
          <w:noProof/>
        </w:rPr>
        <w:tab/>
      </w:r>
      <w:r>
        <w:rPr>
          <w:b w:val="0"/>
          <w:noProof/>
        </w:rPr>
        <w:t>1.6.</w:t>
      </w:r>
      <w:r>
        <w:rPr>
          <w:noProof/>
        </w:rPr>
        <w:tab/>
      </w:r>
      <w:r>
        <w:rPr>
          <w:b w:val="0"/>
          <w:noProof/>
        </w:rPr>
        <w:t xml:space="preserve">Duration and financial impact </w:t>
      </w:r>
    </w:p>
    <w:p>
      <w:pPr>
        <w:pStyle w:val="ManualHeading2"/>
        <w:rPr>
          <w:b w:val="0"/>
          <w:noProof/>
        </w:rPr>
      </w:pPr>
      <w:r>
        <w:rPr>
          <w:noProof/>
        </w:rPr>
        <w:tab/>
      </w:r>
      <w:r>
        <w:rPr>
          <w:b w:val="0"/>
          <w:noProof/>
        </w:rPr>
        <w:t>1.7.</w:t>
      </w:r>
      <w:r>
        <w:rPr>
          <w:noProof/>
        </w:rPr>
        <w:tab/>
      </w:r>
      <w:r>
        <w:rPr>
          <w:b w:val="0"/>
          <w:noProof/>
        </w:rPr>
        <w:t xml:space="preserve">Management method(s) envisaged </w:t>
      </w:r>
    </w:p>
    <w:p>
      <w:pPr>
        <w:pStyle w:val="ManualHeading1"/>
        <w:rPr>
          <w:noProof/>
        </w:rPr>
      </w:pPr>
      <w:r>
        <w:rPr>
          <w:noProof/>
        </w:rPr>
        <w:t>2.</w:t>
      </w:r>
      <w:r>
        <w:rPr>
          <w:noProof/>
        </w:rPr>
        <w:tab/>
        <w:t xml:space="preserve">MANAGEMENT MEASURES </w:t>
      </w:r>
    </w:p>
    <w:p>
      <w:pPr>
        <w:pStyle w:val="ManualHeading2"/>
        <w:rPr>
          <w:b w:val="0"/>
          <w:noProof/>
        </w:rPr>
      </w:pPr>
      <w:r>
        <w:rPr>
          <w:noProof/>
        </w:rPr>
        <w:tab/>
      </w:r>
      <w:r>
        <w:rPr>
          <w:b w:val="0"/>
          <w:noProof/>
        </w:rPr>
        <w:t>2.1.</w:t>
      </w:r>
      <w:r>
        <w:rPr>
          <w:noProof/>
        </w:rPr>
        <w:tab/>
      </w:r>
      <w:r>
        <w:rPr>
          <w:b w:val="0"/>
          <w:noProof/>
        </w:rPr>
        <w:t xml:space="preserve">Monitoring and reporting rules </w:t>
      </w:r>
    </w:p>
    <w:p>
      <w:pPr>
        <w:pStyle w:val="ManualHeading2"/>
        <w:rPr>
          <w:b w:val="0"/>
          <w:noProof/>
        </w:rPr>
      </w:pPr>
      <w:r>
        <w:rPr>
          <w:noProof/>
        </w:rPr>
        <w:tab/>
      </w:r>
      <w:r>
        <w:rPr>
          <w:b w:val="0"/>
          <w:noProof/>
        </w:rPr>
        <w:t>2.2.</w:t>
      </w:r>
      <w:r>
        <w:rPr>
          <w:noProof/>
        </w:rPr>
        <w:tab/>
      </w:r>
      <w:r>
        <w:rPr>
          <w:b w:val="0"/>
          <w:noProof/>
        </w:rPr>
        <w:t xml:space="preserve">Management and control system </w:t>
      </w:r>
    </w:p>
    <w:p>
      <w:pPr>
        <w:pStyle w:val="ManualHeading2"/>
        <w:rPr>
          <w:b w:val="0"/>
          <w:noProof/>
        </w:rPr>
      </w:pPr>
      <w:r>
        <w:rPr>
          <w:noProof/>
        </w:rPr>
        <w:tab/>
      </w:r>
      <w:r>
        <w:rPr>
          <w:b w:val="0"/>
          <w:noProof/>
        </w:rPr>
        <w:t>2.3.</w:t>
      </w:r>
      <w:r>
        <w:rPr>
          <w:noProof/>
        </w:rPr>
        <w:tab/>
      </w:r>
      <w:r>
        <w:rPr>
          <w:b w:val="0"/>
          <w:noProof/>
        </w:rPr>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noProof/>
        </w:rPr>
        <w:tab/>
      </w:r>
      <w:r>
        <w:rPr>
          <w:b w:val="0"/>
          <w:noProof/>
        </w:rPr>
        <w:t>3.1.</w:t>
      </w:r>
      <w:r>
        <w:rPr>
          <w:noProof/>
        </w:rPr>
        <w:tab/>
      </w:r>
      <w:r>
        <w:rPr>
          <w:b w:val="0"/>
          <w:noProof/>
        </w:rPr>
        <w:t xml:space="preserve">Heading(s) of the multiannual financial framework and expenditure budget line(s) affected </w:t>
      </w:r>
    </w:p>
    <w:p>
      <w:pPr>
        <w:pStyle w:val="ManualHeading2"/>
        <w:rPr>
          <w:noProof/>
        </w:rPr>
      </w:pPr>
      <w:r>
        <w:rPr>
          <w:noProof/>
        </w:rPr>
        <w:tab/>
      </w:r>
      <w:r>
        <w:rPr>
          <w:b w:val="0"/>
          <w:noProof/>
        </w:rPr>
        <w:t>3.2.</w:t>
      </w:r>
      <w:r>
        <w:rPr>
          <w:noProof/>
        </w:rPr>
        <w:tab/>
      </w:r>
      <w:r>
        <w:rPr>
          <w:b w:val="0"/>
          <w:noProof/>
        </w:rPr>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 xml:space="preserve">Estimated impact on operational appropriations </w:t>
      </w:r>
    </w:p>
    <w:p>
      <w:pPr>
        <w:pStyle w:val="ManualHeading3"/>
        <w:rPr>
          <w:noProof/>
        </w:rPr>
      </w:pPr>
      <w:r>
        <w:rPr>
          <w:noProof/>
        </w:rPr>
        <w:tab/>
        <w:t>3.2.3.</w:t>
      </w:r>
      <w:r>
        <w:rPr>
          <w:noProof/>
        </w:rPr>
        <w:tab/>
        <w:t>Estimated impact on appropriations of an administrative nature</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 xml:space="preserve">Third-party contributions </w:t>
      </w:r>
    </w:p>
    <w:p>
      <w:pPr>
        <w:pStyle w:val="ManualHeading2"/>
        <w:rPr>
          <w:b w:val="0"/>
          <w:noProof/>
        </w:rPr>
      </w:pPr>
      <w:r>
        <w:rPr>
          <w:noProof/>
        </w:rPr>
        <w:tab/>
      </w:r>
      <w:r>
        <w:rPr>
          <w:b w:val="0"/>
          <w:noProof/>
        </w:rPr>
        <w:t>3.3.</w:t>
      </w:r>
      <w:r>
        <w:rPr>
          <w:noProof/>
        </w:rPr>
        <w:tab/>
      </w:r>
      <w:r>
        <w:rPr>
          <w:b w:val="0"/>
          <w:noProof/>
        </w:rPr>
        <w:t>Estimated impact on revenue</w:t>
      </w:r>
    </w:p>
    <w:p>
      <w:pPr>
        <w:jc w:val="center"/>
        <w:rPr>
          <w:b/>
          <w:noProof/>
          <w:u w:val="single"/>
        </w:rPr>
        <w:sectPr>
          <w:pgSz w:w="11907" w:h="16840" w:code="9"/>
          <w:pgMar w:top="1134" w:right="1418" w:bottom="1134" w:left="1418" w:header="709" w:footer="709" w:gutter="0"/>
          <w:cols w:space="708"/>
          <w:docGrid w:linePitch="360"/>
        </w:sectPr>
      </w:pPr>
    </w:p>
    <w:p>
      <w:pPr>
        <w:pStyle w:val="Annexetitrefichefinancire"/>
        <w:rPr>
          <w:noProof/>
        </w:rPr>
      </w:pPr>
      <w:r>
        <w:rPr>
          <w:noProof/>
        </w:rPr>
        <w:t>LEGISLATIVE FINANCIAL STATEMENT</w:t>
      </w:r>
    </w:p>
    <w:p>
      <w:pPr>
        <w:pStyle w:val="ManualHeading1"/>
        <w:rPr>
          <w:noProof/>
        </w:rPr>
      </w:pPr>
      <w:r>
        <w:t>5.</w:t>
      </w:r>
      <w:r>
        <w:tab/>
      </w:r>
      <w:r>
        <w:rPr>
          <w:noProof/>
        </w:rPr>
        <w:t xml:space="preserve">FRAMEWORK OF THE PROPOSAL/INITIATIVE </w:t>
      </w:r>
    </w:p>
    <w:p>
      <w:pPr>
        <w:pStyle w:val="ManualHeading2"/>
        <w:rPr>
          <w:noProof/>
        </w:rPr>
      </w:pPr>
      <w:r>
        <w:t>5.1.</w:t>
      </w:r>
      <w:r>
        <w:tab/>
      </w:r>
      <w:r>
        <w:rPr>
          <w:noProof/>
        </w:rPr>
        <w:t xml:space="preserve">Title of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Proposal for a Council Decision on the conclusion of the Protocol setting out the fishing opportunities and financial contribution provided for in the Fisheries Partnership Agreement between the European Community and the Islamic Republic of Mauritania</w:t>
      </w:r>
    </w:p>
    <w:p>
      <w:pPr>
        <w:pStyle w:val="ManualHeading2"/>
        <w:rPr>
          <w:noProof/>
          <w:szCs w:val="24"/>
        </w:rPr>
      </w:pPr>
      <w:r>
        <w:t>5.2.</w:t>
      </w:r>
      <w:r>
        <w:tab/>
      </w:r>
      <w:r>
        <w:rPr>
          <w:noProof/>
        </w:rPr>
        <w:t>Policy area(s) concerned in the ABM/ABB structure</w:t>
      </w:r>
      <w:r>
        <w:rPr>
          <w:rStyle w:val="FootnoteReference"/>
          <w:noProof/>
        </w:rPr>
        <w:footnoteReference w:id="4"/>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11. – Maritime affairs and fisheries policies</w:t>
      </w:r>
    </w:p>
    <w:p>
      <w:pPr>
        <w:pStyle w:val="Text1"/>
        <w:pBdr>
          <w:top w:val="single" w:sz="4" w:space="1" w:color="auto"/>
          <w:left w:val="single" w:sz="4" w:space="4" w:color="auto"/>
          <w:bottom w:val="single" w:sz="4" w:space="1" w:color="auto"/>
          <w:right w:val="single" w:sz="4" w:space="4" w:color="auto"/>
        </w:pBdr>
        <w:rPr>
          <w:noProof/>
        </w:rPr>
      </w:pPr>
      <w:r>
        <w:rPr>
          <w:noProof/>
        </w:rPr>
        <w:t>11.03 - Compulsory contributions to regional fisheries management organisations (RFMOs) and other international organisations and sustainable fisheries agreements (SFAs)</w:t>
      </w:r>
    </w:p>
    <w:p>
      <w:pPr>
        <w:pStyle w:val="ManualHeading2"/>
        <w:rPr>
          <w:bCs/>
          <w:iCs/>
          <w:noProof/>
          <w:szCs w:val="24"/>
        </w:rPr>
      </w:pPr>
      <w:r>
        <w:t>5.3.</w:t>
      </w:r>
      <w:r>
        <w:tab/>
      </w:r>
      <w:r>
        <w:rPr>
          <w:noProof/>
        </w:rPr>
        <w:t xml:space="preserve">Nature of the proposal/initiative </w:t>
      </w:r>
    </w:p>
    <w:p>
      <w:pPr>
        <w:pStyle w:val="Text1"/>
        <w:rPr>
          <w:b/>
          <w:noProof/>
          <w:sz w:val="22"/>
        </w:rPr>
      </w:pPr>
      <w:r>
        <w:rPr>
          <w:noProof/>
          <w:sz w:val="22"/>
        </w:rPr>
        <w:sym w:font="Wingdings" w:char="F0A8"/>
      </w:r>
      <w:r>
        <w:rPr>
          <w:noProof/>
        </w:rPr>
        <w:t xml:space="preserve"> The proposal/initiative relates to </w:t>
      </w:r>
      <w:r>
        <w:rPr>
          <w:b/>
          <w:noProof/>
        </w:rPr>
        <w:t>a new action</w:t>
      </w:r>
      <w:r>
        <w:rPr>
          <w:b/>
          <w:noProof/>
          <w:sz w:val="22"/>
        </w:rPr>
        <w:t xml:space="preserve"> </w:t>
      </w:r>
    </w:p>
    <w:p>
      <w:pPr>
        <w:pStyle w:val="Text1"/>
        <w:rPr>
          <w:noProof/>
          <w:sz w:val="22"/>
        </w:rPr>
      </w:pPr>
      <w:r>
        <w:rPr>
          <w:noProof/>
          <w:sz w:val="22"/>
        </w:rPr>
        <w:sym w:font="Wingdings" w:char="F0A8"/>
      </w:r>
      <w:r>
        <w:rPr>
          <w:noProof/>
        </w:rPr>
        <w:t xml:space="preserve"> The proposal/initiative relates to </w:t>
      </w:r>
      <w:r>
        <w:rPr>
          <w:b/>
          <w:noProof/>
        </w:rPr>
        <w:t>a new action following a pilot project/preparatory action</w:t>
      </w:r>
      <w:r>
        <w:rPr>
          <w:rStyle w:val="FootnoteReference"/>
          <w:b/>
          <w:noProof/>
        </w:rPr>
        <w:footnoteReference w:id="5"/>
      </w:r>
    </w:p>
    <w:p>
      <w:pPr>
        <w:pStyle w:val="Text1"/>
        <w:rPr>
          <w:noProof/>
          <w:sz w:val="22"/>
        </w:rPr>
      </w:pPr>
      <w:r>
        <w:rPr>
          <w:noProof/>
          <w:sz w:val="22"/>
        </w:rPr>
        <w:t xml:space="preserve">X The proposal/initiative relates to </w:t>
      </w:r>
      <w:r>
        <w:rPr>
          <w:b/>
          <w:noProof/>
          <w:sz w:val="22"/>
        </w:rPr>
        <w:t>the extension of an existing action</w:t>
      </w:r>
      <w:r>
        <w:rPr>
          <w:noProof/>
          <w:sz w:val="22"/>
        </w:rPr>
        <w:t xml:space="preserve"> </w:t>
      </w:r>
    </w:p>
    <w:p>
      <w:pPr>
        <w:pStyle w:val="Text1"/>
        <w:rPr>
          <w:noProof/>
        </w:rPr>
      </w:pPr>
      <w:r>
        <w:rPr>
          <w:noProof/>
          <w:sz w:val="22"/>
        </w:rPr>
        <w:sym w:font="Wingdings" w:char="F0A8"/>
      </w:r>
      <w:r>
        <w:rPr>
          <w:noProof/>
        </w:rPr>
        <w:t xml:space="preserve"> The proposal/initiative relates to </w:t>
      </w:r>
      <w:r>
        <w:rPr>
          <w:b/>
          <w:noProof/>
        </w:rPr>
        <w:t>an action redirected towards a new action</w:t>
      </w:r>
      <w:r>
        <w:rPr>
          <w:noProof/>
        </w:rPr>
        <w:t xml:space="preserve"> </w:t>
      </w:r>
    </w:p>
    <w:p>
      <w:pPr>
        <w:pStyle w:val="ManualHeading2"/>
        <w:rPr>
          <w:bCs/>
          <w:iCs/>
          <w:noProof/>
          <w:szCs w:val="24"/>
        </w:rPr>
      </w:pPr>
      <w:r>
        <w:t>5.4.</w:t>
      </w:r>
      <w:r>
        <w:tab/>
      </w:r>
      <w:r>
        <w:rPr>
          <w:noProof/>
        </w:rPr>
        <w:t>Objective(s)</w:t>
      </w:r>
    </w:p>
    <w:p>
      <w:pPr>
        <w:pStyle w:val="ManualHeading3"/>
        <w:rPr>
          <w:noProof/>
        </w:rPr>
      </w:pPr>
      <w:r>
        <w:t>5.4.1.</w:t>
      </w:r>
      <w:r>
        <w:tab/>
      </w:r>
      <w:r>
        <w:rPr>
          <w:noProof/>
        </w:rPr>
        <w:t xml:space="preserve">The Commission’s multiannual strategic objective(s) targeted by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The negotiation and conclusion of sustainable fisheries agreements with third countries meets the general objective of giving EU fishing vessels access to fishing zones located in third countries’ Exclusive Economic Zones (EEZ) and developing partnership with those countries with a view to strengthening the sustainable exploitation of fishery resources outside EU waters.</w:t>
      </w:r>
    </w:p>
    <w:p>
      <w:pPr>
        <w:pStyle w:val="Text1"/>
        <w:pBdr>
          <w:top w:val="single" w:sz="4" w:space="1" w:color="auto"/>
          <w:left w:val="single" w:sz="4" w:space="4" w:color="auto"/>
          <w:bottom w:val="single" w:sz="4" w:space="1" w:color="auto"/>
          <w:right w:val="single" w:sz="4" w:space="4" w:color="auto"/>
        </w:pBdr>
        <w:rPr>
          <w:noProof/>
        </w:rPr>
      </w:pPr>
      <w:r>
        <w:rPr>
          <w:noProof/>
        </w:rPr>
        <w:t>The Sustainable Fisheries Partnership Agreements (SFPAs) also ensure consistency between the principles governing the Common Fisheries Policy and the commitments made under other European policies (sustainable use of third-country resources, combating illegal, unreported and unregulated (IUU) fishing, integration of partner countries into the global economy and better political and financial governance of fisheries).</w:t>
      </w:r>
    </w:p>
    <w:p>
      <w:pPr>
        <w:pStyle w:val="ManualHeading3"/>
        <w:rPr>
          <w:bCs/>
          <w:noProof/>
          <w:szCs w:val="24"/>
        </w:rPr>
      </w:pPr>
      <w:r>
        <w:t>5.4.2.</w:t>
      </w:r>
      <w:r>
        <w:tab/>
      </w:r>
      <w:r>
        <w:rPr>
          <w:noProof/>
        </w:rPr>
        <w:t xml:space="preserve">Specific objective(s) and ABM/ABB activity(-ies) concerned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objectives</w:t>
      </w:r>
    </w:p>
    <w:p>
      <w:pPr>
        <w:pStyle w:val="Text1"/>
        <w:pBdr>
          <w:top w:val="single" w:sz="4" w:space="1" w:color="auto"/>
          <w:left w:val="single" w:sz="4" w:space="4" w:color="auto"/>
          <w:bottom w:val="single" w:sz="4" w:space="1" w:color="auto"/>
          <w:right w:val="single" w:sz="4" w:space="4" w:color="auto"/>
        </w:pBdr>
        <w:rPr>
          <w:noProof/>
        </w:rPr>
      </w:pPr>
      <w:r>
        <w:rPr>
          <w:noProof/>
        </w:rPr>
        <w:t>To contribute to sustainable fishing in non-EU waters, maintain a European presence in distant-water fisheries and protect the interests of the European fisheries sector and consumers by negotiating and concluding SFPAs with coastal states, consistent with other European policies.</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ABM/ABB activity(-ies) concerned</w:t>
      </w:r>
    </w:p>
    <w:p>
      <w:pPr>
        <w:pStyle w:val="Text1"/>
        <w:pBdr>
          <w:top w:val="single" w:sz="4" w:space="1" w:color="auto"/>
          <w:left w:val="single" w:sz="4" w:space="4" w:color="auto"/>
          <w:bottom w:val="single" w:sz="4" w:space="1" w:color="auto"/>
          <w:right w:val="single" w:sz="4" w:space="4" w:color="auto"/>
        </w:pBdr>
        <w:rPr>
          <w:noProof/>
        </w:rPr>
      </w:pPr>
      <w:r>
        <w:rPr>
          <w:noProof/>
        </w:rPr>
        <w:t>Maritime affairs and fisheries, to establish a governance framework for fishing activities carried out by Union fishing vessels in third country waters (SFAs) (budget line 11.0301).</w:t>
      </w:r>
    </w:p>
    <w:p>
      <w:pPr>
        <w:pStyle w:val="ManualHeading3"/>
        <w:rPr>
          <w:bCs/>
          <w:noProof/>
          <w:szCs w:val="24"/>
        </w:rPr>
      </w:pPr>
      <w:r>
        <w:rPr>
          <w:noProof/>
        </w:rPr>
        <w:br w:type="page"/>
      </w:r>
      <w:r>
        <w:t>5.4.3.</w:t>
      </w:r>
      <w:r>
        <w:tab/>
      </w:r>
      <w:r>
        <w:rPr>
          <w:noProof/>
        </w:rPr>
        <w:t>Expected result(s) and impact</w:t>
      </w:r>
    </w:p>
    <w:p>
      <w:pPr>
        <w:pStyle w:val="Text1"/>
        <w:rPr>
          <w:i/>
          <w:noProof/>
          <w:sz w:val="20"/>
        </w:rPr>
      </w:pPr>
      <w:r>
        <w:rPr>
          <w:i/>
          <w:noProof/>
          <w:sz w:val="20"/>
        </w:rPr>
        <w:t>Specify the effects which the proposal/initiative should have on the beneficiaries/groups targeted.</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The conclusion of the Protocol will help maintain fishing opportunities for EU vessels in the fishing zone of the Islamic Republic of Mauritania.</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The Protocol will also contribute to better management and conservation of fishery resources, through financial support (sectoral support) for the implementation of the national sectoral strategy for ensuring the sustainable development of the fishing sector. </w:t>
      </w:r>
    </w:p>
    <w:p>
      <w:pPr>
        <w:pStyle w:val="ManualHeading3"/>
        <w:rPr>
          <w:bCs/>
          <w:noProof/>
          <w:szCs w:val="24"/>
        </w:rPr>
      </w:pPr>
      <w:r>
        <w:t>5.4.4.</w:t>
      </w:r>
      <w:r>
        <w:tab/>
      </w:r>
      <w:r>
        <w:rPr>
          <w:noProof/>
        </w:rPr>
        <w:t xml:space="preserve">Indicators of results and impact </w:t>
      </w:r>
    </w:p>
    <w:p>
      <w:pPr>
        <w:pStyle w:val="Text1"/>
        <w:rPr>
          <w:i/>
          <w:noProof/>
          <w:sz w:val="20"/>
        </w:rPr>
      </w:pPr>
      <w:r>
        <w:rPr>
          <w:i/>
          <w:noProof/>
          <w:sz w:val="20"/>
        </w:rPr>
        <w:t>Specify the indicators for monitoring implementation of the proposal/initiative.</w:t>
      </w:r>
    </w:p>
    <w:p>
      <w:pPr>
        <w:pStyle w:val="Text1"/>
        <w:pBdr>
          <w:top w:val="single" w:sz="4" w:space="1" w:color="auto"/>
          <w:left w:val="single" w:sz="4" w:space="4" w:color="auto"/>
          <w:bottom w:val="single" w:sz="4" w:space="1" w:color="auto"/>
          <w:right w:val="single" w:sz="4" w:space="4" w:color="auto"/>
        </w:pBdr>
        <w:rPr>
          <w:noProof/>
        </w:rPr>
      </w:pPr>
      <w:r>
        <w:rPr>
          <w:noProof/>
        </w:rPr>
        <w:t>Rates of utilisation of fishing opportunities (annual uptake of fishing authorisations as a percentage of availability under the Protocol);</w:t>
      </w:r>
    </w:p>
    <w:p>
      <w:pPr>
        <w:pStyle w:val="Text1"/>
        <w:pBdr>
          <w:top w:val="single" w:sz="4" w:space="1" w:color="auto"/>
          <w:left w:val="single" w:sz="4" w:space="4" w:color="auto"/>
          <w:bottom w:val="single" w:sz="4" w:space="1" w:color="auto"/>
          <w:right w:val="single" w:sz="4" w:space="4" w:color="auto"/>
        </w:pBdr>
        <w:rPr>
          <w:noProof/>
        </w:rPr>
      </w:pPr>
      <w:r>
        <w:rPr>
          <w:noProof/>
        </w:rPr>
        <w:t>Gathering and analysing data on catches and the commercial value of the Agreement;</w:t>
      </w:r>
    </w:p>
    <w:p>
      <w:pPr>
        <w:pStyle w:val="Text1"/>
        <w:pBdr>
          <w:top w:val="single" w:sz="4" w:space="1" w:color="auto"/>
          <w:left w:val="single" w:sz="4" w:space="4" w:color="auto"/>
          <w:bottom w:val="single" w:sz="4" w:space="1" w:color="auto"/>
          <w:right w:val="single" w:sz="4" w:space="4" w:color="auto"/>
        </w:pBdr>
        <w:rPr>
          <w:noProof/>
        </w:rPr>
      </w:pPr>
      <w:r>
        <w:rPr>
          <w:noProof/>
        </w:rPr>
        <w:t>Contribution to employment and to added value in the EU and to stabilising the EU market (in aggregate with other SFPAs);</w:t>
      </w:r>
    </w:p>
    <w:p>
      <w:pPr>
        <w:pStyle w:val="Text1"/>
        <w:pBdr>
          <w:top w:val="single" w:sz="4" w:space="1" w:color="auto"/>
          <w:left w:val="single" w:sz="4" w:space="4" w:color="auto"/>
          <w:bottom w:val="single" w:sz="4" w:space="1" w:color="auto"/>
          <w:right w:val="single" w:sz="4" w:space="4" w:color="auto"/>
        </w:pBdr>
        <w:rPr>
          <w:noProof/>
        </w:rPr>
      </w:pPr>
      <w:r>
        <w:rPr>
          <w:noProof/>
        </w:rPr>
        <w:t>Number of technical meetings and meetings of the Joint Committee.</w:t>
      </w:r>
    </w:p>
    <w:p>
      <w:pPr>
        <w:pStyle w:val="ManualHeading2"/>
        <w:rPr>
          <w:bCs/>
          <w:iCs/>
          <w:noProof/>
          <w:szCs w:val="24"/>
        </w:rPr>
      </w:pPr>
      <w:r>
        <w:t>5.5.</w:t>
      </w:r>
      <w:r>
        <w:tab/>
      </w:r>
      <w:r>
        <w:rPr>
          <w:noProof/>
        </w:rPr>
        <w:t xml:space="preserve">Grounds for the proposal/initiative </w:t>
      </w:r>
    </w:p>
    <w:p>
      <w:pPr>
        <w:pStyle w:val="ManualHeading3"/>
        <w:rPr>
          <w:noProof/>
        </w:rPr>
      </w:pPr>
      <w:r>
        <w:t>5.5.1.</w:t>
      </w:r>
      <w:r>
        <w:tab/>
      </w:r>
      <w:r>
        <w:rPr>
          <w:noProof/>
        </w:rPr>
        <w:t xml:space="preserve">Requirement(s) to be met in the short or long term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The Protocol for the period 2012-14 expired on 15 December 2014. The fishing activities of the European fleet in the Islamic Republic of Mauritania’s fishing zone have therefore been interrupted pending the signature and provisional application of the new Protocol.</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The new Protocol will make it possible to authorise and provide a framework for the fishing activities of the European Union’s fleet within the Islamic Republic of Mauritania’s fishing zone. </w:t>
      </w:r>
      <w:r>
        <w:rPr>
          <w:noProof/>
          <w:color w:val="000000"/>
        </w:rPr>
        <w:t>In addition, the new Protocol enhances cooperation between the EU and the Islamic Republic of Mauritania, with a view to promoting the development of a sustainable fishing policy. The sectoral support has been increased since the previous period, in order to help the Islamic Republic of Mauritania to implement its new national sectoral policy for ensuring the sustainable development of fishing activities.</w:t>
      </w:r>
    </w:p>
    <w:p>
      <w:pPr>
        <w:pStyle w:val="ManualHeading3"/>
        <w:rPr>
          <w:bCs/>
          <w:noProof/>
          <w:szCs w:val="24"/>
        </w:rPr>
      </w:pPr>
      <w:r>
        <w:t>5.5.2.</w:t>
      </w:r>
      <w:r>
        <w:tab/>
      </w:r>
      <w:r>
        <w:rPr>
          <w:noProof/>
        </w:rPr>
        <w:t>Added value of EU involvement</w:t>
      </w:r>
    </w:p>
    <w:p>
      <w:pPr>
        <w:pStyle w:val="Text1"/>
        <w:pBdr>
          <w:top w:val="single" w:sz="4" w:space="1" w:color="auto"/>
          <w:left w:val="single" w:sz="4" w:space="4" w:color="auto"/>
          <w:bottom w:val="single" w:sz="4" w:space="1" w:color="auto"/>
          <w:right w:val="single" w:sz="4" w:space="4" w:color="auto"/>
        </w:pBdr>
        <w:rPr>
          <w:noProof/>
        </w:rPr>
      </w:pPr>
      <w:r>
        <w:rPr>
          <w:noProof/>
        </w:rPr>
        <w:t>As regards this new Protocol, failure to act by the EU would allow private agreements to spring up which would not guarantee sustainable fisheries. The European Union also hopes that, with this Protocol, the Islamic Republic of Mauritania will continue to cooperate effectively with the EU particularly as regards the fight against illegal fishing.</w:t>
      </w:r>
    </w:p>
    <w:p>
      <w:pPr>
        <w:pStyle w:val="ManualHeading3"/>
        <w:rPr>
          <w:bCs/>
          <w:noProof/>
          <w:szCs w:val="24"/>
        </w:rPr>
      </w:pPr>
      <w:r>
        <w:t>5.5.3.</w:t>
      </w:r>
      <w:r>
        <w:tab/>
      </w:r>
      <w:r>
        <w:rPr>
          <w:noProof/>
        </w:rPr>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rPr>
      </w:pPr>
      <w:r>
        <w:rPr>
          <w:noProof/>
        </w:rPr>
        <w:t>An analysis of recent catches in Mauritania and also the scientific advice and assessments available have led the parties to set an authorised catch volume for fishing categories 1, 2, 3, 6 and 7 (261 500 tonnes) and a reference tonnage for tuna (20 000 tonnes per year). The sectoral support takes account of the priorities contained in the national fisheries strategy and requirements in terms of building the capacity of the Mauritanian fishing authorities.</w:t>
      </w:r>
    </w:p>
    <w:p>
      <w:pPr>
        <w:pStyle w:val="ManualHeading3"/>
        <w:rPr>
          <w:bCs/>
          <w:noProof/>
          <w:szCs w:val="24"/>
        </w:rPr>
      </w:pPr>
      <w:r>
        <w:t>5.5.4.</w:t>
      </w:r>
      <w:r>
        <w:tab/>
      </w:r>
      <w:r>
        <w:rPr>
          <w:noProof/>
        </w:rPr>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rPr>
      </w:pPr>
      <w:r>
        <w:rPr>
          <w:noProof/>
        </w:rPr>
        <w:t>Funds paid out under SFPAs constitute fungible revenue in the budgets of the third-country partners. However, allocating some of those funds for implementing measures as part of the country’s sectoral policy is a condition for the conclusion and monitoring of SFPAs. These financial resources are compatible with other sources of funding from other providers of international funding for carrying out projects and/or programmes at national level in the fisheries sector.</w:t>
      </w:r>
    </w:p>
    <w:p>
      <w:pPr>
        <w:pStyle w:val="ManualHeading2"/>
        <w:rPr>
          <w:bCs/>
          <w:iCs/>
          <w:noProof/>
          <w:szCs w:val="24"/>
        </w:rPr>
      </w:pPr>
      <w:r>
        <w:rPr>
          <w:noProof/>
        </w:rPr>
        <w:br w:type="page"/>
      </w:r>
      <w:r>
        <w:t>5.6.</w:t>
      </w:r>
      <w:r>
        <w:tab/>
      </w:r>
      <w:r>
        <w:rPr>
          <w:noProof/>
        </w:rPr>
        <w:t xml:space="preserve">Duration and financial impact </w:t>
      </w:r>
    </w:p>
    <w:p>
      <w:pPr>
        <w:pStyle w:val="Text1"/>
        <w:rPr>
          <w:noProof/>
        </w:rPr>
      </w:pPr>
      <w:r>
        <w:rPr>
          <w:noProof/>
        </w:rPr>
        <w:t xml:space="preserve">X Proposal/initiative of </w:t>
      </w:r>
      <w:r>
        <w:rPr>
          <w:b/>
          <w:noProof/>
        </w:rPr>
        <w:t xml:space="preserve">limited duration </w:t>
      </w:r>
    </w:p>
    <w:p>
      <w:pPr>
        <w:pStyle w:val="ListDash2"/>
        <w:rPr>
          <w:noProof/>
        </w:rPr>
      </w:pPr>
      <w:r>
        <w:rPr>
          <w:noProof/>
        </w:rPr>
        <w:t>X</w:t>
      </w:r>
      <w:r>
        <w:rPr>
          <w:noProof/>
        </w:rPr>
        <w:tab/>
        <w:t xml:space="preserve">Proposal/initiative in force from the date of signature and for a duration of four years. </w:t>
      </w:r>
    </w:p>
    <w:p>
      <w:pPr>
        <w:pStyle w:val="ListDash2"/>
        <w:rPr>
          <w:noProof/>
        </w:rPr>
      </w:pPr>
      <w:r>
        <w:rPr>
          <w:noProof/>
        </w:rPr>
        <w:t>X</w:t>
      </w:r>
      <w:r>
        <w:rPr>
          <w:noProof/>
        </w:rPr>
        <w:tab/>
        <w:t>Financial impact from 2015 to 2019</w:t>
      </w:r>
    </w:p>
    <w:p>
      <w:pPr>
        <w:pStyle w:val="Text1"/>
        <w:rPr>
          <w:noProof/>
        </w:rPr>
      </w:pPr>
      <w:r>
        <w:rPr>
          <w:noProof/>
        </w:rPr>
        <w:sym w:font="Wingdings" w:char="F0A8"/>
      </w:r>
      <w:r>
        <w:rPr>
          <w:noProof/>
        </w:rPr>
        <w:t xml:space="preserve"> Proposal/initiative of </w:t>
      </w:r>
      <w:r>
        <w:rPr>
          <w:b/>
          <w:noProof/>
        </w:rPr>
        <w:t>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bCs/>
          <w:iCs/>
          <w:noProof/>
          <w:szCs w:val="24"/>
        </w:rPr>
      </w:pPr>
      <w:r>
        <w:t>5.7.</w:t>
      </w:r>
      <w:r>
        <w:tab/>
      </w:r>
      <w:r>
        <w:rPr>
          <w:noProof/>
        </w:rPr>
        <w:t>Management method(s) envisaged:</w:t>
      </w:r>
      <w:r>
        <w:rPr>
          <w:rStyle w:val="FootnoteReference"/>
          <w:noProof/>
        </w:rPr>
        <w:footnoteReference w:id="6"/>
      </w:r>
      <w:r>
        <w:rPr>
          <w:rStyle w:val="FootnoteReference"/>
          <w:noProof/>
        </w:rPr>
        <w:t xml:space="preserve"> </w:t>
      </w:r>
    </w:p>
    <w:p>
      <w:pPr>
        <w:pStyle w:val="Text1"/>
        <w:rPr>
          <w:b/>
          <w:noProof/>
          <w:u w:val="single"/>
        </w:rPr>
      </w:pPr>
      <w:r>
        <w:rPr>
          <w:b/>
          <w:noProof/>
          <w:u w:val="single"/>
        </w:rPr>
        <w:t>From the 2015 budget</w:t>
      </w:r>
    </w:p>
    <w:p>
      <w:pPr>
        <w:pStyle w:val="Text1"/>
        <w:rPr>
          <w:noProof/>
        </w:rPr>
      </w:pPr>
      <w:r>
        <w:rPr>
          <w:b/>
          <w:noProof/>
        </w:rPr>
        <w:t>X Direct management</w:t>
      </w:r>
      <w:r>
        <w:rPr>
          <w:noProof/>
        </w:rPr>
        <w:t xml:space="preserve"> by the Commission</w:t>
      </w:r>
    </w:p>
    <w:p>
      <w:pPr>
        <w:pStyle w:val="ListDash2"/>
        <w:rPr>
          <w:rFonts w:cs="EUAlbertina"/>
          <w:noProof/>
        </w:rPr>
      </w:pPr>
      <w:r>
        <w:rPr>
          <w:noProof/>
        </w:rPr>
        <w:t>X by its departments, including by its staff in the Union delegations;</w:t>
      </w:r>
    </w:p>
    <w:p>
      <w:pPr>
        <w:pStyle w:val="ListDash2"/>
        <w:rPr>
          <w:noProof/>
        </w:rPr>
      </w:pPr>
      <w:r>
        <w:rPr>
          <w:noProof/>
        </w:rPr>
        <w:sym w:font="Wingdings" w:char="F0A8"/>
      </w:r>
      <w:r>
        <w:rPr>
          <w:noProof/>
        </w:rPr>
        <w:tab/>
        <w:t>by the executive agencies</w:t>
      </w:r>
    </w:p>
    <w:p>
      <w:pPr>
        <w:pStyle w:val="Text1"/>
        <w:rPr>
          <w:noProof/>
        </w:rPr>
      </w:pPr>
      <w:r>
        <w:rPr>
          <w:noProof/>
        </w:rPr>
        <w:sym w:font="Wingdings" w:char="F0A8"/>
      </w:r>
      <w:r>
        <w:rPr>
          <w:noProof/>
        </w:rPr>
        <w:t xml:space="preserve"> </w:t>
      </w:r>
      <w:r>
        <w:rPr>
          <w:b/>
          <w:noProof/>
        </w:rPr>
        <w:t>Shared management</w:t>
      </w:r>
      <w:r>
        <w:rPr>
          <w:noProof/>
        </w:rPr>
        <w:t xml:space="preserve"> with Member States</w:t>
      </w:r>
    </w:p>
    <w:p>
      <w:pPr>
        <w:pStyle w:val="Text1"/>
        <w:rPr>
          <w:noProof/>
        </w:rPr>
      </w:pPr>
      <w:r>
        <w:rPr>
          <w:noProof/>
        </w:rPr>
        <w:sym w:font="Wingdings" w:char="F0A8"/>
      </w:r>
      <w:r>
        <w:rPr>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(please specify);</w:t>
      </w:r>
    </w:p>
    <w:p>
      <w:pPr>
        <w:pStyle w:val="ListDash2"/>
        <w:rPr>
          <w:noProof/>
        </w:rPr>
      </w:pPr>
      <w:r>
        <w:rPr>
          <w:noProof/>
        </w:rPr>
        <w:sym w:font="Wingdings" w:char="F0A8"/>
      </w:r>
      <w:r>
        <w:rPr>
          <w:noProof/>
        </w:rPr>
        <w:t xml:space="preserve"> the EIB and the European Investment Fund;</w:t>
      </w:r>
    </w:p>
    <w:p>
      <w:pPr>
        <w:pStyle w:val="ListDash2"/>
        <w:rPr>
          <w:noProof/>
        </w:rPr>
      </w:pPr>
      <w:r>
        <w:rPr>
          <w:noProof/>
        </w:rPr>
        <w:sym w:font="Wingdings" w:char="F0A8"/>
      </w:r>
      <w:r>
        <w:rPr>
          <w:noProof/>
        </w:rPr>
        <w:t xml:space="preserve"> bodies referred to in Articles 208 and 209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pPr>
    </w:p>
    <w:p>
      <w:pPr>
        <w:pBdr>
          <w:top w:val="single" w:sz="4" w:space="1" w:color="auto"/>
          <w:left w:val="single" w:sz="4" w:space="4" w:color="auto"/>
          <w:bottom w:val="single" w:sz="4" w:space="1" w:color="auto"/>
          <w:right w:val="single" w:sz="4" w:space="4" w:color="auto"/>
        </w:pBd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6.</w:t>
      </w:r>
      <w:r>
        <w:tab/>
      </w:r>
      <w:r>
        <w:rPr>
          <w:noProof/>
        </w:rPr>
        <w:t xml:space="preserve">MANAGEMENT MEASURES </w:t>
      </w:r>
    </w:p>
    <w:p>
      <w:pPr>
        <w:pStyle w:val="ManualHeading2"/>
        <w:rPr>
          <w:noProof/>
        </w:rPr>
      </w:pPr>
      <w:r>
        <w:t>6.1.</w:t>
      </w:r>
      <w:r>
        <w:tab/>
      </w:r>
      <w:r>
        <w:rPr>
          <w:noProof/>
        </w:rPr>
        <w:t xml:space="preserve">Monitoring and reporting rules </w:t>
      </w:r>
    </w:p>
    <w:p>
      <w:pPr>
        <w:pStyle w:val="Text1"/>
        <w:rPr>
          <w:i/>
          <w:noProof/>
          <w:sz w:val="20"/>
          <w:u w:val="single"/>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Commission (DG MARE, in collaboration with its fisheries counsellor in Mauritania and the European Union’s Delegation in Nouakchott) will ensure regular monitoring of the implementation of this Protocol, particularly as regards operators’ use of fishing opportunities and in terms of catch data. </w:t>
      </w:r>
    </w:p>
    <w:p>
      <w:pPr>
        <w:pStyle w:val="Text1"/>
        <w:pBdr>
          <w:top w:val="single" w:sz="4" w:space="1" w:color="auto"/>
          <w:left w:val="single" w:sz="4" w:space="4" w:color="auto"/>
          <w:bottom w:val="single" w:sz="4" w:space="1" w:color="auto"/>
          <w:right w:val="single" w:sz="4" w:space="4" w:color="auto"/>
        </w:pBdr>
        <w:rPr>
          <w:noProof/>
        </w:rPr>
      </w:pPr>
      <w:r>
        <w:rPr>
          <w:noProof/>
        </w:rPr>
        <w:t>The Sustainable Fisheries Partnership Agreement also provides for at least one annual meeting of the Joint Committee, at which the Commission and the Islamic Republic of Mauritania review the implementation of the Agreement and the Protocol thereto and, if necessary, adjust the programming and, if applicable, the financial contribution.</w:t>
      </w:r>
    </w:p>
    <w:p>
      <w:pPr>
        <w:pStyle w:val="ManualHeading2"/>
        <w:rPr>
          <w:bCs/>
          <w:iCs/>
          <w:noProof/>
          <w:szCs w:val="24"/>
        </w:rPr>
      </w:pPr>
      <w:r>
        <w:t>6.2.</w:t>
      </w:r>
      <w:r>
        <w:tab/>
      </w:r>
      <w:r>
        <w:rPr>
          <w:noProof/>
        </w:rPr>
        <w:t xml:space="preserve">Management and control system </w:t>
      </w:r>
    </w:p>
    <w:p>
      <w:pPr>
        <w:pStyle w:val="ManualHeading3"/>
        <w:rPr>
          <w:noProof/>
        </w:rPr>
      </w:pPr>
      <w:r>
        <w:t>6.2.1.</w:t>
      </w:r>
      <w:r>
        <w:tab/>
      </w:r>
      <w:r>
        <w:rPr>
          <w:noProof/>
        </w:rPr>
        <w:t xml:space="preserve">Risk(s) identified </w:t>
      </w:r>
    </w:p>
    <w:p>
      <w:pPr>
        <w:pStyle w:val="Text1"/>
        <w:pBdr>
          <w:top w:val="single" w:sz="4" w:space="1" w:color="auto"/>
          <w:left w:val="single" w:sz="4" w:space="4" w:color="auto"/>
          <w:bottom w:val="single" w:sz="4" w:space="1" w:color="auto"/>
          <w:right w:val="single" w:sz="4" w:space="4" w:color="auto"/>
        </w:pBdr>
        <w:rPr>
          <w:noProof/>
        </w:rPr>
      </w:pPr>
      <w:r>
        <w:rPr>
          <w:noProof/>
        </w:rPr>
        <w:t>There is some risk in setting up a fisheries protocol, particularly with regard to the amounts intended to finance the sectoral fisheries policy (under-programming).</w:t>
      </w:r>
    </w:p>
    <w:p>
      <w:pPr>
        <w:pStyle w:val="ManualHeading3"/>
        <w:rPr>
          <w:bCs/>
          <w:noProof/>
          <w:szCs w:val="24"/>
        </w:rPr>
      </w:pPr>
      <w:r>
        <w:t>6.2.2.</w:t>
      </w:r>
      <w:r>
        <w:tab/>
      </w:r>
      <w:r>
        <w:rPr>
          <w:noProof/>
        </w:rPr>
        <w:t>Information concerning the internal control system set up</w:t>
      </w:r>
    </w:p>
    <w:p>
      <w:pPr>
        <w:pStyle w:val="Text1"/>
        <w:pBdr>
          <w:top w:val="single" w:sz="4" w:space="1" w:color="auto"/>
          <w:left w:val="single" w:sz="4" w:space="4" w:color="auto"/>
          <w:bottom w:val="single" w:sz="4" w:space="1" w:color="auto"/>
          <w:right w:val="single" w:sz="4" w:space="4" w:color="auto"/>
        </w:pBdr>
        <w:rPr>
          <w:noProof/>
        </w:rPr>
      </w:pPr>
      <w:r>
        <w:rPr>
          <w:noProof/>
        </w:rPr>
        <w:t>Extensive dialogue is planned on the programming and implementation of the sectoral policy laid down in the Agreement and the Protocol. Joint analysis of results, as referred to in Article 3 of the Protocol, also forms part of these control methods.</w:t>
      </w:r>
    </w:p>
    <w:p>
      <w:pPr>
        <w:pStyle w:val="Text1"/>
        <w:pBdr>
          <w:top w:val="single" w:sz="4" w:space="1" w:color="auto"/>
          <w:left w:val="single" w:sz="4" w:space="4" w:color="auto"/>
          <w:bottom w:val="single" w:sz="4" w:space="1" w:color="auto"/>
          <w:right w:val="single" w:sz="4" w:space="4" w:color="auto"/>
        </w:pBdr>
        <w:rPr>
          <w:noProof/>
        </w:rPr>
      </w:pPr>
      <w:r>
        <w:rPr>
          <w:noProof/>
        </w:rPr>
        <w:t>In addition, the Agreement and the Protocol contain specific clauses for their suspension, on certain conditions and in given circumstances.</w:t>
      </w:r>
    </w:p>
    <w:p>
      <w:pPr>
        <w:pStyle w:val="ManualHeading3"/>
        <w:rPr>
          <w:noProof/>
        </w:rPr>
      </w:pPr>
      <w:r>
        <w:t>6.2.3.</w:t>
      </w:r>
      <w:r>
        <w:tab/>
      </w:r>
      <w:r>
        <w:rPr>
          <w:noProof/>
        </w:rPr>
        <w:t xml:space="preserve">Estimate of the costs and benefits of the controls and assessment of the expected level of risk of error </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iCs/>
          <w:noProof/>
          <w:szCs w:val="24"/>
        </w:rPr>
      </w:pPr>
      <w:r>
        <w:t>6.3.</w:t>
      </w:r>
      <w:r>
        <w:tab/>
      </w:r>
      <w:r>
        <w:rPr>
          <w:noProof/>
        </w:rPr>
        <w:t xml:space="preserve">Measures to prevent fraud and irregularities </w:t>
      </w:r>
    </w:p>
    <w:p>
      <w:pPr>
        <w:pStyle w:val="Text1"/>
        <w:rPr>
          <w:i/>
          <w:noProof/>
          <w:sz w:val="20"/>
        </w:rPr>
      </w:pPr>
      <w:r>
        <w:rPr>
          <w:i/>
          <w:noProof/>
          <w:sz w:val="20"/>
        </w:rPr>
        <w:t>Specify existing or envisaged prevention and protection measures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Commission undertakes to establish political dialogue and regular coordination with the Islamic Republic of Mauritania with a view to improving the management of the Agreement and the Protocol and strengthening the EU’s contribution to the sustainable management of resources. In any case, any payment which the Commission makes under an SFPA is subject to the Commission’s standard rules and budgetary and financial procedures. This makes it possible, in particular, to fully identify the bank accounts of the third countries into which the financial contribution is paid. Article 2(8) and Article 3, paragraph 3.10 of the Protocol stipulate that the financial contribution to access and the sectoral support must be paid to an account held by the Public Treasury with the Mauritanian Central Bank. </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7.</w:t>
      </w:r>
      <w:r>
        <w:tab/>
      </w:r>
      <w:r>
        <w:rPr>
          <w:noProof/>
        </w:rPr>
        <w:t xml:space="preserve">ESTIMATED FINANCIAL IMPACT OF THE PROPOSAL/INITIATIVE </w:t>
      </w:r>
    </w:p>
    <w:p>
      <w:pPr>
        <w:pStyle w:val="ManualHeading2"/>
        <w:rPr>
          <w:noProof/>
        </w:rPr>
      </w:pPr>
      <w:r>
        <w:t>7.1.</w:t>
      </w:r>
      <w:r>
        <w:tab/>
      </w:r>
      <w:r>
        <w:rPr>
          <w:noProof/>
        </w:rPr>
        <w:t xml:space="preserve">Heading(s) of the multiannual financial framework and expenditure budget line(s) affected </w:t>
      </w:r>
    </w:p>
    <w:p>
      <w:pPr>
        <w:pStyle w:val="ListBullet1"/>
        <w:rPr>
          <w:noProof/>
        </w:rPr>
      </w:pPr>
      <w:r>
        <w:rPr>
          <w:noProof/>
        </w:rPr>
        <w:t xml:space="preserve">Existing budget lines </w:t>
      </w:r>
    </w:p>
    <w:p>
      <w:pPr>
        <w:pStyle w:val="Text1"/>
        <w:rPr>
          <w:noProof/>
        </w:rPr>
      </w:pPr>
      <w:r>
        <w:rPr>
          <w:noProof/>
          <w:u w:val="single"/>
        </w:rPr>
        <w:t>Following the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Type of</w:t>
            </w:r>
            <w:r>
              <w:rPr>
                <w:noProof/>
                <w:sz w:val="18"/>
              </w:rPr>
              <w:b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pPr>
              <w:rPr>
                <w:noProof/>
              </w:rPr>
            </w:pPr>
            <w:r>
              <w:rPr>
                <w:noProof/>
                <w:sz w:val="20"/>
              </w:rPr>
              <w:t>Number [Heading………………………...……………]</w:t>
            </w:r>
          </w:p>
        </w:tc>
        <w:tc>
          <w:tcPr>
            <w:tcW w:w="1080" w:type="dxa"/>
            <w:vAlign w:val="center"/>
          </w:tcPr>
          <w:p>
            <w:pPr>
              <w:jc w:val="center"/>
              <w:rPr>
                <w:noProof/>
              </w:rPr>
            </w:pPr>
            <w:r>
              <w:rPr>
                <w:noProof/>
                <w:sz w:val="18"/>
              </w:rPr>
              <w:t>Diff./non-diff.</w:t>
            </w:r>
            <w:r>
              <w:rPr>
                <w:noProof/>
                <w:sz w:val="18"/>
              </w:rPr>
              <w:br/>
            </w:r>
            <w:r>
              <w:rPr>
                <w:noProof/>
                <w:sz w:val="18"/>
                <w:vertAlign w:val="superscript"/>
              </w:rPr>
              <w:t>(</w:t>
            </w:r>
            <w:r>
              <w:rPr>
                <w:rStyle w:val="FootnoteReference"/>
                <w:noProof/>
                <w:sz w:val="18"/>
              </w:rPr>
              <w:footnoteReference w:id="7"/>
            </w:r>
            <w:r>
              <w:rPr>
                <w:noProof/>
                <w:sz w:val="18"/>
                <w:vertAlign w:val="superscript"/>
              </w:rPr>
              <w:t>)</w:t>
            </w:r>
          </w:p>
        </w:tc>
        <w:tc>
          <w:tcPr>
            <w:tcW w:w="956" w:type="dxa"/>
            <w:vAlign w:val="center"/>
          </w:tcPr>
          <w:p>
            <w:pPr>
              <w:jc w:val="center"/>
              <w:rPr>
                <w:noProof/>
              </w:rPr>
            </w:pPr>
            <w:r>
              <w:rPr>
                <w:noProof/>
                <w:sz w:val="18"/>
              </w:rPr>
              <w:t>from EFTA countries</w:t>
            </w:r>
            <w:r>
              <w:rPr>
                <w:rStyle w:val="FootnoteReference"/>
                <w:noProof/>
                <w:sz w:val="18"/>
              </w:rPr>
              <w:footnoteReference w:id="8"/>
            </w:r>
          </w:p>
          <w:p>
            <w:pPr>
              <w:spacing w:before="0" w:after="0"/>
              <w:jc w:val="center"/>
              <w:rPr>
                <w:b/>
                <w:noProof/>
                <w:sz w:val="18"/>
              </w:rPr>
            </w:pPr>
          </w:p>
        </w:tc>
        <w:tc>
          <w:tcPr>
            <w:tcW w:w="1080" w:type="dxa"/>
            <w:vAlign w:val="center"/>
          </w:tcPr>
          <w:p>
            <w:pPr>
              <w:jc w:val="center"/>
              <w:rPr>
                <w:noProof/>
              </w:rPr>
            </w:pPr>
            <w:r>
              <w:rPr>
                <w:noProof/>
                <w:sz w:val="18"/>
              </w:rPr>
              <w:t>from candidate countries</w:t>
            </w:r>
            <w:r>
              <w:rPr>
                <w:rStyle w:val="FootnoteReference"/>
                <w:noProof/>
                <w:sz w:val="18"/>
              </w:rPr>
              <w:footnoteReference w:id="9"/>
            </w:r>
          </w:p>
          <w:p>
            <w:pPr>
              <w:spacing w:before="0" w:after="0"/>
              <w:jc w:val="center"/>
              <w:rPr>
                <w:noProof/>
                <w:sz w:val="18"/>
              </w:rPr>
            </w:pP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rPr>
            </w:pPr>
            <w:r>
              <w:rPr>
                <w:noProof/>
                <w:sz w:val="22"/>
              </w:rPr>
              <w:t>2</w:t>
            </w:r>
          </w:p>
        </w:tc>
        <w:tc>
          <w:tcPr>
            <w:tcW w:w="3960" w:type="dxa"/>
            <w:vAlign w:val="center"/>
          </w:tcPr>
          <w:p>
            <w:pPr>
              <w:spacing w:before="60"/>
              <w:rPr>
                <w:noProof/>
              </w:rPr>
            </w:pPr>
            <w:r>
              <w:rPr>
                <w:noProof/>
                <w:sz w:val="22"/>
              </w:rPr>
              <w:t>11.03 01</w:t>
            </w:r>
          </w:p>
          <w:p>
            <w:pPr>
              <w:spacing w:after="60"/>
              <w:rPr>
                <w:noProof/>
              </w:rPr>
            </w:pPr>
            <w:r>
              <w:rPr>
                <w:noProof/>
                <w:sz w:val="22"/>
              </w:rPr>
              <w:t>To establish a governance framework for fishing activities carried out by Union fishing vessels in third country waters (SFAs)</w:t>
            </w:r>
          </w:p>
        </w:tc>
        <w:tc>
          <w:tcPr>
            <w:tcW w:w="1080" w:type="dxa"/>
            <w:vAlign w:val="center"/>
          </w:tcPr>
          <w:p>
            <w:pPr>
              <w:jc w:val="center"/>
              <w:rPr>
                <w:noProof/>
                <w:color w:val="0000FF"/>
              </w:rPr>
            </w:pPr>
            <w:r>
              <w:rPr>
                <w:noProof/>
                <w:sz w:val="22"/>
              </w:rPr>
              <w:t>Diff.</w:t>
            </w:r>
          </w:p>
        </w:tc>
        <w:tc>
          <w:tcPr>
            <w:tcW w:w="956" w:type="dxa"/>
            <w:vAlign w:val="center"/>
          </w:tcPr>
          <w:p>
            <w:pPr>
              <w:jc w:val="center"/>
              <w:rPr>
                <w:noProof/>
              </w:rPr>
            </w:pPr>
            <w:r>
              <w:rPr>
                <w:noProof/>
                <w:sz w:val="22"/>
              </w:rPr>
              <w:t>NO</w:t>
            </w:r>
          </w:p>
        </w:tc>
        <w:tc>
          <w:tcPr>
            <w:tcW w:w="1080" w:type="dxa"/>
            <w:vAlign w:val="center"/>
          </w:tcPr>
          <w:p>
            <w:pPr>
              <w:jc w:val="center"/>
              <w:rPr>
                <w:noProof/>
              </w:rPr>
            </w:pPr>
            <w:r>
              <w:rPr>
                <w:noProof/>
                <w:sz w:val="22"/>
              </w:rPr>
              <w:t>NO</w:t>
            </w:r>
          </w:p>
        </w:tc>
        <w:tc>
          <w:tcPr>
            <w:tcW w:w="956" w:type="dxa"/>
            <w:vAlign w:val="center"/>
          </w:tcPr>
          <w:p>
            <w:pPr>
              <w:jc w:val="center"/>
              <w:rPr>
                <w:noProof/>
              </w:rPr>
            </w:pPr>
            <w:r>
              <w:rPr>
                <w:noProof/>
                <w:sz w:val="22"/>
              </w:rPr>
              <w:t>NO</w:t>
            </w:r>
          </w:p>
        </w:tc>
        <w:tc>
          <w:tcPr>
            <w:tcW w:w="1448" w:type="dxa"/>
            <w:vAlign w:val="center"/>
          </w:tcPr>
          <w:p>
            <w:pPr>
              <w:jc w:val="center"/>
              <w:rPr>
                <w:noProof/>
              </w:rPr>
            </w:pPr>
            <w:r>
              <w:rPr>
                <w:noProof/>
                <w:sz w:val="22"/>
              </w:rPr>
              <w:t>NO</w:t>
            </w:r>
          </w:p>
        </w:tc>
      </w:tr>
      <w:tr>
        <w:tc>
          <w:tcPr>
            <w:tcW w:w="1080" w:type="dxa"/>
            <w:vAlign w:val="center"/>
          </w:tcPr>
          <w:p>
            <w:pPr>
              <w:jc w:val="center"/>
              <w:rPr>
                <w:noProof/>
              </w:rPr>
            </w:pPr>
          </w:p>
        </w:tc>
        <w:tc>
          <w:tcPr>
            <w:tcW w:w="3960" w:type="dxa"/>
            <w:vAlign w:val="center"/>
          </w:tcPr>
          <w:p>
            <w:pPr>
              <w:spacing w:before="60"/>
              <w:rPr>
                <w:noProof/>
              </w:rPr>
            </w:pPr>
            <w:r>
              <w:rPr>
                <w:noProof/>
                <w:sz w:val="22"/>
              </w:rPr>
              <w:t>11.01 04 01</w:t>
            </w:r>
          </w:p>
          <w:p>
            <w:pPr>
              <w:spacing w:before="60"/>
              <w:rPr>
                <w:noProof/>
              </w:rPr>
            </w:pPr>
            <w:r>
              <w:rPr>
                <w:noProof/>
                <w:sz w:val="22"/>
              </w:rPr>
              <w:t>Support expenditure for maritime affairs and fisheries — Non-operational administrative and technical assistance</w:t>
            </w:r>
          </w:p>
        </w:tc>
        <w:tc>
          <w:tcPr>
            <w:tcW w:w="1080" w:type="dxa"/>
            <w:vAlign w:val="center"/>
          </w:tcPr>
          <w:p>
            <w:pPr>
              <w:jc w:val="center"/>
              <w:rPr>
                <w:noProof/>
              </w:rPr>
            </w:pPr>
            <w:r>
              <w:rPr>
                <w:noProof/>
                <w:sz w:val="22"/>
              </w:rPr>
              <w:t>Non-diff</w:t>
            </w:r>
          </w:p>
        </w:tc>
        <w:tc>
          <w:tcPr>
            <w:tcW w:w="956" w:type="dxa"/>
            <w:vAlign w:val="center"/>
          </w:tcPr>
          <w:p>
            <w:pPr>
              <w:jc w:val="center"/>
              <w:rPr>
                <w:noProof/>
              </w:rPr>
            </w:pPr>
            <w:r>
              <w:rPr>
                <w:noProof/>
                <w:sz w:val="22"/>
              </w:rPr>
              <w:t>NO</w:t>
            </w:r>
          </w:p>
        </w:tc>
        <w:tc>
          <w:tcPr>
            <w:tcW w:w="1080" w:type="dxa"/>
            <w:vAlign w:val="center"/>
          </w:tcPr>
          <w:p>
            <w:pPr>
              <w:jc w:val="center"/>
              <w:rPr>
                <w:noProof/>
              </w:rPr>
            </w:pPr>
            <w:r>
              <w:rPr>
                <w:noProof/>
                <w:sz w:val="22"/>
              </w:rPr>
              <w:t>NO</w:t>
            </w:r>
          </w:p>
        </w:tc>
        <w:tc>
          <w:tcPr>
            <w:tcW w:w="956" w:type="dxa"/>
            <w:vAlign w:val="center"/>
          </w:tcPr>
          <w:p>
            <w:pPr>
              <w:jc w:val="center"/>
              <w:rPr>
                <w:noProof/>
              </w:rPr>
            </w:pPr>
            <w:r>
              <w:rPr>
                <w:noProof/>
                <w:sz w:val="22"/>
              </w:rPr>
              <w:t>NO</w:t>
            </w:r>
          </w:p>
        </w:tc>
        <w:tc>
          <w:tcPr>
            <w:tcW w:w="1448" w:type="dxa"/>
            <w:vAlign w:val="center"/>
          </w:tcPr>
          <w:p>
            <w:pPr>
              <w:jc w:val="center"/>
              <w:rPr>
                <w:noProof/>
              </w:rPr>
            </w:pPr>
            <w:r>
              <w:rPr>
                <w:noProof/>
                <w:sz w:val="22"/>
              </w:rPr>
              <w:t>NO</w:t>
            </w:r>
          </w:p>
        </w:tc>
      </w:tr>
    </w:tbl>
    <w:p>
      <w:pPr>
        <w:pStyle w:val="ListBullet1"/>
        <w:rPr>
          <w:noProof/>
        </w:rPr>
      </w:pPr>
      <w:r>
        <w:rPr>
          <w:noProof/>
        </w:rPr>
        <w:t>New budget lines requested (not applicable)</w:t>
      </w:r>
    </w:p>
    <w:p>
      <w:pPr>
        <w:pStyle w:val="Text1"/>
        <w:rPr>
          <w:i/>
          <w:noProof/>
          <w:sz w:val="20"/>
        </w:rPr>
      </w:pPr>
      <w:r>
        <w:rPr>
          <w:i/>
          <w:noProof/>
          <w:sz w:val="20"/>
          <w:u w:val="single"/>
        </w:rPr>
        <w:t>Following the order</w:t>
      </w:r>
      <w:r>
        <w:rPr>
          <w:noProof/>
        </w:rPr>
        <w:t xml:space="preserve"> </w:t>
      </w:r>
      <w:r>
        <w:rPr>
          <w:i/>
          <w:noProof/>
          <w:sz w:val="20"/>
        </w:rPr>
        <w:t>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Type of</w:t>
            </w:r>
            <w:r>
              <w:rPr>
                <w:noProof/>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pPr>
              <w:rPr>
                <w:noProof/>
              </w:rPr>
            </w:pPr>
            <w:r>
              <w:rPr>
                <w:noProof/>
              </w:rPr>
              <w:t>Number</w:t>
            </w:r>
            <w:r>
              <w:rPr>
                <w:noProof/>
              </w:rPr>
              <w:br/>
            </w:r>
            <w:r>
              <w:rPr>
                <w:noProof/>
                <w:sz w:val="20"/>
              </w:rPr>
              <w:t>[Heading………………………………………]</w:t>
            </w:r>
          </w:p>
        </w:tc>
        <w:tc>
          <w:tcPr>
            <w:tcW w:w="1080" w:type="dxa"/>
            <w:vAlign w:val="center"/>
          </w:tcPr>
          <w:p>
            <w:pPr>
              <w:jc w:val="center"/>
              <w:rPr>
                <w:noProof/>
              </w:rPr>
            </w:pPr>
            <w:r>
              <w:rPr>
                <w:noProof/>
                <w:sz w:val="18"/>
              </w:rPr>
              <w:t>Diff./non-diff.</w:t>
            </w:r>
          </w:p>
        </w:tc>
        <w:tc>
          <w:tcPr>
            <w:tcW w:w="956" w:type="dxa"/>
            <w:vAlign w:val="center"/>
          </w:tcPr>
          <w:p>
            <w:pPr>
              <w:jc w:val="center"/>
              <w:rPr>
                <w:noProof/>
                <w:sz w:val="18"/>
              </w:rPr>
            </w:pPr>
            <w:r>
              <w:rPr>
                <w:noProof/>
                <w:sz w:val="18"/>
              </w:rPr>
              <w:t>from EFTA countries</w:t>
            </w:r>
          </w:p>
        </w:tc>
        <w:tc>
          <w:tcPr>
            <w:tcW w:w="1080" w:type="dxa"/>
            <w:vAlign w:val="center"/>
          </w:tcPr>
          <w:p>
            <w:pPr>
              <w:jc w:val="center"/>
              <w:rPr>
                <w:noProof/>
                <w:sz w:val="18"/>
              </w:rPr>
            </w:pPr>
            <w:r>
              <w:rPr>
                <w:noProof/>
                <w:sz w:val="18"/>
              </w:rPr>
              <w:t>from candidate countries</w:t>
            </w: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color w:val="0000FF"/>
              </w:rPr>
            </w:pPr>
          </w:p>
        </w:tc>
        <w:tc>
          <w:tcPr>
            <w:tcW w:w="3960" w:type="dxa"/>
            <w:vAlign w:val="center"/>
          </w:tcPr>
          <w:p>
            <w:pPr>
              <w:spacing w:before="60"/>
              <w:rPr>
                <w:noProof/>
              </w:rPr>
            </w:pPr>
            <w:r>
              <w:rPr>
                <w:noProof/>
                <w:sz w:val="22"/>
              </w:rPr>
              <w:t>[XX.YY.YY.YY]</w:t>
            </w:r>
          </w:p>
          <w:p>
            <w:pPr>
              <w:spacing w:after="60"/>
              <w:rPr>
                <w:noProof/>
                <w:color w:val="0000FF"/>
              </w:rPr>
            </w:pPr>
          </w:p>
        </w:tc>
        <w:tc>
          <w:tcPr>
            <w:tcW w:w="1080" w:type="dxa"/>
            <w:vAlign w:val="center"/>
          </w:tcPr>
          <w:p>
            <w:pPr>
              <w:jc w:val="center"/>
              <w:rPr>
                <w:noProof/>
                <w:color w:val="0000FF"/>
              </w:rPr>
            </w:pPr>
          </w:p>
        </w:tc>
        <w:tc>
          <w:tcPr>
            <w:tcW w:w="956" w:type="dxa"/>
            <w:vAlign w:val="center"/>
          </w:tcPr>
          <w:p>
            <w:pPr>
              <w:jc w:val="center"/>
              <w:rPr>
                <w:noProof/>
              </w:rPr>
            </w:pPr>
            <w:r>
              <w:rPr>
                <w:noProof/>
                <w:sz w:val="22"/>
              </w:rPr>
              <w:t>YES/</w:t>
            </w:r>
            <w:r>
              <w:rPr>
                <w:noProof/>
                <w:sz w:val="22"/>
              </w:rPr>
              <w:br/>
              <w:t>NO</w:t>
            </w:r>
          </w:p>
        </w:tc>
        <w:tc>
          <w:tcPr>
            <w:tcW w:w="1080" w:type="dxa"/>
            <w:vAlign w:val="center"/>
          </w:tcPr>
          <w:p>
            <w:pPr>
              <w:jc w:val="center"/>
              <w:rPr>
                <w:noProof/>
                <w:color w:val="0000FF"/>
                <w:sz w:val="18"/>
              </w:rPr>
            </w:pPr>
            <w:r>
              <w:rPr>
                <w:noProof/>
                <w:sz w:val="22"/>
              </w:rPr>
              <w:t>YES/</w:t>
            </w:r>
            <w:r>
              <w:rPr>
                <w:noProof/>
                <w:sz w:val="22"/>
              </w:rPr>
              <w:br/>
              <w:t>NO</w:t>
            </w:r>
          </w:p>
        </w:tc>
        <w:tc>
          <w:tcPr>
            <w:tcW w:w="956" w:type="dxa"/>
            <w:vAlign w:val="center"/>
          </w:tcPr>
          <w:p>
            <w:pPr>
              <w:jc w:val="center"/>
              <w:rPr>
                <w:noProof/>
                <w:color w:val="0000FF"/>
                <w:sz w:val="18"/>
              </w:rPr>
            </w:pPr>
            <w:r>
              <w:rPr>
                <w:noProof/>
                <w:sz w:val="22"/>
              </w:rPr>
              <w:t>YES/</w:t>
            </w:r>
            <w:r>
              <w:rPr>
                <w:noProof/>
                <w:sz w:val="22"/>
              </w:rPr>
              <w:br/>
              <w:t>NO</w:t>
            </w:r>
          </w:p>
        </w:tc>
        <w:tc>
          <w:tcPr>
            <w:tcW w:w="1448" w:type="dxa"/>
            <w:vAlign w:val="center"/>
          </w:tcPr>
          <w:p>
            <w:pPr>
              <w:jc w:val="center"/>
              <w:rPr>
                <w:noProof/>
              </w:rPr>
            </w:pPr>
            <w:r>
              <w:rPr>
                <w:noProof/>
                <w:sz w:val="22"/>
              </w:rPr>
              <w:t>YES/</w:t>
            </w:r>
            <w:r>
              <w:rPr>
                <w:noProof/>
                <w:sz w:val="22"/>
              </w:rPr>
              <w:br/>
              <w:t>NO</w:t>
            </w:r>
          </w:p>
        </w:tc>
      </w:tr>
    </w:tbl>
    <w:p>
      <w:pPr>
        <w:rPr>
          <w:noProof/>
        </w:rPr>
        <w:sectPr>
          <w:pgSz w:w="11907" w:h="16840" w:code="1"/>
          <w:pgMar w:top="1134" w:right="1418" w:bottom="1134" w:left="1418" w:header="709" w:footer="709" w:gutter="0"/>
          <w:cols w:space="708"/>
          <w:docGrid w:linePitch="360"/>
        </w:sectPr>
      </w:pPr>
    </w:p>
    <w:p>
      <w:pPr>
        <w:pStyle w:val="ManualHeading2"/>
        <w:rPr>
          <w:bCs/>
          <w:iCs/>
          <w:noProof/>
          <w:szCs w:val="24"/>
        </w:rPr>
      </w:pPr>
      <w:r>
        <w:t>7.2.</w:t>
      </w:r>
      <w:r>
        <w:tab/>
      </w:r>
      <w:r>
        <w:rPr>
          <w:noProof/>
        </w:rPr>
        <w:t xml:space="preserve">Estimated impact on expenditure </w:t>
      </w:r>
    </w:p>
    <w:p>
      <w:pPr>
        <w:pStyle w:val="ManualHeading3"/>
        <w:rPr>
          <w:noProof/>
          <w:u w:val="single"/>
        </w:rPr>
      </w:pPr>
      <w:r>
        <w:t>7.2.1.</w:t>
      </w:r>
      <w:r>
        <w:tab/>
      </w:r>
      <w:r>
        <w:rPr>
          <w:noProof/>
        </w:rPr>
        <w:t xml:space="preserve">Summary of estimated impact on expenditure </w:t>
      </w:r>
    </w:p>
    <w:p>
      <w:pPr>
        <w:jc w:val="right"/>
        <w:rPr>
          <w:noProof/>
          <w:sz w:val="16"/>
        </w:rPr>
      </w:pPr>
      <w:r>
        <w:rPr>
          <w:noProof/>
          <w:sz w:val="20"/>
        </w:rPr>
        <w:t>EUR million (to three decimal places)</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9"/>
        <w:gridCol w:w="1080"/>
        <w:gridCol w:w="8182"/>
      </w:tblGrid>
      <w:tr>
        <w:trPr>
          <w:jc w:val="center"/>
        </w:trPr>
        <w:tc>
          <w:tcPr>
            <w:tcW w:w="4379" w:type="dxa"/>
            <w:shd w:val="thinDiagStripe" w:color="C0C0C0" w:fill="auto"/>
            <w:vAlign w:val="center"/>
          </w:tcPr>
          <w:p>
            <w:pPr>
              <w:spacing w:before="60" w:after="60"/>
              <w:jc w:val="center"/>
              <w:rPr>
                <w:b/>
                <w:noProof/>
              </w:rPr>
            </w:pPr>
            <w:r>
              <w:rPr>
                <w:b/>
                <w:noProof/>
              </w:rPr>
              <w:t>Heading of multi-annual financial</w:t>
            </w:r>
            <w:r>
              <w:rPr>
                <w:noProof/>
              </w:rPr>
              <w:br/>
            </w:r>
            <w:r>
              <w:rPr>
                <w:b/>
                <w:noProof/>
                <w:sz w:val="22"/>
              </w:rPr>
              <w:t xml:space="preserve">framework: </w:t>
            </w:r>
          </w:p>
        </w:tc>
        <w:tc>
          <w:tcPr>
            <w:tcW w:w="1080" w:type="dxa"/>
            <w:vAlign w:val="center"/>
          </w:tcPr>
          <w:p>
            <w:pPr>
              <w:spacing w:before="60" w:after="60"/>
              <w:jc w:val="center"/>
              <w:rPr>
                <w:b/>
                <w:noProof/>
              </w:rPr>
            </w:pPr>
            <w:r>
              <w:rPr>
                <w:b/>
                <w:noProof/>
                <w:sz w:val="22"/>
              </w:rPr>
              <w:t>Number 2</w:t>
            </w:r>
          </w:p>
        </w:tc>
        <w:tc>
          <w:tcPr>
            <w:tcW w:w="8182" w:type="dxa"/>
            <w:vAlign w:val="center"/>
          </w:tcPr>
          <w:p>
            <w:pPr>
              <w:spacing w:before="60" w:after="60"/>
              <w:rPr>
                <w:noProof/>
              </w:rPr>
            </w:pPr>
            <w:r>
              <w:rPr>
                <w:noProof/>
                <w:sz w:val="22"/>
              </w:rPr>
              <w:t>Sustainable growth: Natural Resources</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1777"/>
      </w:tblGrid>
      <w:tr>
        <w:tc>
          <w:tcPr>
            <w:tcW w:w="3960" w:type="dxa"/>
            <w:vAlign w:val="center"/>
          </w:tcPr>
          <w:p>
            <w:pPr>
              <w:jc w:val="center"/>
              <w:rPr>
                <w:noProof/>
              </w:rPr>
            </w:pPr>
            <w:r>
              <w:rPr>
                <w:noProof/>
                <w:sz w:val="22"/>
              </w:rPr>
              <w:t>DG MARE</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Year</w:t>
            </w:r>
            <w:r>
              <w:rPr>
                <w:noProof/>
                <w:sz w:val="20"/>
              </w:rPr>
              <w:br/>
            </w:r>
            <w:r>
              <w:rPr>
                <w:b/>
                <w:noProof/>
                <w:sz w:val="20"/>
              </w:rPr>
              <w:t>2015</w:t>
            </w:r>
          </w:p>
        </w:tc>
        <w:tc>
          <w:tcPr>
            <w:tcW w:w="868" w:type="dxa"/>
            <w:vAlign w:val="center"/>
          </w:tcPr>
          <w:p>
            <w:pPr>
              <w:jc w:val="center"/>
              <w:rPr>
                <w:noProof/>
                <w:sz w:val="20"/>
              </w:rPr>
            </w:pPr>
            <w:r>
              <w:rPr>
                <w:noProof/>
                <w:sz w:val="20"/>
              </w:rPr>
              <w:t>Year</w:t>
            </w:r>
            <w:r>
              <w:rPr>
                <w:noProof/>
                <w:sz w:val="20"/>
              </w:rPr>
              <w:br/>
            </w:r>
            <w:r>
              <w:rPr>
                <w:b/>
                <w:noProof/>
                <w:sz w:val="20"/>
              </w:rPr>
              <w:t>2016</w:t>
            </w:r>
          </w:p>
        </w:tc>
        <w:tc>
          <w:tcPr>
            <w:tcW w:w="868" w:type="dxa"/>
            <w:vAlign w:val="center"/>
          </w:tcPr>
          <w:p>
            <w:pPr>
              <w:jc w:val="center"/>
              <w:rPr>
                <w:noProof/>
                <w:sz w:val="20"/>
              </w:rPr>
            </w:pPr>
            <w:r>
              <w:rPr>
                <w:noProof/>
                <w:sz w:val="20"/>
              </w:rPr>
              <w:t>Year</w:t>
            </w:r>
            <w:r>
              <w:rPr>
                <w:noProof/>
                <w:sz w:val="20"/>
              </w:rPr>
              <w:br/>
            </w:r>
            <w:r>
              <w:rPr>
                <w:b/>
                <w:noProof/>
                <w:sz w:val="20"/>
              </w:rPr>
              <w:t>2017</w:t>
            </w:r>
          </w:p>
        </w:tc>
        <w:tc>
          <w:tcPr>
            <w:tcW w:w="868" w:type="dxa"/>
            <w:vAlign w:val="center"/>
          </w:tcPr>
          <w:p>
            <w:pPr>
              <w:jc w:val="center"/>
              <w:rPr>
                <w:noProof/>
                <w:sz w:val="20"/>
              </w:rPr>
            </w:pPr>
            <w:r>
              <w:rPr>
                <w:noProof/>
                <w:sz w:val="20"/>
              </w:rPr>
              <w:t>Year</w:t>
            </w:r>
            <w:r>
              <w:rPr>
                <w:noProof/>
                <w:sz w:val="20"/>
              </w:rPr>
              <w:br/>
            </w:r>
            <w:r>
              <w:rPr>
                <w:b/>
                <w:noProof/>
                <w:sz w:val="20"/>
              </w:rPr>
              <w:t>2018</w:t>
            </w:r>
          </w:p>
        </w:tc>
        <w:tc>
          <w:tcPr>
            <w:tcW w:w="1777"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rPr>
              <w:t xml:space="preserve"> </w:t>
            </w:r>
            <w:r>
              <w:rPr>
                <w:noProof/>
                <w:sz w:val="21"/>
              </w:rPr>
              <w:t>Operating appropriations</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1777" w:type="dxa"/>
            <w:vAlign w:val="center"/>
          </w:tcPr>
          <w:p>
            <w:pPr>
              <w:rPr>
                <w:b/>
                <w:noProof/>
                <w:sz w:val="20"/>
              </w:rPr>
            </w:pPr>
          </w:p>
        </w:tc>
      </w:tr>
      <w:tr>
        <w:trPr>
          <w:trHeight w:val="277"/>
        </w:trPr>
        <w:tc>
          <w:tcPr>
            <w:tcW w:w="3960" w:type="dxa"/>
            <w:vMerge w:val="restart"/>
            <w:vAlign w:val="center"/>
          </w:tcPr>
          <w:p>
            <w:pPr>
              <w:rPr>
                <w:noProof/>
              </w:rPr>
            </w:pPr>
            <w:r>
              <w:rPr>
                <w:noProof/>
                <w:sz w:val="20"/>
              </w:rPr>
              <w:t>Number of budget line 11.0301</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center"/>
              <w:rPr>
                <w:noProof/>
                <w:sz w:val="18"/>
                <w:szCs w:val="18"/>
              </w:rPr>
            </w:pPr>
            <w:r>
              <w:rPr>
                <w:noProof/>
                <w:sz w:val="18"/>
              </w:rPr>
              <w:t>59.125</w:t>
            </w:r>
          </w:p>
        </w:tc>
        <w:tc>
          <w:tcPr>
            <w:tcW w:w="868" w:type="dxa"/>
            <w:vAlign w:val="center"/>
          </w:tcPr>
          <w:p>
            <w:pPr>
              <w:spacing w:before="20" w:after="20"/>
              <w:jc w:val="center"/>
              <w:rPr>
                <w:noProof/>
                <w:sz w:val="18"/>
                <w:szCs w:val="18"/>
              </w:rPr>
            </w:pPr>
            <w:r>
              <w:rPr>
                <w:noProof/>
                <w:sz w:val="18"/>
              </w:rPr>
              <w:t>59.125</w:t>
            </w:r>
          </w:p>
        </w:tc>
        <w:tc>
          <w:tcPr>
            <w:tcW w:w="868" w:type="dxa"/>
            <w:vAlign w:val="center"/>
          </w:tcPr>
          <w:p>
            <w:pPr>
              <w:spacing w:before="20" w:after="20"/>
              <w:jc w:val="center"/>
              <w:rPr>
                <w:noProof/>
                <w:sz w:val="18"/>
                <w:szCs w:val="18"/>
              </w:rPr>
            </w:pPr>
            <w:r>
              <w:rPr>
                <w:noProof/>
                <w:sz w:val="18"/>
              </w:rPr>
              <w:t>59.125</w:t>
            </w:r>
          </w:p>
        </w:tc>
        <w:tc>
          <w:tcPr>
            <w:tcW w:w="868" w:type="dxa"/>
            <w:vAlign w:val="center"/>
          </w:tcPr>
          <w:p>
            <w:pPr>
              <w:spacing w:before="20" w:after="20"/>
              <w:jc w:val="center"/>
              <w:rPr>
                <w:noProof/>
                <w:sz w:val="18"/>
                <w:szCs w:val="18"/>
              </w:rPr>
            </w:pPr>
            <w:r>
              <w:rPr>
                <w:noProof/>
                <w:sz w:val="18"/>
              </w:rPr>
              <w:t>59.125</w:t>
            </w:r>
          </w:p>
        </w:tc>
        <w:tc>
          <w:tcPr>
            <w:tcW w:w="1777" w:type="dxa"/>
            <w:vAlign w:val="center"/>
          </w:tcPr>
          <w:p>
            <w:pPr>
              <w:spacing w:before="20" w:after="20"/>
              <w:jc w:val="center"/>
              <w:rPr>
                <w:b/>
                <w:noProof/>
                <w:sz w:val="18"/>
                <w:szCs w:val="18"/>
              </w:rPr>
            </w:pPr>
            <w:r>
              <w:rPr>
                <w:b/>
                <w:noProof/>
                <w:sz w:val="18"/>
              </w:rPr>
              <w:t>236.5</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center"/>
              <w:rPr>
                <w:noProof/>
                <w:sz w:val="18"/>
                <w:szCs w:val="18"/>
              </w:rPr>
            </w:pPr>
            <w:r>
              <w:rPr>
                <w:noProof/>
                <w:sz w:val="18"/>
              </w:rPr>
              <w:t>59.125</w:t>
            </w:r>
          </w:p>
        </w:tc>
        <w:tc>
          <w:tcPr>
            <w:tcW w:w="868" w:type="dxa"/>
            <w:vAlign w:val="center"/>
          </w:tcPr>
          <w:p>
            <w:pPr>
              <w:spacing w:before="20" w:after="20"/>
              <w:jc w:val="center"/>
              <w:rPr>
                <w:noProof/>
                <w:sz w:val="18"/>
                <w:szCs w:val="18"/>
              </w:rPr>
            </w:pPr>
            <w:r>
              <w:rPr>
                <w:noProof/>
                <w:sz w:val="18"/>
              </w:rPr>
              <w:t>59.125</w:t>
            </w:r>
          </w:p>
        </w:tc>
        <w:tc>
          <w:tcPr>
            <w:tcW w:w="868" w:type="dxa"/>
            <w:vAlign w:val="center"/>
          </w:tcPr>
          <w:p>
            <w:pPr>
              <w:spacing w:before="20" w:after="20"/>
              <w:jc w:val="center"/>
              <w:rPr>
                <w:noProof/>
                <w:sz w:val="18"/>
                <w:szCs w:val="18"/>
              </w:rPr>
            </w:pPr>
            <w:r>
              <w:rPr>
                <w:noProof/>
                <w:sz w:val="18"/>
              </w:rPr>
              <w:t>59.125</w:t>
            </w:r>
          </w:p>
        </w:tc>
        <w:tc>
          <w:tcPr>
            <w:tcW w:w="868" w:type="dxa"/>
            <w:vAlign w:val="center"/>
          </w:tcPr>
          <w:p>
            <w:pPr>
              <w:spacing w:before="20" w:after="20"/>
              <w:jc w:val="center"/>
              <w:rPr>
                <w:noProof/>
                <w:sz w:val="18"/>
                <w:szCs w:val="18"/>
              </w:rPr>
            </w:pPr>
            <w:r>
              <w:rPr>
                <w:noProof/>
                <w:sz w:val="18"/>
              </w:rPr>
              <w:t>59.125</w:t>
            </w:r>
          </w:p>
        </w:tc>
        <w:tc>
          <w:tcPr>
            <w:tcW w:w="1777" w:type="dxa"/>
            <w:vAlign w:val="center"/>
          </w:tcPr>
          <w:p>
            <w:pPr>
              <w:spacing w:before="20" w:after="20"/>
              <w:jc w:val="center"/>
              <w:rPr>
                <w:b/>
                <w:noProof/>
                <w:sz w:val="18"/>
                <w:szCs w:val="18"/>
              </w:rPr>
            </w:pPr>
            <w:r>
              <w:rPr>
                <w:b/>
                <w:noProof/>
                <w:sz w:val="18"/>
              </w:rPr>
              <w:t>236.5</w:t>
            </w:r>
          </w:p>
        </w:tc>
      </w:tr>
      <w:tr>
        <w:tc>
          <w:tcPr>
            <w:tcW w:w="3960" w:type="dxa"/>
            <w:vMerge w:val="restart"/>
            <w:vAlign w:val="center"/>
          </w:tcPr>
          <w:p>
            <w:pPr>
              <w:rPr>
                <w:noProof/>
              </w:rPr>
            </w:pPr>
            <w:r>
              <w:rPr>
                <w:noProof/>
                <w:sz w:val="20"/>
              </w:rPr>
              <w:t>Number of budget line</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center"/>
              <w:rPr>
                <w:noProof/>
                <w:sz w:val="18"/>
                <w:szCs w:val="18"/>
              </w:rPr>
            </w:pPr>
          </w:p>
        </w:tc>
        <w:tc>
          <w:tcPr>
            <w:tcW w:w="868" w:type="dxa"/>
            <w:vAlign w:val="center"/>
          </w:tcPr>
          <w:p>
            <w:pPr>
              <w:spacing w:before="20" w:after="20"/>
              <w:jc w:val="center"/>
              <w:rPr>
                <w:noProof/>
                <w:sz w:val="18"/>
                <w:szCs w:val="18"/>
              </w:rPr>
            </w:pPr>
          </w:p>
        </w:tc>
        <w:tc>
          <w:tcPr>
            <w:tcW w:w="868" w:type="dxa"/>
            <w:vAlign w:val="center"/>
          </w:tcPr>
          <w:p>
            <w:pPr>
              <w:spacing w:before="20" w:after="20"/>
              <w:jc w:val="center"/>
              <w:rPr>
                <w:noProof/>
                <w:sz w:val="18"/>
                <w:szCs w:val="18"/>
              </w:rPr>
            </w:pPr>
          </w:p>
        </w:tc>
        <w:tc>
          <w:tcPr>
            <w:tcW w:w="868" w:type="dxa"/>
            <w:vAlign w:val="center"/>
          </w:tcPr>
          <w:p>
            <w:pPr>
              <w:spacing w:before="20" w:after="20"/>
              <w:jc w:val="center"/>
              <w:rPr>
                <w:noProof/>
                <w:sz w:val="18"/>
                <w:szCs w:val="18"/>
              </w:rPr>
            </w:pPr>
          </w:p>
        </w:tc>
        <w:tc>
          <w:tcPr>
            <w:tcW w:w="1777" w:type="dxa"/>
            <w:vAlign w:val="center"/>
          </w:tcPr>
          <w:p>
            <w:pPr>
              <w:spacing w:before="20" w:after="20"/>
              <w:jc w:val="center"/>
              <w:rPr>
                <w:b/>
                <w:noProof/>
                <w:sz w:val="18"/>
                <w:szCs w:val="18"/>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 a)</w:t>
            </w:r>
          </w:p>
        </w:tc>
        <w:tc>
          <w:tcPr>
            <w:tcW w:w="868" w:type="dxa"/>
            <w:vAlign w:val="center"/>
          </w:tcPr>
          <w:p>
            <w:pPr>
              <w:spacing w:before="20" w:after="20"/>
              <w:jc w:val="center"/>
              <w:rPr>
                <w:noProof/>
                <w:sz w:val="18"/>
                <w:szCs w:val="18"/>
              </w:rPr>
            </w:pPr>
          </w:p>
        </w:tc>
        <w:tc>
          <w:tcPr>
            <w:tcW w:w="868" w:type="dxa"/>
            <w:vAlign w:val="center"/>
          </w:tcPr>
          <w:p>
            <w:pPr>
              <w:spacing w:before="20" w:after="20"/>
              <w:jc w:val="center"/>
              <w:rPr>
                <w:noProof/>
                <w:sz w:val="18"/>
                <w:szCs w:val="18"/>
              </w:rPr>
            </w:pPr>
          </w:p>
        </w:tc>
        <w:tc>
          <w:tcPr>
            <w:tcW w:w="868" w:type="dxa"/>
            <w:vAlign w:val="center"/>
          </w:tcPr>
          <w:p>
            <w:pPr>
              <w:spacing w:before="20" w:after="20"/>
              <w:jc w:val="center"/>
              <w:rPr>
                <w:noProof/>
                <w:sz w:val="18"/>
                <w:szCs w:val="18"/>
              </w:rPr>
            </w:pPr>
          </w:p>
        </w:tc>
        <w:tc>
          <w:tcPr>
            <w:tcW w:w="868" w:type="dxa"/>
            <w:vAlign w:val="center"/>
          </w:tcPr>
          <w:p>
            <w:pPr>
              <w:spacing w:before="20" w:after="20"/>
              <w:jc w:val="center"/>
              <w:rPr>
                <w:noProof/>
                <w:sz w:val="18"/>
                <w:szCs w:val="18"/>
              </w:rPr>
            </w:pPr>
          </w:p>
        </w:tc>
        <w:tc>
          <w:tcPr>
            <w:tcW w:w="1777" w:type="dxa"/>
            <w:vAlign w:val="center"/>
          </w:tcPr>
          <w:p>
            <w:pPr>
              <w:spacing w:before="20" w:after="20"/>
              <w:jc w:val="center"/>
              <w:rPr>
                <w:b/>
                <w:noProof/>
                <w:sz w:val="18"/>
                <w:szCs w:val="18"/>
              </w:rPr>
            </w:pPr>
          </w:p>
        </w:tc>
      </w:tr>
      <w:tr>
        <w:trPr>
          <w:trHeight w:val="231"/>
        </w:trPr>
        <w:tc>
          <w:tcPr>
            <w:tcW w:w="6054" w:type="dxa"/>
            <w:gridSpan w:val="4"/>
            <w:vAlign w:val="center"/>
          </w:tcPr>
          <w:p>
            <w:pPr>
              <w:spacing w:before="20" w:after="20"/>
              <w:rPr>
                <w:noProof/>
              </w:rPr>
            </w:pPr>
            <w:r>
              <w:rPr>
                <w:noProof/>
                <w:sz w:val="21"/>
              </w:rPr>
              <w:sym w:font="Wingdings" w:char="F09F"/>
            </w:r>
            <w:r>
              <w:rPr>
                <w:noProof/>
              </w:rPr>
              <w:t xml:space="preserve"> Appropriations of an administrative nature financed from the envelope of specific programmes</w:t>
            </w:r>
            <w:r>
              <w:rPr>
                <w:rStyle w:val="FootnoteReference"/>
                <w:noProof/>
              </w:rPr>
              <w:footnoteReference w:id="10"/>
            </w:r>
          </w:p>
          <w:p>
            <w:pPr>
              <w:spacing w:before="0" w:after="0"/>
              <w:rPr>
                <w:noProof/>
              </w:rPr>
            </w:pPr>
          </w:p>
        </w:tc>
        <w:tc>
          <w:tcPr>
            <w:tcW w:w="868" w:type="dxa"/>
            <w:vAlign w:val="center"/>
          </w:tcPr>
          <w:p>
            <w:pPr>
              <w:jc w:val="center"/>
              <w:rPr>
                <w:b/>
                <w:noProof/>
                <w:sz w:val="18"/>
                <w:szCs w:val="18"/>
              </w:rPr>
            </w:pPr>
          </w:p>
        </w:tc>
        <w:tc>
          <w:tcPr>
            <w:tcW w:w="868" w:type="dxa"/>
            <w:vAlign w:val="center"/>
          </w:tcPr>
          <w:p>
            <w:pPr>
              <w:jc w:val="center"/>
              <w:rPr>
                <w:b/>
                <w:noProof/>
                <w:sz w:val="18"/>
                <w:szCs w:val="18"/>
              </w:rPr>
            </w:pPr>
          </w:p>
        </w:tc>
        <w:tc>
          <w:tcPr>
            <w:tcW w:w="868" w:type="dxa"/>
            <w:vAlign w:val="center"/>
          </w:tcPr>
          <w:p>
            <w:pPr>
              <w:jc w:val="center"/>
              <w:rPr>
                <w:b/>
                <w:noProof/>
                <w:sz w:val="18"/>
                <w:szCs w:val="18"/>
              </w:rPr>
            </w:pPr>
          </w:p>
        </w:tc>
        <w:tc>
          <w:tcPr>
            <w:tcW w:w="868" w:type="dxa"/>
            <w:vAlign w:val="center"/>
          </w:tcPr>
          <w:p>
            <w:pPr>
              <w:jc w:val="center"/>
              <w:rPr>
                <w:b/>
                <w:noProof/>
                <w:sz w:val="18"/>
                <w:szCs w:val="18"/>
              </w:rPr>
            </w:pPr>
          </w:p>
        </w:tc>
        <w:tc>
          <w:tcPr>
            <w:tcW w:w="1777" w:type="dxa"/>
            <w:vAlign w:val="center"/>
          </w:tcPr>
          <w:p>
            <w:pPr>
              <w:jc w:val="center"/>
              <w:rPr>
                <w:b/>
                <w:noProof/>
                <w:sz w:val="18"/>
                <w:szCs w:val="18"/>
              </w:rPr>
            </w:pPr>
          </w:p>
        </w:tc>
      </w:tr>
      <w:tr>
        <w:trPr>
          <w:trHeight w:val="319"/>
        </w:trPr>
        <w:tc>
          <w:tcPr>
            <w:tcW w:w="3960" w:type="dxa"/>
            <w:vAlign w:val="center"/>
          </w:tcPr>
          <w:p>
            <w:pPr>
              <w:spacing w:before="60" w:after="60"/>
              <w:rPr>
                <w:noProof/>
              </w:rPr>
            </w:pPr>
            <w:r>
              <w:rPr>
                <w:noProof/>
                <w:sz w:val="20"/>
              </w:rPr>
              <w:t>Number of budget line 1</w:t>
            </w:r>
            <w:r>
              <w:rPr>
                <w:noProof/>
                <w:sz w:val="18"/>
              </w:rPr>
              <w:t>1 010401</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center"/>
              <w:rPr>
                <w:noProof/>
                <w:sz w:val="18"/>
                <w:szCs w:val="18"/>
              </w:rPr>
            </w:pPr>
            <w:r>
              <w:rPr>
                <w:noProof/>
                <w:sz w:val="18"/>
              </w:rPr>
              <w:t>0.151</w:t>
            </w:r>
          </w:p>
        </w:tc>
        <w:tc>
          <w:tcPr>
            <w:tcW w:w="868" w:type="dxa"/>
            <w:vAlign w:val="center"/>
          </w:tcPr>
          <w:p>
            <w:pPr>
              <w:spacing w:before="40" w:after="40"/>
              <w:jc w:val="center"/>
              <w:rPr>
                <w:noProof/>
                <w:sz w:val="18"/>
                <w:szCs w:val="18"/>
              </w:rPr>
            </w:pPr>
            <w:r>
              <w:rPr>
                <w:noProof/>
                <w:sz w:val="18"/>
              </w:rPr>
              <w:t>0.151</w:t>
            </w:r>
          </w:p>
        </w:tc>
        <w:tc>
          <w:tcPr>
            <w:tcW w:w="868" w:type="dxa"/>
            <w:vAlign w:val="center"/>
          </w:tcPr>
          <w:p>
            <w:pPr>
              <w:spacing w:before="40" w:after="40"/>
              <w:jc w:val="center"/>
              <w:rPr>
                <w:noProof/>
                <w:sz w:val="18"/>
                <w:szCs w:val="18"/>
              </w:rPr>
            </w:pPr>
            <w:r>
              <w:rPr>
                <w:noProof/>
                <w:sz w:val="18"/>
              </w:rPr>
              <w:t>0.151</w:t>
            </w:r>
          </w:p>
        </w:tc>
        <w:tc>
          <w:tcPr>
            <w:tcW w:w="868" w:type="dxa"/>
            <w:vAlign w:val="center"/>
          </w:tcPr>
          <w:p>
            <w:pPr>
              <w:spacing w:before="40" w:after="40"/>
              <w:jc w:val="center"/>
              <w:rPr>
                <w:noProof/>
                <w:sz w:val="18"/>
                <w:szCs w:val="18"/>
              </w:rPr>
            </w:pPr>
            <w:r>
              <w:rPr>
                <w:noProof/>
                <w:sz w:val="18"/>
              </w:rPr>
              <w:t>0.231</w:t>
            </w:r>
          </w:p>
        </w:tc>
        <w:tc>
          <w:tcPr>
            <w:tcW w:w="1777" w:type="dxa"/>
            <w:vAlign w:val="center"/>
          </w:tcPr>
          <w:p>
            <w:pPr>
              <w:spacing w:before="40" w:after="40"/>
              <w:jc w:val="center"/>
              <w:rPr>
                <w:b/>
                <w:noProof/>
                <w:sz w:val="18"/>
                <w:szCs w:val="18"/>
              </w:rPr>
            </w:pPr>
            <w:r>
              <w:rPr>
                <w:b/>
                <w:noProof/>
                <w:sz w:val="18"/>
              </w:rPr>
              <w:t>0.684</w:t>
            </w:r>
          </w:p>
        </w:tc>
      </w:tr>
      <w:tr>
        <w:tc>
          <w:tcPr>
            <w:tcW w:w="3960" w:type="dxa"/>
            <w:vMerge w:val="restart"/>
            <w:vAlign w:val="center"/>
          </w:tcPr>
          <w:p>
            <w:pPr>
              <w:jc w:val="center"/>
              <w:rPr>
                <w:b/>
                <w:noProof/>
              </w:rPr>
            </w:pPr>
            <w:r>
              <w:rPr>
                <w:b/>
                <w:noProof/>
                <w:sz w:val="22"/>
              </w:rPr>
              <w:t>TOTAL appropriations</w:t>
            </w:r>
            <w:r>
              <w:rPr>
                <w:noProof/>
              </w:rPr>
              <w:br/>
            </w:r>
            <w:r>
              <w:rPr>
                <w:b/>
                <w:noProof/>
              </w:rPr>
              <w:t>for</w:t>
            </w:r>
            <w:r>
              <w:rPr>
                <w:noProof/>
              </w:rPr>
              <w:t xml:space="preserve"> DG MARE</w:t>
            </w:r>
          </w:p>
        </w:tc>
        <w:tc>
          <w:tcPr>
            <w:tcW w:w="1440" w:type="dxa"/>
            <w:vAlign w:val="center"/>
          </w:tcPr>
          <w:p>
            <w:pPr>
              <w:rPr>
                <w:noProof/>
                <w:sz w:val="18"/>
              </w:rPr>
            </w:pPr>
            <w:r>
              <w:rPr>
                <w:noProof/>
                <w:sz w:val="18"/>
              </w:rPr>
              <w:t>Commitments</w:t>
            </w:r>
          </w:p>
        </w:tc>
        <w:tc>
          <w:tcPr>
            <w:tcW w:w="654" w:type="dxa"/>
            <w:gridSpan w:val="2"/>
            <w:vAlign w:val="center"/>
          </w:tcPr>
          <w:p>
            <w:pPr>
              <w:jc w:val="center"/>
              <w:rPr>
                <w:noProof/>
                <w:sz w:val="14"/>
              </w:rPr>
            </w:pPr>
            <w:r>
              <w:rPr>
                <w:noProof/>
                <w:sz w:val="14"/>
              </w:rPr>
              <w:t>=1+1a +3</w:t>
            </w:r>
          </w:p>
        </w:tc>
        <w:tc>
          <w:tcPr>
            <w:tcW w:w="868" w:type="dxa"/>
            <w:vAlign w:val="center"/>
          </w:tcPr>
          <w:p>
            <w:pPr>
              <w:jc w:val="center"/>
              <w:rPr>
                <w:noProof/>
                <w:sz w:val="18"/>
                <w:szCs w:val="18"/>
              </w:rPr>
            </w:pPr>
            <w:r>
              <w:rPr>
                <w:noProof/>
                <w:sz w:val="18"/>
              </w:rPr>
              <w:t>59.276</w:t>
            </w:r>
          </w:p>
        </w:tc>
        <w:tc>
          <w:tcPr>
            <w:tcW w:w="868" w:type="dxa"/>
            <w:vAlign w:val="center"/>
          </w:tcPr>
          <w:p>
            <w:pPr>
              <w:jc w:val="center"/>
              <w:rPr>
                <w:noProof/>
                <w:sz w:val="18"/>
                <w:szCs w:val="18"/>
              </w:rPr>
            </w:pPr>
            <w:r>
              <w:rPr>
                <w:noProof/>
                <w:sz w:val="18"/>
              </w:rPr>
              <w:t>59.276</w:t>
            </w:r>
          </w:p>
        </w:tc>
        <w:tc>
          <w:tcPr>
            <w:tcW w:w="868" w:type="dxa"/>
            <w:vAlign w:val="center"/>
          </w:tcPr>
          <w:p>
            <w:pPr>
              <w:jc w:val="center"/>
              <w:rPr>
                <w:noProof/>
                <w:sz w:val="18"/>
                <w:szCs w:val="18"/>
              </w:rPr>
            </w:pPr>
            <w:r>
              <w:rPr>
                <w:noProof/>
                <w:sz w:val="18"/>
              </w:rPr>
              <w:t>59.276</w:t>
            </w:r>
          </w:p>
        </w:tc>
        <w:tc>
          <w:tcPr>
            <w:tcW w:w="868" w:type="dxa"/>
            <w:vAlign w:val="center"/>
          </w:tcPr>
          <w:p>
            <w:pPr>
              <w:jc w:val="center"/>
              <w:rPr>
                <w:noProof/>
                <w:sz w:val="18"/>
                <w:szCs w:val="18"/>
              </w:rPr>
            </w:pPr>
            <w:r>
              <w:rPr>
                <w:noProof/>
                <w:sz w:val="18"/>
              </w:rPr>
              <w:t>59,356</w:t>
            </w:r>
          </w:p>
        </w:tc>
        <w:tc>
          <w:tcPr>
            <w:tcW w:w="1777" w:type="dxa"/>
            <w:vAlign w:val="center"/>
          </w:tcPr>
          <w:p>
            <w:pPr>
              <w:spacing w:before="20" w:after="20"/>
              <w:jc w:val="center"/>
              <w:rPr>
                <w:b/>
                <w:noProof/>
                <w:sz w:val="18"/>
                <w:szCs w:val="18"/>
              </w:rPr>
            </w:pPr>
            <w:r>
              <w:rPr>
                <w:b/>
                <w:noProof/>
                <w:sz w:val="18"/>
              </w:rPr>
              <w:t>237.184</w:t>
            </w:r>
          </w:p>
        </w:tc>
      </w:tr>
      <w:tr>
        <w:tc>
          <w:tcPr>
            <w:tcW w:w="3960" w:type="dxa"/>
            <w:vMerge/>
          </w:tcPr>
          <w:p>
            <w:pPr>
              <w:rPr>
                <w:noProof/>
                <w:sz w:val="20"/>
              </w:rPr>
            </w:pPr>
          </w:p>
        </w:tc>
        <w:tc>
          <w:tcPr>
            <w:tcW w:w="1440" w:type="dxa"/>
            <w:vAlign w:val="center"/>
          </w:tcPr>
          <w:p>
            <w:pPr>
              <w:rPr>
                <w:noProof/>
                <w:sz w:val="18"/>
              </w:rPr>
            </w:pPr>
            <w:r>
              <w:rPr>
                <w:noProof/>
                <w:sz w:val="18"/>
              </w:rPr>
              <w:t>Payments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868" w:type="dxa"/>
            <w:vAlign w:val="center"/>
          </w:tcPr>
          <w:p>
            <w:pPr>
              <w:jc w:val="center"/>
              <w:rPr>
                <w:noProof/>
                <w:sz w:val="18"/>
                <w:szCs w:val="18"/>
              </w:rPr>
            </w:pPr>
            <w:r>
              <w:rPr>
                <w:noProof/>
                <w:sz w:val="18"/>
              </w:rPr>
              <w:t>59.276</w:t>
            </w:r>
          </w:p>
        </w:tc>
        <w:tc>
          <w:tcPr>
            <w:tcW w:w="868" w:type="dxa"/>
            <w:vAlign w:val="center"/>
          </w:tcPr>
          <w:p>
            <w:pPr>
              <w:jc w:val="center"/>
              <w:rPr>
                <w:noProof/>
                <w:sz w:val="18"/>
                <w:szCs w:val="18"/>
              </w:rPr>
            </w:pPr>
            <w:r>
              <w:rPr>
                <w:noProof/>
                <w:sz w:val="18"/>
              </w:rPr>
              <w:t>59.276</w:t>
            </w:r>
          </w:p>
        </w:tc>
        <w:tc>
          <w:tcPr>
            <w:tcW w:w="868" w:type="dxa"/>
            <w:vAlign w:val="center"/>
          </w:tcPr>
          <w:p>
            <w:pPr>
              <w:jc w:val="center"/>
              <w:rPr>
                <w:noProof/>
                <w:sz w:val="18"/>
                <w:szCs w:val="18"/>
              </w:rPr>
            </w:pPr>
            <w:r>
              <w:rPr>
                <w:noProof/>
                <w:sz w:val="18"/>
              </w:rPr>
              <w:t>59.276</w:t>
            </w:r>
          </w:p>
        </w:tc>
        <w:tc>
          <w:tcPr>
            <w:tcW w:w="868" w:type="dxa"/>
            <w:vAlign w:val="center"/>
          </w:tcPr>
          <w:p>
            <w:pPr>
              <w:jc w:val="center"/>
              <w:rPr>
                <w:noProof/>
                <w:sz w:val="18"/>
                <w:szCs w:val="18"/>
              </w:rPr>
            </w:pPr>
            <w:r>
              <w:rPr>
                <w:noProof/>
                <w:sz w:val="18"/>
              </w:rPr>
              <w:t>59.356</w:t>
            </w:r>
          </w:p>
        </w:tc>
        <w:tc>
          <w:tcPr>
            <w:tcW w:w="1777" w:type="dxa"/>
            <w:vAlign w:val="center"/>
          </w:tcPr>
          <w:p>
            <w:pPr>
              <w:spacing w:before="20" w:after="20"/>
              <w:jc w:val="center"/>
              <w:rPr>
                <w:b/>
                <w:noProof/>
                <w:sz w:val="18"/>
                <w:szCs w:val="18"/>
              </w:rPr>
            </w:pPr>
            <w:r>
              <w:rPr>
                <w:b/>
                <w:noProof/>
                <w:sz w:val="18"/>
              </w:rPr>
              <w:t>237.184</w:t>
            </w:r>
          </w:p>
        </w:tc>
      </w:tr>
    </w:tbl>
    <w:p>
      <w:pPr>
        <w:rPr>
          <w:noProof/>
          <w:highlight w:val="yellow"/>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1777"/>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rPr>
              <w:t xml:space="preserve"> TOTAL operational appropriations</w:t>
            </w:r>
          </w:p>
        </w:tc>
        <w:tc>
          <w:tcPr>
            <w:tcW w:w="1440" w:type="dxa"/>
            <w:vAlign w:val="center"/>
          </w:tcPr>
          <w:p>
            <w:pPr>
              <w:spacing w:beforeLines="20" w:before="48" w:afterLines="20" w:after="48"/>
              <w:rPr>
                <w:noProof/>
                <w:sz w:val="18"/>
              </w:rPr>
            </w:pPr>
            <w:r>
              <w:rPr>
                <w:noProof/>
                <w:sz w:val="18"/>
              </w:rPr>
              <w:t>Commitments</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center"/>
              <w:rPr>
                <w:noProof/>
                <w:sz w:val="18"/>
                <w:szCs w:val="18"/>
              </w:rPr>
            </w:pPr>
            <w:r>
              <w:rPr>
                <w:noProof/>
                <w:sz w:val="18"/>
              </w:rPr>
              <w:t>59.125</w:t>
            </w:r>
          </w:p>
        </w:tc>
        <w:tc>
          <w:tcPr>
            <w:tcW w:w="868" w:type="dxa"/>
            <w:vAlign w:val="center"/>
          </w:tcPr>
          <w:p>
            <w:pPr>
              <w:spacing w:before="20" w:after="20"/>
              <w:jc w:val="center"/>
              <w:rPr>
                <w:noProof/>
                <w:sz w:val="18"/>
                <w:szCs w:val="18"/>
              </w:rPr>
            </w:pPr>
            <w:r>
              <w:rPr>
                <w:noProof/>
                <w:sz w:val="18"/>
              </w:rPr>
              <w:t>59.125</w:t>
            </w:r>
          </w:p>
        </w:tc>
        <w:tc>
          <w:tcPr>
            <w:tcW w:w="868" w:type="dxa"/>
            <w:vAlign w:val="center"/>
          </w:tcPr>
          <w:p>
            <w:pPr>
              <w:spacing w:before="20" w:after="20"/>
              <w:jc w:val="center"/>
              <w:rPr>
                <w:noProof/>
                <w:sz w:val="18"/>
                <w:szCs w:val="18"/>
              </w:rPr>
            </w:pPr>
            <w:r>
              <w:rPr>
                <w:noProof/>
                <w:sz w:val="18"/>
              </w:rPr>
              <w:t>59.125</w:t>
            </w:r>
          </w:p>
        </w:tc>
        <w:tc>
          <w:tcPr>
            <w:tcW w:w="868" w:type="dxa"/>
            <w:vAlign w:val="center"/>
          </w:tcPr>
          <w:p>
            <w:pPr>
              <w:spacing w:before="20" w:after="20"/>
              <w:jc w:val="center"/>
              <w:rPr>
                <w:noProof/>
                <w:sz w:val="18"/>
                <w:szCs w:val="18"/>
              </w:rPr>
            </w:pPr>
            <w:r>
              <w:rPr>
                <w:noProof/>
                <w:sz w:val="18"/>
              </w:rPr>
              <w:t>59.125</w:t>
            </w:r>
          </w:p>
        </w:tc>
        <w:tc>
          <w:tcPr>
            <w:tcW w:w="1777" w:type="dxa"/>
            <w:vAlign w:val="center"/>
          </w:tcPr>
          <w:p>
            <w:pPr>
              <w:spacing w:before="20" w:after="20"/>
              <w:jc w:val="center"/>
              <w:rPr>
                <w:b/>
                <w:noProof/>
                <w:sz w:val="18"/>
                <w:szCs w:val="18"/>
              </w:rPr>
            </w:pPr>
            <w:r>
              <w:rPr>
                <w:b/>
                <w:noProof/>
                <w:sz w:val="18"/>
              </w:rPr>
              <w:t>236.5</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center"/>
              <w:rPr>
                <w:noProof/>
                <w:sz w:val="18"/>
                <w:szCs w:val="18"/>
              </w:rPr>
            </w:pPr>
            <w:r>
              <w:rPr>
                <w:noProof/>
                <w:sz w:val="18"/>
              </w:rPr>
              <w:t>59.125</w:t>
            </w:r>
          </w:p>
        </w:tc>
        <w:tc>
          <w:tcPr>
            <w:tcW w:w="868" w:type="dxa"/>
            <w:vAlign w:val="center"/>
          </w:tcPr>
          <w:p>
            <w:pPr>
              <w:spacing w:before="20" w:after="20"/>
              <w:jc w:val="center"/>
              <w:rPr>
                <w:noProof/>
                <w:sz w:val="18"/>
                <w:szCs w:val="18"/>
              </w:rPr>
            </w:pPr>
            <w:r>
              <w:rPr>
                <w:noProof/>
                <w:sz w:val="18"/>
              </w:rPr>
              <w:t>59.125</w:t>
            </w:r>
          </w:p>
        </w:tc>
        <w:tc>
          <w:tcPr>
            <w:tcW w:w="868" w:type="dxa"/>
            <w:vAlign w:val="center"/>
          </w:tcPr>
          <w:p>
            <w:pPr>
              <w:spacing w:before="20" w:after="20"/>
              <w:jc w:val="center"/>
              <w:rPr>
                <w:noProof/>
                <w:sz w:val="18"/>
                <w:szCs w:val="18"/>
              </w:rPr>
            </w:pPr>
            <w:r>
              <w:rPr>
                <w:noProof/>
                <w:sz w:val="18"/>
              </w:rPr>
              <w:t>59.125</w:t>
            </w:r>
          </w:p>
        </w:tc>
        <w:tc>
          <w:tcPr>
            <w:tcW w:w="868" w:type="dxa"/>
            <w:vAlign w:val="center"/>
          </w:tcPr>
          <w:p>
            <w:pPr>
              <w:spacing w:before="20" w:after="20"/>
              <w:jc w:val="center"/>
              <w:rPr>
                <w:noProof/>
                <w:sz w:val="18"/>
                <w:szCs w:val="18"/>
              </w:rPr>
            </w:pPr>
            <w:r>
              <w:rPr>
                <w:noProof/>
                <w:sz w:val="18"/>
              </w:rPr>
              <w:t>59.125</w:t>
            </w:r>
          </w:p>
        </w:tc>
        <w:tc>
          <w:tcPr>
            <w:tcW w:w="1777" w:type="dxa"/>
            <w:vAlign w:val="center"/>
          </w:tcPr>
          <w:p>
            <w:pPr>
              <w:spacing w:before="20" w:after="20"/>
              <w:jc w:val="center"/>
              <w:rPr>
                <w:b/>
                <w:noProof/>
                <w:sz w:val="18"/>
                <w:szCs w:val="18"/>
              </w:rPr>
            </w:pPr>
            <w:r>
              <w:rPr>
                <w:b/>
                <w:noProof/>
                <w:sz w:val="18"/>
              </w:rPr>
              <w:t>236.5</w:t>
            </w: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rPr>
              <w:t xml:space="preserve"> TOTAL appropriations of an administrative nature financed from the envelope for specific programmes</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40" w:after="40"/>
              <w:jc w:val="center"/>
              <w:rPr>
                <w:noProof/>
                <w:sz w:val="18"/>
                <w:szCs w:val="18"/>
              </w:rPr>
            </w:pPr>
            <w:r>
              <w:rPr>
                <w:noProof/>
                <w:sz w:val="18"/>
              </w:rPr>
              <w:t>0.151</w:t>
            </w:r>
          </w:p>
        </w:tc>
        <w:tc>
          <w:tcPr>
            <w:tcW w:w="868" w:type="dxa"/>
            <w:vAlign w:val="center"/>
          </w:tcPr>
          <w:p>
            <w:pPr>
              <w:spacing w:before="40" w:after="40"/>
              <w:jc w:val="center"/>
              <w:rPr>
                <w:noProof/>
                <w:sz w:val="18"/>
                <w:szCs w:val="18"/>
              </w:rPr>
            </w:pPr>
            <w:r>
              <w:rPr>
                <w:noProof/>
                <w:sz w:val="18"/>
              </w:rPr>
              <w:t>0.151</w:t>
            </w:r>
          </w:p>
        </w:tc>
        <w:tc>
          <w:tcPr>
            <w:tcW w:w="868" w:type="dxa"/>
            <w:vAlign w:val="center"/>
          </w:tcPr>
          <w:p>
            <w:pPr>
              <w:spacing w:before="40" w:after="40"/>
              <w:jc w:val="center"/>
              <w:rPr>
                <w:noProof/>
                <w:sz w:val="18"/>
                <w:szCs w:val="18"/>
              </w:rPr>
            </w:pPr>
            <w:r>
              <w:rPr>
                <w:noProof/>
                <w:sz w:val="18"/>
              </w:rPr>
              <w:t>0.151</w:t>
            </w:r>
          </w:p>
        </w:tc>
        <w:tc>
          <w:tcPr>
            <w:tcW w:w="868" w:type="dxa"/>
            <w:vAlign w:val="center"/>
          </w:tcPr>
          <w:p>
            <w:pPr>
              <w:spacing w:before="40" w:after="40"/>
              <w:jc w:val="center"/>
              <w:rPr>
                <w:noProof/>
                <w:sz w:val="18"/>
                <w:szCs w:val="18"/>
              </w:rPr>
            </w:pPr>
            <w:r>
              <w:rPr>
                <w:noProof/>
                <w:sz w:val="18"/>
              </w:rPr>
              <w:t>0.231</w:t>
            </w:r>
          </w:p>
        </w:tc>
        <w:tc>
          <w:tcPr>
            <w:tcW w:w="1777" w:type="dxa"/>
            <w:vAlign w:val="center"/>
          </w:tcPr>
          <w:p>
            <w:pPr>
              <w:spacing w:before="40" w:after="40"/>
              <w:jc w:val="center"/>
              <w:rPr>
                <w:b/>
                <w:noProof/>
                <w:sz w:val="18"/>
                <w:szCs w:val="18"/>
              </w:rPr>
            </w:pPr>
            <w:r>
              <w:rPr>
                <w:b/>
                <w:noProof/>
                <w:sz w:val="18"/>
              </w:rPr>
              <w:t>0.684</w:t>
            </w:r>
          </w:p>
        </w:tc>
      </w:tr>
      <w:tr>
        <w:tc>
          <w:tcPr>
            <w:tcW w:w="3960" w:type="dxa"/>
            <w:vMerge w:val="restart"/>
            <w:shd w:val="thinDiagStripe" w:color="C0C0C0" w:fill="auto"/>
            <w:vAlign w:val="center"/>
          </w:tcPr>
          <w:p>
            <w:pPr>
              <w:jc w:val="center"/>
              <w:rPr>
                <w:b/>
                <w:noProof/>
              </w:rPr>
            </w:pPr>
            <w:r>
              <w:rPr>
                <w:b/>
                <w:noProof/>
                <w:sz w:val="22"/>
              </w:rPr>
              <w:t>TOTAL appropriations</w:t>
            </w:r>
            <w:r>
              <w:rPr>
                <w:noProof/>
              </w:rPr>
              <w:br/>
            </w:r>
            <w:r>
              <w:rPr>
                <w:b/>
                <w:noProof/>
                <w:sz w:val="22"/>
              </w:rPr>
              <w:t>for HEADING 2</w:t>
            </w:r>
            <w:r>
              <w:rPr>
                <w:b/>
                <w:noProof/>
                <w:sz w:val="22"/>
              </w:rPr>
              <w:br/>
            </w:r>
            <w:r>
              <w:rPr>
                <w:noProof/>
                <w:sz w:val="22"/>
              </w:rPr>
              <w:t>of the multiannual financial framework</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vAlign w:val="center"/>
          </w:tcPr>
          <w:p>
            <w:pPr>
              <w:jc w:val="center"/>
              <w:rPr>
                <w:noProof/>
                <w:sz w:val="18"/>
                <w:szCs w:val="18"/>
              </w:rPr>
            </w:pPr>
            <w:r>
              <w:rPr>
                <w:noProof/>
                <w:sz w:val="18"/>
              </w:rPr>
              <w:t>59.276</w:t>
            </w:r>
          </w:p>
        </w:tc>
        <w:tc>
          <w:tcPr>
            <w:tcW w:w="868" w:type="dxa"/>
            <w:vAlign w:val="center"/>
          </w:tcPr>
          <w:p>
            <w:pPr>
              <w:jc w:val="center"/>
              <w:rPr>
                <w:noProof/>
                <w:sz w:val="18"/>
                <w:szCs w:val="18"/>
              </w:rPr>
            </w:pPr>
            <w:r>
              <w:rPr>
                <w:noProof/>
                <w:sz w:val="18"/>
              </w:rPr>
              <w:t>59.276</w:t>
            </w:r>
          </w:p>
        </w:tc>
        <w:tc>
          <w:tcPr>
            <w:tcW w:w="868" w:type="dxa"/>
            <w:vAlign w:val="center"/>
          </w:tcPr>
          <w:p>
            <w:pPr>
              <w:jc w:val="center"/>
              <w:rPr>
                <w:noProof/>
                <w:sz w:val="18"/>
                <w:szCs w:val="18"/>
              </w:rPr>
            </w:pPr>
            <w:r>
              <w:rPr>
                <w:noProof/>
                <w:sz w:val="18"/>
              </w:rPr>
              <w:t>59.276</w:t>
            </w:r>
          </w:p>
        </w:tc>
        <w:tc>
          <w:tcPr>
            <w:tcW w:w="868" w:type="dxa"/>
            <w:vAlign w:val="center"/>
          </w:tcPr>
          <w:p>
            <w:pPr>
              <w:jc w:val="center"/>
              <w:rPr>
                <w:noProof/>
                <w:sz w:val="18"/>
                <w:szCs w:val="18"/>
              </w:rPr>
            </w:pPr>
            <w:r>
              <w:rPr>
                <w:noProof/>
                <w:sz w:val="18"/>
              </w:rPr>
              <w:t>59.356</w:t>
            </w:r>
          </w:p>
        </w:tc>
        <w:tc>
          <w:tcPr>
            <w:tcW w:w="1777" w:type="dxa"/>
            <w:vAlign w:val="center"/>
          </w:tcPr>
          <w:p>
            <w:pPr>
              <w:spacing w:before="20" w:after="20"/>
              <w:jc w:val="center"/>
              <w:rPr>
                <w:b/>
                <w:noProof/>
                <w:sz w:val="18"/>
                <w:szCs w:val="18"/>
              </w:rPr>
            </w:pPr>
            <w:r>
              <w:rPr>
                <w:b/>
                <w:noProof/>
                <w:sz w:val="18"/>
              </w:rPr>
              <w:t>237.184</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Payments</w:t>
            </w:r>
          </w:p>
        </w:tc>
        <w:tc>
          <w:tcPr>
            <w:tcW w:w="654" w:type="dxa"/>
            <w:vAlign w:val="center"/>
          </w:tcPr>
          <w:p>
            <w:pPr>
              <w:jc w:val="center"/>
              <w:rPr>
                <w:noProof/>
                <w:sz w:val="14"/>
              </w:rPr>
            </w:pPr>
            <w:r>
              <w:rPr>
                <w:noProof/>
                <w:sz w:val="14"/>
              </w:rPr>
              <w:t>=5+ 6</w:t>
            </w:r>
          </w:p>
        </w:tc>
        <w:tc>
          <w:tcPr>
            <w:tcW w:w="868" w:type="dxa"/>
            <w:vAlign w:val="center"/>
          </w:tcPr>
          <w:p>
            <w:pPr>
              <w:jc w:val="center"/>
              <w:rPr>
                <w:noProof/>
                <w:sz w:val="18"/>
                <w:szCs w:val="18"/>
              </w:rPr>
            </w:pPr>
            <w:r>
              <w:rPr>
                <w:noProof/>
                <w:sz w:val="18"/>
              </w:rPr>
              <w:t>59.276</w:t>
            </w:r>
          </w:p>
        </w:tc>
        <w:tc>
          <w:tcPr>
            <w:tcW w:w="868" w:type="dxa"/>
            <w:vAlign w:val="center"/>
          </w:tcPr>
          <w:p>
            <w:pPr>
              <w:jc w:val="center"/>
              <w:rPr>
                <w:noProof/>
                <w:sz w:val="18"/>
                <w:szCs w:val="18"/>
              </w:rPr>
            </w:pPr>
            <w:r>
              <w:rPr>
                <w:noProof/>
                <w:sz w:val="18"/>
              </w:rPr>
              <w:t>59.276</w:t>
            </w:r>
          </w:p>
        </w:tc>
        <w:tc>
          <w:tcPr>
            <w:tcW w:w="868" w:type="dxa"/>
            <w:vAlign w:val="center"/>
          </w:tcPr>
          <w:p>
            <w:pPr>
              <w:jc w:val="center"/>
              <w:rPr>
                <w:noProof/>
                <w:sz w:val="18"/>
                <w:szCs w:val="18"/>
              </w:rPr>
            </w:pPr>
            <w:r>
              <w:rPr>
                <w:noProof/>
                <w:sz w:val="18"/>
              </w:rPr>
              <w:t>59.276</w:t>
            </w:r>
          </w:p>
        </w:tc>
        <w:tc>
          <w:tcPr>
            <w:tcW w:w="868" w:type="dxa"/>
            <w:vAlign w:val="center"/>
          </w:tcPr>
          <w:p>
            <w:pPr>
              <w:jc w:val="center"/>
              <w:rPr>
                <w:noProof/>
                <w:sz w:val="18"/>
                <w:szCs w:val="18"/>
              </w:rPr>
            </w:pPr>
            <w:r>
              <w:rPr>
                <w:noProof/>
                <w:sz w:val="18"/>
              </w:rPr>
              <w:t>59.356</w:t>
            </w:r>
          </w:p>
        </w:tc>
        <w:tc>
          <w:tcPr>
            <w:tcW w:w="1777" w:type="dxa"/>
            <w:vAlign w:val="center"/>
          </w:tcPr>
          <w:p>
            <w:pPr>
              <w:spacing w:before="20" w:after="20"/>
              <w:jc w:val="center"/>
              <w:rPr>
                <w:b/>
                <w:noProof/>
                <w:sz w:val="18"/>
                <w:szCs w:val="18"/>
              </w:rPr>
            </w:pPr>
            <w:r>
              <w:rPr>
                <w:b/>
                <w:noProof/>
                <w:sz w:val="18"/>
              </w:rPr>
              <w:t>237.184</w:t>
            </w:r>
          </w:p>
        </w:tc>
      </w:tr>
    </w:tbl>
    <w:p>
      <w:pPr>
        <w:spacing w:after="40"/>
        <w:rPr>
          <w:b/>
          <w:noProof/>
          <w:sz w:val="22"/>
          <w:u w:val="single"/>
        </w:rPr>
      </w:pPr>
      <w:r>
        <w:rPr>
          <w:b/>
          <w:noProof/>
          <w:sz w:val="22"/>
          <w:u w:val="single"/>
        </w:rPr>
        <w:t>If more than one heading is affected by the proposal/initiative: NOT APPLICABLE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rPr>
            </w:pPr>
            <w:r>
              <w:rPr>
                <w:noProof/>
                <w:sz w:val="21"/>
              </w:rPr>
              <w:sym w:font="Wingdings" w:char="F09F"/>
            </w:r>
            <w:r>
              <w:rPr>
                <w:noProof/>
              </w:rPr>
              <w:t xml:space="preserve"> TOTAL operational appropriations</w:t>
            </w:r>
          </w:p>
        </w:tc>
        <w:tc>
          <w:tcPr>
            <w:tcW w:w="1440" w:type="dxa"/>
            <w:tcBorders>
              <w:top w:val="single" w:sz="4" w:space="0" w:color="FF0000"/>
            </w:tcBorders>
            <w:vAlign w:val="center"/>
          </w:tcPr>
          <w:p>
            <w:pPr>
              <w:spacing w:beforeLines="20" w:before="48" w:afterLines="20" w:after="48"/>
              <w:rPr>
                <w:noProof/>
                <w:sz w:val="18"/>
              </w:rPr>
            </w:pPr>
            <w:r>
              <w:rPr>
                <w:noProof/>
                <w:sz w:val="18"/>
              </w:rPr>
              <w:t>Commitments</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b/>
                <w:noProof/>
                <w:sz w:val="20"/>
              </w:rPr>
            </w:pPr>
          </w:p>
        </w:tc>
        <w:tc>
          <w:tcPr>
            <w:tcW w:w="1777" w:type="dxa"/>
            <w:tcBorders>
              <w:top w:val="single" w:sz="4" w:space="0" w:color="FF0000"/>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rPr>
            </w:pPr>
            <w:r>
              <w:rPr>
                <w:noProof/>
                <w:sz w:val="21"/>
              </w:rPr>
              <w:sym w:font="Wingdings" w:char="F09F"/>
            </w:r>
            <w:r>
              <w:rPr>
                <w:noProof/>
              </w:rPr>
              <w:t xml:space="preserve"> TOTAL appropriations of an administrative nature financed from the envelope for specific programmes</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sz w:val="22"/>
              </w:rPr>
              <w:t>TOTAL appropriations</w:t>
            </w:r>
            <w:r>
              <w:rPr>
                <w:noProof/>
              </w:rPr>
              <w:br/>
            </w:r>
            <w:r>
              <w:rPr>
                <w:b/>
                <w:noProof/>
                <w:sz w:val="22"/>
              </w:rPr>
              <w:t>for HEADINGS 1 to 4</w:t>
            </w:r>
            <w:r>
              <w:rPr>
                <w:b/>
                <w:noProof/>
                <w:sz w:val="22"/>
              </w:rPr>
              <w:br/>
            </w:r>
            <w:r>
              <w:rPr>
                <w:noProof/>
                <w:sz w:val="22"/>
              </w:rPr>
              <w:t>of the multiannual financial framework</w:t>
            </w:r>
            <w:r>
              <w:rPr>
                <w:noProof/>
                <w:sz w:val="22"/>
              </w:rPr>
              <w:br/>
            </w:r>
            <w:r>
              <w:rPr>
                <w:noProof/>
                <w:sz w:val="20"/>
              </w:rPr>
              <w:t>(Reference amount)</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Payments</w:t>
            </w:r>
          </w:p>
        </w:tc>
        <w:tc>
          <w:tcPr>
            <w:tcW w:w="654" w:type="dxa"/>
            <w:tcBorders>
              <w:bottom w:val="single" w:sz="4" w:space="0" w:color="FF0000"/>
            </w:tcBorders>
            <w:vAlign w:val="center"/>
          </w:tcPr>
          <w:p>
            <w:pPr>
              <w:jc w:val="center"/>
              <w:rPr>
                <w:noProof/>
                <w:sz w:val="14"/>
              </w:rPr>
            </w:pPr>
            <w:r>
              <w:rPr>
                <w:noProof/>
                <w:sz w:val="14"/>
              </w:rPr>
              <w:t>=5+ 6</w:t>
            </w: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b/>
                <w:noProof/>
                <w:sz w:val="20"/>
              </w:rPr>
            </w:pPr>
          </w:p>
        </w:tc>
        <w:tc>
          <w:tcPr>
            <w:tcW w:w="1777" w:type="dxa"/>
            <w:tcBorders>
              <w:bottom w:val="single" w:sz="4" w:space="0" w:color="FF0000"/>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rPr>
              <w:t>Heading of multi-annual financial</w:t>
            </w:r>
            <w:r>
              <w:rPr>
                <w:noProof/>
              </w:rPr>
              <w:br/>
            </w:r>
            <w:r>
              <w:rPr>
                <w:b/>
                <w:noProof/>
                <w:sz w:val="22"/>
              </w:rPr>
              <w:t xml:space="preserve">framework: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Administrative</w:t>
            </w: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0"/>
              </w:rPr>
              <w:br/>
            </w:r>
            <w:r>
              <w:rPr>
                <w:b/>
                <w:noProof/>
                <w:sz w:val="20"/>
              </w:rPr>
              <w:t>2015</w:t>
            </w:r>
          </w:p>
        </w:tc>
        <w:tc>
          <w:tcPr>
            <w:tcW w:w="868" w:type="dxa"/>
            <w:vAlign w:val="center"/>
          </w:tcPr>
          <w:p>
            <w:pPr>
              <w:jc w:val="center"/>
              <w:rPr>
                <w:noProof/>
                <w:sz w:val="20"/>
              </w:rPr>
            </w:pPr>
            <w:r>
              <w:rPr>
                <w:noProof/>
                <w:sz w:val="20"/>
              </w:rPr>
              <w:t>Year</w:t>
            </w:r>
            <w:r>
              <w:rPr>
                <w:noProof/>
                <w:sz w:val="20"/>
              </w:rPr>
              <w:br/>
            </w:r>
            <w:r>
              <w:rPr>
                <w:b/>
                <w:noProof/>
                <w:sz w:val="20"/>
              </w:rPr>
              <w:t>2016</w:t>
            </w:r>
          </w:p>
        </w:tc>
        <w:tc>
          <w:tcPr>
            <w:tcW w:w="868" w:type="dxa"/>
            <w:vAlign w:val="center"/>
          </w:tcPr>
          <w:p>
            <w:pPr>
              <w:jc w:val="center"/>
              <w:rPr>
                <w:noProof/>
                <w:sz w:val="20"/>
              </w:rPr>
            </w:pPr>
            <w:r>
              <w:rPr>
                <w:noProof/>
                <w:sz w:val="20"/>
              </w:rPr>
              <w:t>Year</w:t>
            </w:r>
            <w:r>
              <w:rPr>
                <w:noProof/>
                <w:sz w:val="20"/>
              </w:rPr>
              <w:br/>
            </w:r>
            <w:r>
              <w:rPr>
                <w:b/>
                <w:noProof/>
                <w:sz w:val="20"/>
              </w:rPr>
              <w:t>2017</w:t>
            </w:r>
          </w:p>
        </w:tc>
        <w:tc>
          <w:tcPr>
            <w:tcW w:w="868" w:type="dxa"/>
            <w:vAlign w:val="center"/>
          </w:tcPr>
          <w:p>
            <w:pPr>
              <w:jc w:val="center"/>
              <w:rPr>
                <w:noProof/>
                <w:sz w:val="20"/>
              </w:rPr>
            </w:pPr>
            <w:r>
              <w:rPr>
                <w:noProof/>
                <w:sz w:val="20"/>
              </w:rPr>
              <w:t>Year</w:t>
            </w:r>
            <w:r>
              <w:rPr>
                <w:noProof/>
                <w:sz w:val="20"/>
              </w:rPr>
              <w:br/>
            </w:r>
            <w:r>
              <w:rPr>
                <w:b/>
                <w:noProof/>
                <w:sz w:val="20"/>
              </w:rPr>
              <w:t>2018</w:t>
            </w:r>
          </w:p>
        </w:tc>
        <w:tc>
          <w:tcPr>
            <w:tcW w:w="1777" w:type="dxa"/>
            <w:vAlign w:val="center"/>
          </w:tcPr>
          <w:p>
            <w:pPr>
              <w:jc w:val="center"/>
              <w:rPr>
                <w:b/>
                <w:noProof/>
                <w:sz w:val="20"/>
              </w:rPr>
            </w:pPr>
            <w:r>
              <w:rPr>
                <w:b/>
                <w:noProof/>
                <w:sz w:val="20"/>
              </w:rPr>
              <w:t>TOTAL</w:t>
            </w:r>
          </w:p>
        </w:tc>
      </w:tr>
      <w:tr>
        <w:trPr>
          <w:gridAfter w:val="7"/>
          <w:wAfter w:w="7343" w:type="dxa"/>
        </w:trPr>
        <w:tc>
          <w:tcPr>
            <w:tcW w:w="3960" w:type="dxa"/>
            <w:vAlign w:val="center"/>
          </w:tcPr>
          <w:p>
            <w:pPr>
              <w:spacing w:before="60" w:after="60"/>
              <w:jc w:val="center"/>
              <w:rPr>
                <w:noProof/>
              </w:rPr>
            </w:pPr>
            <w:r>
              <w:rPr>
                <w:noProof/>
                <w:sz w:val="22"/>
              </w:rPr>
              <w:t>DG: MARE</w:t>
            </w:r>
          </w:p>
        </w:tc>
      </w:tr>
      <w:tr>
        <w:trPr>
          <w:trHeight w:val="313"/>
        </w:trPr>
        <w:tc>
          <w:tcPr>
            <w:tcW w:w="6054" w:type="dxa"/>
            <w:gridSpan w:val="3"/>
            <w:vAlign w:val="center"/>
          </w:tcPr>
          <w:p>
            <w:pPr>
              <w:spacing w:before="20" w:after="20"/>
              <w:rPr>
                <w:noProof/>
              </w:rPr>
            </w:pPr>
            <w:r>
              <w:rPr>
                <w:noProof/>
                <w:sz w:val="22"/>
              </w:rPr>
              <w:sym w:font="Wingdings" w:char="F09F"/>
            </w:r>
            <w:r>
              <w:rPr>
                <w:noProof/>
              </w:rPr>
              <w:t xml:space="preserve"> Human resources</w:t>
            </w:r>
          </w:p>
        </w:tc>
        <w:tc>
          <w:tcPr>
            <w:tcW w:w="868" w:type="dxa"/>
            <w:vAlign w:val="center"/>
          </w:tcPr>
          <w:p>
            <w:pPr>
              <w:spacing w:before="20" w:after="20"/>
              <w:jc w:val="center"/>
              <w:rPr>
                <w:noProof/>
                <w:sz w:val="18"/>
                <w:szCs w:val="18"/>
              </w:rPr>
            </w:pPr>
            <w:r>
              <w:rPr>
                <w:noProof/>
                <w:sz w:val="18"/>
              </w:rPr>
              <w:t>0.210</w:t>
            </w:r>
          </w:p>
        </w:tc>
        <w:tc>
          <w:tcPr>
            <w:tcW w:w="868" w:type="dxa"/>
            <w:vAlign w:val="center"/>
          </w:tcPr>
          <w:p>
            <w:pPr>
              <w:spacing w:before="20" w:after="20"/>
              <w:jc w:val="center"/>
              <w:rPr>
                <w:noProof/>
                <w:sz w:val="18"/>
                <w:szCs w:val="18"/>
              </w:rPr>
            </w:pPr>
            <w:r>
              <w:rPr>
                <w:noProof/>
                <w:sz w:val="18"/>
              </w:rPr>
              <w:t>0.210</w:t>
            </w:r>
          </w:p>
        </w:tc>
        <w:tc>
          <w:tcPr>
            <w:tcW w:w="868" w:type="dxa"/>
            <w:vAlign w:val="center"/>
          </w:tcPr>
          <w:p>
            <w:pPr>
              <w:spacing w:before="20" w:after="20"/>
              <w:jc w:val="center"/>
              <w:rPr>
                <w:noProof/>
                <w:sz w:val="18"/>
                <w:szCs w:val="18"/>
              </w:rPr>
            </w:pPr>
            <w:r>
              <w:rPr>
                <w:noProof/>
                <w:sz w:val="18"/>
              </w:rPr>
              <w:t>0.210</w:t>
            </w:r>
          </w:p>
        </w:tc>
        <w:tc>
          <w:tcPr>
            <w:tcW w:w="868" w:type="dxa"/>
            <w:vAlign w:val="center"/>
          </w:tcPr>
          <w:p>
            <w:pPr>
              <w:spacing w:before="20" w:after="20"/>
              <w:jc w:val="center"/>
              <w:rPr>
                <w:noProof/>
                <w:sz w:val="18"/>
                <w:szCs w:val="18"/>
              </w:rPr>
            </w:pPr>
            <w:r>
              <w:rPr>
                <w:noProof/>
                <w:sz w:val="18"/>
              </w:rPr>
              <w:t>0.210</w:t>
            </w:r>
          </w:p>
        </w:tc>
        <w:tc>
          <w:tcPr>
            <w:tcW w:w="1777" w:type="dxa"/>
            <w:vAlign w:val="center"/>
          </w:tcPr>
          <w:p>
            <w:pPr>
              <w:spacing w:before="20" w:after="20"/>
              <w:jc w:val="center"/>
              <w:rPr>
                <w:b/>
                <w:noProof/>
                <w:sz w:val="18"/>
                <w:szCs w:val="18"/>
              </w:rPr>
            </w:pPr>
            <w:r>
              <w:rPr>
                <w:b/>
                <w:noProof/>
                <w:sz w:val="18"/>
              </w:rPr>
              <w:t>0.840</w:t>
            </w:r>
          </w:p>
        </w:tc>
      </w:tr>
      <w:tr>
        <w:trPr>
          <w:trHeight w:val="351"/>
        </w:trPr>
        <w:tc>
          <w:tcPr>
            <w:tcW w:w="6054" w:type="dxa"/>
            <w:gridSpan w:val="3"/>
            <w:vAlign w:val="center"/>
          </w:tcPr>
          <w:p>
            <w:pPr>
              <w:spacing w:before="20" w:after="20"/>
              <w:rPr>
                <w:noProof/>
              </w:rPr>
            </w:pPr>
            <w:r>
              <w:rPr>
                <w:noProof/>
                <w:sz w:val="22"/>
              </w:rPr>
              <w:sym w:font="Wingdings" w:char="F09F"/>
            </w:r>
            <w:r>
              <w:rPr>
                <w:noProof/>
              </w:rPr>
              <w:t xml:space="preserve"> Other administrative expenditure</w:t>
            </w:r>
          </w:p>
        </w:tc>
        <w:tc>
          <w:tcPr>
            <w:tcW w:w="868" w:type="dxa"/>
            <w:vAlign w:val="center"/>
          </w:tcPr>
          <w:p>
            <w:pPr>
              <w:spacing w:before="20" w:after="20"/>
              <w:jc w:val="center"/>
              <w:rPr>
                <w:noProof/>
                <w:sz w:val="18"/>
                <w:szCs w:val="18"/>
              </w:rPr>
            </w:pPr>
            <w:r>
              <w:rPr>
                <w:noProof/>
                <w:sz w:val="18"/>
              </w:rPr>
              <w:t>0.03</w:t>
            </w:r>
          </w:p>
        </w:tc>
        <w:tc>
          <w:tcPr>
            <w:tcW w:w="868" w:type="dxa"/>
            <w:vAlign w:val="center"/>
          </w:tcPr>
          <w:p>
            <w:pPr>
              <w:spacing w:before="20" w:after="20"/>
              <w:jc w:val="center"/>
              <w:rPr>
                <w:noProof/>
                <w:sz w:val="18"/>
                <w:szCs w:val="18"/>
              </w:rPr>
            </w:pPr>
            <w:r>
              <w:rPr>
                <w:noProof/>
                <w:sz w:val="18"/>
              </w:rPr>
              <w:t>0.03</w:t>
            </w:r>
          </w:p>
        </w:tc>
        <w:tc>
          <w:tcPr>
            <w:tcW w:w="868" w:type="dxa"/>
            <w:vAlign w:val="center"/>
          </w:tcPr>
          <w:p>
            <w:pPr>
              <w:spacing w:before="20" w:after="20"/>
              <w:jc w:val="center"/>
              <w:rPr>
                <w:noProof/>
                <w:sz w:val="18"/>
                <w:szCs w:val="18"/>
              </w:rPr>
            </w:pPr>
            <w:r>
              <w:rPr>
                <w:noProof/>
                <w:sz w:val="18"/>
              </w:rPr>
              <w:t>0.03</w:t>
            </w:r>
          </w:p>
        </w:tc>
        <w:tc>
          <w:tcPr>
            <w:tcW w:w="868" w:type="dxa"/>
            <w:vAlign w:val="center"/>
          </w:tcPr>
          <w:p>
            <w:pPr>
              <w:spacing w:before="20" w:after="20"/>
              <w:jc w:val="center"/>
              <w:rPr>
                <w:noProof/>
                <w:sz w:val="18"/>
                <w:szCs w:val="18"/>
              </w:rPr>
            </w:pPr>
            <w:r>
              <w:rPr>
                <w:noProof/>
                <w:sz w:val="18"/>
              </w:rPr>
              <w:t>0.03</w:t>
            </w:r>
          </w:p>
        </w:tc>
        <w:tc>
          <w:tcPr>
            <w:tcW w:w="1777" w:type="dxa"/>
            <w:vAlign w:val="center"/>
          </w:tcPr>
          <w:p>
            <w:pPr>
              <w:spacing w:before="20" w:after="20"/>
              <w:jc w:val="center"/>
              <w:rPr>
                <w:b/>
                <w:noProof/>
                <w:sz w:val="18"/>
                <w:szCs w:val="18"/>
              </w:rPr>
            </w:pPr>
            <w:r>
              <w:rPr>
                <w:b/>
                <w:noProof/>
                <w:sz w:val="18"/>
              </w:rPr>
              <w:t>0.12</w:t>
            </w:r>
          </w:p>
        </w:tc>
      </w:tr>
      <w:tr>
        <w:tc>
          <w:tcPr>
            <w:tcW w:w="3960" w:type="dxa"/>
            <w:vAlign w:val="center"/>
          </w:tcPr>
          <w:p>
            <w:pPr>
              <w:jc w:val="center"/>
              <w:rPr>
                <w:b/>
                <w:noProof/>
              </w:rPr>
            </w:pPr>
            <w:r>
              <w:rPr>
                <w:b/>
                <w:noProof/>
                <w:sz w:val="22"/>
              </w:rPr>
              <w:t>TOTAL DG MARE</w:t>
            </w:r>
          </w:p>
        </w:tc>
        <w:tc>
          <w:tcPr>
            <w:tcW w:w="2094" w:type="dxa"/>
            <w:gridSpan w:val="2"/>
            <w:vAlign w:val="center"/>
          </w:tcPr>
          <w:p>
            <w:pPr>
              <w:rPr>
                <w:noProof/>
                <w:sz w:val="14"/>
              </w:rPr>
            </w:pPr>
            <w:r>
              <w:rPr>
                <w:noProof/>
                <w:sz w:val="18"/>
              </w:rPr>
              <w:t xml:space="preserve">Appropriations </w:t>
            </w:r>
          </w:p>
        </w:tc>
        <w:tc>
          <w:tcPr>
            <w:tcW w:w="868" w:type="dxa"/>
            <w:vAlign w:val="center"/>
          </w:tcPr>
          <w:p>
            <w:pPr>
              <w:spacing w:before="60" w:after="60"/>
              <w:jc w:val="center"/>
              <w:rPr>
                <w:noProof/>
                <w:sz w:val="18"/>
                <w:szCs w:val="18"/>
              </w:rPr>
            </w:pPr>
            <w:r>
              <w:rPr>
                <w:noProof/>
                <w:sz w:val="18"/>
              </w:rPr>
              <w:t>0.24</w:t>
            </w:r>
          </w:p>
        </w:tc>
        <w:tc>
          <w:tcPr>
            <w:tcW w:w="868" w:type="dxa"/>
            <w:vAlign w:val="center"/>
          </w:tcPr>
          <w:p>
            <w:pPr>
              <w:spacing w:before="60" w:after="60"/>
              <w:jc w:val="center"/>
              <w:rPr>
                <w:noProof/>
                <w:sz w:val="18"/>
                <w:szCs w:val="18"/>
              </w:rPr>
            </w:pPr>
            <w:r>
              <w:rPr>
                <w:noProof/>
                <w:sz w:val="18"/>
              </w:rPr>
              <w:t>0.24</w:t>
            </w:r>
          </w:p>
        </w:tc>
        <w:tc>
          <w:tcPr>
            <w:tcW w:w="868" w:type="dxa"/>
            <w:vAlign w:val="center"/>
          </w:tcPr>
          <w:p>
            <w:pPr>
              <w:spacing w:before="60" w:after="60"/>
              <w:jc w:val="center"/>
              <w:rPr>
                <w:noProof/>
                <w:sz w:val="18"/>
                <w:szCs w:val="18"/>
              </w:rPr>
            </w:pPr>
            <w:r>
              <w:rPr>
                <w:noProof/>
                <w:sz w:val="18"/>
              </w:rPr>
              <w:t>0.24</w:t>
            </w:r>
          </w:p>
        </w:tc>
        <w:tc>
          <w:tcPr>
            <w:tcW w:w="868" w:type="dxa"/>
            <w:vAlign w:val="center"/>
          </w:tcPr>
          <w:p>
            <w:pPr>
              <w:spacing w:before="60" w:after="60"/>
              <w:jc w:val="center"/>
              <w:rPr>
                <w:noProof/>
                <w:sz w:val="18"/>
                <w:szCs w:val="18"/>
              </w:rPr>
            </w:pPr>
            <w:r>
              <w:rPr>
                <w:noProof/>
                <w:sz w:val="18"/>
              </w:rPr>
              <w:t>0.24</w:t>
            </w:r>
          </w:p>
        </w:tc>
        <w:tc>
          <w:tcPr>
            <w:tcW w:w="1777" w:type="dxa"/>
            <w:vAlign w:val="center"/>
          </w:tcPr>
          <w:p>
            <w:pPr>
              <w:spacing w:before="20" w:after="20"/>
              <w:jc w:val="center"/>
              <w:rPr>
                <w:b/>
                <w:noProof/>
                <w:sz w:val="18"/>
                <w:szCs w:val="18"/>
              </w:rPr>
            </w:pPr>
            <w:r>
              <w:rPr>
                <w:b/>
                <w:noProof/>
                <w:sz w:val="18"/>
              </w:rPr>
              <w:t>0.96</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TOTAL appropriations</w:t>
            </w:r>
            <w:r>
              <w:rPr>
                <w:noProof/>
              </w:rPr>
              <w:br/>
            </w:r>
            <w:r>
              <w:rPr>
                <w:b/>
                <w:noProof/>
                <w:sz w:val="22"/>
              </w:rPr>
              <w:t>for HEADING 5</w:t>
            </w:r>
            <w:r>
              <w:rPr>
                <w:b/>
                <w:noProof/>
                <w:sz w:val="22"/>
              </w:rPr>
              <w:br/>
            </w:r>
            <w:r>
              <w:rPr>
                <w:noProof/>
                <w:sz w:val="22"/>
              </w:rPr>
              <w:t>of the multiannual financial framework</w:t>
            </w:r>
            <w:r>
              <w:rPr>
                <w:b/>
                <w:noProof/>
                <w:sz w:val="22"/>
              </w:rPr>
              <w:t xml:space="preserve"> </w:t>
            </w:r>
          </w:p>
        </w:tc>
        <w:tc>
          <w:tcPr>
            <w:tcW w:w="2094" w:type="dxa"/>
            <w:vAlign w:val="center"/>
          </w:tcPr>
          <w:p>
            <w:pPr>
              <w:spacing w:before="40" w:after="40"/>
              <w:rPr>
                <w:noProof/>
              </w:rPr>
            </w:pPr>
            <w:r>
              <w:rPr>
                <w:noProof/>
                <w:sz w:val="18"/>
              </w:rPr>
              <w:t>(Total commitments = Total payments)</w:t>
            </w:r>
          </w:p>
        </w:tc>
        <w:tc>
          <w:tcPr>
            <w:tcW w:w="868" w:type="dxa"/>
            <w:vAlign w:val="center"/>
          </w:tcPr>
          <w:p>
            <w:pPr>
              <w:spacing w:before="60" w:after="60"/>
              <w:jc w:val="center"/>
              <w:rPr>
                <w:noProof/>
                <w:sz w:val="18"/>
                <w:szCs w:val="18"/>
              </w:rPr>
            </w:pPr>
            <w:r>
              <w:rPr>
                <w:noProof/>
                <w:sz w:val="18"/>
              </w:rPr>
              <w:t>0.24</w:t>
            </w:r>
          </w:p>
        </w:tc>
        <w:tc>
          <w:tcPr>
            <w:tcW w:w="868" w:type="dxa"/>
            <w:vAlign w:val="center"/>
          </w:tcPr>
          <w:p>
            <w:pPr>
              <w:spacing w:before="60" w:after="60"/>
              <w:jc w:val="center"/>
              <w:rPr>
                <w:noProof/>
                <w:sz w:val="18"/>
                <w:szCs w:val="18"/>
              </w:rPr>
            </w:pPr>
            <w:r>
              <w:rPr>
                <w:noProof/>
                <w:sz w:val="18"/>
              </w:rPr>
              <w:t>0.24</w:t>
            </w:r>
          </w:p>
        </w:tc>
        <w:tc>
          <w:tcPr>
            <w:tcW w:w="868" w:type="dxa"/>
            <w:vAlign w:val="center"/>
          </w:tcPr>
          <w:p>
            <w:pPr>
              <w:spacing w:before="60" w:after="60"/>
              <w:jc w:val="center"/>
              <w:rPr>
                <w:noProof/>
                <w:sz w:val="18"/>
                <w:szCs w:val="18"/>
              </w:rPr>
            </w:pPr>
            <w:r>
              <w:rPr>
                <w:noProof/>
                <w:sz w:val="18"/>
              </w:rPr>
              <w:t>0.24</w:t>
            </w:r>
          </w:p>
        </w:tc>
        <w:tc>
          <w:tcPr>
            <w:tcW w:w="868" w:type="dxa"/>
            <w:vAlign w:val="center"/>
          </w:tcPr>
          <w:p>
            <w:pPr>
              <w:spacing w:before="60" w:after="60"/>
              <w:jc w:val="center"/>
              <w:rPr>
                <w:noProof/>
                <w:sz w:val="18"/>
                <w:szCs w:val="18"/>
              </w:rPr>
            </w:pPr>
            <w:r>
              <w:rPr>
                <w:noProof/>
                <w:sz w:val="18"/>
              </w:rPr>
              <w:t>0.24</w:t>
            </w:r>
          </w:p>
        </w:tc>
        <w:tc>
          <w:tcPr>
            <w:tcW w:w="1777" w:type="dxa"/>
            <w:vAlign w:val="center"/>
          </w:tcPr>
          <w:p>
            <w:pPr>
              <w:spacing w:before="20" w:after="20"/>
              <w:jc w:val="center"/>
              <w:rPr>
                <w:b/>
                <w:noProof/>
                <w:sz w:val="18"/>
                <w:szCs w:val="18"/>
              </w:rPr>
            </w:pPr>
            <w:r>
              <w:rPr>
                <w:b/>
                <w:noProof/>
                <w:sz w:val="18"/>
              </w:rPr>
              <w:t>0.96</w:t>
            </w: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0"/>
              </w:rPr>
              <w:br/>
            </w:r>
            <w:r>
              <w:rPr>
                <w:b/>
                <w:noProof/>
                <w:sz w:val="20"/>
              </w:rPr>
              <w:t>2015</w:t>
            </w:r>
          </w:p>
        </w:tc>
        <w:tc>
          <w:tcPr>
            <w:tcW w:w="868" w:type="dxa"/>
            <w:vAlign w:val="center"/>
          </w:tcPr>
          <w:p>
            <w:pPr>
              <w:jc w:val="center"/>
              <w:rPr>
                <w:noProof/>
                <w:sz w:val="20"/>
              </w:rPr>
            </w:pPr>
            <w:r>
              <w:rPr>
                <w:noProof/>
                <w:sz w:val="20"/>
              </w:rPr>
              <w:t>Year</w:t>
            </w:r>
            <w:r>
              <w:rPr>
                <w:noProof/>
                <w:sz w:val="20"/>
              </w:rPr>
              <w:br/>
            </w:r>
            <w:r>
              <w:rPr>
                <w:b/>
                <w:noProof/>
                <w:sz w:val="20"/>
              </w:rPr>
              <w:t>2016</w:t>
            </w:r>
          </w:p>
        </w:tc>
        <w:tc>
          <w:tcPr>
            <w:tcW w:w="868" w:type="dxa"/>
            <w:vAlign w:val="center"/>
          </w:tcPr>
          <w:p>
            <w:pPr>
              <w:jc w:val="center"/>
              <w:rPr>
                <w:noProof/>
                <w:sz w:val="20"/>
              </w:rPr>
            </w:pPr>
            <w:r>
              <w:rPr>
                <w:noProof/>
                <w:sz w:val="20"/>
              </w:rPr>
              <w:t>Year</w:t>
            </w:r>
            <w:r>
              <w:rPr>
                <w:noProof/>
                <w:sz w:val="20"/>
              </w:rPr>
              <w:br/>
            </w:r>
            <w:r>
              <w:rPr>
                <w:b/>
                <w:noProof/>
                <w:sz w:val="20"/>
              </w:rPr>
              <w:t>2017</w:t>
            </w:r>
          </w:p>
        </w:tc>
        <w:tc>
          <w:tcPr>
            <w:tcW w:w="868" w:type="dxa"/>
            <w:vAlign w:val="center"/>
          </w:tcPr>
          <w:p>
            <w:pPr>
              <w:jc w:val="center"/>
              <w:rPr>
                <w:noProof/>
                <w:sz w:val="20"/>
              </w:rPr>
            </w:pPr>
            <w:r>
              <w:rPr>
                <w:noProof/>
                <w:sz w:val="20"/>
              </w:rPr>
              <w:t>Year</w:t>
            </w:r>
            <w:r>
              <w:rPr>
                <w:noProof/>
                <w:sz w:val="20"/>
              </w:rPr>
              <w:br/>
            </w:r>
            <w:r>
              <w:rPr>
                <w:b/>
                <w:noProof/>
                <w:sz w:val="20"/>
              </w:rPr>
              <w:t>2018</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TOTAL appropriations</w:t>
            </w:r>
            <w:r>
              <w:rPr>
                <w:noProof/>
              </w:rPr>
              <w:br/>
            </w:r>
            <w:r>
              <w:rPr>
                <w:b/>
                <w:noProof/>
                <w:sz w:val="22"/>
              </w:rPr>
              <w:t>for HEADINGS 1 to 5</w:t>
            </w:r>
            <w:r>
              <w:rPr>
                <w:b/>
                <w:noProof/>
                <w:sz w:val="22"/>
              </w:rPr>
              <w:br/>
            </w:r>
            <w:r>
              <w:rPr>
                <w:noProof/>
                <w:sz w:val="22"/>
              </w:rP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vAlign w:val="center"/>
          </w:tcPr>
          <w:p>
            <w:pPr>
              <w:jc w:val="center"/>
              <w:rPr>
                <w:noProof/>
                <w:sz w:val="18"/>
                <w:szCs w:val="18"/>
              </w:rPr>
            </w:pPr>
            <w:r>
              <w:rPr>
                <w:noProof/>
                <w:sz w:val="18"/>
              </w:rPr>
              <w:t>59.496</w:t>
            </w:r>
          </w:p>
        </w:tc>
        <w:tc>
          <w:tcPr>
            <w:tcW w:w="868" w:type="dxa"/>
            <w:vAlign w:val="center"/>
          </w:tcPr>
          <w:p>
            <w:pPr>
              <w:jc w:val="center"/>
              <w:rPr>
                <w:noProof/>
                <w:sz w:val="18"/>
                <w:szCs w:val="18"/>
              </w:rPr>
            </w:pPr>
            <w:r>
              <w:rPr>
                <w:noProof/>
                <w:sz w:val="18"/>
              </w:rPr>
              <w:t>59.496</w:t>
            </w:r>
          </w:p>
        </w:tc>
        <w:tc>
          <w:tcPr>
            <w:tcW w:w="868" w:type="dxa"/>
            <w:vAlign w:val="center"/>
          </w:tcPr>
          <w:p>
            <w:pPr>
              <w:jc w:val="center"/>
              <w:rPr>
                <w:noProof/>
                <w:sz w:val="18"/>
                <w:szCs w:val="18"/>
              </w:rPr>
            </w:pPr>
            <w:r>
              <w:rPr>
                <w:noProof/>
                <w:sz w:val="18"/>
              </w:rPr>
              <w:t>59.496</w:t>
            </w:r>
          </w:p>
        </w:tc>
        <w:tc>
          <w:tcPr>
            <w:tcW w:w="868" w:type="dxa"/>
            <w:vAlign w:val="center"/>
          </w:tcPr>
          <w:p>
            <w:pPr>
              <w:jc w:val="center"/>
              <w:rPr>
                <w:noProof/>
                <w:sz w:val="18"/>
                <w:szCs w:val="18"/>
              </w:rPr>
            </w:pPr>
            <w:r>
              <w:rPr>
                <w:noProof/>
                <w:sz w:val="18"/>
              </w:rPr>
              <w:t>59.576</w:t>
            </w:r>
          </w:p>
        </w:tc>
        <w:tc>
          <w:tcPr>
            <w:tcW w:w="1777" w:type="dxa"/>
            <w:vAlign w:val="center"/>
          </w:tcPr>
          <w:p>
            <w:pPr>
              <w:spacing w:before="60" w:after="60"/>
              <w:jc w:val="center"/>
              <w:rPr>
                <w:b/>
                <w:noProof/>
                <w:sz w:val="18"/>
                <w:szCs w:val="18"/>
              </w:rPr>
            </w:pPr>
            <w:r>
              <w:rPr>
                <w:b/>
                <w:noProof/>
                <w:sz w:val="18"/>
              </w:rPr>
              <w:t>238.064</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vAlign w:val="center"/>
          </w:tcPr>
          <w:p>
            <w:pPr>
              <w:jc w:val="center"/>
              <w:rPr>
                <w:noProof/>
                <w:sz w:val="18"/>
                <w:szCs w:val="18"/>
              </w:rPr>
            </w:pPr>
            <w:r>
              <w:rPr>
                <w:noProof/>
                <w:sz w:val="18"/>
              </w:rPr>
              <w:t>59.496</w:t>
            </w:r>
          </w:p>
        </w:tc>
        <w:tc>
          <w:tcPr>
            <w:tcW w:w="868" w:type="dxa"/>
            <w:vAlign w:val="center"/>
          </w:tcPr>
          <w:p>
            <w:pPr>
              <w:jc w:val="center"/>
              <w:rPr>
                <w:noProof/>
                <w:sz w:val="18"/>
                <w:szCs w:val="18"/>
              </w:rPr>
            </w:pPr>
            <w:r>
              <w:rPr>
                <w:noProof/>
                <w:sz w:val="18"/>
              </w:rPr>
              <w:t>59.496</w:t>
            </w:r>
          </w:p>
        </w:tc>
        <w:tc>
          <w:tcPr>
            <w:tcW w:w="868" w:type="dxa"/>
            <w:vAlign w:val="center"/>
          </w:tcPr>
          <w:p>
            <w:pPr>
              <w:jc w:val="center"/>
              <w:rPr>
                <w:noProof/>
                <w:sz w:val="18"/>
                <w:szCs w:val="18"/>
              </w:rPr>
            </w:pPr>
            <w:r>
              <w:rPr>
                <w:noProof/>
                <w:sz w:val="18"/>
              </w:rPr>
              <w:t>59.496</w:t>
            </w:r>
          </w:p>
        </w:tc>
        <w:tc>
          <w:tcPr>
            <w:tcW w:w="868" w:type="dxa"/>
            <w:vAlign w:val="center"/>
          </w:tcPr>
          <w:p>
            <w:pPr>
              <w:jc w:val="center"/>
              <w:rPr>
                <w:noProof/>
                <w:sz w:val="18"/>
                <w:szCs w:val="18"/>
              </w:rPr>
            </w:pPr>
            <w:r>
              <w:rPr>
                <w:noProof/>
                <w:sz w:val="18"/>
              </w:rPr>
              <w:t>59.576</w:t>
            </w:r>
          </w:p>
        </w:tc>
        <w:tc>
          <w:tcPr>
            <w:tcW w:w="1777" w:type="dxa"/>
            <w:vAlign w:val="center"/>
          </w:tcPr>
          <w:p>
            <w:pPr>
              <w:spacing w:before="60" w:after="60"/>
              <w:jc w:val="center"/>
              <w:rPr>
                <w:b/>
                <w:noProof/>
                <w:sz w:val="18"/>
                <w:szCs w:val="18"/>
              </w:rPr>
            </w:pPr>
            <w:r>
              <w:rPr>
                <w:b/>
                <w:noProof/>
                <w:sz w:val="18"/>
              </w:rPr>
              <w:t>238.064</w:t>
            </w: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Heading3"/>
        <w:rPr>
          <w:bCs/>
          <w:noProof/>
          <w:szCs w:val="24"/>
        </w:rPr>
      </w:pPr>
      <w:r>
        <w:t>7.2.2.</w:t>
      </w:r>
      <w:r>
        <w:tab/>
      </w:r>
      <w:r>
        <w:rPr>
          <w:noProof/>
        </w:rPr>
        <w:t xml:space="preserve">Estimated impact on operational appropriations </w:t>
      </w:r>
    </w:p>
    <w:p>
      <w:pPr>
        <w:pStyle w:val="ListDash1"/>
        <w:rPr>
          <w:noProof/>
        </w:rPr>
      </w:pPr>
      <w:r>
        <w:rPr>
          <w:noProof/>
        </w:rPr>
        <w:sym w:font="Wingdings" w:char="F0A8"/>
      </w:r>
      <w:r>
        <w:rPr>
          <w:noProof/>
        </w:rPr>
        <w:tab/>
        <w:t xml:space="preserve">The proposal/initiative does not require the use of operational appropriations </w:t>
      </w:r>
    </w:p>
    <w:p>
      <w:pPr>
        <w:pStyle w:val="ListDash1"/>
        <w:rPr>
          <w:noProof/>
        </w:rPr>
      </w:pPr>
      <w:r>
        <w:rPr>
          <w:noProof/>
        </w:rPr>
        <w:t>x</w:t>
      </w:r>
      <w:r>
        <w:rPr>
          <w:noProof/>
        </w:rPr>
        <w:tab/>
        <w:t>The proposal/initiative requires the use of operational appropriations, as explained below:</w:t>
      </w:r>
    </w:p>
    <w:p>
      <w:pPr>
        <w:jc w:val="right"/>
        <w:rPr>
          <w:noProof/>
          <w:sz w:val="20"/>
        </w:rPr>
      </w:pPr>
      <w:r>
        <w:rPr>
          <w:noProof/>
          <w:sz w:val="20"/>
        </w:rPr>
        <w:t>Commitment appropriations in EUR million (to 3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51"/>
        <w:gridCol w:w="21"/>
        <w:gridCol w:w="851"/>
        <w:gridCol w:w="337"/>
        <w:gridCol w:w="648"/>
        <w:gridCol w:w="7"/>
        <w:gridCol w:w="425"/>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Indicate objectives and outputs </w:t>
            </w:r>
          </w:p>
          <w:p>
            <w:pPr>
              <w:ind w:right="-29"/>
              <w:jc w:val="center"/>
              <w:rPr>
                <w:b/>
                <w:noProof/>
                <w:sz w:val="18"/>
                <w:szCs w:val="18"/>
              </w:rPr>
            </w:pPr>
          </w:p>
          <w:p>
            <w:pPr>
              <w:ind w:right="-29"/>
              <w:jc w:val="center"/>
              <w:rPr>
                <w:noProof/>
                <w:sz w:val="18"/>
                <w:szCs w:val="18"/>
              </w:rPr>
            </w:pPr>
            <w:r>
              <w:rPr>
                <w:noProof/>
                <w:sz w:val="18"/>
                <w:szCs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jc w:val="center"/>
              <w:rPr>
                <w:noProof/>
                <w:sz w:val="20"/>
              </w:rPr>
            </w:pPr>
            <w:r>
              <w:rPr>
                <w:noProof/>
                <w:sz w:val="20"/>
              </w:rPr>
              <w:t>Year</w:t>
            </w:r>
            <w:r>
              <w:rPr>
                <w:noProof/>
                <w:sz w:val="20"/>
              </w:rPr>
              <w:br/>
            </w:r>
            <w:r>
              <w:rPr>
                <w:b/>
                <w:noProof/>
                <w:sz w:val="20"/>
              </w:rPr>
              <w:t>2015</w:t>
            </w:r>
          </w:p>
        </w:tc>
        <w:tc>
          <w:tcPr>
            <w:tcW w:w="1260" w:type="dxa"/>
            <w:gridSpan w:val="2"/>
            <w:vAlign w:val="center"/>
          </w:tcPr>
          <w:p>
            <w:pPr>
              <w:jc w:val="center"/>
              <w:rPr>
                <w:noProof/>
                <w:sz w:val="20"/>
              </w:rPr>
            </w:pPr>
            <w:r>
              <w:rPr>
                <w:noProof/>
                <w:sz w:val="20"/>
              </w:rPr>
              <w:t>Year</w:t>
            </w:r>
            <w:r>
              <w:rPr>
                <w:noProof/>
                <w:sz w:val="20"/>
              </w:rPr>
              <w:br/>
            </w:r>
            <w:r>
              <w:rPr>
                <w:b/>
                <w:noProof/>
                <w:sz w:val="20"/>
              </w:rPr>
              <w:t>2016</w:t>
            </w:r>
          </w:p>
        </w:tc>
        <w:tc>
          <w:tcPr>
            <w:tcW w:w="1440" w:type="dxa"/>
            <w:gridSpan w:val="2"/>
            <w:vAlign w:val="center"/>
          </w:tcPr>
          <w:p>
            <w:pPr>
              <w:jc w:val="center"/>
              <w:rPr>
                <w:noProof/>
                <w:sz w:val="20"/>
              </w:rPr>
            </w:pPr>
            <w:r>
              <w:rPr>
                <w:noProof/>
                <w:sz w:val="20"/>
              </w:rPr>
              <w:t>Year</w:t>
            </w:r>
            <w:r>
              <w:rPr>
                <w:noProof/>
                <w:sz w:val="20"/>
              </w:rPr>
              <w:br/>
            </w:r>
            <w:r>
              <w:rPr>
                <w:b/>
                <w:noProof/>
                <w:sz w:val="20"/>
              </w:rPr>
              <w:t>2017</w:t>
            </w:r>
          </w:p>
        </w:tc>
        <w:tc>
          <w:tcPr>
            <w:tcW w:w="1823" w:type="dxa"/>
            <w:gridSpan w:val="3"/>
            <w:vAlign w:val="center"/>
          </w:tcPr>
          <w:p>
            <w:pPr>
              <w:jc w:val="center"/>
              <w:rPr>
                <w:noProof/>
                <w:sz w:val="20"/>
              </w:rPr>
            </w:pPr>
            <w:r>
              <w:rPr>
                <w:noProof/>
                <w:sz w:val="20"/>
              </w:rPr>
              <w:t>Year</w:t>
            </w:r>
            <w:r>
              <w:rPr>
                <w:noProof/>
                <w:sz w:val="20"/>
              </w:rPr>
              <w:br/>
            </w:r>
            <w:r>
              <w:rPr>
                <w:b/>
                <w:noProof/>
                <w:sz w:val="20"/>
              </w:rPr>
              <w:t>2018</w:t>
            </w:r>
          </w:p>
        </w:tc>
        <w:tc>
          <w:tcPr>
            <w:tcW w:w="992" w:type="dxa"/>
            <w:gridSpan w:val="3"/>
            <w:vAlign w:val="center"/>
          </w:tcPr>
          <w:p>
            <w:pPr>
              <w:jc w:val="center"/>
              <w:rPr>
                <w:noProof/>
                <w:sz w:val="18"/>
                <w:szCs w:val="18"/>
              </w:rPr>
            </w:pPr>
            <w:r>
              <w:rPr>
                <w:noProof/>
                <w:sz w:val="20"/>
              </w:rPr>
              <w:t>Year</w:t>
            </w:r>
            <w:r>
              <w:rPr>
                <w:noProof/>
                <w:sz w:val="20"/>
              </w:rPr>
              <w:br/>
            </w:r>
            <w:r>
              <w:rPr>
                <w:b/>
                <w:noProof/>
                <w:sz w:val="20"/>
              </w:rPr>
              <w:t>…</w:t>
            </w:r>
          </w:p>
        </w:tc>
        <w:tc>
          <w:tcPr>
            <w:tcW w:w="2405" w:type="dxa"/>
            <w:gridSpan w:val="4"/>
            <w:vAlign w:val="center"/>
          </w:tcPr>
          <w:p>
            <w:pPr>
              <w:jc w:val="center"/>
              <w:rPr>
                <w:noProof/>
                <w:sz w:val="18"/>
                <w:szCs w:val="18"/>
              </w:rPr>
            </w:pPr>
            <w:r>
              <w:rPr>
                <w:noProof/>
                <w:sz w:val="18"/>
              </w:rPr>
              <w:t>Enter as many years as necessary to show the duration of the impact (see point 1.6)</w:t>
            </w: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423" w:type="dxa"/>
            <w:vMerge/>
            <w:vAlign w:val="center"/>
          </w:tcPr>
          <w:p>
            <w:pPr>
              <w:ind w:right="-29"/>
              <w:jc w:val="center"/>
              <w:rPr>
                <w:noProof/>
                <w:sz w:val="18"/>
                <w:szCs w:val="18"/>
              </w:rPr>
            </w:pPr>
          </w:p>
        </w:tc>
        <w:tc>
          <w:tcPr>
            <w:tcW w:w="12185" w:type="dxa"/>
            <w:gridSpan w:val="20"/>
            <w:vAlign w:val="center"/>
          </w:tcPr>
          <w:p>
            <w:pPr>
              <w:spacing w:before="60" w:after="60"/>
              <w:ind w:right="-29"/>
              <w:jc w:val="center"/>
              <w:rPr>
                <w:noProof/>
                <w:sz w:val="18"/>
                <w:szCs w:val="18"/>
              </w:rPr>
            </w:pPr>
            <w:r>
              <w:rPr>
                <w:b/>
                <w:noProof/>
                <w:sz w:val="18"/>
              </w:rPr>
              <w:t>OUTPUTS</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sz w:val="18"/>
              </w:rPr>
              <w:footnoteReference w:id="11"/>
            </w:r>
          </w:p>
          <w:p>
            <w:pPr>
              <w:spacing w:before="0" w:after="0"/>
              <w:jc w:val="center"/>
              <w:rPr>
                <w:noProof/>
                <w:sz w:val="18"/>
                <w:szCs w:val="18"/>
              </w:rPr>
            </w:pPr>
          </w:p>
        </w:tc>
        <w:tc>
          <w:tcPr>
            <w:tcW w:w="701" w:type="dxa"/>
            <w:vAlign w:val="center"/>
          </w:tcPr>
          <w:p>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Quantity</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Quantity</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Quantity</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972"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Quantity</w:t>
            </w:r>
          </w:p>
        </w:tc>
        <w:tc>
          <w:tcPr>
            <w:tcW w:w="851"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337"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Quantity</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432"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Quantity</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Quantity</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Total quantity</w:t>
            </w:r>
          </w:p>
        </w:tc>
        <w:tc>
          <w:tcPr>
            <w:tcW w:w="900" w:type="dxa"/>
            <w:tcBorders>
              <w:left w:val="dashSmallGap" w:sz="4" w:space="0" w:color="auto"/>
            </w:tcBorders>
            <w:shd w:val="pct10" w:color="auto" w:fill="auto"/>
            <w:vAlign w:val="center"/>
          </w:tcPr>
          <w:p>
            <w:pPr>
              <w:jc w:val="center"/>
              <w:rPr>
                <w:noProof/>
                <w:sz w:val="18"/>
                <w:szCs w:val="18"/>
              </w:rPr>
            </w:pPr>
            <w:r>
              <w:rPr>
                <w:noProof/>
                <w:sz w:val="18"/>
              </w:rPr>
              <w:t>Total cost</w:t>
            </w: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1</w:t>
            </w:r>
            <w:r>
              <w:rPr>
                <w:rStyle w:val="FootnoteReference"/>
                <w:noProof/>
                <w:sz w:val="18"/>
              </w:rPr>
              <w:footnoteReference w:id="12"/>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72" w:type="dxa"/>
            <w:gridSpan w:val="2"/>
            <w:tcBorders>
              <w:top w:val="nil"/>
              <w:left w:val="nil"/>
              <w:bottom w:val="nil"/>
              <w:right w:val="nil"/>
            </w:tcBorders>
          </w:tcPr>
          <w:p>
            <w:pPr>
              <w:spacing w:before="60" w:after="60"/>
              <w:ind w:right="-29"/>
              <w:jc w:val="center"/>
              <w:rPr>
                <w:noProof/>
                <w:sz w:val="18"/>
                <w:szCs w:val="18"/>
              </w:rPr>
            </w:pPr>
          </w:p>
        </w:tc>
        <w:tc>
          <w:tcPr>
            <w:tcW w:w="851" w:type="dxa"/>
            <w:tcBorders>
              <w:top w:val="nil"/>
              <w:left w:val="nil"/>
              <w:bottom w:val="nil"/>
              <w:right w:val="nil"/>
            </w:tcBorders>
          </w:tcPr>
          <w:p>
            <w:pPr>
              <w:spacing w:before="60" w:after="60"/>
              <w:ind w:right="-29"/>
              <w:jc w:val="center"/>
              <w:rPr>
                <w:noProof/>
                <w:sz w:val="18"/>
                <w:szCs w:val="18"/>
              </w:rPr>
            </w:pPr>
          </w:p>
        </w:tc>
        <w:tc>
          <w:tcPr>
            <w:tcW w:w="337"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vessel licences</w:t>
            </w:r>
          </w:p>
        </w:tc>
        <w:tc>
          <w:tcPr>
            <w:tcW w:w="720" w:type="dxa"/>
          </w:tcPr>
          <w:p>
            <w:pPr>
              <w:ind w:right="-29"/>
              <w:jc w:val="center"/>
              <w:rPr>
                <w:noProof/>
                <w:sz w:val="18"/>
                <w:szCs w:val="18"/>
              </w:rPr>
            </w:pPr>
            <w:r>
              <w:rPr>
                <w:noProof/>
                <w:sz w:val="18"/>
              </w:rPr>
              <w:t>32 000 tonnes/year</w:t>
            </w:r>
          </w:p>
        </w:tc>
        <w:tc>
          <w:tcPr>
            <w:tcW w:w="701" w:type="dxa"/>
          </w:tcPr>
          <w:p>
            <w:pPr>
              <w:ind w:right="-29"/>
              <w:rPr>
                <w:noProof/>
                <w:sz w:val="18"/>
                <w:szCs w:val="18"/>
              </w:rPr>
            </w:pPr>
          </w:p>
        </w:tc>
        <w:tc>
          <w:tcPr>
            <w:tcW w:w="504" w:type="dxa"/>
            <w:tcBorders>
              <w:right w:val="dashSmallGap" w:sz="4" w:space="0" w:color="auto"/>
            </w:tcBorders>
            <w:vAlign w:val="center"/>
          </w:tcPr>
          <w:p>
            <w:pPr>
              <w:ind w:right="-29"/>
              <w:jc w:val="center"/>
              <w:rPr>
                <w:noProof/>
                <w:sz w:val="18"/>
                <w:szCs w:val="18"/>
              </w:rPr>
            </w:pPr>
            <w:r>
              <w:rPr>
                <w:noProof/>
                <w:sz w:val="18"/>
              </w:rPr>
              <w:t>98</w:t>
            </w:r>
          </w:p>
        </w:tc>
        <w:tc>
          <w:tcPr>
            <w:tcW w:w="720" w:type="dxa"/>
            <w:tcBorders>
              <w:left w:val="dashSmallGap" w:sz="4" w:space="0" w:color="auto"/>
            </w:tcBorders>
            <w:vAlign w:val="center"/>
          </w:tcPr>
          <w:p>
            <w:pPr>
              <w:ind w:right="-29"/>
              <w:jc w:val="center"/>
              <w:rPr>
                <w:noProof/>
                <w:sz w:val="18"/>
                <w:szCs w:val="18"/>
              </w:rPr>
            </w:pPr>
            <w:r>
              <w:rPr>
                <w:noProof/>
                <w:sz w:val="18"/>
              </w:rPr>
              <w:t>55</w:t>
            </w:r>
          </w:p>
        </w:tc>
        <w:tc>
          <w:tcPr>
            <w:tcW w:w="540" w:type="dxa"/>
            <w:tcBorders>
              <w:right w:val="dashSmallGap" w:sz="4" w:space="0" w:color="auto"/>
            </w:tcBorders>
            <w:vAlign w:val="center"/>
          </w:tcPr>
          <w:p>
            <w:pPr>
              <w:ind w:right="-29"/>
              <w:jc w:val="center"/>
              <w:rPr>
                <w:noProof/>
                <w:sz w:val="18"/>
                <w:szCs w:val="18"/>
              </w:rPr>
            </w:pPr>
            <w:r>
              <w:rPr>
                <w:noProof/>
                <w:sz w:val="18"/>
              </w:rPr>
              <w:t>98</w:t>
            </w:r>
          </w:p>
        </w:tc>
        <w:tc>
          <w:tcPr>
            <w:tcW w:w="720" w:type="dxa"/>
            <w:tcBorders>
              <w:left w:val="dashSmallGap" w:sz="4" w:space="0" w:color="auto"/>
            </w:tcBorders>
            <w:vAlign w:val="center"/>
          </w:tcPr>
          <w:p>
            <w:pPr>
              <w:ind w:right="-29"/>
              <w:jc w:val="center"/>
              <w:rPr>
                <w:noProof/>
                <w:sz w:val="18"/>
                <w:szCs w:val="18"/>
              </w:rPr>
            </w:pPr>
            <w:r>
              <w:rPr>
                <w:noProof/>
                <w:sz w:val="18"/>
              </w:rPr>
              <w:t>55</w:t>
            </w:r>
          </w:p>
        </w:tc>
        <w:tc>
          <w:tcPr>
            <w:tcW w:w="720" w:type="dxa"/>
            <w:tcBorders>
              <w:right w:val="dashSmallGap" w:sz="4" w:space="0" w:color="auto"/>
            </w:tcBorders>
            <w:vAlign w:val="center"/>
          </w:tcPr>
          <w:p>
            <w:pPr>
              <w:ind w:right="-29"/>
              <w:jc w:val="center"/>
              <w:rPr>
                <w:noProof/>
                <w:sz w:val="18"/>
                <w:szCs w:val="18"/>
              </w:rPr>
            </w:pPr>
            <w:r>
              <w:rPr>
                <w:noProof/>
                <w:sz w:val="18"/>
              </w:rPr>
              <w:t>98</w:t>
            </w:r>
          </w:p>
        </w:tc>
        <w:tc>
          <w:tcPr>
            <w:tcW w:w="720" w:type="dxa"/>
            <w:tcBorders>
              <w:left w:val="dashSmallGap" w:sz="4" w:space="0" w:color="auto"/>
            </w:tcBorders>
            <w:vAlign w:val="center"/>
          </w:tcPr>
          <w:p>
            <w:pPr>
              <w:ind w:right="-29"/>
              <w:jc w:val="center"/>
              <w:rPr>
                <w:noProof/>
                <w:sz w:val="18"/>
                <w:szCs w:val="18"/>
              </w:rPr>
            </w:pPr>
            <w:r>
              <w:rPr>
                <w:noProof/>
                <w:sz w:val="18"/>
              </w:rPr>
              <w:t>55</w:t>
            </w:r>
          </w:p>
        </w:tc>
        <w:tc>
          <w:tcPr>
            <w:tcW w:w="972" w:type="dxa"/>
            <w:gridSpan w:val="2"/>
            <w:tcBorders>
              <w:right w:val="dashSmallGap" w:sz="4" w:space="0" w:color="auto"/>
            </w:tcBorders>
            <w:vAlign w:val="center"/>
          </w:tcPr>
          <w:p>
            <w:pPr>
              <w:ind w:right="-29"/>
              <w:jc w:val="center"/>
              <w:rPr>
                <w:noProof/>
                <w:sz w:val="18"/>
                <w:szCs w:val="18"/>
              </w:rPr>
            </w:pPr>
            <w:r>
              <w:rPr>
                <w:noProof/>
                <w:sz w:val="18"/>
              </w:rPr>
              <w:t>98</w:t>
            </w:r>
          </w:p>
        </w:tc>
        <w:tc>
          <w:tcPr>
            <w:tcW w:w="851" w:type="dxa"/>
            <w:tcBorders>
              <w:left w:val="dashSmallGap" w:sz="4" w:space="0" w:color="auto"/>
            </w:tcBorders>
            <w:vAlign w:val="center"/>
          </w:tcPr>
          <w:p>
            <w:pPr>
              <w:ind w:right="-29"/>
              <w:jc w:val="center"/>
              <w:rPr>
                <w:noProof/>
                <w:sz w:val="18"/>
                <w:szCs w:val="18"/>
              </w:rPr>
            </w:pPr>
            <w:r>
              <w:rPr>
                <w:noProof/>
                <w:sz w:val="18"/>
              </w:rPr>
              <w:t>55</w:t>
            </w:r>
          </w:p>
        </w:tc>
        <w:tc>
          <w:tcPr>
            <w:tcW w:w="337" w:type="dxa"/>
            <w:tcBorders>
              <w:right w:val="dashSmallGap" w:sz="4" w:space="0" w:color="auto"/>
            </w:tcBorders>
            <w:vAlign w:val="center"/>
          </w:tcPr>
          <w:p>
            <w:pPr>
              <w:ind w:right="-29"/>
              <w:jc w:val="center"/>
              <w:rPr>
                <w:noProof/>
                <w:sz w:val="18"/>
                <w:szCs w:val="18"/>
              </w:rPr>
            </w:pPr>
          </w:p>
        </w:tc>
        <w:tc>
          <w:tcPr>
            <w:tcW w:w="648" w:type="dxa"/>
            <w:tcBorders>
              <w:left w:val="dashSmallGap" w:sz="4" w:space="0" w:color="auto"/>
            </w:tcBorders>
            <w:vAlign w:val="center"/>
          </w:tcPr>
          <w:p>
            <w:pPr>
              <w:ind w:right="-29"/>
              <w:jc w:val="center"/>
              <w:rPr>
                <w:noProof/>
                <w:sz w:val="18"/>
                <w:szCs w:val="18"/>
              </w:rPr>
            </w:pPr>
          </w:p>
        </w:tc>
        <w:tc>
          <w:tcPr>
            <w:tcW w:w="432" w:type="dxa"/>
            <w:gridSpan w:val="2"/>
            <w:tcBorders>
              <w:right w:val="dashSmallGap" w:sz="4" w:space="0" w:color="auto"/>
            </w:tcBorders>
            <w:vAlign w:val="center"/>
          </w:tcPr>
          <w:p>
            <w:pPr>
              <w:ind w:right="-29"/>
              <w:jc w:val="center"/>
              <w:rPr>
                <w:noProof/>
                <w:sz w:val="18"/>
                <w:szCs w:val="18"/>
              </w:rPr>
            </w:pPr>
          </w:p>
        </w:tc>
        <w:tc>
          <w:tcPr>
            <w:tcW w:w="720" w:type="dxa"/>
            <w:tcBorders>
              <w:left w:val="dashSmallGap" w:sz="4" w:space="0" w:color="auto"/>
            </w:tcBorders>
            <w:vAlign w:val="center"/>
          </w:tcPr>
          <w:p>
            <w:pPr>
              <w:ind w:right="-29"/>
              <w:jc w:val="center"/>
              <w:rPr>
                <w:noProof/>
                <w:sz w:val="18"/>
                <w:szCs w:val="18"/>
              </w:rPr>
            </w:pPr>
          </w:p>
        </w:tc>
        <w:tc>
          <w:tcPr>
            <w:tcW w:w="540" w:type="dxa"/>
            <w:tcBorders>
              <w:right w:val="dashSmallGap" w:sz="4" w:space="0" w:color="auto"/>
            </w:tcBorders>
            <w:vAlign w:val="center"/>
          </w:tcPr>
          <w:p>
            <w:pPr>
              <w:ind w:right="-29"/>
              <w:jc w:val="center"/>
              <w:rPr>
                <w:noProof/>
                <w:sz w:val="18"/>
                <w:szCs w:val="18"/>
              </w:rPr>
            </w:pPr>
          </w:p>
        </w:tc>
        <w:tc>
          <w:tcPr>
            <w:tcW w:w="720" w:type="dxa"/>
            <w:tcBorders>
              <w:left w:val="dashSmallGap" w:sz="4" w:space="0" w:color="auto"/>
            </w:tcBorders>
            <w:vAlign w:val="center"/>
          </w:tcPr>
          <w:p>
            <w:pPr>
              <w:ind w:right="-29"/>
              <w:jc w:val="center"/>
              <w:rPr>
                <w:noProof/>
                <w:sz w:val="18"/>
                <w:szCs w:val="18"/>
              </w:rPr>
            </w:pPr>
          </w:p>
        </w:tc>
        <w:tc>
          <w:tcPr>
            <w:tcW w:w="720" w:type="dxa"/>
            <w:vAlign w:val="center"/>
          </w:tcPr>
          <w:p>
            <w:pPr>
              <w:ind w:right="-29"/>
              <w:jc w:val="center"/>
              <w:rPr>
                <w:noProof/>
                <w:sz w:val="18"/>
                <w:szCs w:val="18"/>
              </w:rPr>
            </w:pPr>
            <w:r>
              <w:rPr>
                <w:noProof/>
                <w:sz w:val="18"/>
              </w:rPr>
              <w:t>392</w:t>
            </w:r>
          </w:p>
        </w:tc>
        <w:tc>
          <w:tcPr>
            <w:tcW w:w="900" w:type="dxa"/>
            <w:vAlign w:val="center"/>
          </w:tcPr>
          <w:p>
            <w:pPr>
              <w:ind w:right="-29"/>
              <w:jc w:val="center"/>
              <w:rPr>
                <w:noProof/>
                <w:sz w:val="18"/>
                <w:szCs w:val="18"/>
              </w:rPr>
            </w:pPr>
            <w:r>
              <w:rPr>
                <w:noProof/>
                <w:sz w:val="18"/>
              </w:rPr>
              <w:t>220</w:t>
            </w:r>
          </w:p>
        </w:tc>
      </w:tr>
      <w:tr>
        <w:trPr>
          <w:trHeight w:hRule="exact" w:val="369"/>
          <w:jc w:val="center"/>
        </w:trPr>
        <w:tc>
          <w:tcPr>
            <w:tcW w:w="1423" w:type="dxa"/>
          </w:tcPr>
          <w:p>
            <w:pPr>
              <w:ind w:right="-29"/>
              <w:jc w:val="center"/>
              <w:rPr>
                <w:noProof/>
                <w:sz w:val="18"/>
                <w:szCs w:val="18"/>
              </w:rPr>
            </w:pPr>
            <w:r>
              <w:rPr>
                <w:noProof/>
                <w:sz w:val="18"/>
              </w:rPr>
              <w:t>- sectoral support</w:t>
            </w:r>
          </w:p>
        </w:tc>
        <w:tc>
          <w:tcPr>
            <w:tcW w:w="720" w:type="dxa"/>
          </w:tcPr>
          <w:p>
            <w:pPr>
              <w:ind w:right="-29"/>
              <w:jc w:val="center"/>
              <w:rPr>
                <w:noProof/>
                <w:sz w:val="18"/>
                <w:szCs w:val="18"/>
              </w:rPr>
            </w:pPr>
            <w:r>
              <w:rPr>
                <w:noProof/>
                <w:sz w:val="18"/>
              </w:rPr>
              <w:t>annual</w:t>
            </w:r>
          </w:p>
        </w:tc>
        <w:tc>
          <w:tcPr>
            <w:tcW w:w="701" w:type="dxa"/>
          </w:tcPr>
          <w:p>
            <w:pPr>
              <w:ind w:right="-29"/>
              <w:jc w:val="center"/>
              <w:rPr>
                <w:noProof/>
                <w:sz w:val="18"/>
                <w:szCs w:val="18"/>
              </w:rPr>
            </w:pPr>
            <w:r>
              <w:rPr>
                <w:noProof/>
                <w:sz w:val="18"/>
              </w:rPr>
              <w:t>4.125</w:t>
            </w:r>
          </w:p>
        </w:tc>
        <w:tc>
          <w:tcPr>
            <w:tcW w:w="504" w:type="dxa"/>
            <w:tcBorders>
              <w:right w:val="dashSmallGap" w:sz="4" w:space="0" w:color="auto"/>
            </w:tcBorders>
            <w:vAlign w:val="center"/>
          </w:tcPr>
          <w:p>
            <w:pPr>
              <w:ind w:right="-29"/>
              <w:jc w:val="center"/>
              <w:rPr>
                <w:noProof/>
                <w:sz w:val="18"/>
                <w:szCs w:val="18"/>
              </w:rPr>
            </w:pPr>
          </w:p>
        </w:tc>
        <w:tc>
          <w:tcPr>
            <w:tcW w:w="720" w:type="dxa"/>
            <w:tcBorders>
              <w:left w:val="dashSmallGap" w:sz="4" w:space="0" w:color="auto"/>
            </w:tcBorders>
            <w:vAlign w:val="center"/>
          </w:tcPr>
          <w:p>
            <w:pPr>
              <w:ind w:right="-29"/>
              <w:jc w:val="center"/>
              <w:rPr>
                <w:noProof/>
                <w:sz w:val="18"/>
                <w:szCs w:val="18"/>
              </w:rPr>
            </w:pPr>
            <w:r>
              <w:rPr>
                <w:noProof/>
                <w:sz w:val="18"/>
              </w:rPr>
              <w:t>4.125</w:t>
            </w:r>
          </w:p>
        </w:tc>
        <w:tc>
          <w:tcPr>
            <w:tcW w:w="540" w:type="dxa"/>
            <w:tcBorders>
              <w:right w:val="dashSmallGap" w:sz="4" w:space="0" w:color="auto"/>
            </w:tcBorders>
            <w:vAlign w:val="center"/>
          </w:tcPr>
          <w:p>
            <w:pPr>
              <w:ind w:right="-29"/>
              <w:jc w:val="center"/>
              <w:rPr>
                <w:noProof/>
                <w:sz w:val="18"/>
                <w:szCs w:val="18"/>
              </w:rPr>
            </w:pPr>
          </w:p>
        </w:tc>
        <w:tc>
          <w:tcPr>
            <w:tcW w:w="720" w:type="dxa"/>
            <w:tcBorders>
              <w:left w:val="dashSmallGap" w:sz="4" w:space="0" w:color="auto"/>
            </w:tcBorders>
            <w:vAlign w:val="center"/>
          </w:tcPr>
          <w:p>
            <w:pPr>
              <w:ind w:right="-29"/>
              <w:jc w:val="center"/>
              <w:rPr>
                <w:noProof/>
                <w:sz w:val="18"/>
                <w:szCs w:val="18"/>
              </w:rPr>
            </w:pPr>
            <w:r>
              <w:rPr>
                <w:noProof/>
                <w:sz w:val="18"/>
              </w:rPr>
              <w:t>4.125</w:t>
            </w:r>
          </w:p>
        </w:tc>
        <w:tc>
          <w:tcPr>
            <w:tcW w:w="720" w:type="dxa"/>
            <w:tcBorders>
              <w:right w:val="dashSmallGap" w:sz="4" w:space="0" w:color="auto"/>
            </w:tcBorders>
            <w:vAlign w:val="center"/>
          </w:tcPr>
          <w:p>
            <w:pPr>
              <w:ind w:right="-29"/>
              <w:jc w:val="center"/>
              <w:rPr>
                <w:noProof/>
                <w:sz w:val="18"/>
                <w:szCs w:val="18"/>
              </w:rPr>
            </w:pPr>
          </w:p>
        </w:tc>
        <w:tc>
          <w:tcPr>
            <w:tcW w:w="720" w:type="dxa"/>
            <w:tcBorders>
              <w:left w:val="dashSmallGap" w:sz="4" w:space="0" w:color="auto"/>
            </w:tcBorders>
            <w:vAlign w:val="center"/>
          </w:tcPr>
          <w:p>
            <w:pPr>
              <w:ind w:right="-29"/>
              <w:jc w:val="center"/>
              <w:rPr>
                <w:noProof/>
                <w:sz w:val="18"/>
                <w:szCs w:val="18"/>
              </w:rPr>
            </w:pPr>
            <w:r>
              <w:rPr>
                <w:noProof/>
                <w:sz w:val="18"/>
              </w:rPr>
              <w:t>4.125</w:t>
            </w:r>
          </w:p>
        </w:tc>
        <w:tc>
          <w:tcPr>
            <w:tcW w:w="972" w:type="dxa"/>
            <w:gridSpan w:val="2"/>
            <w:tcBorders>
              <w:right w:val="dashSmallGap" w:sz="4" w:space="0" w:color="auto"/>
            </w:tcBorders>
            <w:vAlign w:val="center"/>
          </w:tcPr>
          <w:p>
            <w:pPr>
              <w:ind w:right="-29"/>
              <w:jc w:val="center"/>
              <w:rPr>
                <w:noProof/>
                <w:sz w:val="18"/>
                <w:szCs w:val="18"/>
              </w:rPr>
            </w:pPr>
          </w:p>
        </w:tc>
        <w:tc>
          <w:tcPr>
            <w:tcW w:w="851" w:type="dxa"/>
            <w:tcBorders>
              <w:left w:val="dashSmallGap" w:sz="4" w:space="0" w:color="auto"/>
            </w:tcBorders>
            <w:vAlign w:val="center"/>
          </w:tcPr>
          <w:p>
            <w:pPr>
              <w:ind w:right="-29"/>
              <w:jc w:val="center"/>
              <w:rPr>
                <w:noProof/>
                <w:sz w:val="18"/>
                <w:szCs w:val="18"/>
              </w:rPr>
            </w:pPr>
            <w:r>
              <w:rPr>
                <w:noProof/>
                <w:sz w:val="18"/>
              </w:rPr>
              <w:t>4.125</w:t>
            </w:r>
          </w:p>
        </w:tc>
        <w:tc>
          <w:tcPr>
            <w:tcW w:w="337" w:type="dxa"/>
            <w:tcBorders>
              <w:right w:val="dashSmallGap" w:sz="4" w:space="0" w:color="auto"/>
            </w:tcBorders>
            <w:vAlign w:val="center"/>
          </w:tcPr>
          <w:p>
            <w:pPr>
              <w:ind w:right="-29"/>
              <w:jc w:val="center"/>
              <w:rPr>
                <w:noProof/>
                <w:sz w:val="18"/>
                <w:szCs w:val="18"/>
              </w:rPr>
            </w:pPr>
          </w:p>
        </w:tc>
        <w:tc>
          <w:tcPr>
            <w:tcW w:w="648" w:type="dxa"/>
            <w:tcBorders>
              <w:left w:val="dashSmallGap" w:sz="4" w:space="0" w:color="auto"/>
            </w:tcBorders>
            <w:vAlign w:val="center"/>
          </w:tcPr>
          <w:p>
            <w:pPr>
              <w:ind w:right="-29"/>
              <w:jc w:val="center"/>
              <w:rPr>
                <w:noProof/>
                <w:sz w:val="18"/>
                <w:szCs w:val="18"/>
              </w:rPr>
            </w:pPr>
          </w:p>
        </w:tc>
        <w:tc>
          <w:tcPr>
            <w:tcW w:w="432" w:type="dxa"/>
            <w:gridSpan w:val="2"/>
            <w:tcBorders>
              <w:right w:val="dashSmallGap" w:sz="4" w:space="0" w:color="auto"/>
            </w:tcBorders>
            <w:vAlign w:val="center"/>
          </w:tcPr>
          <w:p>
            <w:pPr>
              <w:ind w:right="-29"/>
              <w:jc w:val="center"/>
              <w:rPr>
                <w:noProof/>
                <w:sz w:val="18"/>
                <w:szCs w:val="18"/>
              </w:rPr>
            </w:pPr>
          </w:p>
        </w:tc>
        <w:tc>
          <w:tcPr>
            <w:tcW w:w="720" w:type="dxa"/>
            <w:tcBorders>
              <w:left w:val="dashSmallGap" w:sz="4" w:space="0" w:color="auto"/>
            </w:tcBorders>
            <w:vAlign w:val="center"/>
          </w:tcPr>
          <w:p>
            <w:pPr>
              <w:ind w:right="-29"/>
              <w:jc w:val="center"/>
              <w:rPr>
                <w:noProof/>
                <w:sz w:val="18"/>
                <w:szCs w:val="18"/>
              </w:rPr>
            </w:pPr>
          </w:p>
        </w:tc>
        <w:tc>
          <w:tcPr>
            <w:tcW w:w="540" w:type="dxa"/>
            <w:tcBorders>
              <w:right w:val="dashSmallGap" w:sz="4" w:space="0" w:color="auto"/>
            </w:tcBorders>
            <w:vAlign w:val="center"/>
          </w:tcPr>
          <w:p>
            <w:pPr>
              <w:ind w:right="-29"/>
              <w:jc w:val="center"/>
              <w:rPr>
                <w:noProof/>
                <w:sz w:val="18"/>
                <w:szCs w:val="18"/>
              </w:rPr>
            </w:pPr>
          </w:p>
        </w:tc>
        <w:tc>
          <w:tcPr>
            <w:tcW w:w="720" w:type="dxa"/>
            <w:tcBorders>
              <w:left w:val="dashSmallGap" w:sz="4" w:space="0" w:color="auto"/>
            </w:tcBorders>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900" w:type="dxa"/>
            <w:vAlign w:val="center"/>
          </w:tcPr>
          <w:p>
            <w:pPr>
              <w:ind w:right="-29"/>
              <w:jc w:val="center"/>
              <w:rPr>
                <w:noProof/>
                <w:sz w:val="18"/>
                <w:szCs w:val="18"/>
              </w:rPr>
            </w:pPr>
            <w:r>
              <w:rPr>
                <w:noProof/>
                <w:sz w:val="18"/>
              </w:rPr>
              <w:t>16.5</w:t>
            </w:r>
          </w:p>
        </w:tc>
      </w:tr>
      <w:tr>
        <w:trPr>
          <w:trHeight w:hRule="exact" w:val="369"/>
          <w:jc w:val="center"/>
        </w:trPr>
        <w:tc>
          <w:tcPr>
            <w:tcW w:w="1423" w:type="dxa"/>
          </w:tcPr>
          <w:p>
            <w:pPr>
              <w:ind w:right="-29"/>
              <w:jc w:val="center"/>
              <w:rPr>
                <w:noProof/>
                <w:sz w:val="18"/>
                <w:szCs w:val="18"/>
              </w:rPr>
            </w:pPr>
            <w:r>
              <w:rPr>
                <w:noProof/>
                <w:sz w:val="18"/>
              </w:rPr>
              <w:t xml:space="preserve"> </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54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972" w:type="dxa"/>
            <w:gridSpan w:val="2"/>
            <w:vAlign w:val="center"/>
          </w:tcPr>
          <w:p>
            <w:pPr>
              <w:ind w:right="-29"/>
              <w:jc w:val="center"/>
              <w:rPr>
                <w:noProof/>
                <w:sz w:val="18"/>
                <w:szCs w:val="18"/>
              </w:rPr>
            </w:pPr>
          </w:p>
        </w:tc>
        <w:tc>
          <w:tcPr>
            <w:tcW w:w="851" w:type="dxa"/>
            <w:vAlign w:val="center"/>
          </w:tcPr>
          <w:p>
            <w:pPr>
              <w:ind w:right="-29"/>
              <w:jc w:val="center"/>
              <w:rPr>
                <w:noProof/>
                <w:sz w:val="18"/>
                <w:szCs w:val="18"/>
              </w:rPr>
            </w:pPr>
          </w:p>
        </w:tc>
        <w:tc>
          <w:tcPr>
            <w:tcW w:w="337" w:type="dxa"/>
            <w:vAlign w:val="center"/>
          </w:tcPr>
          <w:p>
            <w:pPr>
              <w:ind w:right="-29"/>
              <w:jc w:val="center"/>
              <w:rPr>
                <w:noProof/>
                <w:sz w:val="18"/>
                <w:szCs w:val="18"/>
              </w:rPr>
            </w:pPr>
          </w:p>
        </w:tc>
        <w:tc>
          <w:tcPr>
            <w:tcW w:w="648" w:type="dxa"/>
            <w:vAlign w:val="center"/>
          </w:tcPr>
          <w:p>
            <w:pPr>
              <w:ind w:right="-29"/>
              <w:jc w:val="center"/>
              <w:rPr>
                <w:noProof/>
                <w:sz w:val="18"/>
                <w:szCs w:val="18"/>
              </w:rPr>
            </w:pPr>
          </w:p>
        </w:tc>
        <w:tc>
          <w:tcPr>
            <w:tcW w:w="432" w:type="dxa"/>
            <w:gridSpan w:val="2"/>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54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900" w:type="dxa"/>
            <w:vAlign w:val="center"/>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Subtotal for specific objective No 1</w:t>
            </w:r>
          </w:p>
        </w:tc>
        <w:tc>
          <w:tcPr>
            <w:tcW w:w="504" w:type="dxa"/>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r>
              <w:rPr>
                <w:noProof/>
                <w:sz w:val="18"/>
              </w:rPr>
              <w:t>59.125</w:t>
            </w:r>
          </w:p>
        </w:tc>
        <w:tc>
          <w:tcPr>
            <w:tcW w:w="540" w:type="dxa"/>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r>
              <w:rPr>
                <w:noProof/>
                <w:sz w:val="18"/>
              </w:rPr>
              <w:t>59.125</w:t>
            </w:r>
          </w:p>
        </w:tc>
        <w:tc>
          <w:tcPr>
            <w:tcW w:w="720" w:type="dxa"/>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r>
              <w:rPr>
                <w:noProof/>
                <w:sz w:val="18"/>
              </w:rPr>
              <w:t>59.125</w:t>
            </w:r>
          </w:p>
        </w:tc>
        <w:tc>
          <w:tcPr>
            <w:tcW w:w="972" w:type="dxa"/>
            <w:gridSpan w:val="2"/>
            <w:tcBorders>
              <w:bottom w:val="single" w:sz="12" w:space="0" w:color="auto"/>
            </w:tcBorders>
            <w:vAlign w:val="center"/>
          </w:tcPr>
          <w:p>
            <w:pPr>
              <w:ind w:right="-29"/>
              <w:jc w:val="center"/>
              <w:rPr>
                <w:noProof/>
                <w:sz w:val="18"/>
                <w:szCs w:val="18"/>
              </w:rPr>
            </w:pPr>
          </w:p>
        </w:tc>
        <w:tc>
          <w:tcPr>
            <w:tcW w:w="851" w:type="dxa"/>
            <w:tcBorders>
              <w:bottom w:val="single" w:sz="12" w:space="0" w:color="auto"/>
            </w:tcBorders>
            <w:vAlign w:val="center"/>
          </w:tcPr>
          <w:p>
            <w:pPr>
              <w:ind w:right="-29"/>
              <w:jc w:val="center"/>
              <w:rPr>
                <w:noProof/>
                <w:sz w:val="18"/>
                <w:szCs w:val="18"/>
              </w:rPr>
            </w:pPr>
            <w:r>
              <w:rPr>
                <w:noProof/>
                <w:sz w:val="18"/>
              </w:rPr>
              <w:t>59.125</w:t>
            </w:r>
          </w:p>
        </w:tc>
        <w:tc>
          <w:tcPr>
            <w:tcW w:w="337" w:type="dxa"/>
            <w:tcBorders>
              <w:bottom w:val="single" w:sz="12" w:space="0" w:color="auto"/>
            </w:tcBorders>
            <w:vAlign w:val="center"/>
          </w:tcPr>
          <w:p>
            <w:pPr>
              <w:ind w:right="-29"/>
              <w:jc w:val="center"/>
              <w:rPr>
                <w:noProof/>
                <w:sz w:val="18"/>
                <w:szCs w:val="18"/>
              </w:rPr>
            </w:pPr>
          </w:p>
        </w:tc>
        <w:tc>
          <w:tcPr>
            <w:tcW w:w="648" w:type="dxa"/>
            <w:tcBorders>
              <w:bottom w:val="single" w:sz="12" w:space="0" w:color="auto"/>
            </w:tcBorders>
            <w:vAlign w:val="center"/>
          </w:tcPr>
          <w:p>
            <w:pPr>
              <w:ind w:right="-29"/>
              <w:jc w:val="center"/>
              <w:rPr>
                <w:noProof/>
                <w:sz w:val="18"/>
                <w:szCs w:val="18"/>
              </w:rPr>
            </w:pPr>
          </w:p>
        </w:tc>
        <w:tc>
          <w:tcPr>
            <w:tcW w:w="432" w:type="dxa"/>
            <w:gridSpan w:val="2"/>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p>
        </w:tc>
        <w:tc>
          <w:tcPr>
            <w:tcW w:w="540" w:type="dxa"/>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p>
        </w:tc>
        <w:tc>
          <w:tcPr>
            <w:tcW w:w="900" w:type="dxa"/>
            <w:tcBorders>
              <w:bottom w:val="single" w:sz="12" w:space="0" w:color="auto"/>
            </w:tcBorders>
            <w:vAlign w:val="center"/>
          </w:tcPr>
          <w:p>
            <w:pPr>
              <w:ind w:right="-29"/>
              <w:jc w:val="center"/>
              <w:rPr>
                <w:noProof/>
                <w:sz w:val="18"/>
                <w:szCs w:val="18"/>
              </w:rPr>
            </w:pPr>
            <w:r>
              <w:rPr>
                <w:noProof/>
                <w:sz w:val="18"/>
              </w:rPr>
              <w:t>236.5</w:t>
            </w: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2…</w:t>
            </w:r>
          </w:p>
        </w:tc>
        <w:tc>
          <w:tcPr>
            <w:tcW w:w="504" w:type="dxa"/>
            <w:tcBorders>
              <w:top w:val="nil"/>
              <w:left w:val="nil"/>
              <w:bottom w:val="nil"/>
              <w:right w:val="nil"/>
            </w:tcBorders>
            <w:vAlign w:val="center"/>
          </w:tcPr>
          <w:p>
            <w:pPr>
              <w:spacing w:before="60" w:after="60"/>
              <w:ind w:right="-29"/>
              <w:jc w:val="center"/>
              <w:rPr>
                <w:noProof/>
                <w:sz w:val="18"/>
                <w:szCs w:val="18"/>
              </w:rPr>
            </w:pPr>
          </w:p>
        </w:tc>
        <w:tc>
          <w:tcPr>
            <w:tcW w:w="720" w:type="dxa"/>
            <w:tcBorders>
              <w:top w:val="nil"/>
              <w:left w:val="nil"/>
              <w:bottom w:val="nil"/>
              <w:right w:val="nil"/>
            </w:tcBorders>
            <w:vAlign w:val="center"/>
          </w:tcPr>
          <w:p>
            <w:pPr>
              <w:spacing w:before="60" w:after="60"/>
              <w:ind w:right="-29"/>
              <w:jc w:val="center"/>
              <w:rPr>
                <w:noProof/>
                <w:sz w:val="18"/>
                <w:szCs w:val="18"/>
              </w:rPr>
            </w:pPr>
          </w:p>
        </w:tc>
        <w:tc>
          <w:tcPr>
            <w:tcW w:w="540" w:type="dxa"/>
            <w:tcBorders>
              <w:top w:val="nil"/>
              <w:left w:val="nil"/>
              <w:bottom w:val="nil"/>
              <w:right w:val="nil"/>
            </w:tcBorders>
            <w:vAlign w:val="center"/>
          </w:tcPr>
          <w:p>
            <w:pPr>
              <w:spacing w:before="60" w:after="60"/>
              <w:ind w:right="-29"/>
              <w:jc w:val="center"/>
              <w:rPr>
                <w:noProof/>
                <w:sz w:val="18"/>
                <w:szCs w:val="18"/>
              </w:rPr>
            </w:pPr>
          </w:p>
        </w:tc>
        <w:tc>
          <w:tcPr>
            <w:tcW w:w="720" w:type="dxa"/>
            <w:tcBorders>
              <w:top w:val="nil"/>
              <w:left w:val="nil"/>
              <w:bottom w:val="nil"/>
              <w:right w:val="nil"/>
            </w:tcBorders>
            <w:vAlign w:val="center"/>
          </w:tcPr>
          <w:p>
            <w:pPr>
              <w:spacing w:before="60" w:after="60"/>
              <w:ind w:right="-29"/>
              <w:jc w:val="center"/>
              <w:rPr>
                <w:noProof/>
                <w:sz w:val="18"/>
                <w:szCs w:val="18"/>
              </w:rPr>
            </w:pPr>
          </w:p>
        </w:tc>
        <w:tc>
          <w:tcPr>
            <w:tcW w:w="720" w:type="dxa"/>
            <w:tcBorders>
              <w:top w:val="nil"/>
              <w:left w:val="nil"/>
              <w:bottom w:val="nil"/>
              <w:right w:val="nil"/>
            </w:tcBorders>
            <w:vAlign w:val="center"/>
          </w:tcPr>
          <w:p>
            <w:pPr>
              <w:spacing w:before="60" w:after="60"/>
              <w:ind w:right="-29"/>
              <w:jc w:val="center"/>
              <w:rPr>
                <w:noProof/>
                <w:sz w:val="18"/>
                <w:szCs w:val="18"/>
              </w:rPr>
            </w:pPr>
          </w:p>
        </w:tc>
        <w:tc>
          <w:tcPr>
            <w:tcW w:w="720" w:type="dxa"/>
            <w:tcBorders>
              <w:top w:val="nil"/>
              <w:left w:val="nil"/>
              <w:bottom w:val="nil"/>
              <w:right w:val="nil"/>
            </w:tcBorders>
            <w:vAlign w:val="center"/>
          </w:tcPr>
          <w:p>
            <w:pPr>
              <w:spacing w:before="60" w:after="60"/>
              <w:ind w:right="-29"/>
              <w:jc w:val="center"/>
              <w:rPr>
                <w:noProof/>
                <w:sz w:val="18"/>
                <w:szCs w:val="18"/>
              </w:rPr>
            </w:pPr>
          </w:p>
        </w:tc>
        <w:tc>
          <w:tcPr>
            <w:tcW w:w="972" w:type="dxa"/>
            <w:gridSpan w:val="2"/>
            <w:tcBorders>
              <w:top w:val="nil"/>
              <w:left w:val="nil"/>
              <w:bottom w:val="nil"/>
              <w:right w:val="nil"/>
            </w:tcBorders>
            <w:vAlign w:val="center"/>
          </w:tcPr>
          <w:p>
            <w:pPr>
              <w:spacing w:before="60" w:after="60"/>
              <w:ind w:right="-29"/>
              <w:jc w:val="center"/>
              <w:rPr>
                <w:noProof/>
                <w:sz w:val="18"/>
                <w:szCs w:val="18"/>
              </w:rPr>
            </w:pPr>
          </w:p>
        </w:tc>
        <w:tc>
          <w:tcPr>
            <w:tcW w:w="851" w:type="dxa"/>
            <w:tcBorders>
              <w:top w:val="nil"/>
              <w:left w:val="nil"/>
              <w:bottom w:val="nil"/>
              <w:right w:val="nil"/>
            </w:tcBorders>
            <w:vAlign w:val="center"/>
          </w:tcPr>
          <w:p>
            <w:pPr>
              <w:spacing w:before="60" w:after="60"/>
              <w:ind w:right="-29"/>
              <w:jc w:val="center"/>
              <w:rPr>
                <w:noProof/>
                <w:sz w:val="18"/>
                <w:szCs w:val="18"/>
              </w:rPr>
            </w:pPr>
          </w:p>
        </w:tc>
        <w:tc>
          <w:tcPr>
            <w:tcW w:w="337" w:type="dxa"/>
            <w:tcBorders>
              <w:top w:val="nil"/>
              <w:left w:val="nil"/>
              <w:bottom w:val="nil"/>
              <w:right w:val="nil"/>
            </w:tcBorders>
            <w:vAlign w:val="center"/>
          </w:tcPr>
          <w:p>
            <w:pPr>
              <w:spacing w:before="60" w:after="60"/>
              <w:ind w:right="-29"/>
              <w:jc w:val="center"/>
              <w:rPr>
                <w:noProof/>
                <w:sz w:val="18"/>
                <w:szCs w:val="18"/>
              </w:rPr>
            </w:pPr>
          </w:p>
        </w:tc>
        <w:tc>
          <w:tcPr>
            <w:tcW w:w="648" w:type="dxa"/>
            <w:tcBorders>
              <w:top w:val="nil"/>
              <w:left w:val="nil"/>
              <w:bottom w:val="nil"/>
              <w:right w:val="nil"/>
            </w:tcBorders>
            <w:vAlign w:val="center"/>
          </w:tcPr>
          <w:p>
            <w:pPr>
              <w:spacing w:before="60" w:after="60"/>
              <w:ind w:right="-29"/>
              <w:jc w:val="center"/>
              <w:rPr>
                <w:noProof/>
                <w:sz w:val="18"/>
                <w:szCs w:val="18"/>
              </w:rPr>
            </w:pPr>
          </w:p>
        </w:tc>
        <w:tc>
          <w:tcPr>
            <w:tcW w:w="432" w:type="dxa"/>
            <w:gridSpan w:val="2"/>
            <w:tcBorders>
              <w:top w:val="nil"/>
              <w:left w:val="nil"/>
              <w:bottom w:val="nil"/>
              <w:right w:val="nil"/>
            </w:tcBorders>
            <w:vAlign w:val="center"/>
          </w:tcPr>
          <w:p>
            <w:pPr>
              <w:spacing w:before="60" w:after="60"/>
              <w:ind w:right="-29"/>
              <w:jc w:val="center"/>
              <w:rPr>
                <w:noProof/>
                <w:sz w:val="18"/>
                <w:szCs w:val="18"/>
              </w:rPr>
            </w:pPr>
          </w:p>
        </w:tc>
        <w:tc>
          <w:tcPr>
            <w:tcW w:w="720" w:type="dxa"/>
            <w:tcBorders>
              <w:top w:val="nil"/>
              <w:left w:val="nil"/>
              <w:bottom w:val="nil"/>
              <w:right w:val="nil"/>
            </w:tcBorders>
            <w:vAlign w:val="center"/>
          </w:tcPr>
          <w:p>
            <w:pPr>
              <w:spacing w:before="60" w:after="60"/>
              <w:ind w:right="-29"/>
              <w:jc w:val="center"/>
              <w:rPr>
                <w:noProof/>
                <w:sz w:val="18"/>
                <w:szCs w:val="18"/>
              </w:rPr>
            </w:pPr>
          </w:p>
        </w:tc>
        <w:tc>
          <w:tcPr>
            <w:tcW w:w="540" w:type="dxa"/>
            <w:tcBorders>
              <w:top w:val="nil"/>
              <w:left w:val="nil"/>
              <w:bottom w:val="nil"/>
              <w:right w:val="nil"/>
            </w:tcBorders>
            <w:vAlign w:val="center"/>
          </w:tcPr>
          <w:p>
            <w:pPr>
              <w:spacing w:before="60" w:after="60"/>
              <w:ind w:right="-29"/>
              <w:jc w:val="center"/>
              <w:rPr>
                <w:noProof/>
                <w:sz w:val="18"/>
                <w:szCs w:val="18"/>
              </w:rPr>
            </w:pPr>
          </w:p>
        </w:tc>
        <w:tc>
          <w:tcPr>
            <w:tcW w:w="720" w:type="dxa"/>
            <w:tcBorders>
              <w:top w:val="nil"/>
              <w:left w:val="nil"/>
              <w:bottom w:val="nil"/>
              <w:right w:val="nil"/>
            </w:tcBorders>
            <w:vAlign w:val="center"/>
          </w:tcPr>
          <w:p>
            <w:pPr>
              <w:spacing w:before="60" w:after="60"/>
              <w:ind w:right="-29"/>
              <w:jc w:val="center"/>
              <w:rPr>
                <w:noProof/>
                <w:sz w:val="18"/>
                <w:szCs w:val="18"/>
              </w:rPr>
            </w:pPr>
          </w:p>
        </w:tc>
        <w:tc>
          <w:tcPr>
            <w:tcW w:w="720" w:type="dxa"/>
            <w:tcBorders>
              <w:top w:val="nil"/>
              <w:left w:val="nil"/>
              <w:bottom w:val="nil"/>
              <w:right w:val="nil"/>
            </w:tcBorders>
            <w:vAlign w:val="center"/>
          </w:tcPr>
          <w:p>
            <w:pPr>
              <w:spacing w:before="60" w:after="60"/>
              <w:ind w:right="-29"/>
              <w:jc w:val="center"/>
              <w:rPr>
                <w:noProof/>
                <w:sz w:val="18"/>
                <w:szCs w:val="18"/>
              </w:rPr>
            </w:pPr>
          </w:p>
        </w:tc>
        <w:tc>
          <w:tcPr>
            <w:tcW w:w="900" w:type="dxa"/>
            <w:tcBorders>
              <w:top w:val="nil"/>
              <w:left w:val="nil"/>
              <w:bottom w:val="nil"/>
              <w:right w:val="nil"/>
            </w:tcBorders>
            <w:vAlign w:val="center"/>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54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972" w:type="dxa"/>
            <w:gridSpan w:val="2"/>
            <w:vAlign w:val="center"/>
          </w:tcPr>
          <w:p>
            <w:pPr>
              <w:ind w:right="-29"/>
              <w:jc w:val="center"/>
              <w:rPr>
                <w:noProof/>
                <w:sz w:val="18"/>
                <w:szCs w:val="18"/>
              </w:rPr>
            </w:pPr>
          </w:p>
        </w:tc>
        <w:tc>
          <w:tcPr>
            <w:tcW w:w="851" w:type="dxa"/>
            <w:vAlign w:val="center"/>
          </w:tcPr>
          <w:p>
            <w:pPr>
              <w:ind w:right="-29"/>
              <w:jc w:val="center"/>
              <w:rPr>
                <w:noProof/>
                <w:sz w:val="18"/>
                <w:szCs w:val="18"/>
              </w:rPr>
            </w:pPr>
          </w:p>
        </w:tc>
        <w:tc>
          <w:tcPr>
            <w:tcW w:w="337" w:type="dxa"/>
            <w:vAlign w:val="center"/>
          </w:tcPr>
          <w:p>
            <w:pPr>
              <w:ind w:right="-29"/>
              <w:jc w:val="center"/>
              <w:rPr>
                <w:noProof/>
                <w:sz w:val="18"/>
                <w:szCs w:val="18"/>
              </w:rPr>
            </w:pPr>
          </w:p>
        </w:tc>
        <w:tc>
          <w:tcPr>
            <w:tcW w:w="648" w:type="dxa"/>
            <w:vAlign w:val="center"/>
          </w:tcPr>
          <w:p>
            <w:pPr>
              <w:ind w:right="-29"/>
              <w:jc w:val="center"/>
              <w:rPr>
                <w:noProof/>
                <w:sz w:val="18"/>
                <w:szCs w:val="18"/>
              </w:rPr>
            </w:pPr>
          </w:p>
        </w:tc>
        <w:tc>
          <w:tcPr>
            <w:tcW w:w="432" w:type="dxa"/>
            <w:gridSpan w:val="2"/>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54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900" w:type="dxa"/>
            <w:vAlign w:val="center"/>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Subtotal for specific objective No 2</w:t>
            </w:r>
          </w:p>
        </w:tc>
        <w:tc>
          <w:tcPr>
            <w:tcW w:w="504" w:type="dxa"/>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p>
        </w:tc>
        <w:tc>
          <w:tcPr>
            <w:tcW w:w="540" w:type="dxa"/>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p>
        </w:tc>
        <w:tc>
          <w:tcPr>
            <w:tcW w:w="951" w:type="dxa"/>
            <w:tcBorders>
              <w:bottom w:val="single" w:sz="12" w:space="0" w:color="auto"/>
            </w:tcBorders>
            <w:vAlign w:val="center"/>
          </w:tcPr>
          <w:p>
            <w:pPr>
              <w:ind w:right="-29"/>
              <w:jc w:val="center"/>
              <w:rPr>
                <w:noProof/>
                <w:sz w:val="18"/>
                <w:szCs w:val="18"/>
              </w:rPr>
            </w:pPr>
          </w:p>
        </w:tc>
        <w:tc>
          <w:tcPr>
            <w:tcW w:w="872" w:type="dxa"/>
            <w:gridSpan w:val="2"/>
            <w:tcBorders>
              <w:bottom w:val="single" w:sz="12" w:space="0" w:color="auto"/>
            </w:tcBorders>
            <w:vAlign w:val="center"/>
          </w:tcPr>
          <w:p>
            <w:pPr>
              <w:ind w:right="-29"/>
              <w:jc w:val="center"/>
              <w:rPr>
                <w:noProof/>
                <w:sz w:val="18"/>
                <w:szCs w:val="18"/>
              </w:rPr>
            </w:pPr>
          </w:p>
        </w:tc>
        <w:tc>
          <w:tcPr>
            <w:tcW w:w="337" w:type="dxa"/>
            <w:tcBorders>
              <w:bottom w:val="single" w:sz="12" w:space="0" w:color="auto"/>
            </w:tcBorders>
            <w:vAlign w:val="center"/>
          </w:tcPr>
          <w:p>
            <w:pPr>
              <w:ind w:right="-29"/>
              <w:jc w:val="center"/>
              <w:rPr>
                <w:noProof/>
                <w:sz w:val="18"/>
                <w:szCs w:val="18"/>
              </w:rPr>
            </w:pPr>
          </w:p>
        </w:tc>
        <w:tc>
          <w:tcPr>
            <w:tcW w:w="648" w:type="dxa"/>
            <w:tcBorders>
              <w:bottom w:val="single" w:sz="12" w:space="0" w:color="auto"/>
            </w:tcBorders>
            <w:vAlign w:val="center"/>
          </w:tcPr>
          <w:p>
            <w:pPr>
              <w:ind w:right="-29"/>
              <w:jc w:val="center"/>
              <w:rPr>
                <w:noProof/>
                <w:sz w:val="18"/>
                <w:szCs w:val="18"/>
              </w:rPr>
            </w:pPr>
          </w:p>
        </w:tc>
        <w:tc>
          <w:tcPr>
            <w:tcW w:w="432" w:type="dxa"/>
            <w:gridSpan w:val="2"/>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p>
        </w:tc>
        <w:tc>
          <w:tcPr>
            <w:tcW w:w="540" w:type="dxa"/>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p>
        </w:tc>
        <w:tc>
          <w:tcPr>
            <w:tcW w:w="900" w:type="dxa"/>
            <w:tcBorders>
              <w:bottom w:val="single" w:sz="12" w:space="0" w:color="auto"/>
            </w:tcBorders>
            <w:vAlign w:val="center"/>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highlight w:val="yellow"/>
              </w:rPr>
            </w:pPr>
            <w:r>
              <w:rPr>
                <w:b/>
                <w:noProof/>
                <w:sz w:val="18"/>
              </w:rPr>
              <w:t>TOTAL COST</w:t>
            </w:r>
          </w:p>
        </w:tc>
        <w:tc>
          <w:tcPr>
            <w:tcW w:w="504" w:type="dxa"/>
            <w:tcBorders>
              <w:top w:val="single" w:sz="12" w:space="0" w:color="auto"/>
              <w:bottom w:val="single" w:sz="12" w:space="0" w:color="auto"/>
            </w:tcBorders>
            <w:vAlign w:val="center"/>
          </w:tcPr>
          <w:p>
            <w:pPr>
              <w:spacing w:before="180" w:after="180"/>
              <w:ind w:right="-29"/>
              <w:jc w:val="center"/>
              <w:rPr>
                <w:noProof/>
                <w:sz w:val="18"/>
                <w:szCs w:val="18"/>
                <w:highlight w:val="yellow"/>
              </w:rPr>
            </w:pPr>
          </w:p>
        </w:tc>
        <w:tc>
          <w:tcPr>
            <w:tcW w:w="720" w:type="dxa"/>
            <w:tcBorders>
              <w:top w:val="single" w:sz="12" w:space="0" w:color="auto"/>
              <w:bottom w:val="single" w:sz="12" w:space="0" w:color="auto"/>
            </w:tcBorders>
            <w:vAlign w:val="center"/>
          </w:tcPr>
          <w:p>
            <w:pPr>
              <w:ind w:right="-29"/>
              <w:jc w:val="center"/>
              <w:rPr>
                <w:noProof/>
                <w:sz w:val="18"/>
                <w:szCs w:val="18"/>
              </w:rPr>
            </w:pPr>
            <w:r>
              <w:rPr>
                <w:noProof/>
                <w:sz w:val="18"/>
              </w:rPr>
              <w:t>59.125</w:t>
            </w:r>
          </w:p>
        </w:tc>
        <w:tc>
          <w:tcPr>
            <w:tcW w:w="540" w:type="dxa"/>
            <w:tcBorders>
              <w:top w:val="single" w:sz="12" w:space="0" w:color="auto"/>
              <w:bottom w:val="single" w:sz="12" w:space="0" w:color="auto"/>
            </w:tcBorders>
            <w:vAlign w:val="center"/>
          </w:tcPr>
          <w:p>
            <w:pPr>
              <w:ind w:right="-29"/>
              <w:jc w:val="center"/>
              <w:rPr>
                <w:noProof/>
                <w:sz w:val="18"/>
                <w:szCs w:val="18"/>
              </w:rPr>
            </w:pPr>
          </w:p>
        </w:tc>
        <w:tc>
          <w:tcPr>
            <w:tcW w:w="720" w:type="dxa"/>
            <w:tcBorders>
              <w:top w:val="single" w:sz="12" w:space="0" w:color="auto"/>
              <w:bottom w:val="single" w:sz="12" w:space="0" w:color="auto"/>
            </w:tcBorders>
            <w:vAlign w:val="center"/>
          </w:tcPr>
          <w:p>
            <w:pPr>
              <w:ind w:right="-29"/>
              <w:jc w:val="center"/>
              <w:rPr>
                <w:noProof/>
                <w:sz w:val="18"/>
                <w:szCs w:val="18"/>
              </w:rPr>
            </w:pPr>
            <w:r>
              <w:rPr>
                <w:noProof/>
                <w:sz w:val="18"/>
              </w:rPr>
              <w:t>59.125</w:t>
            </w:r>
          </w:p>
        </w:tc>
        <w:tc>
          <w:tcPr>
            <w:tcW w:w="720" w:type="dxa"/>
            <w:tcBorders>
              <w:top w:val="single" w:sz="12" w:space="0" w:color="auto"/>
              <w:bottom w:val="single" w:sz="12" w:space="0" w:color="auto"/>
            </w:tcBorders>
            <w:vAlign w:val="center"/>
          </w:tcPr>
          <w:p>
            <w:pPr>
              <w:ind w:right="-29"/>
              <w:jc w:val="center"/>
              <w:rPr>
                <w:noProof/>
                <w:sz w:val="18"/>
                <w:szCs w:val="18"/>
              </w:rPr>
            </w:pPr>
          </w:p>
        </w:tc>
        <w:tc>
          <w:tcPr>
            <w:tcW w:w="720" w:type="dxa"/>
            <w:tcBorders>
              <w:top w:val="single" w:sz="12" w:space="0" w:color="auto"/>
              <w:bottom w:val="single" w:sz="12" w:space="0" w:color="auto"/>
            </w:tcBorders>
            <w:vAlign w:val="center"/>
          </w:tcPr>
          <w:p>
            <w:pPr>
              <w:ind w:right="-29"/>
              <w:jc w:val="center"/>
              <w:rPr>
                <w:noProof/>
                <w:sz w:val="18"/>
                <w:szCs w:val="18"/>
              </w:rPr>
            </w:pPr>
            <w:r>
              <w:rPr>
                <w:noProof/>
                <w:sz w:val="18"/>
              </w:rPr>
              <w:t>59.125</w:t>
            </w:r>
          </w:p>
        </w:tc>
        <w:tc>
          <w:tcPr>
            <w:tcW w:w="972" w:type="dxa"/>
            <w:gridSpan w:val="2"/>
            <w:tcBorders>
              <w:top w:val="single" w:sz="12" w:space="0" w:color="auto"/>
              <w:bottom w:val="single" w:sz="12" w:space="0" w:color="auto"/>
            </w:tcBorders>
            <w:vAlign w:val="center"/>
          </w:tcPr>
          <w:p>
            <w:pPr>
              <w:ind w:right="-29"/>
              <w:jc w:val="center"/>
              <w:rPr>
                <w:noProof/>
                <w:sz w:val="18"/>
                <w:szCs w:val="18"/>
              </w:rPr>
            </w:pPr>
          </w:p>
        </w:tc>
        <w:tc>
          <w:tcPr>
            <w:tcW w:w="851" w:type="dxa"/>
            <w:tcBorders>
              <w:top w:val="single" w:sz="12" w:space="0" w:color="auto"/>
              <w:bottom w:val="single" w:sz="12" w:space="0" w:color="auto"/>
            </w:tcBorders>
            <w:vAlign w:val="center"/>
          </w:tcPr>
          <w:p>
            <w:pPr>
              <w:ind w:right="-29"/>
              <w:jc w:val="center"/>
              <w:rPr>
                <w:noProof/>
                <w:sz w:val="18"/>
                <w:szCs w:val="18"/>
              </w:rPr>
            </w:pPr>
            <w:r>
              <w:rPr>
                <w:noProof/>
                <w:sz w:val="18"/>
              </w:rPr>
              <w:t>59.125</w:t>
            </w:r>
          </w:p>
        </w:tc>
        <w:tc>
          <w:tcPr>
            <w:tcW w:w="337" w:type="dxa"/>
            <w:tcBorders>
              <w:top w:val="single" w:sz="12" w:space="0" w:color="auto"/>
              <w:bottom w:val="single" w:sz="12" w:space="0" w:color="auto"/>
            </w:tcBorders>
            <w:vAlign w:val="center"/>
          </w:tcPr>
          <w:p>
            <w:pPr>
              <w:ind w:right="-29"/>
              <w:jc w:val="center"/>
              <w:rPr>
                <w:noProof/>
                <w:sz w:val="18"/>
                <w:szCs w:val="18"/>
              </w:rPr>
            </w:pPr>
          </w:p>
        </w:tc>
        <w:tc>
          <w:tcPr>
            <w:tcW w:w="648" w:type="dxa"/>
            <w:tcBorders>
              <w:top w:val="single" w:sz="12" w:space="0" w:color="auto"/>
              <w:bottom w:val="single" w:sz="12" w:space="0" w:color="auto"/>
            </w:tcBorders>
            <w:vAlign w:val="center"/>
          </w:tcPr>
          <w:p>
            <w:pPr>
              <w:ind w:right="-29"/>
              <w:jc w:val="center"/>
              <w:rPr>
                <w:noProof/>
                <w:sz w:val="18"/>
                <w:szCs w:val="18"/>
              </w:rPr>
            </w:pPr>
          </w:p>
        </w:tc>
        <w:tc>
          <w:tcPr>
            <w:tcW w:w="432" w:type="dxa"/>
            <w:gridSpan w:val="2"/>
            <w:tcBorders>
              <w:top w:val="single" w:sz="12" w:space="0" w:color="auto"/>
              <w:bottom w:val="single" w:sz="12" w:space="0" w:color="auto"/>
            </w:tcBorders>
            <w:vAlign w:val="center"/>
          </w:tcPr>
          <w:p>
            <w:pPr>
              <w:ind w:right="-29"/>
              <w:jc w:val="center"/>
              <w:rPr>
                <w:noProof/>
                <w:sz w:val="18"/>
                <w:szCs w:val="18"/>
              </w:rPr>
            </w:pPr>
          </w:p>
        </w:tc>
        <w:tc>
          <w:tcPr>
            <w:tcW w:w="720" w:type="dxa"/>
            <w:tcBorders>
              <w:top w:val="single" w:sz="12" w:space="0" w:color="auto"/>
              <w:bottom w:val="single" w:sz="12" w:space="0" w:color="auto"/>
            </w:tcBorders>
            <w:vAlign w:val="center"/>
          </w:tcPr>
          <w:p>
            <w:pPr>
              <w:ind w:right="-29"/>
              <w:jc w:val="center"/>
              <w:rPr>
                <w:noProof/>
                <w:sz w:val="18"/>
                <w:szCs w:val="18"/>
              </w:rPr>
            </w:pPr>
          </w:p>
        </w:tc>
        <w:tc>
          <w:tcPr>
            <w:tcW w:w="540" w:type="dxa"/>
            <w:tcBorders>
              <w:top w:val="single" w:sz="12" w:space="0" w:color="auto"/>
              <w:bottom w:val="single" w:sz="12" w:space="0" w:color="auto"/>
            </w:tcBorders>
            <w:vAlign w:val="center"/>
          </w:tcPr>
          <w:p>
            <w:pPr>
              <w:ind w:right="-29"/>
              <w:jc w:val="center"/>
              <w:rPr>
                <w:noProof/>
                <w:sz w:val="18"/>
                <w:szCs w:val="18"/>
              </w:rPr>
            </w:pPr>
          </w:p>
        </w:tc>
        <w:tc>
          <w:tcPr>
            <w:tcW w:w="720" w:type="dxa"/>
            <w:tcBorders>
              <w:top w:val="single" w:sz="12" w:space="0" w:color="auto"/>
              <w:bottom w:val="single" w:sz="12" w:space="0" w:color="auto"/>
            </w:tcBorders>
            <w:vAlign w:val="center"/>
          </w:tcPr>
          <w:p>
            <w:pPr>
              <w:ind w:right="-29"/>
              <w:jc w:val="center"/>
              <w:rPr>
                <w:noProof/>
                <w:sz w:val="18"/>
                <w:szCs w:val="18"/>
              </w:rPr>
            </w:pPr>
          </w:p>
        </w:tc>
        <w:tc>
          <w:tcPr>
            <w:tcW w:w="720" w:type="dxa"/>
            <w:tcBorders>
              <w:top w:val="single" w:sz="12" w:space="0" w:color="auto"/>
              <w:bottom w:val="single" w:sz="12" w:space="0" w:color="auto"/>
            </w:tcBorders>
            <w:vAlign w:val="center"/>
          </w:tcPr>
          <w:p>
            <w:pPr>
              <w:ind w:right="-29"/>
              <w:jc w:val="center"/>
              <w:rPr>
                <w:noProof/>
                <w:sz w:val="18"/>
                <w:szCs w:val="18"/>
              </w:rPr>
            </w:pPr>
          </w:p>
        </w:tc>
        <w:tc>
          <w:tcPr>
            <w:tcW w:w="900" w:type="dxa"/>
            <w:tcBorders>
              <w:top w:val="single" w:sz="12" w:space="0" w:color="auto"/>
              <w:bottom w:val="single" w:sz="12" w:space="0" w:color="auto"/>
              <w:right w:val="single" w:sz="12" w:space="0" w:color="auto"/>
            </w:tcBorders>
            <w:vAlign w:val="center"/>
          </w:tcPr>
          <w:p>
            <w:pPr>
              <w:ind w:right="-29"/>
              <w:jc w:val="center"/>
              <w:rPr>
                <w:noProof/>
                <w:sz w:val="18"/>
                <w:szCs w:val="18"/>
              </w:rPr>
            </w:pPr>
            <w:r>
              <w:rPr>
                <w:noProof/>
                <w:sz w:val="18"/>
              </w:rPr>
              <w:t>236.5</w:t>
            </w: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7.2.3.</w:t>
      </w:r>
      <w:r>
        <w:tab/>
      </w:r>
      <w:r>
        <w:rPr>
          <w:noProof/>
        </w:rPr>
        <w:t>Estimated impact on appropriations of an administrative nature</w:t>
      </w:r>
    </w:p>
    <w:p>
      <w:pPr>
        <w:pStyle w:val="ManualHeading4"/>
        <w:rPr>
          <w:noProof/>
        </w:rPr>
      </w:pPr>
      <w:r>
        <w:t>7.2.3.1.</w:t>
      </w:r>
      <w:r>
        <w:tab/>
      </w:r>
      <w:r>
        <w:rPr>
          <w:noProof/>
        </w:rPr>
        <w:t xml:space="preserve">Executive summary </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t>x</w:t>
      </w:r>
      <w:r>
        <w:rPr>
          <w:noProof/>
        </w:rPr>
        <w:tab/>
        <w:t>The proposal/initiative requires the use of appropriations of an administrative nature, as explained below:</w:t>
      </w:r>
    </w:p>
    <w:p>
      <w:pPr>
        <w:rPr>
          <w:noProof/>
          <w:sz w:val="20"/>
        </w:rPr>
      </w:pPr>
      <w:r>
        <w:rPr>
          <w:noProof/>
          <w:sz w:val="20"/>
        </w:rPr>
        <w:t>EUR million (to three decimal places)</w:t>
      </w: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tcPr>
          <w:p>
            <w:pPr>
              <w:spacing w:before="60" w:after="60" w:line="200" w:lineRule="exact"/>
              <w:rPr>
                <w:noProof/>
                <w:sz w:val="16"/>
                <w:szCs w:val="16"/>
              </w:rPr>
            </w:pPr>
          </w:p>
        </w:tc>
        <w:tc>
          <w:tcPr>
            <w:tcW w:w="1080" w:type="dxa"/>
            <w:vAlign w:val="center"/>
          </w:tcPr>
          <w:p>
            <w:pPr>
              <w:jc w:val="center"/>
              <w:rPr>
                <w:noProof/>
                <w:sz w:val="20"/>
              </w:rPr>
            </w:pPr>
            <w:r>
              <w:rPr>
                <w:noProof/>
                <w:sz w:val="20"/>
              </w:rPr>
              <w:t>Year</w:t>
            </w:r>
            <w:r>
              <w:rPr>
                <w:noProof/>
                <w:sz w:val="20"/>
              </w:rPr>
              <w:br/>
            </w:r>
            <w:r>
              <w:rPr>
                <w:b/>
                <w:noProof/>
                <w:sz w:val="20"/>
              </w:rPr>
              <w:t>2015</w:t>
            </w:r>
          </w:p>
        </w:tc>
        <w:tc>
          <w:tcPr>
            <w:tcW w:w="1080" w:type="dxa"/>
            <w:vAlign w:val="center"/>
          </w:tcPr>
          <w:p>
            <w:pPr>
              <w:jc w:val="center"/>
              <w:rPr>
                <w:noProof/>
                <w:sz w:val="20"/>
              </w:rPr>
            </w:pPr>
            <w:r>
              <w:rPr>
                <w:noProof/>
                <w:sz w:val="20"/>
              </w:rPr>
              <w:t>Year</w:t>
            </w:r>
            <w:r>
              <w:rPr>
                <w:noProof/>
                <w:sz w:val="20"/>
              </w:rPr>
              <w:br/>
            </w:r>
            <w:r>
              <w:rPr>
                <w:b/>
                <w:noProof/>
                <w:sz w:val="20"/>
              </w:rPr>
              <w:t>2016</w:t>
            </w:r>
          </w:p>
        </w:tc>
        <w:tc>
          <w:tcPr>
            <w:tcW w:w="1080" w:type="dxa"/>
            <w:vAlign w:val="center"/>
          </w:tcPr>
          <w:p>
            <w:pPr>
              <w:jc w:val="center"/>
              <w:rPr>
                <w:noProof/>
                <w:sz w:val="20"/>
              </w:rPr>
            </w:pPr>
            <w:r>
              <w:rPr>
                <w:noProof/>
                <w:sz w:val="20"/>
              </w:rPr>
              <w:t>Year</w:t>
            </w:r>
            <w:r>
              <w:rPr>
                <w:noProof/>
                <w:sz w:val="20"/>
              </w:rPr>
              <w:br/>
            </w:r>
            <w:r>
              <w:rPr>
                <w:b/>
                <w:noProof/>
                <w:sz w:val="20"/>
              </w:rPr>
              <w:t>2017</w:t>
            </w:r>
          </w:p>
        </w:tc>
        <w:tc>
          <w:tcPr>
            <w:tcW w:w="1080" w:type="dxa"/>
            <w:vAlign w:val="center"/>
          </w:tcPr>
          <w:p>
            <w:pPr>
              <w:jc w:val="center"/>
              <w:rPr>
                <w:noProof/>
                <w:sz w:val="20"/>
              </w:rPr>
            </w:pPr>
            <w:r>
              <w:rPr>
                <w:noProof/>
                <w:sz w:val="20"/>
              </w:rPr>
              <w:t>Year</w:t>
            </w:r>
            <w:r>
              <w:rPr>
                <w:noProof/>
                <w:sz w:val="20"/>
              </w:rPr>
              <w:br/>
            </w:r>
            <w:r>
              <w:rPr>
                <w:b/>
                <w:noProof/>
                <w:sz w:val="20"/>
              </w:rPr>
              <w:t>2018</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5</w:t>
            </w:r>
            <w:r>
              <w:rPr>
                <w:noProof/>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20" w:after="20"/>
              <w:jc w:val="center"/>
              <w:rPr>
                <w:noProof/>
                <w:sz w:val="16"/>
                <w:szCs w:val="16"/>
              </w:rPr>
            </w:pPr>
            <w:r>
              <w:rPr>
                <w:noProof/>
                <w:sz w:val="16"/>
              </w:rPr>
              <w:t>0.210</w:t>
            </w:r>
          </w:p>
        </w:tc>
        <w:tc>
          <w:tcPr>
            <w:tcW w:w="1080" w:type="dxa"/>
            <w:vAlign w:val="center"/>
          </w:tcPr>
          <w:p>
            <w:pPr>
              <w:spacing w:before="20" w:after="20"/>
              <w:jc w:val="center"/>
              <w:rPr>
                <w:noProof/>
                <w:sz w:val="16"/>
                <w:szCs w:val="16"/>
              </w:rPr>
            </w:pPr>
            <w:r>
              <w:rPr>
                <w:noProof/>
                <w:sz w:val="16"/>
              </w:rPr>
              <w:t>0.210</w:t>
            </w:r>
          </w:p>
        </w:tc>
        <w:tc>
          <w:tcPr>
            <w:tcW w:w="1080" w:type="dxa"/>
            <w:vAlign w:val="center"/>
          </w:tcPr>
          <w:p>
            <w:pPr>
              <w:spacing w:before="20" w:after="20"/>
              <w:jc w:val="center"/>
              <w:rPr>
                <w:noProof/>
                <w:sz w:val="16"/>
                <w:szCs w:val="16"/>
              </w:rPr>
            </w:pPr>
            <w:r>
              <w:rPr>
                <w:noProof/>
                <w:sz w:val="16"/>
              </w:rPr>
              <w:t>0.210</w:t>
            </w:r>
          </w:p>
        </w:tc>
        <w:tc>
          <w:tcPr>
            <w:tcW w:w="1080" w:type="dxa"/>
            <w:vAlign w:val="center"/>
          </w:tcPr>
          <w:p>
            <w:pPr>
              <w:spacing w:before="20" w:after="20"/>
              <w:jc w:val="center"/>
              <w:rPr>
                <w:noProof/>
                <w:sz w:val="16"/>
                <w:szCs w:val="16"/>
              </w:rPr>
            </w:pPr>
            <w:r>
              <w:rPr>
                <w:noProof/>
                <w:sz w:val="16"/>
              </w:rPr>
              <w:t>0.210</w:t>
            </w:r>
          </w:p>
        </w:tc>
        <w:tc>
          <w:tcPr>
            <w:tcW w:w="1080" w:type="dxa"/>
            <w:vAlign w:val="center"/>
          </w:tcPr>
          <w:p>
            <w:pPr>
              <w:spacing w:before="20" w:after="20"/>
              <w:jc w:val="center"/>
              <w:rPr>
                <w:b/>
                <w:noProof/>
                <w:sz w:val="16"/>
                <w:szCs w:val="16"/>
              </w:rPr>
            </w:pPr>
            <w:r>
              <w:rPr>
                <w:b/>
                <w:noProof/>
                <w:sz w:val="16"/>
              </w:rPr>
              <w:t>0.840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60" w:after="60" w:line="200" w:lineRule="exact"/>
              <w:jc w:val="center"/>
              <w:rPr>
                <w:noProof/>
                <w:sz w:val="16"/>
                <w:szCs w:val="16"/>
              </w:rPr>
            </w:pPr>
            <w:r>
              <w:rPr>
                <w:noProof/>
                <w:sz w:val="16"/>
              </w:rPr>
              <w:t>0.03</w:t>
            </w:r>
          </w:p>
        </w:tc>
        <w:tc>
          <w:tcPr>
            <w:tcW w:w="1080" w:type="dxa"/>
            <w:vAlign w:val="center"/>
          </w:tcPr>
          <w:p>
            <w:pPr>
              <w:spacing w:before="60" w:after="60" w:line="200" w:lineRule="exact"/>
              <w:jc w:val="center"/>
              <w:rPr>
                <w:noProof/>
                <w:sz w:val="16"/>
                <w:szCs w:val="16"/>
              </w:rPr>
            </w:pPr>
            <w:r>
              <w:rPr>
                <w:noProof/>
                <w:sz w:val="16"/>
              </w:rPr>
              <w:t>0.03</w:t>
            </w:r>
          </w:p>
        </w:tc>
        <w:tc>
          <w:tcPr>
            <w:tcW w:w="1080" w:type="dxa"/>
            <w:vAlign w:val="center"/>
          </w:tcPr>
          <w:p>
            <w:pPr>
              <w:spacing w:before="60" w:after="60" w:line="200" w:lineRule="exact"/>
              <w:jc w:val="center"/>
              <w:rPr>
                <w:noProof/>
                <w:sz w:val="16"/>
                <w:szCs w:val="16"/>
              </w:rPr>
            </w:pPr>
            <w:r>
              <w:rPr>
                <w:noProof/>
                <w:sz w:val="16"/>
              </w:rPr>
              <w:t>0.03</w:t>
            </w:r>
          </w:p>
        </w:tc>
        <w:tc>
          <w:tcPr>
            <w:tcW w:w="1080" w:type="dxa"/>
            <w:vAlign w:val="center"/>
          </w:tcPr>
          <w:p>
            <w:pPr>
              <w:spacing w:before="60" w:after="60" w:line="200" w:lineRule="exact"/>
              <w:jc w:val="center"/>
              <w:rPr>
                <w:noProof/>
                <w:sz w:val="16"/>
                <w:szCs w:val="16"/>
              </w:rPr>
            </w:pPr>
            <w:r>
              <w:rPr>
                <w:noProof/>
                <w:sz w:val="16"/>
              </w:rPr>
              <w:t>0.03</w:t>
            </w:r>
          </w:p>
        </w:tc>
        <w:tc>
          <w:tcPr>
            <w:tcW w:w="1080" w:type="dxa"/>
            <w:vAlign w:val="center"/>
          </w:tcPr>
          <w:p>
            <w:pPr>
              <w:spacing w:before="60" w:after="60" w:line="200" w:lineRule="exact"/>
              <w:jc w:val="center"/>
              <w:rPr>
                <w:b/>
                <w:noProof/>
                <w:sz w:val="16"/>
                <w:szCs w:val="16"/>
              </w:rPr>
            </w:pPr>
            <w:r>
              <w:rPr>
                <w:b/>
                <w:noProof/>
                <w:sz w:val="16"/>
              </w:rPr>
              <w:t>0.12</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5</w:t>
            </w:r>
            <w:r>
              <w:rPr>
                <w:noProof/>
              </w:rPr>
              <w:br/>
            </w:r>
            <w:r>
              <w:rPr>
                <w:b/>
                <w:noProof/>
                <w:sz w:val="16"/>
              </w:rPr>
              <w:t xml:space="preserve">of the multiannual financial framework </w:t>
            </w:r>
          </w:p>
        </w:tc>
        <w:tc>
          <w:tcPr>
            <w:tcW w:w="1080" w:type="dxa"/>
            <w:vAlign w:val="center"/>
          </w:tcPr>
          <w:p>
            <w:pPr>
              <w:spacing w:before="60" w:after="60" w:line="200" w:lineRule="exact"/>
              <w:jc w:val="center"/>
              <w:rPr>
                <w:noProof/>
                <w:sz w:val="16"/>
                <w:szCs w:val="16"/>
              </w:rPr>
            </w:pPr>
            <w:r>
              <w:rPr>
                <w:noProof/>
                <w:sz w:val="16"/>
              </w:rPr>
              <w:t>0.240</w:t>
            </w:r>
          </w:p>
        </w:tc>
        <w:tc>
          <w:tcPr>
            <w:tcW w:w="1080" w:type="dxa"/>
            <w:vAlign w:val="center"/>
          </w:tcPr>
          <w:p>
            <w:pPr>
              <w:jc w:val="center"/>
              <w:rPr>
                <w:noProof/>
              </w:rPr>
            </w:pPr>
            <w:r>
              <w:rPr>
                <w:noProof/>
                <w:sz w:val="16"/>
              </w:rPr>
              <w:t>0.240</w:t>
            </w:r>
          </w:p>
        </w:tc>
        <w:tc>
          <w:tcPr>
            <w:tcW w:w="1080" w:type="dxa"/>
            <w:vAlign w:val="center"/>
          </w:tcPr>
          <w:p>
            <w:pPr>
              <w:jc w:val="center"/>
              <w:rPr>
                <w:noProof/>
              </w:rPr>
            </w:pPr>
            <w:r>
              <w:rPr>
                <w:noProof/>
                <w:sz w:val="16"/>
              </w:rPr>
              <w:t>0.240</w:t>
            </w:r>
          </w:p>
        </w:tc>
        <w:tc>
          <w:tcPr>
            <w:tcW w:w="1080" w:type="dxa"/>
            <w:vAlign w:val="center"/>
          </w:tcPr>
          <w:p>
            <w:pPr>
              <w:jc w:val="center"/>
              <w:rPr>
                <w:noProof/>
              </w:rPr>
            </w:pPr>
            <w:r>
              <w:rPr>
                <w:noProof/>
                <w:sz w:val="16"/>
              </w:rPr>
              <w:t>0.240</w:t>
            </w:r>
          </w:p>
        </w:tc>
        <w:tc>
          <w:tcPr>
            <w:tcW w:w="1080" w:type="dxa"/>
            <w:vAlign w:val="center"/>
          </w:tcPr>
          <w:p>
            <w:pPr>
              <w:spacing w:before="20" w:after="20"/>
              <w:jc w:val="center"/>
              <w:rPr>
                <w:b/>
                <w:noProof/>
                <w:sz w:val="16"/>
                <w:szCs w:val="16"/>
              </w:rPr>
            </w:pPr>
            <w:r>
              <w:rPr>
                <w:b/>
                <w:noProof/>
                <w:sz w:val="16"/>
              </w:rPr>
              <w:t>0.96</w:t>
            </w:r>
          </w:p>
        </w:tc>
      </w:tr>
    </w:tbl>
    <w:p>
      <w:pPr>
        <w:spacing w:line="200" w:lineRule="exact"/>
        <w:rPr>
          <w:noProof/>
          <w:sz w:val="16"/>
          <w:szCs w:val="16"/>
          <w:highlight w:val="yellow"/>
        </w:rPr>
      </w:pP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5</w:t>
            </w:r>
            <w:r>
              <w:rPr>
                <w:noProof/>
              </w:rPr>
              <w:br/>
            </w:r>
            <w:r>
              <w:rPr>
                <w:rStyle w:val="FootnoteReference"/>
                <w:noProof/>
              </w:rPr>
              <w:footnoteReference w:id="13"/>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center"/>
              <w:rPr>
                <w:noProof/>
                <w:sz w:val="16"/>
                <w:szCs w:val="16"/>
              </w:rPr>
            </w:pPr>
            <w:r>
              <w:rPr>
                <w:noProof/>
                <w:sz w:val="16"/>
              </w:rPr>
              <w:t>0.125</w:t>
            </w:r>
          </w:p>
        </w:tc>
        <w:tc>
          <w:tcPr>
            <w:tcW w:w="1080" w:type="dxa"/>
            <w:vAlign w:val="center"/>
          </w:tcPr>
          <w:p>
            <w:pPr>
              <w:jc w:val="center"/>
              <w:rPr>
                <w:noProof/>
              </w:rPr>
            </w:pPr>
            <w:r>
              <w:rPr>
                <w:noProof/>
                <w:sz w:val="16"/>
              </w:rPr>
              <w:t>0.125</w:t>
            </w:r>
          </w:p>
        </w:tc>
        <w:tc>
          <w:tcPr>
            <w:tcW w:w="1080" w:type="dxa"/>
            <w:vAlign w:val="center"/>
          </w:tcPr>
          <w:p>
            <w:pPr>
              <w:jc w:val="center"/>
              <w:rPr>
                <w:noProof/>
              </w:rPr>
            </w:pPr>
            <w:r>
              <w:rPr>
                <w:noProof/>
                <w:sz w:val="16"/>
              </w:rPr>
              <w:t>0.125</w:t>
            </w:r>
          </w:p>
        </w:tc>
        <w:tc>
          <w:tcPr>
            <w:tcW w:w="1080" w:type="dxa"/>
            <w:vAlign w:val="center"/>
          </w:tcPr>
          <w:p>
            <w:pPr>
              <w:jc w:val="center"/>
              <w:rPr>
                <w:noProof/>
              </w:rPr>
            </w:pPr>
            <w:r>
              <w:rPr>
                <w:noProof/>
                <w:sz w:val="16"/>
              </w:rPr>
              <w:t>0.125</w:t>
            </w:r>
          </w:p>
        </w:tc>
        <w:tc>
          <w:tcPr>
            <w:tcW w:w="1080" w:type="dxa"/>
            <w:vAlign w:val="center"/>
          </w:tcPr>
          <w:p>
            <w:pPr>
              <w:spacing w:before="60" w:after="60" w:line="200" w:lineRule="exact"/>
              <w:jc w:val="center"/>
              <w:rPr>
                <w:b/>
                <w:noProof/>
                <w:sz w:val="16"/>
                <w:szCs w:val="16"/>
              </w:rPr>
            </w:pPr>
            <w:r>
              <w:rPr>
                <w:b/>
                <w:noProof/>
                <w:sz w:val="16"/>
              </w:rPr>
              <w:t>0.5</w:t>
            </w:r>
          </w:p>
        </w:tc>
      </w:tr>
      <w:tr>
        <w:trPr>
          <w:trHeight w:val="585"/>
        </w:trPr>
        <w:tc>
          <w:tcPr>
            <w:tcW w:w="1980" w:type="dxa"/>
            <w:vAlign w:val="center"/>
          </w:tcPr>
          <w:p>
            <w:pPr>
              <w:spacing w:before="60" w:after="60" w:line="200" w:lineRule="exact"/>
              <w:ind w:left="72"/>
              <w:jc w:val="left"/>
              <w:rPr>
                <w:noProof/>
                <w:sz w:val="16"/>
                <w:szCs w:val="16"/>
              </w:rPr>
            </w:pPr>
            <w:r>
              <w:rPr>
                <w:noProof/>
                <w:sz w:val="16"/>
              </w:rPr>
              <w:t>Other expenditure</w:t>
            </w:r>
            <w:r>
              <w:rPr>
                <w:noProof/>
              </w:rPr>
              <w:br/>
            </w:r>
            <w:r>
              <w:rPr>
                <w:noProof/>
                <w:sz w:val="16"/>
              </w:rPr>
              <w:t>of an administrative nature</w:t>
            </w:r>
          </w:p>
        </w:tc>
        <w:tc>
          <w:tcPr>
            <w:tcW w:w="1080" w:type="dxa"/>
            <w:vAlign w:val="center"/>
          </w:tcPr>
          <w:p>
            <w:pPr>
              <w:spacing w:before="60" w:after="60" w:line="200" w:lineRule="exact"/>
              <w:jc w:val="center"/>
              <w:rPr>
                <w:noProof/>
                <w:sz w:val="16"/>
                <w:szCs w:val="16"/>
              </w:rPr>
            </w:pPr>
            <w:r>
              <w:rPr>
                <w:noProof/>
                <w:sz w:val="16"/>
              </w:rPr>
              <w:t>0.026</w:t>
            </w:r>
          </w:p>
        </w:tc>
        <w:tc>
          <w:tcPr>
            <w:tcW w:w="1080" w:type="dxa"/>
            <w:vAlign w:val="center"/>
          </w:tcPr>
          <w:p>
            <w:pPr>
              <w:spacing w:before="60" w:after="60" w:line="200" w:lineRule="exact"/>
              <w:jc w:val="center"/>
              <w:rPr>
                <w:noProof/>
                <w:sz w:val="16"/>
                <w:szCs w:val="16"/>
              </w:rPr>
            </w:pPr>
            <w:r>
              <w:rPr>
                <w:noProof/>
                <w:sz w:val="16"/>
              </w:rPr>
              <w:t>0.026</w:t>
            </w:r>
          </w:p>
        </w:tc>
        <w:tc>
          <w:tcPr>
            <w:tcW w:w="1080" w:type="dxa"/>
            <w:vAlign w:val="center"/>
          </w:tcPr>
          <w:p>
            <w:pPr>
              <w:jc w:val="center"/>
              <w:rPr>
                <w:noProof/>
              </w:rPr>
            </w:pPr>
            <w:r>
              <w:rPr>
                <w:noProof/>
                <w:sz w:val="16"/>
              </w:rPr>
              <w:t>0.026</w:t>
            </w:r>
          </w:p>
        </w:tc>
        <w:tc>
          <w:tcPr>
            <w:tcW w:w="1080" w:type="dxa"/>
            <w:vAlign w:val="center"/>
          </w:tcPr>
          <w:p>
            <w:pPr>
              <w:jc w:val="center"/>
              <w:rPr>
                <w:noProof/>
              </w:rPr>
            </w:pPr>
            <w:r>
              <w:rPr>
                <w:noProof/>
                <w:sz w:val="16"/>
              </w:rPr>
              <w:t>0.1006</w:t>
            </w:r>
          </w:p>
        </w:tc>
        <w:tc>
          <w:tcPr>
            <w:tcW w:w="1080" w:type="dxa"/>
            <w:vAlign w:val="center"/>
          </w:tcPr>
          <w:p>
            <w:pPr>
              <w:spacing w:before="60" w:after="60" w:line="200" w:lineRule="exact"/>
              <w:jc w:val="center"/>
              <w:rPr>
                <w:b/>
                <w:noProof/>
                <w:sz w:val="16"/>
                <w:szCs w:val="16"/>
              </w:rPr>
            </w:pPr>
            <w:r>
              <w:rPr>
                <w:b/>
                <w:noProof/>
                <w:sz w:val="16"/>
              </w:rPr>
              <w:t>0.184</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w:t>
            </w:r>
            <w:r>
              <w:rPr>
                <w:noProof/>
              </w:rPr>
              <w:br/>
            </w:r>
            <w:r>
              <w:rPr>
                <w:b/>
                <w:noProof/>
                <w:sz w:val="16"/>
              </w:rPr>
              <w:t>outside HEADING 5</w:t>
            </w:r>
            <w:r>
              <w:rPr>
                <w:noProof/>
              </w:rPr>
              <w:br/>
            </w:r>
            <w:r>
              <w:rPr>
                <w:b/>
                <w:noProof/>
                <w:sz w:val="16"/>
              </w:rPr>
              <w:t xml:space="preserve">of the multiannual financial framework </w:t>
            </w:r>
          </w:p>
        </w:tc>
        <w:tc>
          <w:tcPr>
            <w:tcW w:w="1080" w:type="dxa"/>
            <w:vAlign w:val="center"/>
          </w:tcPr>
          <w:p>
            <w:pPr>
              <w:spacing w:before="40" w:after="40"/>
              <w:jc w:val="center"/>
              <w:rPr>
                <w:noProof/>
                <w:sz w:val="16"/>
                <w:szCs w:val="16"/>
              </w:rPr>
            </w:pPr>
            <w:r>
              <w:rPr>
                <w:noProof/>
                <w:sz w:val="16"/>
              </w:rPr>
              <w:t>0.151</w:t>
            </w:r>
          </w:p>
        </w:tc>
        <w:tc>
          <w:tcPr>
            <w:tcW w:w="1080" w:type="dxa"/>
            <w:vAlign w:val="center"/>
          </w:tcPr>
          <w:p>
            <w:pPr>
              <w:spacing w:before="40" w:after="40"/>
              <w:jc w:val="center"/>
              <w:rPr>
                <w:noProof/>
                <w:sz w:val="16"/>
                <w:szCs w:val="16"/>
              </w:rPr>
            </w:pPr>
            <w:r>
              <w:rPr>
                <w:noProof/>
                <w:sz w:val="16"/>
              </w:rPr>
              <w:t>0.151</w:t>
            </w:r>
          </w:p>
        </w:tc>
        <w:tc>
          <w:tcPr>
            <w:tcW w:w="1080" w:type="dxa"/>
            <w:vAlign w:val="center"/>
          </w:tcPr>
          <w:p>
            <w:pPr>
              <w:spacing w:before="40" w:after="40"/>
              <w:jc w:val="center"/>
              <w:rPr>
                <w:noProof/>
                <w:sz w:val="16"/>
                <w:szCs w:val="16"/>
              </w:rPr>
            </w:pPr>
            <w:r>
              <w:rPr>
                <w:noProof/>
                <w:sz w:val="16"/>
              </w:rPr>
              <w:t>0.151</w:t>
            </w:r>
          </w:p>
        </w:tc>
        <w:tc>
          <w:tcPr>
            <w:tcW w:w="1080" w:type="dxa"/>
            <w:vAlign w:val="center"/>
          </w:tcPr>
          <w:p>
            <w:pPr>
              <w:spacing w:before="40" w:after="40"/>
              <w:jc w:val="center"/>
              <w:rPr>
                <w:noProof/>
                <w:sz w:val="16"/>
                <w:szCs w:val="16"/>
              </w:rPr>
            </w:pPr>
            <w:r>
              <w:rPr>
                <w:noProof/>
                <w:sz w:val="16"/>
              </w:rPr>
              <w:t>0.231</w:t>
            </w:r>
          </w:p>
        </w:tc>
        <w:tc>
          <w:tcPr>
            <w:tcW w:w="1080" w:type="dxa"/>
            <w:vAlign w:val="center"/>
          </w:tcPr>
          <w:p>
            <w:pPr>
              <w:spacing w:before="40" w:after="40"/>
              <w:jc w:val="center"/>
              <w:rPr>
                <w:b/>
                <w:noProof/>
                <w:sz w:val="16"/>
                <w:szCs w:val="16"/>
              </w:rPr>
            </w:pPr>
            <w:r>
              <w:rPr>
                <w:b/>
                <w:noProof/>
                <w:sz w:val="16"/>
              </w:rPr>
              <w:t>0.684</w:t>
            </w:r>
          </w:p>
        </w:tc>
      </w:tr>
    </w:tbl>
    <w:p>
      <w:pPr>
        <w:spacing w:line="200" w:lineRule="exact"/>
        <w:rPr>
          <w:noProof/>
          <w:sz w:val="16"/>
          <w:szCs w:val="16"/>
          <w:highlight w:val="yellow"/>
        </w:rPr>
      </w:pPr>
    </w:p>
    <w:tbl>
      <w:tblPr>
        <w:tblW w:w="7380" w:type="dxa"/>
        <w:tblInd w:w="-612" w:type="dxa"/>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8"/>
                <w:szCs w:val="18"/>
              </w:rPr>
            </w:pPr>
            <w:r>
              <w:rPr>
                <w:b/>
                <w:noProof/>
                <w:sz w:val="18"/>
              </w:rPr>
              <w:t>0.391</w:t>
            </w:r>
          </w:p>
        </w:tc>
        <w:tc>
          <w:tcPr>
            <w:tcW w:w="1080" w:type="dxa"/>
            <w:tcBorders>
              <w:top w:val="single" w:sz="12" w:space="0" w:color="auto"/>
              <w:left w:val="single" w:sz="2" w:space="0" w:color="auto"/>
              <w:bottom w:val="single" w:sz="12" w:space="0" w:color="auto"/>
              <w:right w:val="single" w:sz="2" w:space="0" w:color="auto"/>
            </w:tcBorders>
            <w:vAlign w:val="center"/>
          </w:tcPr>
          <w:p>
            <w:pPr>
              <w:jc w:val="center"/>
              <w:rPr>
                <w:noProof/>
                <w:sz w:val="18"/>
                <w:szCs w:val="18"/>
              </w:rPr>
            </w:pPr>
            <w:r>
              <w:rPr>
                <w:b/>
                <w:noProof/>
                <w:sz w:val="18"/>
              </w:rPr>
              <w:t>0.391</w:t>
            </w:r>
          </w:p>
        </w:tc>
        <w:tc>
          <w:tcPr>
            <w:tcW w:w="1080" w:type="dxa"/>
            <w:tcBorders>
              <w:top w:val="single" w:sz="12" w:space="0" w:color="auto"/>
              <w:left w:val="single" w:sz="2" w:space="0" w:color="auto"/>
              <w:bottom w:val="single" w:sz="12" w:space="0" w:color="auto"/>
              <w:right w:val="single" w:sz="2" w:space="0" w:color="auto"/>
            </w:tcBorders>
            <w:vAlign w:val="center"/>
          </w:tcPr>
          <w:p>
            <w:pPr>
              <w:jc w:val="center"/>
              <w:rPr>
                <w:noProof/>
                <w:sz w:val="18"/>
                <w:szCs w:val="18"/>
              </w:rPr>
            </w:pPr>
            <w:r>
              <w:rPr>
                <w:b/>
                <w:noProof/>
                <w:sz w:val="18"/>
              </w:rPr>
              <w:t>0.391</w:t>
            </w:r>
          </w:p>
        </w:tc>
        <w:tc>
          <w:tcPr>
            <w:tcW w:w="1080" w:type="dxa"/>
            <w:tcBorders>
              <w:top w:val="single" w:sz="12" w:space="0" w:color="auto"/>
              <w:left w:val="single" w:sz="2" w:space="0" w:color="auto"/>
              <w:bottom w:val="single" w:sz="12" w:space="0" w:color="auto"/>
              <w:right w:val="single" w:sz="2" w:space="0" w:color="auto"/>
            </w:tcBorders>
            <w:vAlign w:val="center"/>
          </w:tcPr>
          <w:p>
            <w:pPr>
              <w:jc w:val="center"/>
              <w:rPr>
                <w:noProof/>
                <w:sz w:val="18"/>
                <w:szCs w:val="18"/>
              </w:rPr>
            </w:pPr>
            <w:r>
              <w:rPr>
                <w:b/>
                <w:noProof/>
                <w:sz w:val="18"/>
              </w:rPr>
              <w:t>0.471</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center"/>
              <w:rPr>
                <w:b/>
                <w:noProof/>
                <w:sz w:val="18"/>
                <w:szCs w:val="18"/>
              </w:rPr>
            </w:pPr>
            <w:r>
              <w:rPr>
                <w:b/>
                <w:noProof/>
                <w:sz w:val="18"/>
              </w:rPr>
              <w:t>1.644</w:t>
            </w:r>
          </w:p>
        </w:tc>
      </w:tr>
    </w:tbl>
    <w:p>
      <w:pPr>
        <w:rPr>
          <w:noProof/>
          <w:u w:val="single"/>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r>
        <w:rPr>
          <w:noProof/>
          <w:sz w:val="18"/>
        </w:rPr>
        <w:t>The appropriations of an administrative nature required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pStyle w:val="ManualHeading4"/>
        <w:rPr>
          <w:bCs/>
          <w:noProof/>
          <w:szCs w:val="24"/>
        </w:rPr>
      </w:pPr>
      <w:r>
        <w:t>7.2.3.2.</w:t>
      </w:r>
      <w:r>
        <w:tab/>
      </w:r>
      <w:r>
        <w:rPr>
          <w:b/>
          <w:noProof/>
        </w:rPr>
        <w:t xml:space="preserve"> </w:t>
      </w:r>
      <w:r>
        <w:rPr>
          <w:noProof/>
        </w:rPr>
        <w:t xml:space="preserve">Estimated human resources requirements </w:t>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t>x</w:t>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4913"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
        <w:gridCol w:w="1951"/>
        <w:gridCol w:w="1955"/>
        <w:gridCol w:w="909"/>
        <w:gridCol w:w="1082"/>
        <w:gridCol w:w="1586"/>
        <w:gridCol w:w="1416"/>
        <w:gridCol w:w="215"/>
      </w:tblGrid>
      <w:tr>
        <w:trPr>
          <w:gridBefore w:val="1"/>
          <w:gridAfter w:val="1"/>
          <w:wBefore w:w="6" w:type="pct"/>
          <w:wAfter w:w="118" w:type="pct"/>
          <w:trHeight w:val="289"/>
          <w:jc w:val="center"/>
        </w:trPr>
        <w:tc>
          <w:tcPr>
            <w:tcW w:w="2140" w:type="pct"/>
            <w:gridSpan w:val="2"/>
            <w:shd w:val="clear" w:color="auto" w:fill="auto"/>
          </w:tcPr>
          <w:p>
            <w:pPr>
              <w:pStyle w:val="Text1"/>
              <w:spacing w:before="40" w:after="40"/>
              <w:ind w:left="0"/>
              <w:jc w:val="center"/>
              <w:rPr>
                <w:i/>
                <w:noProof/>
                <w:sz w:val="16"/>
                <w:szCs w:val="16"/>
              </w:rPr>
            </w:pPr>
          </w:p>
        </w:tc>
        <w:tc>
          <w:tcPr>
            <w:tcW w:w="498" w:type="pct"/>
            <w:shd w:val="clear" w:color="auto" w:fill="auto"/>
            <w:vAlign w:val="center"/>
          </w:tcPr>
          <w:p>
            <w:pPr>
              <w:jc w:val="center"/>
              <w:rPr>
                <w:noProof/>
                <w:sz w:val="20"/>
              </w:rPr>
            </w:pPr>
            <w:r>
              <w:rPr>
                <w:noProof/>
                <w:sz w:val="20"/>
              </w:rPr>
              <w:t>Year</w:t>
            </w:r>
            <w:r>
              <w:rPr>
                <w:noProof/>
                <w:sz w:val="20"/>
              </w:rPr>
              <w:br/>
            </w:r>
            <w:r>
              <w:rPr>
                <w:b/>
                <w:noProof/>
                <w:sz w:val="20"/>
              </w:rPr>
              <w:t>2015</w:t>
            </w:r>
          </w:p>
        </w:tc>
        <w:tc>
          <w:tcPr>
            <w:tcW w:w="593" w:type="pct"/>
            <w:shd w:val="clear" w:color="auto" w:fill="auto"/>
            <w:vAlign w:val="center"/>
          </w:tcPr>
          <w:p>
            <w:pPr>
              <w:jc w:val="center"/>
              <w:rPr>
                <w:noProof/>
                <w:sz w:val="20"/>
              </w:rPr>
            </w:pPr>
            <w:r>
              <w:rPr>
                <w:noProof/>
                <w:sz w:val="20"/>
              </w:rPr>
              <w:t>Year</w:t>
            </w:r>
            <w:r>
              <w:rPr>
                <w:noProof/>
                <w:sz w:val="20"/>
              </w:rPr>
              <w:br/>
            </w:r>
            <w:r>
              <w:rPr>
                <w:b/>
                <w:noProof/>
                <w:sz w:val="20"/>
              </w:rPr>
              <w:t>2016</w:t>
            </w:r>
          </w:p>
        </w:tc>
        <w:tc>
          <w:tcPr>
            <w:tcW w:w="869" w:type="pct"/>
            <w:shd w:val="clear" w:color="auto" w:fill="auto"/>
            <w:vAlign w:val="center"/>
          </w:tcPr>
          <w:p>
            <w:pPr>
              <w:jc w:val="center"/>
              <w:rPr>
                <w:noProof/>
                <w:sz w:val="20"/>
              </w:rPr>
            </w:pPr>
            <w:r>
              <w:rPr>
                <w:noProof/>
                <w:sz w:val="20"/>
              </w:rPr>
              <w:t>Year</w:t>
            </w:r>
            <w:r>
              <w:rPr>
                <w:noProof/>
                <w:sz w:val="20"/>
              </w:rPr>
              <w:br/>
            </w:r>
            <w:r>
              <w:rPr>
                <w:b/>
                <w:noProof/>
                <w:sz w:val="20"/>
              </w:rPr>
              <w:t>2017</w:t>
            </w:r>
          </w:p>
        </w:tc>
        <w:tc>
          <w:tcPr>
            <w:tcW w:w="776" w:type="pct"/>
            <w:shd w:val="clear" w:color="auto" w:fill="auto"/>
            <w:vAlign w:val="center"/>
          </w:tcPr>
          <w:p>
            <w:pPr>
              <w:jc w:val="center"/>
              <w:rPr>
                <w:noProof/>
                <w:sz w:val="20"/>
              </w:rPr>
            </w:pPr>
            <w:r>
              <w:rPr>
                <w:noProof/>
                <w:sz w:val="20"/>
              </w:rPr>
              <w:t>Year</w:t>
            </w:r>
            <w:r>
              <w:rPr>
                <w:noProof/>
                <w:sz w:val="20"/>
              </w:rPr>
              <w:br/>
            </w:r>
            <w:r>
              <w:rPr>
                <w:b/>
                <w:noProof/>
                <w:sz w:val="20"/>
              </w:rPr>
              <w:t>2018</w:t>
            </w:r>
          </w:p>
        </w:tc>
      </w:tr>
      <w:tr>
        <w:trPr>
          <w:gridBefore w:val="1"/>
          <w:gridAfter w:val="1"/>
          <w:wBefore w:w="6" w:type="pct"/>
          <w:wAfter w:w="118" w:type="pct"/>
          <w:trHeight w:val="289"/>
          <w:jc w:val="center"/>
        </w:trPr>
        <w:tc>
          <w:tcPr>
            <w:tcW w:w="4100" w:type="pct"/>
            <w:gridSpan w:val="5"/>
            <w:shd w:val="clear" w:color="auto" w:fill="auto"/>
          </w:tcPr>
          <w:p>
            <w:pPr>
              <w:spacing w:before="20" w:after="20"/>
              <w:rPr>
                <w:noProof/>
                <w:sz w:val="16"/>
                <w:szCs w:val="16"/>
              </w:rPr>
            </w:pPr>
            <w:r>
              <w:rPr>
                <w:b/>
                <w:noProof/>
                <w:sz w:val="16"/>
                <w:szCs w:val="16"/>
              </w:rPr>
              <w:sym w:font="Wingdings" w:char="F09F"/>
            </w:r>
            <w:r>
              <w:rPr>
                <w:noProof/>
              </w:rPr>
              <w:t xml:space="preserve"> </w:t>
            </w:r>
            <w:r>
              <w:rPr>
                <w:b/>
                <w:noProof/>
                <w:sz w:val="16"/>
              </w:rPr>
              <w:t>Establishment plan posts (officials and temporary staff)</w:t>
            </w:r>
          </w:p>
        </w:tc>
        <w:tc>
          <w:tcPr>
            <w:tcW w:w="776" w:type="pct"/>
            <w:shd w:val="clear" w:color="auto" w:fill="auto"/>
            <w:vAlign w:val="center"/>
          </w:tcPr>
          <w:p>
            <w:pPr>
              <w:spacing w:before="20" w:after="20"/>
              <w:jc w:val="center"/>
              <w:rPr>
                <w:noProof/>
                <w:sz w:val="16"/>
                <w:szCs w:val="16"/>
              </w:rPr>
            </w:pPr>
          </w:p>
        </w:tc>
      </w:tr>
      <w:tr>
        <w:trPr>
          <w:gridBefore w:val="1"/>
          <w:gridAfter w:val="1"/>
          <w:wBefore w:w="6" w:type="pct"/>
          <w:wAfter w:w="118" w:type="pct"/>
          <w:trHeight w:val="289"/>
          <w:jc w:val="center"/>
        </w:trPr>
        <w:tc>
          <w:tcPr>
            <w:tcW w:w="2140"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11 01 01 01 (Headquarters and Commission’s Representation Offices)</w:t>
            </w:r>
          </w:p>
        </w:tc>
        <w:tc>
          <w:tcPr>
            <w:tcW w:w="498" w:type="pct"/>
            <w:shd w:val="clear" w:color="auto" w:fill="auto"/>
            <w:vAlign w:val="center"/>
          </w:tcPr>
          <w:p>
            <w:pPr>
              <w:spacing w:beforeLines="20" w:before="48" w:afterLines="20" w:after="48"/>
              <w:jc w:val="center"/>
              <w:rPr>
                <w:noProof/>
                <w:sz w:val="16"/>
                <w:szCs w:val="16"/>
              </w:rPr>
            </w:pPr>
            <w:r>
              <w:rPr>
                <w:noProof/>
                <w:sz w:val="16"/>
              </w:rPr>
              <w:t>1</w:t>
            </w:r>
          </w:p>
        </w:tc>
        <w:tc>
          <w:tcPr>
            <w:tcW w:w="593" w:type="pct"/>
            <w:shd w:val="clear" w:color="auto" w:fill="auto"/>
            <w:vAlign w:val="center"/>
          </w:tcPr>
          <w:p>
            <w:pPr>
              <w:spacing w:beforeLines="20" w:before="48" w:afterLines="20" w:after="48"/>
              <w:jc w:val="center"/>
              <w:rPr>
                <w:noProof/>
                <w:sz w:val="16"/>
                <w:szCs w:val="16"/>
              </w:rPr>
            </w:pPr>
            <w:r>
              <w:rPr>
                <w:noProof/>
                <w:sz w:val="16"/>
              </w:rPr>
              <w:t>1</w:t>
            </w:r>
          </w:p>
        </w:tc>
        <w:tc>
          <w:tcPr>
            <w:tcW w:w="869" w:type="pct"/>
            <w:shd w:val="clear" w:color="auto" w:fill="auto"/>
            <w:vAlign w:val="center"/>
          </w:tcPr>
          <w:p>
            <w:pPr>
              <w:spacing w:beforeLines="20" w:before="48" w:afterLines="20" w:after="48"/>
              <w:jc w:val="center"/>
              <w:rPr>
                <w:noProof/>
                <w:sz w:val="16"/>
                <w:szCs w:val="16"/>
              </w:rPr>
            </w:pPr>
            <w:r>
              <w:rPr>
                <w:noProof/>
                <w:sz w:val="16"/>
              </w:rPr>
              <w:t>1</w:t>
            </w:r>
          </w:p>
        </w:tc>
        <w:tc>
          <w:tcPr>
            <w:tcW w:w="776" w:type="pct"/>
            <w:shd w:val="clear" w:color="auto" w:fill="auto"/>
            <w:vAlign w:val="center"/>
          </w:tcPr>
          <w:p>
            <w:pPr>
              <w:spacing w:beforeLines="20" w:before="48" w:afterLines="20" w:after="48"/>
              <w:jc w:val="center"/>
              <w:rPr>
                <w:noProof/>
                <w:sz w:val="16"/>
                <w:szCs w:val="16"/>
              </w:rPr>
            </w:pPr>
            <w:r>
              <w:rPr>
                <w:noProof/>
                <w:sz w:val="16"/>
              </w:rPr>
              <w:t>1</w:t>
            </w:r>
          </w:p>
        </w:tc>
      </w:tr>
      <w:tr>
        <w:trPr>
          <w:gridBefore w:val="1"/>
          <w:gridAfter w:val="1"/>
          <w:wBefore w:w="6" w:type="pct"/>
          <w:wAfter w:w="118" w:type="pct"/>
          <w:trHeight w:val="289"/>
          <w:jc w:val="center"/>
        </w:trPr>
        <w:tc>
          <w:tcPr>
            <w:tcW w:w="2140"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(in Union Delegations)</w:t>
            </w:r>
          </w:p>
        </w:tc>
        <w:tc>
          <w:tcPr>
            <w:tcW w:w="498" w:type="pct"/>
            <w:shd w:val="clear" w:color="auto" w:fill="auto"/>
            <w:vAlign w:val="center"/>
          </w:tcPr>
          <w:p>
            <w:pPr>
              <w:spacing w:beforeLines="20" w:before="48" w:afterLines="20" w:after="48"/>
              <w:jc w:val="center"/>
              <w:rPr>
                <w:noProof/>
                <w:sz w:val="16"/>
                <w:szCs w:val="16"/>
              </w:rPr>
            </w:pPr>
          </w:p>
        </w:tc>
        <w:tc>
          <w:tcPr>
            <w:tcW w:w="593" w:type="pct"/>
            <w:shd w:val="clear" w:color="auto" w:fill="auto"/>
            <w:vAlign w:val="center"/>
          </w:tcPr>
          <w:p>
            <w:pPr>
              <w:spacing w:beforeLines="20" w:before="48" w:afterLines="20" w:after="48"/>
              <w:jc w:val="center"/>
              <w:rPr>
                <w:noProof/>
                <w:sz w:val="16"/>
                <w:szCs w:val="16"/>
              </w:rPr>
            </w:pPr>
          </w:p>
        </w:tc>
        <w:tc>
          <w:tcPr>
            <w:tcW w:w="869" w:type="pct"/>
            <w:shd w:val="clear" w:color="auto" w:fill="auto"/>
            <w:vAlign w:val="center"/>
          </w:tcPr>
          <w:p>
            <w:pPr>
              <w:spacing w:beforeLines="20" w:before="48" w:afterLines="20" w:after="48"/>
              <w:jc w:val="center"/>
              <w:rPr>
                <w:noProof/>
                <w:sz w:val="16"/>
                <w:szCs w:val="16"/>
              </w:rPr>
            </w:pPr>
          </w:p>
        </w:tc>
        <w:tc>
          <w:tcPr>
            <w:tcW w:w="776" w:type="pct"/>
            <w:shd w:val="clear" w:color="auto" w:fill="auto"/>
            <w:vAlign w:val="center"/>
          </w:tcPr>
          <w:p>
            <w:pPr>
              <w:spacing w:beforeLines="20" w:before="48" w:afterLines="20" w:after="48"/>
              <w:jc w:val="center"/>
              <w:rPr>
                <w:noProof/>
                <w:sz w:val="16"/>
                <w:szCs w:val="16"/>
              </w:rPr>
            </w:pPr>
          </w:p>
        </w:tc>
      </w:tr>
      <w:tr>
        <w:trPr>
          <w:gridBefore w:val="1"/>
          <w:gridAfter w:val="1"/>
          <w:wBefore w:w="6" w:type="pct"/>
          <w:wAfter w:w="118" w:type="pct"/>
          <w:trHeight w:val="289"/>
          <w:jc w:val="center"/>
        </w:trPr>
        <w:tc>
          <w:tcPr>
            <w:tcW w:w="2140"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(Indirect research)</w:t>
            </w:r>
          </w:p>
        </w:tc>
        <w:tc>
          <w:tcPr>
            <w:tcW w:w="498" w:type="pct"/>
            <w:shd w:val="clear" w:color="auto" w:fill="auto"/>
            <w:vAlign w:val="center"/>
          </w:tcPr>
          <w:p>
            <w:pPr>
              <w:spacing w:beforeLines="20" w:before="48" w:afterLines="20" w:after="48"/>
              <w:jc w:val="center"/>
              <w:rPr>
                <w:noProof/>
                <w:sz w:val="16"/>
                <w:szCs w:val="16"/>
              </w:rPr>
            </w:pPr>
          </w:p>
        </w:tc>
        <w:tc>
          <w:tcPr>
            <w:tcW w:w="593" w:type="pct"/>
            <w:shd w:val="clear" w:color="auto" w:fill="auto"/>
            <w:vAlign w:val="center"/>
          </w:tcPr>
          <w:p>
            <w:pPr>
              <w:spacing w:beforeLines="20" w:before="48" w:afterLines="20" w:after="48"/>
              <w:jc w:val="center"/>
              <w:rPr>
                <w:noProof/>
                <w:sz w:val="16"/>
                <w:szCs w:val="16"/>
              </w:rPr>
            </w:pPr>
          </w:p>
        </w:tc>
        <w:tc>
          <w:tcPr>
            <w:tcW w:w="869" w:type="pct"/>
            <w:shd w:val="clear" w:color="auto" w:fill="auto"/>
            <w:vAlign w:val="center"/>
          </w:tcPr>
          <w:p>
            <w:pPr>
              <w:spacing w:beforeLines="20" w:before="48" w:afterLines="20" w:after="48"/>
              <w:jc w:val="center"/>
              <w:rPr>
                <w:noProof/>
                <w:sz w:val="16"/>
                <w:szCs w:val="16"/>
              </w:rPr>
            </w:pPr>
          </w:p>
        </w:tc>
        <w:tc>
          <w:tcPr>
            <w:tcW w:w="776" w:type="pct"/>
            <w:shd w:val="clear" w:color="auto" w:fill="auto"/>
            <w:vAlign w:val="center"/>
          </w:tcPr>
          <w:p>
            <w:pPr>
              <w:spacing w:beforeLines="20" w:before="48" w:afterLines="20" w:after="48"/>
              <w:jc w:val="center"/>
              <w:rPr>
                <w:noProof/>
                <w:sz w:val="16"/>
                <w:szCs w:val="16"/>
              </w:rPr>
            </w:pPr>
          </w:p>
        </w:tc>
      </w:tr>
      <w:tr>
        <w:trPr>
          <w:gridBefore w:val="1"/>
          <w:gridAfter w:val="1"/>
          <w:wBefore w:w="6" w:type="pct"/>
          <w:wAfter w:w="118" w:type="pct"/>
          <w:trHeight w:val="289"/>
          <w:jc w:val="center"/>
        </w:trPr>
        <w:tc>
          <w:tcPr>
            <w:tcW w:w="2140"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(Direct research)</w:t>
            </w:r>
          </w:p>
        </w:tc>
        <w:tc>
          <w:tcPr>
            <w:tcW w:w="498" w:type="pct"/>
            <w:shd w:val="clear" w:color="auto" w:fill="auto"/>
            <w:vAlign w:val="center"/>
          </w:tcPr>
          <w:p>
            <w:pPr>
              <w:spacing w:beforeLines="20" w:before="48" w:afterLines="20" w:after="48"/>
              <w:jc w:val="center"/>
              <w:rPr>
                <w:noProof/>
                <w:sz w:val="16"/>
                <w:szCs w:val="16"/>
              </w:rPr>
            </w:pPr>
          </w:p>
        </w:tc>
        <w:tc>
          <w:tcPr>
            <w:tcW w:w="593" w:type="pct"/>
            <w:shd w:val="clear" w:color="auto" w:fill="auto"/>
            <w:vAlign w:val="center"/>
          </w:tcPr>
          <w:p>
            <w:pPr>
              <w:spacing w:beforeLines="20" w:before="48" w:afterLines="20" w:after="48"/>
              <w:jc w:val="center"/>
              <w:rPr>
                <w:noProof/>
                <w:sz w:val="16"/>
                <w:szCs w:val="16"/>
              </w:rPr>
            </w:pPr>
          </w:p>
        </w:tc>
        <w:tc>
          <w:tcPr>
            <w:tcW w:w="869" w:type="pct"/>
            <w:shd w:val="clear" w:color="auto" w:fill="auto"/>
            <w:vAlign w:val="center"/>
          </w:tcPr>
          <w:p>
            <w:pPr>
              <w:spacing w:beforeLines="20" w:before="48" w:afterLines="20" w:after="48"/>
              <w:jc w:val="center"/>
              <w:rPr>
                <w:noProof/>
                <w:sz w:val="16"/>
                <w:szCs w:val="16"/>
              </w:rPr>
            </w:pPr>
          </w:p>
        </w:tc>
        <w:tc>
          <w:tcPr>
            <w:tcW w:w="776" w:type="pct"/>
            <w:shd w:val="clear" w:color="auto" w:fill="auto"/>
            <w:vAlign w:val="center"/>
          </w:tcPr>
          <w:p>
            <w:pPr>
              <w:spacing w:beforeLines="20" w:before="48" w:afterLines="20" w:after="48"/>
              <w:jc w:val="center"/>
              <w:rPr>
                <w:noProof/>
                <w:sz w:val="16"/>
                <w:szCs w:val="16"/>
              </w:rPr>
            </w:pPr>
          </w:p>
        </w:tc>
      </w:tr>
      <w:tr>
        <w:trPr>
          <w:trHeight w:val="248"/>
          <w:jc w:val="center"/>
        </w:trPr>
        <w:tc>
          <w:tcPr>
            <w:tcW w:w="5000" w:type="pct"/>
            <w:gridSpan w:val="8"/>
            <w:shd w:val="clear" w:color="auto" w:fill="auto"/>
            <w:vAlign w:val="center"/>
          </w:tcPr>
          <w:p>
            <w:pPr>
              <w:pStyle w:val="Text1"/>
              <w:spacing w:before="60" w:after="60"/>
              <w:ind w:left="0"/>
              <w:jc w:val="left"/>
              <w:rPr>
                <w:b/>
                <w:noProof/>
                <w:sz w:val="16"/>
                <w:szCs w:val="16"/>
              </w:rPr>
            </w:pPr>
            <w:r>
              <w:rPr>
                <w:b/>
                <w:noProof/>
                <w:sz w:val="16"/>
                <w:szCs w:val="16"/>
              </w:rPr>
              <w:sym w:font="Wingdings" w:char="F09F"/>
            </w:r>
            <w:r>
              <w:rPr>
                <w:b/>
                <w:noProof/>
                <w:sz w:val="16"/>
              </w:rPr>
              <w:t xml:space="preserve"> External personnel (in Full Time Equivalent: FTE)</w:t>
            </w:r>
            <w:r>
              <w:rPr>
                <w:rStyle w:val="FootnoteReference"/>
                <w:b/>
                <w:noProof/>
                <w:sz w:val="16"/>
              </w:rPr>
              <w:footnoteReference w:id="14"/>
            </w:r>
          </w:p>
          <w:p>
            <w:pPr>
              <w:pStyle w:val="Text1"/>
              <w:spacing w:before="0" w:after="0"/>
              <w:ind w:left="0"/>
              <w:jc w:val="left"/>
              <w:rPr>
                <w:noProof/>
                <w:sz w:val="16"/>
                <w:szCs w:val="16"/>
              </w:rPr>
            </w:pPr>
          </w:p>
        </w:tc>
      </w:tr>
      <w:tr>
        <w:trPr>
          <w:gridBefore w:val="1"/>
          <w:gridAfter w:val="1"/>
          <w:wBefore w:w="6" w:type="pct"/>
          <w:wAfter w:w="118" w:type="pct"/>
          <w:trHeight w:val="289"/>
          <w:jc w:val="center"/>
        </w:trPr>
        <w:tc>
          <w:tcPr>
            <w:tcW w:w="2140"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11 01 02 01 (AC, END, INT from the ‘global envelope’)</w:t>
            </w:r>
          </w:p>
        </w:tc>
        <w:tc>
          <w:tcPr>
            <w:tcW w:w="498" w:type="pct"/>
            <w:shd w:val="clear" w:color="auto" w:fill="auto"/>
            <w:vAlign w:val="center"/>
          </w:tcPr>
          <w:p>
            <w:pPr>
              <w:spacing w:beforeLines="20" w:before="48" w:afterLines="20" w:after="48"/>
              <w:jc w:val="center"/>
              <w:rPr>
                <w:noProof/>
                <w:sz w:val="16"/>
                <w:szCs w:val="16"/>
              </w:rPr>
            </w:pPr>
            <w:r>
              <w:rPr>
                <w:noProof/>
                <w:sz w:val="16"/>
              </w:rPr>
              <w:t>1</w:t>
            </w:r>
          </w:p>
        </w:tc>
        <w:tc>
          <w:tcPr>
            <w:tcW w:w="593" w:type="pct"/>
            <w:shd w:val="clear" w:color="auto" w:fill="auto"/>
            <w:vAlign w:val="center"/>
          </w:tcPr>
          <w:p>
            <w:pPr>
              <w:spacing w:beforeLines="20" w:before="48" w:afterLines="20" w:after="48"/>
              <w:jc w:val="center"/>
              <w:rPr>
                <w:noProof/>
                <w:sz w:val="16"/>
                <w:szCs w:val="16"/>
              </w:rPr>
            </w:pPr>
            <w:r>
              <w:rPr>
                <w:noProof/>
                <w:sz w:val="16"/>
              </w:rPr>
              <w:t>1</w:t>
            </w:r>
          </w:p>
        </w:tc>
        <w:tc>
          <w:tcPr>
            <w:tcW w:w="869" w:type="pct"/>
            <w:shd w:val="clear" w:color="auto" w:fill="auto"/>
            <w:vAlign w:val="center"/>
          </w:tcPr>
          <w:p>
            <w:pPr>
              <w:spacing w:beforeLines="20" w:before="48" w:afterLines="20" w:after="48"/>
              <w:jc w:val="center"/>
              <w:rPr>
                <w:noProof/>
                <w:sz w:val="16"/>
                <w:szCs w:val="16"/>
              </w:rPr>
            </w:pPr>
            <w:r>
              <w:rPr>
                <w:noProof/>
                <w:sz w:val="16"/>
              </w:rPr>
              <w:t>1</w:t>
            </w:r>
          </w:p>
        </w:tc>
        <w:tc>
          <w:tcPr>
            <w:tcW w:w="776" w:type="pct"/>
            <w:shd w:val="clear" w:color="auto" w:fill="auto"/>
            <w:vAlign w:val="center"/>
          </w:tcPr>
          <w:p>
            <w:pPr>
              <w:spacing w:beforeLines="20" w:before="48" w:afterLines="20" w:after="48"/>
              <w:jc w:val="center"/>
              <w:rPr>
                <w:noProof/>
                <w:sz w:val="16"/>
                <w:szCs w:val="16"/>
              </w:rPr>
            </w:pPr>
            <w:r>
              <w:rPr>
                <w:noProof/>
                <w:sz w:val="16"/>
              </w:rPr>
              <w:t>1</w:t>
            </w:r>
          </w:p>
        </w:tc>
      </w:tr>
      <w:tr>
        <w:trPr>
          <w:gridBefore w:val="1"/>
          <w:gridAfter w:val="1"/>
          <w:wBefore w:w="6" w:type="pct"/>
          <w:wAfter w:w="118" w:type="pct"/>
          <w:trHeight w:val="289"/>
          <w:jc w:val="center"/>
        </w:trPr>
        <w:tc>
          <w:tcPr>
            <w:tcW w:w="2140"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(CA, LA, INT, SNE and JED in the delegations)</w:t>
            </w:r>
          </w:p>
        </w:tc>
        <w:tc>
          <w:tcPr>
            <w:tcW w:w="498" w:type="pct"/>
            <w:shd w:val="clear" w:color="auto" w:fill="auto"/>
            <w:vAlign w:val="center"/>
          </w:tcPr>
          <w:p>
            <w:pPr>
              <w:spacing w:beforeLines="20" w:before="48" w:afterLines="20" w:after="48"/>
              <w:jc w:val="center"/>
              <w:rPr>
                <w:noProof/>
                <w:sz w:val="16"/>
                <w:szCs w:val="16"/>
              </w:rPr>
            </w:pPr>
          </w:p>
        </w:tc>
        <w:tc>
          <w:tcPr>
            <w:tcW w:w="593" w:type="pct"/>
            <w:shd w:val="clear" w:color="auto" w:fill="auto"/>
            <w:vAlign w:val="center"/>
          </w:tcPr>
          <w:p>
            <w:pPr>
              <w:spacing w:beforeLines="20" w:before="48" w:afterLines="20" w:after="48"/>
              <w:jc w:val="center"/>
              <w:rPr>
                <w:noProof/>
                <w:sz w:val="16"/>
                <w:szCs w:val="16"/>
              </w:rPr>
            </w:pPr>
          </w:p>
        </w:tc>
        <w:tc>
          <w:tcPr>
            <w:tcW w:w="869" w:type="pct"/>
            <w:shd w:val="clear" w:color="auto" w:fill="auto"/>
            <w:vAlign w:val="center"/>
          </w:tcPr>
          <w:p>
            <w:pPr>
              <w:spacing w:beforeLines="20" w:before="48" w:afterLines="20" w:after="48"/>
              <w:jc w:val="center"/>
              <w:rPr>
                <w:noProof/>
                <w:sz w:val="16"/>
                <w:szCs w:val="16"/>
              </w:rPr>
            </w:pPr>
          </w:p>
        </w:tc>
        <w:tc>
          <w:tcPr>
            <w:tcW w:w="776" w:type="pct"/>
            <w:shd w:val="clear" w:color="auto" w:fill="auto"/>
            <w:vAlign w:val="center"/>
          </w:tcPr>
          <w:p>
            <w:pPr>
              <w:spacing w:beforeLines="20" w:before="48" w:afterLines="20" w:after="48"/>
              <w:jc w:val="center"/>
              <w:rPr>
                <w:noProof/>
                <w:sz w:val="16"/>
                <w:szCs w:val="16"/>
              </w:rPr>
            </w:pPr>
          </w:p>
        </w:tc>
      </w:tr>
      <w:tr>
        <w:trPr>
          <w:gridBefore w:val="1"/>
          <w:gridAfter w:val="1"/>
          <w:wBefore w:w="6" w:type="pct"/>
          <w:wAfter w:w="118" w:type="pct"/>
          <w:trHeight w:val="289"/>
          <w:jc w:val="center"/>
        </w:trPr>
        <w:tc>
          <w:tcPr>
            <w:tcW w:w="1069"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11</w:t>
            </w:r>
            <w:r>
              <w:rPr>
                <w:noProof/>
                <w:sz w:val="16"/>
              </w:rPr>
              <w:t xml:space="preserve"> 01 04 01</w:t>
            </w:r>
            <w:r>
              <w:rPr>
                <w:b/>
                <w:i/>
                <w:noProof/>
                <w:sz w:val="16"/>
              </w:rPr>
              <w:t xml:space="preserve"> </w:t>
            </w:r>
            <w:r>
              <w:rPr>
                <w:rStyle w:val="FootnoteReference"/>
                <w:b/>
                <w:i/>
                <w:noProof/>
                <w:sz w:val="16"/>
              </w:rPr>
              <w:footnoteReference w:id="15"/>
            </w:r>
          </w:p>
          <w:p>
            <w:pPr>
              <w:pStyle w:val="Text1"/>
              <w:spacing w:beforeLines="20" w:before="48" w:afterLines="20" w:after="48"/>
              <w:ind w:left="136"/>
              <w:jc w:val="left"/>
              <w:rPr>
                <w:b/>
                <w:noProof/>
                <w:sz w:val="16"/>
                <w:szCs w:val="16"/>
              </w:rPr>
            </w:pPr>
          </w:p>
        </w:tc>
        <w:tc>
          <w:tcPr>
            <w:tcW w:w="1071"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p>
            <w:pPr>
              <w:pStyle w:val="Text1"/>
              <w:spacing w:beforeLines="20" w:before="48" w:afterLines="20" w:after="48"/>
              <w:ind w:left="136"/>
              <w:jc w:val="left"/>
              <w:rPr>
                <w:b/>
                <w:noProof/>
                <w:sz w:val="16"/>
                <w:szCs w:val="16"/>
              </w:rPr>
            </w:pPr>
          </w:p>
        </w:tc>
        <w:tc>
          <w:tcPr>
            <w:tcW w:w="498" w:type="pct"/>
            <w:shd w:val="clear" w:color="auto" w:fill="auto"/>
            <w:vAlign w:val="center"/>
          </w:tcPr>
          <w:p>
            <w:pPr>
              <w:pStyle w:val="Text1"/>
              <w:spacing w:beforeLines="20" w:before="48" w:afterLines="20" w:after="48"/>
              <w:ind w:left="0"/>
              <w:rPr>
                <w:noProof/>
                <w:sz w:val="16"/>
                <w:szCs w:val="16"/>
              </w:rPr>
            </w:pPr>
          </w:p>
        </w:tc>
        <w:tc>
          <w:tcPr>
            <w:tcW w:w="593" w:type="pct"/>
            <w:shd w:val="clear" w:color="auto" w:fill="auto"/>
            <w:vAlign w:val="center"/>
          </w:tcPr>
          <w:p>
            <w:pPr>
              <w:spacing w:beforeLines="20" w:before="48" w:afterLines="20" w:after="48"/>
              <w:jc w:val="center"/>
              <w:rPr>
                <w:noProof/>
                <w:sz w:val="16"/>
                <w:szCs w:val="16"/>
              </w:rPr>
            </w:pPr>
          </w:p>
        </w:tc>
        <w:tc>
          <w:tcPr>
            <w:tcW w:w="869" w:type="pct"/>
            <w:shd w:val="clear" w:color="auto" w:fill="auto"/>
            <w:vAlign w:val="center"/>
          </w:tcPr>
          <w:p>
            <w:pPr>
              <w:spacing w:beforeLines="20" w:before="48" w:afterLines="20" w:after="48"/>
              <w:jc w:val="center"/>
              <w:rPr>
                <w:noProof/>
                <w:sz w:val="16"/>
                <w:szCs w:val="16"/>
              </w:rPr>
            </w:pPr>
          </w:p>
        </w:tc>
        <w:tc>
          <w:tcPr>
            <w:tcW w:w="776" w:type="pct"/>
            <w:shd w:val="clear" w:color="auto" w:fill="auto"/>
            <w:vAlign w:val="center"/>
          </w:tcPr>
          <w:p>
            <w:pPr>
              <w:spacing w:beforeLines="20" w:before="48" w:afterLines="20" w:after="48"/>
              <w:jc w:val="center"/>
              <w:rPr>
                <w:noProof/>
                <w:sz w:val="16"/>
                <w:szCs w:val="16"/>
              </w:rPr>
            </w:pPr>
          </w:p>
        </w:tc>
      </w:tr>
      <w:tr>
        <w:trPr>
          <w:gridBefore w:val="1"/>
          <w:gridAfter w:val="1"/>
          <w:wBefore w:w="6" w:type="pct"/>
          <w:wAfter w:w="118" w:type="pct"/>
          <w:trHeight w:val="289"/>
          <w:jc w:val="center"/>
        </w:trPr>
        <w:tc>
          <w:tcPr>
            <w:tcW w:w="1069" w:type="pct"/>
            <w:vMerge/>
            <w:shd w:val="clear" w:color="auto" w:fill="auto"/>
            <w:vAlign w:val="center"/>
          </w:tcPr>
          <w:p>
            <w:pPr>
              <w:pStyle w:val="Text1"/>
              <w:spacing w:beforeLines="20" w:before="48" w:afterLines="20" w:after="48"/>
              <w:ind w:left="136"/>
              <w:jc w:val="left"/>
              <w:rPr>
                <w:b/>
                <w:noProof/>
                <w:sz w:val="16"/>
                <w:szCs w:val="16"/>
              </w:rPr>
            </w:pPr>
          </w:p>
        </w:tc>
        <w:tc>
          <w:tcPr>
            <w:tcW w:w="1071"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Delegations: </w:t>
            </w:r>
          </w:p>
        </w:tc>
        <w:tc>
          <w:tcPr>
            <w:tcW w:w="498" w:type="pct"/>
            <w:shd w:val="clear" w:color="auto" w:fill="auto"/>
            <w:vAlign w:val="center"/>
          </w:tcPr>
          <w:p>
            <w:pPr>
              <w:pStyle w:val="Text1"/>
              <w:spacing w:beforeLines="20" w:before="48" w:afterLines="20" w:after="48"/>
              <w:ind w:left="0"/>
              <w:jc w:val="center"/>
              <w:rPr>
                <w:noProof/>
                <w:sz w:val="16"/>
                <w:szCs w:val="16"/>
              </w:rPr>
            </w:pPr>
            <w:r>
              <w:rPr>
                <w:noProof/>
                <w:sz w:val="16"/>
              </w:rPr>
              <w:t>1</w:t>
            </w:r>
          </w:p>
        </w:tc>
        <w:tc>
          <w:tcPr>
            <w:tcW w:w="593" w:type="pct"/>
            <w:shd w:val="clear" w:color="auto" w:fill="auto"/>
            <w:vAlign w:val="center"/>
          </w:tcPr>
          <w:p>
            <w:pPr>
              <w:spacing w:beforeLines="20" w:before="48" w:afterLines="20" w:after="48"/>
              <w:jc w:val="center"/>
              <w:rPr>
                <w:noProof/>
                <w:sz w:val="16"/>
                <w:szCs w:val="16"/>
              </w:rPr>
            </w:pPr>
            <w:r>
              <w:rPr>
                <w:noProof/>
                <w:sz w:val="16"/>
              </w:rPr>
              <w:t>1</w:t>
            </w:r>
          </w:p>
        </w:tc>
        <w:tc>
          <w:tcPr>
            <w:tcW w:w="869" w:type="pct"/>
            <w:shd w:val="clear" w:color="auto" w:fill="auto"/>
            <w:vAlign w:val="center"/>
          </w:tcPr>
          <w:p>
            <w:pPr>
              <w:spacing w:beforeLines="20" w:before="48" w:afterLines="20" w:after="48"/>
              <w:jc w:val="center"/>
              <w:rPr>
                <w:noProof/>
                <w:sz w:val="16"/>
                <w:szCs w:val="16"/>
              </w:rPr>
            </w:pPr>
            <w:r>
              <w:rPr>
                <w:noProof/>
                <w:sz w:val="16"/>
              </w:rPr>
              <w:t>1</w:t>
            </w:r>
          </w:p>
        </w:tc>
        <w:tc>
          <w:tcPr>
            <w:tcW w:w="776" w:type="pct"/>
            <w:shd w:val="clear" w:color="auto" w:fill="auto"/>
            <w:vAlign w:val="center"/>
          </w:tcPr>
          <w:p>
            <w:pPr>
              <w:spacing w:beforeLines="20" w:before="48" w:afterLines="20" w:after="48"/>
              <w:jc w:val="center"/>
              <w:rPr>
                <w:noProof/>
                <w:sz w:val="16"/>
                <w:szCs w:val="16"/>
              </w:rPr>
            </w:pPr>
            <w:r>
              <w:rPr>
                <w:noProof/>
                <w:sz w:val="16"/>
              </w:rPr>
              <w:t>1</w:t>
            </w:r>
          </w:p>
        </w:tc>
      </w:tr>
      <w:tr>
        <w:trPr>
          <w:gridBefore w:val="1"/>
          <w:gridAfter w:val="1"/>
          <w:wBefore w:w="6" w:type="pct"/>
          <w:wAfter w:w="118" w:type="pct"/>
          <w:trHeight w:val="289"/>
          <w:jc w:val="center"/>
        </w:trPr>
        <w:tc>
          <w:tcPr>
            <w:tcW w:w="2140" w:type="pct"/>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sz w:val="16"/>
              </w:rPr>
              <w:t xml:space="preserve"> 0X 01 05 02 (CA, SNE, INT - indirect research)</w:t>
            </w:r>
          </w:p>
        </w:tc>
        <w:tc>
          <w:tcPr>
            <w:tcW w:w="498" w:type="pct"/>
            <w:shd w:val="clear" w:color="auto" w:fill="auto"/>
            <w:vAlign w:val="center"/>
          </w:tcPr>
          <w:p>
            <w:pPr>
              <w:spacing w:beforeLines="20" w:before="48" w:afterLines="20" w:after="48"/>
              <w:jc w:val="center"/>
              <w:rPr>
                <w:noProof/>
                <w:sz w:val="16"/>
                <w:szCs w:val="16"/>
              </w:rPr>
            </w:pPr>
          </w:p>
        </w:tc>
        <w:tc>
          <w:tcPr>
            <w:tcW w:w="593" w:type="pct"/>
            <w:shd w:val="clear" w:color="auto" w:fill="auto"/>
            <w:vAlign w:val="center"/>
          </w:tcPr>
          <w:p>
            <w:pPr>
              <w:spacing w:beforeLines="20" w:before="48" w:afterLines="20" w:after="48"/>
              <w:jc w:val="center"/>
              <w:rPr>
                <w:noProof/>
                <w:sz w:val="16"/>
                <w:szCs w:val="16"/>
              </w:rPr>
            </w:pPr>
          </w:p>
        </w:tc>
        <w:tc>
          <w:tcPr>
            <w:tcW w:w="869" w:type="pct"/>
            <w:shd w:val="clear" w:color="auto" w:fill="auto"/>
            <w:vAlign w:val="center"/>
          </w:tcPr>
          <w:p>
            <w:pPr>
              <w:spacing w:beforeLines="20" w:before="48" w:afterLines="20" w:after="48"/>
              <w:jc w:val="center"/>
              <w:rPr>
                <w:noProof/>
                <w:sz w:val="16"/>
                <w:szCs w:val="16"/>
              </w:rPr>
            </w:pPr>
          </w:p>
        </w:tc>
        <w:tc>
          <w:tcPr>
            <w:tcW w:w="776" w:type="pct"/>
            <w:shd w:val="clear" w:color="auto" w:fill="auto"/>
            <w:vAlign w:val="center"/>
          </w:tcPr>
          <w:p>
            <w:pPr>
              <w:spacing w:beforeLines="20" w:before="48" w:afterLines="20" w:after="48"/>
              <w:jc w:val="center"/>
              <w:rPr>
                <w:noProof/>
                <w:sz w:val="16"/>
                <w:szCs w:val="16"/>
              </w:rPr>
            </w:pPr>
          </w:p>
        </w:tc>
      </w:tr>
      <w:tr>
        <w:trPr>
          <w:gridBefore w:val="1"/>
          <w:gridAfter w:val="1"/>
          <w:wBefore w:w="6" w:type="pct"/>
          <w:wAfter w:w="118" w:type="pct"/>
          <w:trHeight w:val="289"/>
          <w:jc w:val="center"/>
        </w:trPr>
        <w:tc>
          <w:tcPr>
            <w:tcW w:w="2140"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(CA, SNE, INT - indirect research)</w:t>
            </w:r>
          </w:p>
        </w:tc>
        <w:tc>
          <w:tcPr>
            <w:tcW w:w="498" w:type="pct"/>
            <w:shd w:val="clear" w:color="auto" w:fill="auto"/>
            <w:vAlign w:val="center"/>
          </w:tcPr>
          <w:p>
            <w:pPr>
              <w:spacing w:beforeLines="20" w:before="48" w:afterLines="20" w:after="48"/>
              <w:jc w:val="center"/>
              <w:rPr>
                <w:noProof/>
                <w:sz w:val="16"/>
                <w:szCs w:val="16"/>
              </w:rPr>
            </w:pPr>
          </w:p>
        </w:tc>
        <w:tc>
          <w:tcPr>
            <w:tcW w:w="593" w:type="pct"/>
            <w:shd w:val="clear" w:color="auto" w:fill="auto"/>
            <w:vAlign w:val="center"/>
          </w:tcPr>
          <w:p>
            <w:pPr>
              <w:spacing w:beforeLines="20" w:before="48" w:afterLines="20" w:after="48"/>
              <w:jc w:val="center"/>
              <w:rPr>
                <w:noProof/>
                <w:sz w:val="16"/>
                <w:szCs w:val="16"/>
              </w:rPr>
            </w:pPr>
          </w:p>
        </w:tc>
        <w:tc>
          <w:tcPr>
            <w:tcW w:w="869" w:type="pct"/>
            <w:shd w:val="clear" w:color="auto" w:fill="auto"/>
            <w:vAlign w:val="center"/>
          </w:tcPr>
          <w:p>
            <w:pPr>
              <w:spacing w:beforeLines="20" w:before="48" w:afterLines="20" w:after="48"/>
              <w:jc w:val="center"/>
              <w:rPr>
                <w:noProof/>
                <w:sz w:val="16"/>
                <w:szCs w:val="16"/>
              </w:rPr>
            </w:pPr>
          </w:p>
        </w:tc>
        <w:tc>
          <w:tcPr>
            <w:tcW w:w="776" w:type="pct"/>
            <w:shd w:val="clear" w:color="auto" w:fill="auto"/>
            <w:vAlign w:val="center"/>
          </w:tcPr>
          <w:p>
            <w:pPr>
              <w:spacing w:beforeLines="20" w:before="48" w:afterLines="20" w:after="48"/>
              <w:jc w:val="center"/>
              <w:rPr>
                <w:noProof/>
                <w:sz w:val="16"/>
                <w:szCs w:val="16"/>
              </w:rPr>
            </w:pPr>
          </w:p>
        </w:tc>
      </w:tr>
      <w:tr>
        <w:trPr>
          <w:gridBefore w:val="1"/>
          <w:gridAfter w:val="1"/>
          <w:wBefore w:w="6" w:type="pct"/>
          <w:wAfter w:w="118" w:type="pct"/>
          <w:trHeight w:val="289"/>
          <w:jc w:val="center"/>
        </w:trPr>
        <w:tc>
          <w:tcPr>
            <w:tcW w:w="2140"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Other budget lines (specify)</w:t>
            </w:r>
          </w:p>
        </w:tc>
        <w:tc>
          <w:tcPr>
            <w:tcW w:w="49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9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86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776"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gridAfter w:val="1"/>
          <w:wBefore w:w="6" w:type="pct"/>
          <w:wAfter w:w="118" w:type="pct"/>
          <w:trHeight w:val="289"/>
          <w:jc w:val="center"/>
        </w:trPr>
        <w:tc>
          <w:tcPr>
            <w:tcW w:w="2140"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49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593"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869"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776"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rPr>
        <w:t>XX</w:t>
      </w:r>
      <w:r>
        <w:rPr>
          <w:noProof/>
        </w:rPr>
        <w:t xml:space="preserve"> </w:t>
      </w:r>
      <w:r>
        <w:rPr>
          <w:noProof/>
          <w:sz w:val="18"/>
        </w:rPr>
        <w:t>is the policy area or budget title concerned.</w:t>
      </w:r>
    </w:p>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rPr>
                <w:noProof/>
                <w:sz w:val="20"/>
              </w:rPr>
            </w:pPr>
            <w:r>
              <w:rPr>
                <w:noProof/>
                <w:sz w:val="20"/>
              </w:rPr>
              <w:t>Administrative and budgetary implementation of the agreement (licences, monitoring catches, payment, sectoral support), preparation for and participation in joint committees and in negotiating subsequent Protocols, preparation and implementation of legislative acts, correspondence, technical and scientific support.</w:t>
            </w:r>
          </w:p>
          <w:p>
            <w:pPr>
              <w:rPr>
                <w:noProof/>
                <w:sz w:val="20"/>
              </w:rPr>
            </w:pPr>
            <w:r>
              <w:rPr>
                <w:noProof/>
                <w:sz w:val="20"/>
              </w:rPr>
              <w:t xml:space="preserve">Desk officer + financial assistant + secretarial staff + head of unit (or deputy) + scientific and technical support and collection of licence and catch data: 1 FTE at EUR 132 000/year (HoU, licence administrator, administrative secretariat and financial assistant) </w:t>
            </w:r>
          </w:p>
        </w:tc>
      </w:tr>
      <w:tr>
        <w:tc>
          <w:tcPr>
            <w:tcW w:w="3240" w:type="dxa"/>
          </w:tcPr>
          <w:p>
            <w:pPr>
              <w:spacing w:before="60" w:after="60"/>
              <w:rPr>
                <w:noProof/>
                <w:sz w:val="20"/>
              </w:rPr>
            </w:pPr>
            <w:r>
              <w:rPr>
                <w:noProof/>
                <w:sz w:val="20"/>
              </w:rPr>
              <w:t>External staff</w:t>
            </w:r>
          </w:p>
        </w:tc>
        <w:tc>
          <w:tcPr>
            <w:tcW w:w="7200" w:type="dxa"/>
          </w:tcPr>
          <w:p>
            <w:pPr>
              <w:rPr>
                <w:noProof/>
                <w:sz w:val="20"/>
              </w:rPr>
            </w:pPr>
            <w:r>
              <w:rPr>
                <w:noProof/>
                <w:sz w:val="20"/>
              </w:rPr>
              <w:t>Monitoring the implementation of the agreement and provision of sectoral support. Estimated 2 FTE - 1 FTE at EUR 78 000/year (desk SNE) and 1 FTE at EUR 70 000/year (contract agent in delegation)</w:t>
            </w: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7.2.4.</w:t>
      </w:r>
      <w:r>
        <w:tab/>
      </w:r>
      <w:r>
        <w:rPr>
          <w:noProof/>
        </w:rPr>
        <w:t xml:space="preserve">Compatibility with the current multiannual financial framework </w:t>
      </w:r>
    </w:p>
    <w:p>
      <w:pPr>
        <w:pStyle w:val="ListDash1"/>
        <w:rPr>
          <w:noProof/>
        </w:rPr>
      </w:pPr>
      <w:r>
        <w:rPr>
          <w:noProof/>
        </w:rPr>
        <w:t>x</w:t>
      </w:r>
      <w:r>
        <w:rPr>
          <w:noProof/>
        </w:rPr>
        <w:tab/>
        <w:t>The proposal/initiative is compatible the current multiannual financial framework.</w:t>
      </w:r>
    </w:p>
    <w:p>
      <w:pPr>
        <w:pStyle w:val="ListDash1"/>
        <w:rPr>
          <w:noProof/>
        </w:rPr>
      </w:pPr>
      <w:r>
        <w:rPr>
          <w:noProof/>
        </w:rPr>
        <w:sym w:font="Wingdings" w:char="F0A8"/>
      </w:r>
      <w:r>
        <w:rPr>
          <w:noProof/>
        </w:rPr>
        <w:tab/>
        <w:t>The proposal/initiative will entail reprogramming of the relevant heading in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 is required, specifying the budget lines concerned and the corresponding amounts.</w:t>
      </w:r>
    </w:p>
    <w:p>
      <w:pPr>
        <w:pStyle w:val="Text1"/>
        <w:pBdr>
          <w:top w:val="single" w:sz="4" w:space="1" w:color="auto"/>
          <w:left w:val="single" w:sz="4" w:space="4" w:color="auto"/>
          <w:bottom w:val="single" w:sz="4" w:space="1" w:color="auto"/>
          <w:right w:val="single" w:sz="4" w:space="4" w:color="auto"/>
        </w:pBdr>
        <w:rPr>
          <w:noProof/>
        </w:rPr>
      </w:pPr>
    </w:p>
    <w:p>
      <w:pPr>
        <w:pStyle w:val="ListDash1"/>
        <w:rPr>
          <w:noProof/>
        </w:rPr>
      </w:pPr>
      <w:r>
        <w:rPr>
          <w:noProof/>
        </w:rPr>
        <w:sym w:font="Wingdings" w:char="F0A8"/>
      </w:r>
      <w:r>
        <w:rPr>
          <w:noProof/>
        </w:rPr>
        <w:tab/>
        <w:t>The proposal/initiative requires application of the flexibility instrument or revision of the multiannual financial framework</w:t>
      </w:r>
      <w:r>
        <w:rPr>
          <w:rStyle w:val="FootnoteReference"/>
          <w:noProof/>
        </w:rPr>
        <w:footnoteReference w:id="16"/>
      </w:r>
      <w:r>
        <w:rPr>
          <w:noProof/>
        </w:rPr>
        <w:t>.</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7.2.5.</w:t>
      </w:r>
      <w:r>
        <w:tab/>
      </w:r>
      <w:r>
        <w:rPr>
          <w:noProof/>
        </w:rPr>
        <w:t xml:space="preserve">Third-party contributions </w:t>
      </w:r>
    </w:p>
    <w:p>
      <w:pPr>
        <w:pStyle w:val="ListDash1"/>
        <w:rPr>
          <w:noProof/>
        </w:rPr>
      </w:pPr>
      <w:r>
        <w:rPr>
          <w:noProof/>
        </w:rPr>
        <w:t xml:space="preserve">The proposal/initiative does not provide for co-financing by third parties. </w:t>
      </w:r>
    </w:p>
    <w:p>
      <w:pPr>
        <w:pStyle w:val="ListDash1"/>
        <w:rPr>
          <w:noProof/>
        </w:rPr>
      </w:pPr>
      <w:r>
        <w:rPr>
          <w:noProof/>
        </w:rPr>
        <w:t>The proposal/initiative provides for the co-financing estimated below:</w:t>
      </w:r>
    </w:p>
    <w:p>
      <w:pPr>
        <w:jc w:val="right"/>
        <w:rPr>
          <w:noProof/>
          <w:sz w:val="20"/>
        </w:rPr>
      </w:pPr>
      <w:r>
        <w:rPr>
          <w:noProof/>
          <w:sz w:val="20"/>
        </w:rPr>
        <w:t>Appropriations in EUR million (to 3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Year</w:t>
            </w:r>
            <w:r>
              <w:rPr>
                <w:noProof/>
                <w:sz w:val="20"/>
              </w:rPr>
              <w:br/>
            </w:r>
            <w:r>
              <w:rPr>
                <w:b/>
                <w:noProof/>
                <w:sz w:val="20"/>
              </w:rPr>
              <w:t>N</w:t>
            </w:r>
          </w:p>
        </w:tc>
        <w:tc>
          <w:tcPr>
            <w:tcW w:w="964" w:type="dxa"/>
            <w:vAlign w:val="center"/>
          </w:tcPr>
          <w:p>
            <w:pPr>
              <w:jc w:val="center"/>
              <w:rPr>
                <w:noProof/>
                <w:sz w:val="20"/>
              </w:rPr>
            </w:pPr>
            <w:r>
              <w:rPr>
                <w:noProof/>
                <w:sz w:val="20"/>
              </w:rPr>
              <w:t>Year</w:t>
            </w:r>
            <w:r>
              <w:rPr>
                <w:noProof/>
                <w:sz w:val="20"/>
              </w:rPr>
              <w:br/>
            </w:r>
            <w:r>
              <w:rPr>
                <w:b/>
                <w:noProof/>
                <w:sz w:val="20"/>
              </w:rPr>
              <w:t>N+1</w:t>
            </w:r>
          </w:p>
        </w:tc>
        <w:tc>
          <w:tcPr>
            <w:tcW w:w="964" w:type="dxa"/>
            <w:vAlign w:val="center"/>
          </w:tcPr>
          <w:p>
            <w:pPr>
              <w:jc w:val="center"/>
              <w:rPr>
                <w:noProof/>
                <w:sz w:val="20"/>
              </w:rPr>
            </w:pPr>
            <w:r>
              <w:rPr>
                <w:noProof/>
                <w:sz w:val="20"/>
              </w:rPr>
              <w:t>Year</w:t>
            </w:r>
            <w:r>
              <w:rPr>
                <w:noProof/>
                <w:sz w:val="20"/>
              </w:rPr>
              <w:br/>
            </w:r>
            <w:r>
              <w:rPr>
                <w:b/>
                <w:noProof/>
                <w:sz w:val="20"/>
              </w:rPr>
              <w:t>N+2</w:t>
            </w:r>
          </w:p>
        </w:tc>
        <w:tc>
          <w:tcPr>
            <w:tcW w:w="964" w:type="dxa"/>
            <w:vAlign w:val="center"/>
          </w:tcPr>
          <w:p>
            <w:pPr>
              <w:jc w:val="center"/>
              <w:rPr>
                <w:noProof/>
                <w:sz w:val="20"/>
              </w:rPr>
            </w:pPr>
            <w:r>
              <w:rPr>
                <w:noProof/>
                <w:sz w:val="20"/>
              </w:rPr>
              <w:t>Year</w:t>
            </w:r>
            <w:r>
              <w:rPr>
                <w:noProof/>
                <w:sz w:val="20"/>
              </w:rPr>
              <w:br/>
            </w:r>
            <w:r>
              <w:rPr>
                <w:b/>
                <w:noProof/>
                <w:sz w:val="20"/>
              </w:rPr>
              <w:t>N+3</w:t>
            </w:r>
          </w:p>
        </w:tc>
        <w:tc>
          <w:tcPr>
            <w:tcW w:w="2892" w:type="dxa"/>
            <w:gridSpan w:val="3"/>
            <w:vAlign w:val="center"/>
          </w:tcPr>
          <w:p>
            <w:pPr>
              <w:jc w:val="center"/>
              <w:rPr>
                <w:b/>
                <w:noProof/>
                <w:sz w:val="20"/>
              </w:rPr>
            </w:pPr>
            <w:r>
              <w:rPr>
                <w:noProof/>
                <w:sz w:val="20"/>
              </w:rPr>
              <w:t>Enter as many years as necessary to show the duration of the impact (see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appropriations cofinanced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iCs/>
          <w:noProof/>
          <w:szCs w:val="24"/>
        </w:rPr>
      </w:pPr>
      <w:r>
        <w:rPr>
          <w:noProof/>
        </w:rPr>
        <w:br w:type="page"/>
      </w:r>
      <w:r>
        <w:t>7.3.</w:t>
      </w:r>
      <w:r>
        <w:tab/>
      </w:r>
      <w:r>
        <w:rPr>
          <w:noProof/>
        </w:rPr>
        <w:t xml:space="preserve">Estimated impact on revenue </w:t>
      </w:r>
    </w:p>
    <w:p>
      <w:pPr>
        <w:pStyle w:val="ListDash1"/>
        <w:rPr>
          <w:noProof/>
        </w:rPr>
      </w:pPr>
      <w:r>
        <w:rPr>
          <w:noProof/>
        </w:rPr>
        <w:t>x</w:t>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ListNumberLevel3"/>
        <w:tabs>
          <w:tab w:val="clear" w:pos="2126"/>
        </w:tabs>
        <w:rPr>
          <w:noProof/>
        </w:rPr>
      </w:pPr>
      <w:r>
        <w:rPr>
          <w:noProof/>
        </w:rPr>
        <w:sym w:font="Wingdings" w:char="F0A8"/>
      </w:r>
      <w:r>
        <w:rPr>
          <w:noProof/>
        </w:rPr>
        <w:tab/>
        <w:t xml:space="preserve">on own resources </w:t>
      </w:r>
    </w:p>
    <w:p>
      <w:pPr>
        <w:pStyle w:val="ListNumberLevel3"/>
        <w:tabs>
          <w:tab w:val="clear" w:pos="2126"/>
        </w:tabs>
        <w:rPr>
          <w:noProof/>
        </w:rPr>
      </w:pPr>
      <w:r>
        <w:rPr>
          <w:noProof/>
        </w:rPr>
        <w:sym w:font="Wingdings" w:char="F0A8"/>
      </w:r>
      <w:r>
        <w:rPr>
          <w:noProof/>
        </w:rPr>
        <w:tab/>
        <w:t xml:space="preserve">on miscellaneous revenue </w:t>
      </w:r>
    </w:p>
    <w:p>
      <w:pPr>
        <w:jc w:val="right"/>
        <w:rPr>
          <w:i/>
          <w:noProof/>
          <w:sz w:val="20"/>
        </w:rPr>
      </w:pPr>
      <w:r>
        <w:rPr>
          <w:noProof/>
          <w:sz w:val="20"/>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9"/>
        <w:gridCol w:w="1391"/>
        <w:gridCol w:w="1080"/>
        <w:gridCol w:w="900"/>
        <w:gridCol w:w="900"/>
        <w:gridCol w:w="1080"/>
        <w:gridCol w:w="1080"/>
        <w:gridCol w:w="1080"/>
        <w:gridCol w:w="1080"/>
      </w:tblGrid>
      <w:tr>
        <w:trPr>
          <w:trHeight w:val="388"/>
        </w:trPr>
        <w:tc>
          <w:tcPr>
            <w:tcW w:w="2029" w:type="dxa"/>
            <w:vMerge w:val="restart"/>
            <w:vAlign w:val="center"/>
          </w:tcPr>
          <w:p>
            <w:pPr>
              <w:spacing w:before="40" w:after="40"/>
              <w:rPr>
                <w:noProof/>
                <w:sz w:val="18"/>
              </w:rPr>
            </w:pPr>
            <w:r>
              <w:rPr>
                <w:noProof/>
                <w:sz w:val="18"/>
              </w:rPr>
              <w:t>Budget revenue line:</w:t>
            </w:r>
          </w:p>
        </w:tc>
        <w:tc>
          <w:tcPr>
            <w:tcW w:w="1391" w:type="dxa"/>
            <w:vMerge w:val="restart"/>
            <w:vAlign w:val="center"/>
          </w:tcPr>
          <w:p>
            <w:pPr>
              <w:jc w:val="center"/>
              <w:rPr>
                <w:noProof/>
                <w:sz w:val="18"/>
              </w:rPr>
            </w:pPr>
            <w:r>
              <w:rPr>
                <w:noProof/>
                <w:sz w:val="18"/>
              </w:rPr>
              <w:t>Appropriations available for the current financial year</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17"/>
            </w:r>
          </w:p>
        </w:tc>
      </w:tr>
      <w:tr>
        <w:trPr>
          <w:trHeight w:val="388"/>
        </w:trPr>
        <w:tc>
          <w:tcPr>
            <w:tcW w:w="2029" w:type="dxa"/>
            <w:vMerge/>
          </w:tcPr>
          <w:p>
            <w:pPr>
              <w:spacing w:before="40" w:after="40"/>
              <w:rPr>
                <w:noProof/>
                <w:sz w:val="18"/>
              </w:rPr>
            </w:pPr>
          </w:p>
        </w:tc>
        <w:tc>
          <w:tcPr>
            <w:tcW w:w="1391"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Year</w:t>
            </w:r>
            <w:r>
              <w:rPr>
                <w:noProof/>
                <w:sz w:val="18"/>
              </w:rPr>
              <w:br/>
            </w:r>
            <w:r>
              <w:rPr>
                <w:b/>
                <w:noProof/>
                <w:sz w:val="18"/>
              </w:rPr>
              <w:t>N</w:t>
            </w:r>
          </w:p>
        </w:tc>
        <w:tc>
          <w:tcPr>
            <w:tcW w:w="900" w:type="dxa"/>
            <w:vAlign w:val="center"/>
          </w:tcPr>
          <w:p>
            <w:pPr>
              <w:jc w:val="center"/>
              <w:rPr>
                <w:noProof/>
                <w:sz w:val="18"/>
              </w:rPr>
            </w:pPr>
            <w:r>
              <w:rPr>
                <w:noProof/>
                <w:sz w:val="18"/>
              </w:rPr>
              <w:t>Year</w:t>
            </w:r>
            <w:r>
              <w:rPr>
                <w:noProof/>
                <w:sz w:val="18"/>
              </w:rPr>
              <w:br/>
            </w:r>
            <w:r>
              <w:rPr>
                <w:b/>
                <w:noProof/>
                <w:sz w:val="18"/>
              </w:rPr>
              <w:t>N+1</w:t>
            </w:r>
          </w:p>
        </w:tc>
        <w:tc>
          <w:tcPr>
            <w:tcW w:w="900" w:type="dxa"/>
            <w:vAlign w:val="center"/>
          </w:tcPr>
          <w:p>
            <w:pPr>
              <w:jc w:val="center"/>
              <w:rPr>
                <w:noProof/>
                <w:sz w:val="18"/>
              </w:rPr>
            </w:pPr>
            <w:r>
              <w:rPr>
                <w:noProof/>
                <w:sz w:val="18"/>
              </w:rPr>
              <w:t>Year</w:t>
            </w:r>
            <w:r>
              <w:rPr>
                <w:noProof/>
                <w:sz w:val="18"/>
              </w:rPr>
              <w:br/>
            </w:r>
            <w:r>
              <w:rPr>
                <w:b/>
                <w:noProof/>
                <w:sz w:val="18"/>
              </w:rPr>
              <w:t>N+2</w:t>
            </w:r>
          </w:p>
        </w:tc>
        <w:tc>
          <w:tcPr>
            <w:tcW w:w="1080" w:type="dxa"/>
            <w:vAlign w:val="center"/>
          </w:tcPr>
          <w:p>
            <w:pPr>
              <w:jc w:val="center"/>
              <w:rPr>
                <w:noProof/>
                <w:sz w:val="18"/>
              </w:rPr>
            </w:pPr>
            <w:r>
              <w:rPr>
                <w:noProof/>
                <w:sz w:val="18"/>
              </w:rPr>
              <w:t>Year</w:t>
            </w:r>
            <w:r>
              <w:rPr>
                <w:noProof/>
                <w:sz w:val="18"/>
              </w:rPr>
              <w:br/>
            </w:r>
            <w:r>
              <w:rPr>
                <w:b/>
                <w:noProof/>
                <w:sz w:val="18"/>
              </w:rPr>
              <w:t>N+3</w:t>
            </w:r>
          </w:p>
        </w:tc>
        <w:tc>
          <w:tcPr>
            <w:tcW w:w="3240" w:type="dxa"/>
            <w:gridSpan w:val="3"/>
            <w:vAlign w:val="center"/>
          </w:tcPr>
          <w:p>
            <w:pPr>
              <w:jc w:val="center"/>
              <w:rPr>
                <w:b/>
                <w:noProof/>
                <w:sz w:val="18"/>
              </w:rPr>
            </w:pPr>
            <w:r>
              <w:rPr>
                <w:noProof/>
                <w:sz w:val="18"/>
              </w:rPr>
              <w:t>Enter as many years as necessary to show the duration of the impact (see point 1.6)</w:t>
            </w:r>
          </w:p>
        </w:tc>
      </w:tr>
      <w:tr>
        <w:trPr>
          <w:trHeight w:val="388"/>
        </w:trPr>
        <w:tc>
          <w:tcPr>
            <w:tcW w:w="2029" w:type="dxa"/>
            <w:vAlign w:val="center"/>
          </w:tcPr>
          <w:p>
            <w:pPr>
              <w:spacing w:before="40" w:after="40"/>
              <w:rPr>
                <w:noProof/>
                <w:sz w:val="18"/>
              </w:rPr>
            </w:pPr>
            <w:r>
              <w:rPr>
                <w:noProof/>
                <w:sz w:val="18"/>
              </w:rPr>
              <w:t>Article ………….</w:t>
            </w:r>
          </w:p>
        </w:tc>
        <w:tc>
          <w:tcPr>
            <w:tcW w:w="1391"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miscellaneous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Specify the method for calculating the impact on revenue.</w:t>
      </w:r>
    </w:p>
    <w:p>
      <w:pPr>
        <w:pStyle w:val="Text1"/>
        <w:pBdr>
          <w:top w:val="single" w:sz="4" w:space="1" w:color="auto"/>
          <w:left w:val="single" w:sz="4" w:space="4" w:color="auto"/>
          <w:bottom w:val="single" w:sz="4" w:space="1" w:color="auto"/>
          <w:right w:val="single" w:sz="4" w:space="4" w:color="auto"/>
        </w:pBdr>
        <w:rPr>
          <w:noProof/>
        </w:rPr>
      </w:pPr>
    </w:p>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C , , p. .</w:t>
      </w:r>
    </w:p>
  </w:footnote>
  <w:footnote w:id="2">
    <w:p>
      <w:pPr>
        <w:spacing w:before="0" w:after="0"/>
        <w:ind w:left="709" w:hanging="709"/>
      </w:pPr>
      <w:r>
        <w:rPr>
          <w:rStyle w:val="FootnoteReference"/>
        </w:rPr>
        <w:footnoteRef/>
      </w:r>
      <w:r>
        <w:tab/>
      </w:r>
      <w:r>
        <w:rPr>
          <w:sz w:val="20"/>
        </w:rPr>
        <w:t>Council Regulation (EC) No 1801/2006 of 30 November 2006 concerning the conclusion of the Fisheries Partnership Agreement between the European Community and the Islamic Republic of Mauritania (OJ L 343, 8.12.2006, p. 1).</w:t>
      </w:r>
    </w:p>
  </w:footnote>
  <w:footnote w:id="3">
    <w:p>
      <w:pPr>
        <w:pStyle w:val="FootnoteText"/>
      </w:pPr>
      <w:r>
        <w:rPr>
          <w:rStyle w:val="FootnoteReference"/>
        </w:rPr>
        <w:footnoteRef/>
      </w:r>
      <w:r>
        <w:tab/>
        <w:t>Council Decision (EU) .......... on the signing, on behalf of the European Union, and on the provisional application of the Protocol setting out the fishing opportunities and financial contribution provided for in the Fisheries Partnership Agreement between the European Union and the Islamic Republic of Mauritania for a period of four years (OJ L [...], [...], p. [...]).</w:t>
      </w:r>
    </w:p>
  </w:footnote>
  <w:footnote w:id="4">
    <w:p>
      <w:pPr>
        <w:pStyle w:val="FootnoteText"/>
        <w:rPr>
          <w:szCs w:val="24"/>
          <w:lang w:val="en-US"/>
        </w:rPr>
      </w:pPr>
      <w:r>
        <w:rPr>
          <w:rStyle w:val="FootnoteReference"/>
        </w:rPr>
        <w:footnoteRef/>
      </w:r>
      <w:r>
        <w:tab/>
        <w:t>ABM: Activity-Based Management – ABB: Activity-Based Budgeting.</w:t>
      </w:r>
    </w:p>
  </w:footnote>
  <w:footnote w:id="5">
    <w:p>
      <w:pPr>
        <w:pStyle w:val="FootnoteText"/>
        <w:rPr>
          <w:szCs w:val="24"/>
        </w:rPr>
      </w:pPr>
      <w:r>
        <w:rPr>
          <w:rStyle w:val="FootnoteReference"/>
        </w:rPr>
        <w:footnoteRef/>
      </w:r>
      <w:r>
        <w:tab/>
        <w:t>As referred to in Article 54(2)(a) or (b) of the Financial Regulation.</w:t>
      </w:r>
    </w:p>
  </w:footnote>
  <w:footnote w:id="6">
    <w:p>
      <w:pPr>
        <w:pStyle w:val="FootnoteText"/>
        <w:rPr>
          <w:szCs w:val="24"/>
        </w:rPr>
      </w:pPr>
      <w:r>
        <w:rPr>
          <w:rStyle w:val="FootnoteReference"/>
        </w:rPr>
        <w:footnoteRef/>
      </w:r>
      <w:r>
        <w:tab/>
        <w:t xml:space="preserve">Details of management modes and references to the Financial Regulation may be found on the BudgWeb site: </w:t>
      </w:r>
      <w:hyperlink r:id="rId1">
        <w:r>
          <w:rPr>
            <w:rStyle w:val="Hyperlink"/>
            <w:noProof/>
            <w:sz w:val="18"/>
          </w:rPr>
          <w:t>http://www.cc.cec/budg/man/budgmanag/budgmanag_en.htm</w:t>
        </w:r>
      </w:hyperlink>
    </w:p>
  </w:footnote>
  <w:footnote w:id="7">
    <w:p>
      <w:pPr>
        <w:pStyle w:val="FootnoteText"/>
        <w:rPr>
          <w:szCs w:val="24"/>
        </w:rPr>
      </w:pPr>
      <w:r>
        <w:rPr>
          <w:rStyle w:val="FootnoteReference"/>
        </w:rPr>
        <w:footnoteRef/>
      </w:r>
      <w:r>
        <w:tab/>
        <w:t>Diff. = Differentiated appropriations / Non-Diff. = Non-differentiated appropriations.</w:t>
      </w:r>
    </w:p>
  </w:footnote>
  <w:footnote w:id="8">
    <w:p>
      <w:pPr>
        <w:pStyle w:val="FootnoteText"/>
        <w:rPr>
          <w:szCs w:val="24"/>
        </w:rPr>
      </w:pPr>
      <w:r>
        <w:rPr>
          <w:rStyle w:val="FootnoteReference"/>
        </w:rPr>
        <w:footnoteRef/>
      </w:r>
      <w:r>
        <w:tab/>
        <w:t xml:space="preserve">EFTA: European Free Trade Association. </w:t>
      </w:r>
    </w:p>
  </w:footnote>
  <w:footnote w:id="9">
    <w:p>
      <w:pPr>
        <w:pStyle w:val="FootnoteText"/>
        <w:rPr>
          <w:szCs w:val="24"/>
        </w:rPr>
      </w:pPr>
      <w:r>
        <w:rPr>
          <w:rStyle w:val="FootnoteReference"/>
        </w:rPr>
        <w:footnoteRef/>
      </w:r>
      <w:r>
        <w:tab/>
        <w:t>Candidate countries and, where applicable, potential candidate countries from the Western Balkans.</w:t>
      </w:r>
    </w:p>
  </w:footnote>
  <w:footnote w:id="10">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 This covers in particular the cost of the participation of EU experts in annual meetings of the Independent Joint Scientific Committee (Article 4(1) of the Protocol) and the ex-post assessment study to be carried out during the last year of the Protocol (hence the increase in this item in 2018).</w:t>
      </w:r>
    </w:p>
  </w:footnote>
  <w:footnote w:id="11">
    <w:p>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12">
    <w:p>
      <w:pPr>
        <w:pStyle w:val="FootnoteText"/>
        <w:rPr>
          <w:szCs w:val="24"/>
        </w:rPr>
      </w:pPr>
      <w:r>
        <w:rPr>
          <w:rStyle w:val="FootnoteReference"/>
        </w:rPr>
        <w:footnoteRef/>
      </w:r>
      <w:r>
        <w:tab/>
        <w:t xml:space="preserve">As described in Section 1.4.2. ‘Specific objective(s)…’ </w:t>
      </w:r>
    </w:p>
  </w:footnote>
  <w:footnote w:id="13">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14">
    <w:p>
      <w:pPr>
        <w:pStyle w:val="FootnoteText"/>
        <w:rPr>
          <w:szCs w:val="24"/>
        </w:rPr>
      </w:pPr>
      <w:r>
        <w:rPr>
          <w:rStyle w:val="FootnoteReference"/>
        </w:rPr>
        <w:footnoteRef/>
      </w:r>
      <w:r>
        <w:tab/>
        <w:t xml:space="preserve">CA= Contract Staff; LA = Local Staff; SNE = Seconded National Expert; INT = agency staff; JED = Junior Experts in Delegations . </w:t>
      </w:r>
    </w:p>
  </w:footnote>
  <w:footnote w:id="15">
    <w:p>
      <w:pPr>
        <w:pStyle w:val="FootnoteText"/>
        <w:rPr>
          <w:szCs w:val="24"/>
        </w:rPr>
      </w:pPr>
      <w:r>
        <w:rPr>
          <w:rStyle w:val="FootnoteReference"/>
        </w:rPr>
        <w:footnoteRef/>
      </w:r>
      <w:r>
        <w:tab/>
        <w:t>Sub-ceiling for external staff covered by operational appropriations (former ‘BA’ lines).</w:t>
      </w:r>
    </w:p>
  </w:footnote>
  <w:footnote w:id="16">
    <w:p>
      <w:pPr>
        <w:pStyle w:val="FootnoteText"/>
        <w:rPr>
          <w:szCs w:val="24"/>
        </w:rPr>
      </w:pPr>
      <w:r>
        <w:rPr>
          <w:rStyle w:val="FootnoteReference"/>
        </w:rPr>
        <w:footnoteRef/>
      </w:r>
      <w:r>
        <w:tab/>
        <w:t>See points 19 and 24 of the Interinstitutional Agreement for the period 2007-2013.</w:t>
      </w:r>
    </w:p>
  </w:footnote>
  <w:footnote w:id="17">
    <w:p>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0B29E5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8BC9658"/>
    <w:lvl w:ilvl="0">
      <w:start w:val="1"/>
      <w:numFmt w:val="decimal"/>
      <w:pStyle w:val="ListNumber3"/>
      <w:lvlText w:val="%1."/>
      <w:lvlJc w:val="left"/>
      <w:pPr>
        <w:tabs>
          <w:tab w:val="num" w:pos="926"/>
        </w:tabs>
        <w:ind w:left="926" w:hanging="360"/>
      </w:pPr>
    </w:lvl>
  </w:abstractNum>
  <w:abstractNum w:abstractNumId="2">
    <w:nsid w:val="FFFFFF7F"/>
    <w:multiLevelType w:val="singleLevel"/>
    <w:tmpl w:val="E9982590"/>
    <w:lvl w:ilvl="0">
      <w:start w:val="1"/>
      <w:numFmt w:val="decimal"/>
      <w:pStyle w:val="ListNumber2"/>
      <w:lvlText w:val="%1."/>
      <w:lvlJc w:val="left"/>
      <w:pPr>
        <w:tabs>
          <w:tab w:val="num" w:pos="643"/>
        </w:tabs>
        <w:ind w:left="643" w:hanging="360"/>
      </w:pPr>
    </w:lvl>
  </w:abstractNum>
  <w:abstractNum w:abstractNumId="3">
    <w:nsid w:val="FFFFFF81"/>
    <w:multiLevelType w:val="singleLevel"/>
    <w:tmpl w:val="8BC69E9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AE80A9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C64EDE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2EE3F7A"/>
    <w:lvl w:ilvl="0">
      <w:start w:val="1"/>
      <w:numFmt w:val="decimal"/>
      <w:lvlText w:val="%1."/>
      <w:lvlJc w:val="left"/>
      <w:pPr>
        <w:tabs>
          <w:tab w:val="num" w:pos="360"/>
        </w:tabs>
        <w:ind w:left="360" w:hanging="360"/>
      </w:pPr>
    </w:lvl>
  </w:abstractNum>
  <w:abstractNum w:abstractNumId="7">
    <w:nsid w:val="FFFFFF89"/>
    <w:multiLevelType w:val="singleLevel"/>
    <w:tmpl w:val="0596BBF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17"/>
  </w:num>
  <w:num w:numId="3">
    <w:abstractNumId w:val="16"/>
  </w:num>
  <w:num w:numId="4">
    <w:abstractNumId w:val="24"/>
  </w:num>
  <w:num w:numId="5">
    <w:abstractNumId w:val="7"/>
  </w:num>
  <w:num w:numId="6">
    <w:abstractNumId w:val="5"/>
  </w:num>
  <w:num w:numId="7">
    <w:abstractNumId w:val="4"/>
  </w:num>
  <w:num w:numId="8">
    <w:abstractNumId w:val="3"/>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0"/>
  </w:num>
  <w:num w:numId="13">
    <w:abstractNumId w:val="21"/>
    <w:lvlOverride w:ilvl="0">
      <w:startOverride w:val="1"/>
    </w:lvlOverride>
  </w:num>
  <w:num w:numId="14">
    <w:abstractNumId w:val="25"/>
    <w:lvlOverride w:ilvl="0">
      <w:startOverride w:val="1"/>
    </w:lvlOverride>
  </w:num>
  <w:num w:numId="15">
    <w:abstractNumId w:val="21"/>
  </w:num>
  <w:num w:numId="16">
    <w:abstractNumId w:val="13"/>
  </w:num>
  <w:num w:numId="17">
    <w:abstractNumId w:val="23"/>
  </w:num>
  <w:num w:numId="18">
    <w:abstractNumId w:val="12"/>
  </w:num>
  <w:num w:numId="19">
    <w:abstractNumId w:val="14"/>
  </w:num>
  <w:num w:numId="20">
    <w:abstractNumId w:val="10"/>
  </w:num>
  <w:num w:numId="21">
    <w:abstractNumId w:val="22"/>
  </w:num>
  <w:num w:numId="22">
    <w:abstractNumId w:val="9"/>
  </w:num>
  <w:num w:numId="23">
    <w:abstractNumId w:val="15"/>
  </w:num>
  <w:num w:numId="24">
    <w:abstractNumId w:val="19"/>
  </w:num>
  <w:num w:numId="25">
    <w:abstractNumId w:val="20"/>
  </w:num>
  <w:num w:numId="26">
    <w:abstractNumId w:val="11"/>
  </w:num>
  <w:num w:numId="27">
    <w:abstractNumId w:val="18"/>
  </w:num>
  <w:num w:numId="28">
    <w:abstractNumId w:val="25"/>
  </w:num>
  <w:num w:numId="29">
    <w:abstractNumId w:val="6"/>
  </w:num>
  <w:num w:numId="30">
    <w:abstractNumId w:val="21"/>
  </w:num>
  <w:num w:numId="31">
    <w:abstractNumId w:val="13"/>
  </w:num>
  <w:num w:numId="32">
    <w:abstractNumId w:val="23"/>
  </w:num>
  <w:num w:numId="33">
    <w:abstractNumId w:val="12"/>
  </w:num>
  <w:num w:numId="34">
    <w:abstractNumId w:val="14"/>
  </w:num>
  <w:num w:numId="35">
    <w:abstractNumId w:val="10"/>
  </w:num>
  <w:num w:numId="36">
    <w:abstractNumId w:val="22"/>
  </w:num>
  <w:num w:numId="37">
    <w:abstractNumId w:val="9"/>
  </w:num>
  <w:num w:numId="38">
    <w:abstractNumId w:val="15"/>
  </w:num>
  <w:num w:numId="39">
    <w:abstractNumId w:val="19"/>
  </w:num>
  <w:num w:numId="40">
    <w:abstractNumId w:val="20"/>
  </w:num>
  <w:num w:numId="41">
    <w:abstractNumId w:val="11"/>
  </w:num>
  <w:num w:numId="42">
    <w:abstractNumId w:val="18"/>
  </w:num>
  <w:num w:numId="43">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0-01 09:54:1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5F4FC5C7F1AC4F5DB52D624E5ABCAE6F"/>
    <w:docVar w:name="LW_CROSSREFERENCE" w:val="&lt;UNUSED&gt;"/>
    <w:docVar w:name="LW_DocType" w:val="COM"/>
    <w:docVar w:name="LW_EMISSION" w:val="1.10.2015"/>
    <w:docVar w:name="LW_EMISSION_ISODATE" w:val="2015-10-01"/>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29"/>
    <w:docVar w:name="LW_REF.II.NEW.CP_YEAR" w:val="2015"/>
    <w:docVar w:name="LW_REF.INST.NEW" w:val="COM"/>
    <w:docVar w:name="LW_REF.INST.NEW_ADOPTED" w:val="final"/>
    <w:docVar w:name="LW_REF.INST.NEW_TEXT" w:val="(2015) 477"/>
    <w:docVar w:name="LW_REF.INTERNE" w:val="&lt;UNUSED&gt;"/>
    <w:docVar w:name="LW_SOUS.TITRE.OBJ.CP" w:val="&lt;UNUSED&gt;"/>
    <w:docVar w:name="LW_STATUT.CP" w:val="Proposal for a"/>
    <w:docVar w:name="LW_SUPERTITRE" w:val="&lt;UNUSED&gt;"/>
    <w:docVar w:name="LW_TITRE.OBJ.CP" w:val="on the conclusion of the Protocol setting out the fishing opportunities and financial contribution provided for in the Fisheries Partnership Agreement between the European Community and the Islamic Republic of Mauritania for a period of four year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szCs w:val="24"/>
    </w:rPr>
  </w:style>
  <w:style w:type="paragraph" w:customStyle="1" w:styleId="ListBullet1">
    <w:name w:val="List Bullet 1"/>
    <w:basedOn w:val="Normal"/>
    <w:pPr>
      <w:numPr>
        <w:numId w:val="1"/>
      </w:numPr>
    </w:pPr>
    <w:rPr>
      <w:rFonts w:eastAsia="Times New Roman"/>
      <w:szCs w:val="24"/>
    </w:rPr>
  </w:style>
  <w:style w:type="paragraph" w:customStyle="1" w:styleId="ListDash1">
    <w:name w:val="List Dash 1"/>
    <w:basedOn w:val="Normal"/>
    <w:pPr>
      <w:numPr>
        <w:numId w:val="2"/>
      </w:numPr>
    </w:pPr>
    <w:rPr>
      <w:rFonts w:eastAsia="Times New Roman"/>
      <w:szCs w:val="24"/>
    </w:rPr>
  </w:style>
  <w:style w:type="paragraph" w:customStyle="1" w:styleId="ListDash2">
    <w:name w:val="List Dash 2"/>
    <w:basedOn w:val="Normal"/>
    <w:pPr>
      <w:numPr>
        <w:numId w:val="3"/>
      </w:numPr>
    </w:pPr>
    <w:rPr>
      <w:rFonts w:eastAsia="Times New Roman"/>
      <w:szCs w:val="24"/>
    </w:rPr>
  </w:style>
  <w:style w:type="paragraph" w:customStyle="1" w:styleId="ListNumberLevel2">
    <w:name w:val="List Number (Level 2)"/>
    <w:basedOn w:val="Normal"/>
    <w:pPr>
      <w:numPr>
        <w:ilvl w:val="1"/>
        <w:numId w:val="4"/>
      </w:numPr>
    </w:pPr>
    <w:rPr>
      <w:rFonts w:eastAsia="Times New Roman"/>
      <w:szCs w:val="24"/>
    </w:rPr>
  </w:style>
  <w:style w:type="paragraph" w:customStyle="1" w:styleId="ListNumberLevel3">
    <w:name w:val="List Number (Level 3)"/>
    <w:basedOn w:val="Normal"/>
    <w:pPr>
      <w:numPr>
        <w:ilvl w:val="2"/>
        <w:numId w:val="4"/>
      </w:numPr>
    </w:pPr>
    <w:rPr>
      <w:rFonts w:eastAsia="Times New Roman"/>
      <w:szCs w:val="24"/>
    </w:rPr>
  </w:style>
  <w:style w:type="paragraph" w:customStyle="1" w:styleId="ListNumberLevel4">
    <w:name w:val="List Number (Level 4)"/>
    <w:basedOn w:val="Normal"/>
    <w:pPr>
      <w:numPr>
        <w:ilvl w:val="3"/>
        <w:numId w:val="4"/>
      </w:numPr>
    </w:pPr>
    <w:rPr>
      <w:rFonts w:eastAsia="Times New Roman"/>
      <w:szCs w:val="24"/>
    </w:rPr>
  </w:style>
  <w:style w:type="character" w:styleId="Hyperlink">
    <w:name w:val="Hyperlink"/>
    <w:rPr>
      <w:color w:val="0000FF"/>
      <w:u w:val="single"/>
    </w:rPr>
  </w:style>
  <w:style w:type="character" w:customStyle="1" w:styleId="Text1Char">
    <w:name w:val="Text 1 Char"/>
    <w:rPr>
      <w:rFonts w:ascii="Times New Roman" w:hAnsi="Times New Roman"/>
      <w:sz w:val="24"/>
      <w:szCs w:val="22"/>
      <w:lang w:eastAsia="en-GB"/>
    </w:rPr>
  </w:style>
  <w:style w:type="character" w:styleId="FollowedHyperlink">
    <w:name w:val="FollowedHyperlink"/>
    <w:uiPriority w:val="99"/>
    <w:semiHidden/>
    <w:unhideWhenUsed/>
    <w:rPr>
      <w:color w:val="800080"/>
      <w:u w:val="single"/>
    </w:r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GB"/>
    </w:rPr>
  </w:style>
  <w:style w:type="paragraph" w:styleId="Caption">
    <w:name w:val="caption"/>
    <w:basedOn w:val="Normal"/>
    <w:next w:val="Normal"/>
    <w:uiPriority w:val="35"/>
    <w:semiHidden/>
    <w:unhideWhenUsed/>
    <w:qFormat/>
    <w:rPr>
      <w:b/>
      <w:bCs/>
      <w:sz w:val="20"/>
    </w:rPr>
  </w:style>
  <w:style w:type="paragraph" w:styleId="TableofFigures">
    <w:name w:val="table of figures"/>
    <w:basedOn w:val="Normal"/>
    <w:next w:val="Normal"/>
    <w:uiPriority w:val="99"/>
    <w:semiHidden/>
    <w:unhideWhenUsed/>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szCs w:val="24"/>
    </w:rPr>
  </w:style>
  <w:style w:type="paragraph" w:customStyle="1" w:styleId="ListBullet1">
    <w:name w:val="List Bullet 1"/>
    <w:basedOn w:val="Normal"/>
    <w:pPr>
      <w:numPr>
        <w:numId w:val="1"/>
      </w:numPr>
    </w:pPr>
    <w:rPr>
      <w:rFonts w:eastAsia="Times New Roman"/>
      <w:szCs w:val="24"/>
    </w:rPr>
  </w:style>
  <w:style w:type="paragraph" w:customStyle="1" w:styleId="ListDash1">
    <w:name w:val="List Dash 1"/>
    <w:basedOn w:val="Normal"/>
    <w:pPr>
      <w:numPr>
        <w:numId w:val="2"/>
      </w:numPr>
    </w:pPr>
    <w:rPr>
      <w:rFonts w:eastAsia="Times New Roman"/>
      <w:szCs w:val="24"/>
    </w:rPr>
  </w:style>
  <w:style w:type="paragraph" w:customStyle="1" w:styleId="ListDash2">
    <w:name w:val="List Dash 2"/>
    <w:basedOn w:val="Normal"/>
    <w:pPr>
      <w:numPr>
        <w:numId w:val="3"/>
      </w:numPr>
    </w:pPr>
    <w:rPr>
      <w:rFonts w:eastAsia="Times New Roman"/>
      <w:szCs w:val="24"/>
    </w:rPr>
  </w:style>
  <w:style w:type="paragraph" w:customStyle="1" w:styleId="ListNumberLevel2">
    <w:name w:val="List Number (Level 2)"/>
    <w:basedOn w:val="Normal"/>
    <w:pPr>
      <w:numPr>
        <w:ilvl w:val="1"/>
        <w:numId w:val="4"/>
      </w:numPr>
    </w:pPr>
    <w:rPr>
      <w:rFonts w:eastAsia="Times New Roman"/>
      <w:szCs w:val="24"/>
    </w:rPr>
  </w:style>
  <w:style w:type="paragraph" w:customStyle="1" w:styleId="ListNumberLevel3">
    <w:name w:val="List Number (Level 3)"/>
    <w:basedOn w:val="Normal"/>
    <w:pPr>
      <w:numPr>
        <w:ilvl w:val="2"/>
        <w:numId w:val="4"/>
      </w:numPr>
    </w:pPr>
    <w:rPr>
      <w:rFonts w:eastAsia="Times New Roman"/>
      <w:szCs w:val="24"/>
    </w:rPr>
  </w:style>
  <w:style w:type="paragraph" w:customStyle="1" w:styleId="ListNumberLevel4">
    <w:name w:val="List Number (Level 4)"/>
    <w:basedOn w:val="Normal"/>
    <w:pPr>
      <w:numPr>
        <w:ilvl w:val="3"/>
        <w:numId w:val="4"/>
      </w:numPr>
    </w:pPr>
    <w:rPr>
      <w:rFonts w:eastAsia="Times New Roman"/>
      <w:szCs w:val="24"/>
    </w:rPr>
  </w:style>
  <w:style w:type="character" w:styleId="Hyperlink">
    <w:name w:val="Hyperlink"/>
    <w:rPr>
      <w:color w:val="0000FF"/>
      <w:u w:val="single"/>
    </w:rPr>
  </w:style>
  <w:style w:type="character" w:customStyle="1" w:styleId="Text1Char">
    <w:name w:val="Text 1 Char"/>
    <w:rPr>
      <w:rFonts w:ascii="Times New Roman" w:hAnsi="Times New Roman"/>
      <w:sz w:val="24"/>
      <w:szCs w:val="22"/>
      <w:lang w:eastAsia="en-GB"/>
    </w:rPr>
  </w:style>
  <w:style w:type="character" w:styleId="FollowedHyperlink">
    <w:name w:val="FollowedHyperlink"/>
    <w:uiPriority w:val="99"/>
    <w:semiHidden/>
    <w:unhideWhenUsed/>
    <w:rPr>
      <w:color w:val="800080"/>
      <w:u w:val="single"/>
    </w:r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GB"/>
    </w:rPr>
  </w:style>
  <w:style w:type="paragraph" w:styleId="Caption">
    <w:name w:val="caption"/>
    <w:basedOn w:val="Normal"/>
    <w:next w:val="Normal"/>
    <w:uiPriority w:val="35"/>
    <w:semiHidden/>
    <w:unhideWhenUsed/>
    <w:qFormat/>
    <w:rPr>
      <w:b/>
      <w:bCs/>
      <w:sz w:val="20"/>
    </w:rPr>
  </w:style>
  <w:style w:type="paragraph" w:styleId="TableofFigures">
    <w:name w:val="table of figures"/>
    <w:basedOn w:val="Normal"/>
    <w:next w:val="Normal"/>
    <w:uiPriority w:val="99"/>
    <w:semiHidden/>
    <w:unhideWhenUsed/>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425596">
      <w:bodyDiv w:val="1"/>
      <w:marLeft w:val="0"/>
      <w:marRight w:val="0"/>
      <w:marTop w:val="0"/>
      <w:marBottom w:val="0"/>
      <w:divBdr>
        <w:top w:val="none" w:sz="0" w:space="0" w:color="auto"/>
        <w:left w:val="none" w:sz="0" w:space="0" w:color="auto"/>
        <w:bottom w:val="none" w:sz="0" w:space="0" w:color="auto"/>
        <w:right w:val="none" w:sz="0" w:space="0" w:color="auto"/>
      </w:divBdr>
    </w:div>
    <w:div w:id="753162812">
      <w:bodyDiv w:val="1"/>
      <w:marLeft w:val="0"/>
      <w:marRight w:val="0"/>
      <w:marTop w:val="0"/>
      <w:marBottom w:val="0"/>
      <w:divBdr>
        <w:top w:val="none" w:sz="0" w:space="0" w:color="auto"/>
        <w:left w:val="none" w:sz="0" w:space="0" w:color="auto"/>
        <w:bottom w:val="none" w:sz="0" w:space="0" w:color="auto"/>
        <w:right w:val="none" w:sz="0" w:space="0" w:color="auto"/>
      </w:divBdr>
    </w:div>
    <w:div w:id="754668176">
      <w:bodyDiv w:val="1"/>
      <w:marLeft w:val="0"/>
      <w:marRight w:val="0"/>
      <w:marTop w:val="0"/>
      <w:marBottom w:val="0"/>
      <w:divBdr>
        <w:top w:val="none" w:sz="0" w:space="0" w:color="auto"/>
        <w:left w:val="none" w:sz="0" w:space="0" w:color="auto"/>
        <w:bottom w:val="none" w:sz="0" w:space="0" w:color="auto"/>
        <w:right w:val="none" w:sz="0" w:space="0" w:color="auto"/>
      </w:divBdr>
      <w:divsChild>
        <w:div w:id="1830097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256B6-85CA-42AD-87F2-DACBBABA7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21</Pages>
  <Words>4193</Words>
  <Characters>24031</Characters>
  <Application>Microsoft Office Word</Application>
  <DocSecurity>0</DocSecurity>
  <Lines>1264</Lines>
  <Paragraphs>656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2015-08-07T10:03:00Z</cp:lastPrinted>
  <dcterms:created xsi:type="dcterms:W3CDTF">2015-09-22T08:57:00Z</dcterms:created>
  <dcterms:modified xsi:type="dcterms:W3CDTF">2015-10-01T07:54:00Z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LWCR Document">
    <vt:lpwstr>True</vt:lpwstr>
  </property>
  <property fmtid="{D5CDD505-2E9C-101B-9397-08002B2CF9AE}" pid="11" name="LWCR Version">
    <vt:lpwstr>1.6.413</vt:lpwstr>
  </property>
  <property fmtid="{D5CDD505-2E9C-101B-9397-08002B2CF9AE}" pid="12" name="DQCStatus">
    <vt:lpwstr>Green (DQC version 03)</vt:lpwstr>
  </property>
</Properties>
</file>