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80DB5B7146D4A9C9034E6D172FF4046"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КОНТЕКСТ НА ПРЕДЛОЖЕНИЕТО</w:t>
      </w:r>
    </w:p>
    <w:p>
      <w:pPr>
        <w:rPr>
          <w:noProof/>
        </w:rPr>
      </w:pPr>
      <w:r>
        <w:rPr>
          <w:noProof/>
        </w:rPr>
        <w:t>Съветът упълномощи Европейската комисия да води, от името на Европейския съюз, преговори за подновяване на протокола за определяне на възможностите за риболов и на финансовото участие, предвидени в Споразумението за партньорство в областта на рибарството между Европейската общност и Ислямска република Мавритания. След приключването на преговорите на 10 юли 2015 г. преговарящите парафираха нов протокол. Той обхваща период от четири години, считано от датата на временното прилагане, определена в член 14 — т.е. от датата на подписването му.</w:t>
      </w:r>
    </w:p>
    <w:p>
      <w:pPr>
        <w:rPr>
          <w:noProof/>
        </w:rPr>
      </w:pPr>
      <w:r>
        <w:rPr>
          <w:noProof/>
        </w:rPr>
        <w:t xml:space="preserve">Основната цел на протокола е да се предоставят възможности за риболов на корабите на Европейския съюз във водите на Мавритания, в рамките на наличния излишък, с оглед на най-актуалните налични научни оценки, и по-специално тези на Комитета по риболова в централната източна част на Атлантическия океан (CECAF), и в съответствие с наличните научни становища и с препоръките на Международната комисия за опазване на рибата тон в Атлантическия океан (ICCAT). Позицията на Комисията се основава, наред с другото, на резултатите от извършената от външни експерти прогнозна оценка относно възможността за сключване на нов протокол. </w:t>
      </w:r>
    </w:p>
    <w:p>
      <w:pPr>
        <w:rPr>
          <w:noProof/>
        </w:rPr>
      </w:pPr>
      <w:r>
        <w:rPr>
          <w:noProof/>
        </w:rPr>
        <w:t>Целта е също да се засили сътрудничеството между Европейския съюз и Ислямска република Мавритания с оглед на установяването на рамка за партньорство за развитието на политика на устойчиво рибарство и за отговорно използване на рибните ресурси в риболовната зона на Ислямска република Мавритания в интерес и на двете страни.</w:t>
      </w:r>
    </w:p>
    <w:p>
      <w:pPr>
        <w:rPr>
          <w:noProof/>
        </w:rPr>
      </w:pPr>
      <w:r>
        <w:rPr>
          <w:noProof/>
        </w:rPr>
        <w:t>Протоколът предвижда възможности за риболов в следните категории:</w:t>
      </w:r>
    </w:p>
    <w:p>
      <w:pPr>
        <w:pStyle w:val="Tiret0"/>
        <w:numPr>
          <w:ilvl w:val="0"/>
          <w:numId w:val="13"/>
        </w:numPr>
        <w:rPr>
          <w:noProof/>
        </w:rPr>
      </w:pPr>
      <w:r>
        <w:rPr>
          <w:noProof/>
        </w:rPr>
        <w:t>Категория 1 — Кораби за улов на ракообразни с изключение на лангуста и рак: 5000 тона и 25 кораба;</w:t>
      </w:r>
    </w:p>
    <w:p>
      <w:pPr>
        <w:pStyle w:val="Tiret0"/>
        <w:rPr>
          <w:noProof/>
        </w:rPr>
      </w:pPr>
      <w:r>
        <w:rPr>
          <w:noProof/>
        </w:rPr>
        <w:t>Категория 2 — Траулери (нехладилни) за черна мерлуза и кораби за риболов с дънни парагади: 6000 тона и 6 кораба;</w:t>
      </w:r>
    </w:p>
    <w:p>
      <w:pPr>
        <w:pStyle w:val="Tiret0"/>
        <w:rPr>
          <w:noProof/>
        </w:rPr>
      </w:pPr>
      <w:r>
        <w:rPr>
          <w:noProof/>
        </w:rPr>
        <w:t>Категория 3 — Риболовни кораби, специализирани за улов на дънни видове, различни от черна мерлуза посредством риболовни уреди, различни от трал: 3000 тона и 6 кораба;</w:t>
      </w:r>
    </w:p>
    <w:p>
      <w:pPr>
        <w:pStyle w:val="Tiret0"/>
        <w:rPr>
          <w:noProof/>
        </w:rPr>
      </w:pPr>
      <w:r>
        <w:rPr>
          <w:noProof/>
        </w:rPr>
        <w:t>Категория 4 — Кораби за улов на риба тон със сейнер: 12 500 тона (референтен тонаж) и 25 кораба;</w:t>
      </w:r>
    </w:p>
    <w:p>
      <w:pPr>
        <w:pStyle w:val="Tiret0"/>
        <w:rPr>
          <w:noProof/>
        </w:rPr>
      </w:pPr>
      <w:r>
        <w:rPr>
          <w:noProof/>
        </w:rPr>
        <w:t>Категория 5 — Кораби за улов на риба тон, с въдици и кораби за риболов с парагади: 7500 тона (референтен тонаж) и 15 кораба;</w:t>
      </w:r>
    </w:p>
    <w:p>
      <w:pPr>
        <w:pStyle w:val="Tiret0"/>
        <w:rPr>
          <w:noProof/>
        </w:rPr>
      </w:pPr>
      <w:r>
        <w:rPr>
          <w:noProof/>
        </w:rPr>
        <w:t>Категория 6 — Хладилни траулери за пелагичен риболов: 247 500 тона и 19 кораба;</w:t>
      </w:r>
    </w:p>
    <w:p>
      <w:pPr>
        <w:pStyle w:val="Tiret0"/>
        <w:rPr>
          <w:noProof/>
        </w:rPr>
      </w:pPr>
      <w:r>
        <w:rPr>
          <w:noProof/>
        </w:rPr>
        <w:t xml:space="preserve">Категория 7 — Кораби за пелагичен риболов без замразяване: 15 000 тона (приспаднати от обема за категория 6, ако се използват) и 2 кораба. </w:t>
      </w:r>
    </w:p>
    <w:p>
      <w:pPr>
        <w:rPr>
          <w:noProof/>
        </w:rPr>
      </w:pPr>
      <w:r>
        <w:rPr>
          <w:noProof/>
        </w:rPr>
        <w:t>Въз основа на това Комисията предлага Съветът, със съгласието на Парламента, да приеме решение за сключването на този нов протокол.</w:t>
      </w:r>
    </w:p>
    <w:p>
      <w:pPr>
        <w:pStyle w:val="ManualHeading1"/>
        <w:rPr>
          <w:noProof/>
        </w:rPr>
      </w:pPr>
      <w:r>
        <w:lastRenderedPageBreak/>
        <w:t>2.</w:t>
      </w:r>
      <w:r>
        <w:tab/>
      </w:r>
      <w:r>
        <w:rPr>
          <w:noProof/>
        </w:rPr>
        <w:t>РЕЗУЛТАТИ ОТ КОНСУЛТАЦИИТЕ СЪС ЗАИНТЕРЕСОВАНИТЕ СТРАНИ И ОТ ОЦЕНКИТЕ НА ВЪЗДЕЙСТВИЕТО</w:t>
      </w:r>
    </w:p>
    <w:p>
      <w:pPr>
        <w:rPr>
          <w:noProof/>
        </w:rPr>
      </w:pPr>
      <w:r>
        <w:rPr>
          <w:noProof/>
        </w:rPr>
        <w:t>Консултации със заинтересованите страни бяха извършени в рамките на оценката на протокола за периода 2012—2014 г. По време на техническите срещи бяха извършени консултации и с експертите на държавите членки. Тези консултации потвърдиха интереса от нов протокол с Ислямска република Мавритания в областта на рибарството.</w:t>
      </w:r>
    </w:p>
    <w:p>
      <w:pPr>
        <w:pStyle w:val="ManualHeading1"/>
        <w:rPr>
          <w:noProof/>
        </w:rPr>
      </w:pPr>
      <w:r>
        <w:t>3.</w:t>
      </w:r>
      <w:r>
        <w:tab/>
      </w:r>
      <w:r>
        <w:rPr>
          <w:noProof/>
        </w:rPr>
        <w:t>ПРАВНИ ЕЛЕМЕНТИ НА ПРЕДЛОЖЕНИЕТО</w:t>
      </w:r>
    </w:p>
    <w:p>
      <w:pPr>
        <w:rPr>
          <w:noProof/>
        </w:rPr>
      </w:pPr>
      <w:r>
        <w:rPr>
          <w:noProof/>
        </w:rPr>
        <w:t>Настоящата процедура се открива едновременно с процедурите, свързани с решението на Съвета относно временното прилагане на протокола, както и с регламента на Съвета относно разпределянето на възможностите за риболов между държавите членки на Европейския съюз.</w:t>
      </w:r>
    </w:p>
    <w:p>
      <w:pPr>
        <w:pStyle w:val="ManualHeading1"/>
        <w:rPr>
          <w:noProof/>
        </w:rPr>
      </w:pPr>
      <w:r>
        <w:t>4.</w:t>
      </w:r>
      <w:r>
        <w:tab/>
      </w:r>
      <w:r>
        <w:rPr>
          <w:noProof/>
        </w:rPr>
        <w:t>ОТРАЖЕНИЕ ВЪРХУ БЮДЖЕТА</w:t>
      </w:r>
    </w:p>
    <w:p>
      <w:pPr>
        <w:rPr>
          <w:noProof/>
        </w:rPr>
      </w:pPr>
      <w:r>
        <w:rPr>
          <w:noProof/>
        </w:rPr>
        <w:t>Годишното финансово участие е 59 125 000 EUR годишно, поделени между:</w:t>
      </w:r>
    </w:p>
    <w:p>
      <w:pPr>
        <w:rPr>
          <w:noProof/>
        </w:rPr>
      </w:pPr>
      <w:r>
        <w:rPr>
          <w:noProof/>
        </w:rPr>
        <w:t xml:space="preserve">а) общ допустим улов от 261 500 тона за риболовните категории 1, 2, 3, 6 и 7 и референтен тонаж от 20 000 тона за риболовните категории 4 и 5 съгласно протокола, което отговаря на сума, свързана с достъпа, в размер на 55 000 000 EUR годишно, и </w:t>
      </w:r>
    </w:p>
    <w:p>
      <w:pPr>
        <w:rPr>
          <w:noProof/>
        </w:rPr>
        <w:sectPr>
          <w:footerReference w:type="default" r:id="rId11"/>
          <w:footerReference w:type="first" r:id="rId12"/>
          <w:pgSz w:w="11907" w:h="16839"/>
          <w:pgMar w:top="1134" w:right="1417" w:bottom="1134" w:left="1417" w:header="709" w:footer="709" w:gutter="0"/>
          <w:pgNumType w:start="1"/>
          <w:cols w:space="720"/>
          <w:docGrid w:linePitch="360"/>
        </w:sectPr>
      </w:pPr>
      <w:r>
        <w:rPr>
          <w:noProof/>
        </w:rPr>
        <w:t xml:space="preserve">б) подпомагане развитието на секторната политика в областта на рибарството на Ислямска република Мавритания в размер на 4 125 000 EUR годишно. Това подпомагане отговаря на целите на националната политика в областта на рибарството, и по-специално на нуждите на Ислямска република Мавритания по отношение на подкрепата за научното и техническото сътрудничество, обучението, наблюдението на риболова, опазването на околната среда и за инфраструктура за развитие. </w:t>
      </w:r>
    </w:p>
    <w:p>
      <w:pPr>
        <w:pStyle w:val="Rfrenceinterinstitutionnelle"/>
        <w:rPr>
          <w:noProof/>
        </w:rPr>
      </w:pPr>
      <w:r>
        <w:rPr>
          <w:noProof/>
        </w:rPr>
        <w:t>2015/0229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сключването на протокола за определяне на възможностите за риболов и на финансовото участие, предвидени в Споразумението за партньорство в областта на рибарството между Европейската общност и Ислямска република Мавритания за период от четири години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2 във връзка с член 218, параграф 6, алинея втора, буква а), подточка v) и член 218, параграф 7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r>
        <w:rPr>
          <w:rStyle w:val="FootnoteReference"/>
          <w:noProof/>
        </w:rPr>
        <w:footnoteReference w:id="1"/>
      </w:r>
      <w:r>
        <w:rPr>
          <w:noProof/>
        </w:rPr>
        <w:t>,</w:t>
      </w:r>
    </w:p>
    <w:p>
      <w:pPr>
        <w:rPr>
          <w:noProof/>
        </w:rPr>
      </w:pPr>
      <w:r>
        <w:rPr>
          <w:noProof/>
        </w:rPr>
        <w:t>като има предвид, че:</w:t>
      </w:r>
    </w:p>
    <w:p>
      <w:pPr>
        <w:pStyle w:val="ManualConsidrant"/>
        <w:rPr>
          <w:noProof/>
        </w:rPr>
      </w:pPr>
      <w:r>
        <w:t>(1)</w:t>
      </w:r>
      <w:r>
        <w:tab/>
      </w:r>
      <w:r>
        <w:rPr>
          <w:noProof/>
        </w:rPr>
        <w:t>На 30 ноември 2006 г. Съветът прие Регламент (ЕО) № 1801/2006 относно сключването на Споразумение за партньорско сътрудничество в областта на рибарството между Европейската общност и Ислямска република Мавритания</w:t>
      </w:r>
      <w:r>
        <w:rPr>
          <w:rStyle w:val="FootnoteReference"/>
          <w:noProof/>
        </w:rPr>
        <w:footnoteReference w:id="2"/>
      </w:r>
      <w:r>
        <w:rPr>
          <w:noProof/>
        </w:rPr>
        <w:t xml:space="preserve"> (наричано по-долу „Споразумението за партньорство“).</w:t>
      </w:r>
    </w:p>
    <w:p>
      <w:pPr>
        <w:pStyle w:val="ManualConsidrant"/>
        <w:rPr>
          <w:noProof/>
        </w:rPr>
      </w:pPr>
      <w:r>
        <w:t>(2)</w:t>
      </w:r>
      <w:r>
        <w:tab/>
      </w:r>
      <w:r>
        <w:rPr>
          <w:noProof/>
        </w:rPr>
        <w:t>На 10 юли 2015 г. Съюзът и Мавритания парафираха нов протокол към Споразумението за партньорство (наричан по-долу „протоколът“). Протоколът предоставя на корабите на Съюза възможности за риболов в риболовната зона, която е под юрисдикцията на Ислямска република Мавритания.</w:t>
      </w:r>
    </w:p>
    <w:p>
      <w:pPr>
        <w:pStyle w:val="ManualConsidrant"/>
        <w:rPr>
          <w:noProof/>
        </w:rPr>
      </w:pPr>
      <w:r>
        <w:t>(3)</w:t>
      </w:r>
      <w:r>
        <w:tab/>
      </w:r>
      <w:r>
        <w:rPr>
          <w:noProof/>
        </w:rPr>
        <w:t>На [...] Съветът прие Решение № …/2015/ЕС</w:t>
      </w:r>
      <w:r>
        <w:rPr>
          <w:rStyle w:val="FootnoteReference"/>
          <w:noProof/>
        </w:rPr>
        <w:footnoteReference w:id="3"/>
      </w:r>
      <w:r>
        <w:rPr>
          <w:noProof/>
        </w:rPr>
        <w:t xml:space="preserve"> за упълномощаване на подписването от името на Съюза на протокола и за неговото временно прилагане, при условие че той бъде сключен.</w:t>
      </w:r>
    </w:p>
    <w:p>
      <w:pPr>
        <w:pStyle w:val="ManualConsidrant"/>
        <w:rPr>
          <w:noProof/>
        </w:rPr>
      </w:pPr>
      <w:r>
        <w:t>(4)</w:t>
      </w:r>
      <w:r>
        <w:tab/>
      </w:r>
      <w:r>
        <w:rPr>
          <w:noProof/>
        </w:rPr>
        <w:t>С член 10 от Споразумението за партньорство се създава съвместен комитет, който наред с останалото следи за изпълнението, тълкуването и правилното прилагане на Споразумението за партньорство и при необходимост прави преоценка на равнището на възможностите за риболов и съответно на финансовото участие.</w:t>
      </w:r>
    </w:p>
    <w:p>
      <w:pPr>
        <w:pStyle w:val="ManualConsidrant"/>
        <w:rPr>
          <w:noProof/>
        </w:rPr>
      </w:pPr>
      <w:r>
        <w:t>(5)</w:t>
      </w:r>
      <w:r>
        <w:tab/>
      </w:r>
      <w:r>
        <w:rPr>
          <w:noProof/>
        </w:rPr>
        <w:t>В член 6 от протокола се предвижда съвместният комитет да може да одобрява някои изменения в протокола. За да се улесни одобряването на тези изменения, е целесъобразно Комисията да се оправомощи да одобрява тези изменения, при спазването на определени условия, чрез опростена процедура.</w:t>
      </w:r>
    </w:p>
    <w:p>
      <w:pPr>
        <w:pStyle w:val="ManualConsidrant"/>
        <w:rPr>
          <w:noProof/>
        </w:rPr>
      </w:pPr>
      <w:r>
        <w:t>(6)</w:t>
      </w:r>
      <w:r>
        <w:tab/>
      </w:r>
      <w:r>
        <w:rPr>
          <w:noProof/>
        </w:rPr>
        <w:t>Протоколът следва да бъде одобрен,</w:t>
      </w:r>
    </w:p>
    <w:p>
      <w:pPr>
        <w:pStyle w:val="Formuledadoption"/>
        <w:rPr>
          <w:noProof/>
        </w:rPr>
      </w:pPr>
      <w:r>
        <w:rPr>
          <w:noProof/>
        </w:rPr>
        <w:t>ПРИЕ НАСТОЯЩОТО РЕШЕНИЕ:</w:t>
      </w:r>
    </w:p>
    <w:p>
      <w:pPr>
        <w:pStyle w:val="Titrearticle"/>
        <w:rPr>
          <w:noProof/>
        </w:rPr>
      </w:pPr>
      <w:r>
        <w:rPr>
          <w:noProof/>
        </w:rPr>
        <w:t>Член 1</w:t>
      </w:r>
    </w:p>
    <w:p>
      <w:pPr>
        <w:rPr>
          <w:rFonts w:eastAsia="Times New Roman"/>
          <w:noProof/>
          <w:szCs w:val="20"/>
        </w:rPr>
      </w:pPr>
      <w:r>
        <w:rPr>
          <w:noProof/>
        </w:rPr>
        <w:t>Протоколът за определяне на възможностите за риболов и на финансовото участие, предвидени в Споразумението за партньорство в областта на рибарството между Европейската общност и Ислямска република Мавритания, за период от четири години (наричан по-долу „протоколът“), се одобрява от името на Съюза.</w:t>
      </w:r>
    </w:p>
    <w:p>
      <w:pPr>
        <w:rPr>
          <w:rFonts w:eastAsia="Times New Roman"/>
          <w:noProof/>
          <w:szCs w:val="20"/>
        </w:rPr>
      </w:pPr>
      <w:r>
        <w:rPr>
          <w:noProof/>
        </w:rPr>
        <w:t>Текстът на протокола е приложен към настоящото решение като приложение I.</w:t>
      </w:r>
    </w:p>
    <w:p>
      <w:pPr>
        <w:pStyle w:val="Titrearticle"/>
        <w:rPr>
          <w:noProof/>
        </w:rPr>
      </w:pPr>
      <w:r>
        <w:rPr>
          <w:noProof/>
        </w:rPr>
        <w:t>Член 2</w:t>
      </w:r>
    </w:p>
    <w:p>
      <w:pPr>
        <w:rPr>
          <w:noProof/>
        </w:rPr>
      </w:pPr>
      <w:r>
        <w:rPr>
          <w:noProof/>
        </w:rPr>
        <w:t>Председателят на Съвета извършва от името на Съюза предвидените в член 17 от протокола уведомявания, за да изрази съгласието на Съюза да бъде обвързан с протокола.</w:t>
      </w:r>
    </w:p>
    <w:p>
      <w:pPr>
        <w:pStyle w:val="Titrearticle"/>
        <w:rPr>
          <w:noProof/>
        </w:rPr>
      </w:pPr>
      <w:r>
        <w:rPr>
          <w:noProof/>
        </w:rPr>
        <w:t>Член 3</w:t>
      </w:r>
    </w:p>
    <w:p>
      <w:pPr>
        <w:rPr>
          <w:noProof/>
        </w:rPr>
      </w:pPr>
      <w:r>
        <w:rPr>
          <w:noProof/>
        </w:rPr>
        <w:t>В съответствие с разпоредбите и условията, установени в приложение II към настоящото решение, Комисията се упълномощава да одобри, от името на Съюза, измененията в протокола, приети от съвместния комитет, създаден съгласно член 10 от Споразумението за партньорство в областта на рибарството между Европейската общност и Ислямска република Мавритания.</w:t>
      </w:r>
    </w:p>
    <w:p>
      <w:pPr>
        <w:pStyle w:val="Titrearticle"/>
        <w:rPr>
          <w:noProof/>
        </w:rPr>
      </w:pPr>
      <w:r>
        <w:rPr>
          <w:noProof/>
        </w:rPr>
        <w:t>Член 4</w:t>
      </w:r>
    </w:p>
    <w:p>
      <w:pPr>
        <w:keepNext/>
        <w:rPr>
          <w:noProof/>
        </w:rPr>
      </w:pPr>
      <w:r>
        <w:rPr>
          <w:noProof/>
        </w:rPr>
        <w:t xml:space="preserve">Настоящото решение влиза в сила на третия ден след деня на публикуването му в </w:t>
      </w:r>
      <w:r>
        <w:rPr>
          <w:i/>
          <w:noProof/>
        </w:rPr>
        <w:t>Официален вестник на Европейския съюз</w:t>
      </w:r>
      <w:r>
        <w:rPr>
          <w:noProof/>
        </w:rPr>
        <w:t>.</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p>
      <w:pPr>
        <w:keepNext/>
        <w:rPr>
          <w:noProof/>
        </w:rPr>
        <w:sect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rPr>
          <w:b w:val="0"/>
          <w:noProof/>
        </w:rPr>
      </w:pPr>
      <w:r>
        <w:rPr>
          <w:noProof/>
        </w:rPr>
        <w:tab/>
      </w:r>
      <w:r>
        <w:rPr>
          <w:b w:val="0"/>
          <w:noProof/>
        </w:rPr>
        <w:t>3.3.</w:t>
      </w:r>
      <w:r>
        <w:rPr>
          <w:noProof/>
        </w:rPr>
        <w:tab/>
      </w:r>
      <w:r>
        <w:rPr>
          <w:b w:val="0"/>
          <w:noProof/>
        </w:rPr>
        <w:t>Очаквано отражение върху приходите</w:t>
      </w:r>
    </w:p>
    <w:p>
      <w:pPr>
        <w:jc w:val="center"/>
        <w:rPr>
          <w:b/>
          <w:noProof/>
          <w:u w:val="single"/>
        </w:rPr>
        <w:sectPr>
          <w:pgSz w:w="11907" w:h="16840" w:code="9"/>
          <w:pgMar w:top="1134" w:right="1418" w:bottom="1134" w:left="1418" w:header="709" w:footer="709" w:gutter="0"/>
          <w:cols w:space="708"/>
          <w:docGrid w:linePitch="360"/>
        </w:sectPr>
      </w:pPr>
    </w:p>
    <w:p>
      <w:pPr>
        <w:pStyle w:val="Annexetitrefichefinancire"/>
        <w:rPr>
          <w:noProof/>
        </w:rPr>
      </w:pPr>
      <w:r>
        <w:rPr>
          <w:noProof/>
        </w:rPr>
        <w:t>ЗАКОНОДАТЕЛНА ФИНАНСОВА ОБОСНОВКА</w:t>
      </w:r>
    </w:p>
    <w:p>
      <w:pPr>
        <w:pStyle w:val="ManualHeading1"/>
        <w:rPr>
          <w:noProof/>
        </w:rPr>
      </w:pPr>
      <w:r>
        <w:t>5.</w:t>
      </w:r>
      <w:r>
        <w:tab/>
      </w:r>
      <w:r>
        <w:rPr>
          <w:noProof/>
        </w:rPr>
        <w:t xml:space="preserve">РАМКА НА ПРЕДЛОЖЕНИЕТО/ИНИЦИАТИВАТА </w:t>
      </w:r>
    </w:p>
    <w:p>
      <w:pPr>
        <w:pStyle w:val="ManualHeading2"/>
        <w:rPr>
          <w:noProof/>
        </w:rPr>
      </w:pPr>
      <w:r>
        <w:t>5.1.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решение на Съвета за сключване на протокола за определяне на възможностите за риболов и финансовото участие, предвидени в Споразумението за партньорство в областта на устойчивото рибарство между Европейската общност и Ислямска република Мавритания.</w:t>
      </w:r>
    </w:p>
    <w:p>
      <w:pPr>
        <w:pStyle w:val="ManualHeading2"/>
        <w:rPr>
          <w:noProof/>
          <w:szCs w:val="24"/>
        </w:rPr>
      </w:pPr>
      <w:r>
        <w:t>5.2.</w:t>
      </w:r>
      <w:r>
        <w:tab/>
      </w:r>
      <w:r>
        <w:rPr>
          <w:noProof/>
        </w:rPr>
        <w:t>Съответни области на политиката в структурата на УД/БД</w:t>
      </w:r>
      <w:r>
        <w:rPr>
          <w:rStyle w:val="FootnoteReference"/>
          <w:noProof/>
        </w:rPr>
        <w:footnoteReference w:id="4"/>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11. — Морско дело и рибарство</w:t>
      </w:r>
    </w:p>
    <w:p>
      <w:pPr>
        <w:pStyle w:val="Text1"/>
        <w:pBdr>
          <w:top w:val="single" w:sz="4" w:space="1" w:color="auto"/>
          <w:left w:val="single" w:sz="4" w:space="4" w:color="auto"/>
          <w:bottom w:val="single" w:sz="4" w:space="1" w:color="auto"/>
          <w:right w:val="single" w:sz="4" w:space="4" w:color="auto"/>
        </w:pBdr>
        <w:rPr>
          <w:noProof/>
        </w:rPr>
      </w:pPr>
      <w:r>
        <w:rPr>
          <w:noProof/>
        </w:rPr>
        <w:t>11.03 — Задължителни вноски в регионалните организации за управление на рибарството (РОУР) и в други международни организации и споразумения за устойчиво рибарство (СУР)</w:t>
      </w:r>
    </w:p>
    <w:p>
      <w:pPr>
        <w:pStyle w:val="ManualHeading2"/>
        <w:rPr>
          <w:bCs/>
          <w:iCs/>
          <w:noProof/>
          <w:szCs w:val="24"/>
        </w:rPr>
      </w:pPr>
      <w:r>
        <w:t>5.3.</w:t>
      </w:r>
      <w:r>
        <w:tab/>
      </w:r>
      <w:r>
        <w:rPr>
          <w:noProof/>
        </w:rPr>
        <w:t xml:space="preserve">Естество на предложението/инициативата </w:t>
      </w:r>
    </w:p>
    <w:p>
      <w:pPr>
        <w:pStyle w:val="Text1"/>
        <w:rPr>
          <w:b/>
          <w:noProof/>
          <w:sz w:val="22"/>
        </w:rPr>
      </w:pPr>
      <w:r>
        <w:rPr>
          <w:noProof/>
          <w:sz w:val="22"/>
        </w:rPr>
        <w:sym w:font="Wingdings" w:char="F0A8"/>
      </w:r>
      <w:r>
        <w:rPr>
          <w:noProof/>
        </w:rPr>
        <w:t xml:space="preserve"> Предложението/инициативата е във връзка с </w:t>
      </w:r>
      <w:r>
        <w:rPr>
          <w:b/>
          <w:noProof/>
        </w:rPr>
        <w:t>нова дейност</w:t>
      </w:r>
      <w:r>
        <w:rPr>
          <w:b/>
          <w:noProof/>
          <w:sz w:val="22"/>
        </w:rPr>
        <w:t xml:space="preserve"> </w:t>
      </w:r>
    </w:p>
    <w:p>
      <w:pPr>
        <w:pStyle w:val="Text1"/>
        <w:rPr>
          <w:noProof/>
          <w:sz w:val="22"/>
        </w:rPr>
      </w:pPr>
      <w:r>
        <w:rPr>
          <w:noProof/>
          <w:sz w:val="22"/>
        </w:rPr>
        <w:sym w:font="Wingdings" w:char="F0A8"/>
      </w:r>
      <w:r>
        <w:rPr>
          <w:noProof/>
        </w:rPr>
        <w:t xml:space="preserve"> 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5"/>
      </w:r>
    </w:p>
    <w:p>
      <w:pPr>
        <w:pStyle w:val="Text1"/>
        <w:rPr>
          <w:noProof/>
          <w:sz w:val="22"/>
        </w:rPr>
      </w:pPr>
      <w:r>
        <w:rPr>
          <w:noProof/>
          <w:sz w:val="22"/>
        </w:rPr>
        <w:t xml:space="preserve">X Предложението/инициативата е във връзка с </w:t>
      </w:r>
      <w:r>
        <w:rPr>
          <w:b/>
          <w:noProof/>
          <w:sz w:val="22"/>
        </w:rPr>
        <w:t>продължаване на съществуващо действие</w:t>
      </w:r>
      <w:r>
        <w:rPr>
          <w:noProof/>
          <w:sz w:val="22"/>
        </w:rPr>
        <w:t xml:space="preserve"> </w:t>
      </w:r>
    </w:p>
    <w:p>
      <w:pPr>
        <w:pStyle w:val="Text1"/>
        <w:rPr>
          <w:noProof/>
        </w:rPr>
      </w:pPr>
      <w:r>
        <w:rPr>
          <w:noProof/>
          <w:sz w:val="22"/>
        </w:rPr>
        <w:sym w:font="Wingdings" w:char="F0A8"/>
      </w:r>
      <w:r>
        <w:rPr>
          <w:noProof/>
        </w:rPr>
        <w:t xml:space="preserve"> 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iCs/>
          <w:noProof/>
          <w:szCs w:val="24"/>
        </w:rPr>
      </w:pPr>
      <w:r>
        <w:t>5.4.</w:t>
      </w:r>
      <w:r>
        <w:tab/>
      </w:r>
      <w:r>
        <w:rPr>
          <w:noProof/>
        </w:rPr>
        <w:t>Цел(и)</w:t>
      </w:r>
    </w:p>
    <w:p>
      <w:pPr>
        <w:pStyle w:val="ManualHeading3"/>
        <w:rPr>
          <w:noProof/>
        </w:rPr>
      </w:pPr>
      <w:r>
        <w:t>5.4.1.</w:t>
      </w:r>
      <w:r>
        <w:tab/>
      </w:r>
      <w:r>
        <w:rPr>
          <w:noProof/>
        </w:rPr>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Договарянето и сключването на споразумения в областта на устойчивото рибарство с трети държави отговаря на общата цел за осигуряване на достъпа на риболовните кораби на Европейския съюз до риболовни зони, разположени в изключителната икономическа зона (ИИЗ) на трети държави, и за развиване на партньорство с тези държави с оглед засилване на устойчивото използване на рибните ресурси извън водите на ЕС.</w:t>
      </w:r>
    </w:p>
    <w:p>
      <w:pPr>
        <w:pStyle w:val="Text1"/>
        <w:pBdr>
          <w:top w:val="single" w:sz="4" w:space="1" w:color="auto"/>
          <w:left w:val="single" w:sz="4" w:space="4" w:color="auto"/>
          <w:bottom w:val="single" w:sz="4" w:space="1" w:color="auto"/>
          <w:right w:val="single" w:sz="4" w:space="4" w:color="auto"/>
        </w:pBdr>
        <w:rPr>
          <w:noProof/>
        </w:rPr>
      </w:pPr>
      <w:r>
        <w:rPr>
          <w:noProof/>
        </w:rPr>
        <w:t>Споразуменията за партньорство в областта на устойчивото рибарство (СПОУР) осигуряват също така съгласуваност между принципите, регулиращи общата политика в областта на рибарството, и залегналите в други европейски политики ангажименти (устойчиво използване на ресурсите на трети държави, борба с незаконния, недеклариран и нерегулиран риболов (ННН), интеграция на партньорските държави в световната икономика, както и по-добро политическо и финансово управление на рибарството).</w:t>
      </w:r>
    </w:p>
    <w:p>
      <w:pPr>
        <w:pStyle w:val="ManualHeading3"/>
        <w:rPr>
          <w:bCs/>
          <w:noProof/>
          <w:szCs w:val="24"/>
        </w:rPr>
      </w:pPr>
      <w:r>
        <w:t>5.4.2.</w:t>
      </w:r>
      <w:r>
        <w:tab/>
      </w:r>
      <w:r>
        <w:rPr>
          <w:noProof/>
        </w:rPr>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Конкретни цели</w:t>
      </w:r>
    </w:p>
    <w:p>
      <w:pPr>
        <w:pStyle w:val="Text1"/>
        <w:pBdr>
          <w:top w:val="single" w:sz="4" w:space="1" w:color="auto"/>
          <w:left w:val="single" w:sz="4" w:space="4" w:color="auto"/>
          <w:bottom w:val="single" w:sz="4" w:space="1" w:color="auto"/>
          <w:right w:val="single" w:sz="4" w:space="4" w:color="auto"/>
        </w:pBdr>
        <w:rPr>
          <w:noProof/>
        </w:rPr>
      </w:pPr>
      <w:r>
        <w:rPr>
          <w:noProof/>
        </w:rPr>
        <w:t>Да се допринесе за устойчивия риболов извън водите на Съюза, да се поддържа европейското присъствие в отдалечените риболовни райони и да се защитят интересите на европейския сектор на рибарството и интересите на потребителите чрез договаряне и сключване на съгласувани с други европейски политики СПОУР с крайбрежни държави.</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Морско дело и рибарство, Установяване на рамка за управление на риболовните дейности, извършвани от риболовни кораби на Съюза във води на трети държави (СУР) (бюджетен ред 11.0301).</w:t>
      </w:r>
    </w:p>
    <w:p>
      <w:pPr>
        <w:pStyle w:val="ManualHeading3"/>
        <w:rPr>
          <w:bCs/>
          <w:noProof/>
          <w:szCs w:val="24"/>
        </w:rPr>
      </w:pPr>
      <w:r>
        <w:rPr>
          <w:noProof/>
        </w:rPr>
        <w:br w:type="page"/>
      </w:r>
      <w:r>
        <w:t>5.4.3.</w:t>
      </w:r>
      <w:r>
        <w:tab/>
      </w:r>
      <w:r>
        <w:rPr>
          <w:noProof/>
        </w:rPr>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Сключването на протокола допринася да се запазят възможностите за риболов за европейските кораби в риболовната зона на Ислямска република Мавритания.</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Протоколът допринася също за подобряване на управлението и опазването на рибните ресурси чрез финансова подкрепа (подкрепа за сектора) за изпълнението на националната секторна стратегия за устойчиво развитие на сектора на рибарството. </w:t>
      </w:r>
    </w:p>
    <w:p>
      <w:pPr>
        <w:pStyle w:val="ManualHeading3"/>
        <w:rPr>
          <w:bCs/>
          <w:noProof/>
          <w:szCs w:val="24"/>
        </w:rPr>
      </w:pPr>
      <w:r>
        <w:t>5.4.4.</w:t>
      </w:r>
      <w:r>
        <w:tab/>
      </w:r>
      <w:r>
        <w:rPr>
          <w:noProof/>
        </w:rPr>
        <w:t xml:space="preserve">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Процент на оползотворяване на възможностите за риболов (% на използваните разрешения за риболов спрямо възможностите по протокола);</w:t>
      </w:r>
    </w:p>
    <w:p>
      <w:pPr>
        <w:pStyle w:val="Text1"/>
        <w:pBdr>
          <w:top w:val="single" w:sz="4" w:space="1" w:color="auto"/>
          <w:left w:val="single" w:sz="4" w:space="4" w:color="auto"/>
          <w:bottom w:val="single" w:sz="4" w:space="1" w:color="auto"/>
          <w:right w:val="single" w:sz="4" w:space="4" w:color="auto"/>
        </w:pBdr>
        <w:rPr>
          <w:noProof/>
        </w:rPr>
      </w:pPr>
      <w:r>
        <w:rPr>
          <w:noProof/>
        </w:rPr>
        <w:t>Събиране и анализиране на данните за улова и търговската стойност на Споразумението;</w:t>
      </w:r>
    </w:p>
    <w:p>
      <w:pPr>
        <w:pStyle w:val="Text1"/>
        <w:pBdr>
          <w:top w:val="single" w:sz="4" w:space="1" w:color="auto"/>
          <w:left w:val="single" w:sz="4" w:space="4" w:color="auto"/>
          <w:bottom w:val="single" w:sz="4" w:space="1" w:color="auto"/>
          <w:right w:val="single" w:sz="4" w:space="4" w:color="auto"/>
        </w:pBdr>
        <w:rPr>
          <w:noProof/>
        </w:rPr>
      </w:pPr>
      <w:r>
        <w:rPr>
          <w:noProof/>
        </w:rPr>
        <w:t>Принос към заетостта и добавената стойност в ЕС и към стабилизиране на пазара на ЕС (заедно с други СПОУР);</w:t>
      </w:r>
    </w:p>
    <w:p>
      <w:pPr>
        <w:pStyle w:val="Text1"/>
        <w:pBdr>
          <w:top w:val="single" w:sz="4" w:space="1" w:color="auto"/>
          <w:left w:val="single" w:sz="4" w:space="4" w:color="auto"/>
          <w:bottom w:val="single" w:sz="4" w:space="1" w:color="auto"/>
          <w:right w:val="single" w:sz="4" w:space="4" w:color="auto"/>
        </w:pBdr>
        <w:rPr>
          <w:noProof/>
        </w:rPr>
      </w:pPr>
      <w:r>
        <w:rPr>
          <w:noProof/>
        </w:rPr>
        <w:t>Брой на техническите срещи и на заседанията на съвместния комитет.</w:t>
      </w:r>
    </w:p>
    <w:p>
      <w:pPr>
        <w:pStyle w:val="ManualHeading2"/>
        <w:rPr>
          <w:bCs/>
          <w:iCs/>
          <w:noProof/>
          <w:szCs w:val="24"/>
        </w:rPr>
      </w:pPr>
      <w:r>
        <w:t>5.5.</w:t>
      </w:r>
      <w:r>
        <w:tab/>
      </w:r>
      <w:r>
        <w:rPr>
          <w:noProof/>
        </w:rPr>
        <w:t xml:space="preserve">Мотиви за предложението/инициативата </w:t>
      </w:r>
    </w:p>
    <w:p>
      <w:pPr>
        <w:pStyle w:val="ManualHeading3"/>
        <w:rPr>
          <w:noProof/>
        </w:rPr>
      </w:pPr>
      <w:r>
        <w:t>5.5.1.</w:t>
      </w:r>
      <w:r>
        <w:tab/>
      </w:r>
      <w:r>
        <w:rPr>
          <w:noProof/>
        </w:rPr>
        <w:t xml:space="preserve">Нужди, които трябва да бъдат задоволени в краткосрочен или дългосрочен план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Срокът на прилагане на протокола за периода 2012—2014 г. изтече на 15 декември 2014 г. Риболовните дейности на европейския флот в риболовната зона на Ислямска република Мавритания са преустановени в очакване на подписването и временното прилагане на новия протокол.</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Новият протокол ще осигури възможност и рамка за риболовните дейности на флота на Европейския съюз в риболовната зона на Ислямска република Мавритания. </w:t>
      </w:r>
      <w:r>
        <w:rPr>
          <w:noProof/>
          <w:color w:val="000000"/>
        </w:rPr>
        <w:t>Освен това новият протокол укрепва сътрудничеството между ЕС и Ислямска република Мавритания за насърчаване на устойчива политика в областта на рибарството. Секторното подпомагане бе увеличено в сравнение с предходния период в подкрепа на Ислямска република Мавритания при изпълнението на нейната нова национална стратегия в сектора на устойчивото развитие на риболовните дейности.</w:t>
      </w:r>
    </w:p>
    <w:p>
      <w:pPr>
        <w:pStyle w:val="ManualHeading3"/>
        <w:rPr>
          <w:bCs/>
          <w:noProof/>
          <w:szCs w:val="24"/>
        </w:rPr>
      </w:pPr>
      <w:r>
        <w:t>5.5.2.</w:t>
      </w:r>
      <w:r>
        <w:tab/>
      </w:r>
      <w:r>
        <w:rPr>
          <w:noProof/>
        </w:rPr>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rPr>
      </w:pPr>
      <w:r>
        <w:rPr>
          <w:noProof/>
        </w:rPr>
        <w:t>По отношение на този нов протокол, ненамесата на ЕС би означавала сключване на частни споразумения, което няма да осигури устойчиво рибарство. Европейският съюз също така се надява, че този протокол ще допринесе за продължаването на ефикасното сътрудничество на Ислямска република Мавритания с ЕС, по-специално по отношение на борбата с незаконния риболов.</w:t>
      </w:r>
    </w:p>
    <w:p>
      <w:pPr>
        <w:pStyle w:val="ManualHeading3"/>
        <w:rPr>
          <w:bCs/>
          <w:noProof/>
          <w:szCs w:val="24"/>
        </w:rPr>
      </w:pPr>
      <w:r>
        <w:t>5.5.3.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Въз основа на анализа на улова в Мавритания, както и на наличните оценки и научни становища, страните определиха количеството на разрешения улов за риболовните категории 1, 2, 3, 6 и 7 (261 500 тона) и референтния тонаж за риба тон (20 000 тона годишно). Секторното подпомагане взема предвид приоритетите на националната стратегия в областта на рибарството, както и нуждите по отношение на укрепване на капацитета на риболовната администрация на Мавритания.</w:t>
      </w:r>
    </w:p>
    <w:p>
      <w:pPr>
        <w:pStyle w:val="ManualHeading3"/>
        <w:rPr>
          <w:bCs/>
          <w:noProof/>
          <w:szCs w:val="24"/>
        </w:rPr>
      </w:pPr>
      <w:r>
        <w:t>5.5.4.</w:t>
      </w:r>
      <w:r>
        <w:tab/>
      </w:r>
      <w:r>
        <w:rPr>
          <w:noProof/>
        </w:rPr>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Средствата, изплащани съгласно СПОУР, представляват заменяеми приходи в бюджетите на третите партньорски държави. Насочването на част от тези средства за предприемане на действия в рамките на националната секторна политика обаче е условие за сключването и мониторинга на СПОУР. Тези финансови ресурси са съвместими с други източници на финансиране от други международни донори за осъществяването на проекти и/или програми, провеждани на национално равнище в сектора на рибарството.</w:t>
      </w:r>
    </w:p>
    <w:p>
      <w:pPr>
        <w:pStyle w:val="ManualHeading2"/>
        <w:rPr>
          <w:bCs/>
          <w:iCs/>
          <w:noProof/>
          <w:szCs w:val="24"/>
        </w:rPr>
      </w:pPr>
      <w:r>
        <w:rPr>
          <w:noProof/>
        </w:rPr>
        <w:br w:type="page"/>
      </w:r>
      <w:r>
        <w:t>5.6.</w:t>
      </w:r>
      <w:r>
        <w:tab/>
      </w:r>
      <w:r>
        <w:rPr>
          <w:noProof/>
        </w:rPr>
        <w:t xml:space="preserve">Срок на действие и финансово отражение </w:t>
      </w:r>
    </w:p>
    <w:p>
      <w:pPr>
        <w:pStyle w:val="Text1"/>
        <w:rPr>
          <w:noProof/>
        </w:rPr>
      </w:pPr>
      <w:r>
        <w:rPr>
          <w:noProof/>
        </w:rPr>
        <w:t xml:space="preserve">X Предложение/инициатива </w:t>
      </w:r>
      <w:r>
        <w:rPr>
          <w:b/>
          <w:noProof/>
        </w:rPr>
        <w:t xml:space="preserve">с ограничен срок на действие </w:t>
      </w:r>
    </w:p>
    <w:p>
      <w:pPr>
        <w:pStyle w:val="ListDash2"/>
        <w:rPr>
          <w:noProof/>
        </w:rPr>
      </w:pPr>
      <w:r>
        <w:rPr>
          <w:noProof/>
        </w:rPr>
        <w:t>X</w:t>
      </w:r>
      <w:r>
        <w:rPr>
          <w:noProof/>
        </w:rPr>
        <w:tab/>
        <w:t xml:space="preserve">Предложение/инициатива, влизащо/а в сила на датата на подписване за срок от четири години. </w:t>
      </w:r>
    </w:p>
    <w:p>
      <w:pPr>
        <w:pStyle w:val="ListDash2"/>
        <w:rPr>
          <w:noProof/>
        </w:rPr>
      </w:pPr>
      <w:r>
        <w:rPr>
          <w:noProof/>
        </w:rPr>
        <w:t>X</w:t>
      </w:r>
      <w:r>
        <w:rPr>
          <w:noProof/>
        </w:rPr>
        <w:tab/>
        <w:t>Финансово отражение от 2015 г. до 2019 г.</w:t>
      </w:r>
    </w:p>
    <w:p>
      <w:pPr>
        <w:pStyle w:val="Text1"/>
        <w:rPr>
          <w:noProof/>
        </w:rPr>
      </w:pPr>
      <w:r>
        <w:rPr>
          <w:noProof/>
        </w:rPr>
        <w:sym w:font="Wingdings" w:char="F0A8"/>
      </w:r>
      <w:r>
        <w:rPr>
          <w:noProof/>
        </w:rPr>
        <w:t xml:space="preserve"> Предложение/инициатива </w:t>
      </w:r>
      <w:r>
        <w:rPr>
          <w:b/>
          <w:noProof/>
        </w:rPr>
        <w:t>с неограничен срок на действие</w:t>
      </w:r>
    </w:p>
    <w:p>
      <w:pPr>
        <w:pStyle w:val="ListDash1"/>
        <w:rPr>
          <w:noProof/>
        </w:rPr>
      </w:pPr>
      <w:r>
        <w:rPr>
          <w:noProof/>
        </w:rPr>
        <w:t>Осъществяване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iCs/>
          <w:noProof/>
          <w:szCs w:val="24"/>
        </w:rPr>
      </w:pPr>
      <w:r>
        <w:t>5.7.</w:t>
      </w:r>
      <w:r>
        <w:tab/>
      </w:r>
      <w:r>
        <w:rPr>
          <w:noProof/>
        </w:rPr>
        <w:t>Предвиден(и) метод(и) на управление</w:t>
      </w:r>
      <w:r>
        <w:rPr>
          <w:rStyle w:val="FootnoteReference"/>
          <w:noProof/>
        </w:rPr>
        <w:footnoteReference w:id="6"/>
      </w:r>
      <w:r>
        <w:rPr>
          <w:rStyle w:val="FootnoteReference"/>
          <w:noProof/>
        </w:rPr>
        <w:t xml:space="preserve"> </w:t>
      </w:r>
    </w:p>
    <w:p>
      <w:pPr>
        <w:pStyle w:val="Text1"/>
        <w:rPr>
          <w:b/>
          <w:noProof/>
          <w:u w:val="single"/>
        </w:rPr>
      </w:pPr>
      <w:r>
        <w:rPr>
          <w:b/>
          <w:noProof/>
          <w:u w:val="single"/>
        </w:rPr>
        <w:t>От бюджета за 2015 г.</w:t>
      </w:r>
    </w:p>
    <w:p>
      <w:pPr>
        <w:pStyle w:val="Text1"/>
        <w:rPr>
          <w:noProof/>
        </w:rPr>
      </w:pPr>
      <w:r>
        <w:rPr>
          <w:noProof/>
        </w:rPr>
        <w:t xml:space="preserve">X </w:t>
      </w:r>
      <w:r>
        <w:rPr>
          <w:b/>
          <w:noProof/>
        </w:rPr>
        <w:t>Пряко управление</w:t>
      </w:r>
      <w:r>
        <w:rPr>
          <w:noProof/>
        </w:rPr>
        <w:t xml:space="preserve"> от Комисията</w:t>
      </w:r>
    </w:p>
    <w:p>
      <w:pPr>
        <w:pStyle w:val="ListDash2"/>
        <w:rPr>
          <w:rFonts w:cs="EUAlbertina"/>
          <w:noProof/>
        </w:rPr>
      </w:pPr>
      <w:r>
        <w:rPr>
          <w:noProof/>
        </w:rPr>
        <w:t>X От нейните служби, включително от нейния персонал в делегациите на Съюза;</w:t>
      </w:r>
    </w:p>
    <w:p>
      <w:pPr>
        <w:pStyle w:val="ListDash2"/>
        <w:rPr>
          <w:noProof/>
        </w:rPr>
      </w:pPr>
      <w:r>
        <w:rPr>
          <w:noProof/>
        </w:rPr>
        <w:sym w:font="Wingdings" w:char="F0A8"/>
      </w:r>
      <w:r>
        <w:rPr>
          <w:noProof/>
        </w:rPr>
        <w:t xml:space="preserve"> от изпълнителните агенции</w:t>
      </w:r>
    </w:p>
    <w:p>
      <w:pPr>
        <w:pStyle w:val="Text1"/>
        <w:rPr>
          <w:noProof/>
        </w:rPr>
      </w:pPr>
      <w:r>
        <w:rPr>
          <w:noProof/>
        </w:rPr>
        <w:sym w:font="Wingdings" w:char="F0A8"/>
      </w:r>
      <w:r>
        <w:rPr>
          <w:noProof/>
        </w:rPr>
        <w:t xml:space="preserve"> </w:t>
      </w:r>
      <w:r>
        <w:rPr>
          <w:b/>
          <w:noProof/>
        </w:rPr>
        <w:t>Споделено управление</w:t>
      </w:r>
      <w:r>
        <w:rPr>
          <w:noProof/>
        </w:rPr>
        <w:t xml:space="preserve"> с държавите членки</w:t>
      </w:r>
    </w:p>
    <w:p>
      <w:pPr>
        <w:pStyle w:val="Text1"/>
        <w:rPr>
          <w:noProof/>
        </w:rPr>
      </w:pPr>
      <w:r>
        <w:rPr>
          <w:noProof/>
        </w:rPr>
        <w:sym w:font="Wingdings" w:char="F0A8"/>
      </w:r>
      <w:r>
        <w:rPr>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6.</w:t>
      </w:r>
      <w:r>
        <w:tab/>
      </w:r>
      <w:r>
        <w:rPr>
          <w:noProof/>
        </w:rPr>
        <w:t xml:space="preserve">МЕРКИ ЗА УПРАВЛЕНИЕ </w:t>
      </w:r>
    </w:p>
    <w:p>
      <w:pPr>
        <w:pStyle w:val="ManualHeading2"/>
        <w:rPr>
          <w:noProof/>
        </w:rPr>
      </w:pPr>
      <w:r>
        <w:t>6.1.</w:t>
      </w:r>
      <w:r>
        <w:tab/>
      </w:r>
      <w:r>
        <w:rPr>
          <w:noProof/>
        </w:rPr>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Комисията (ГД „Морско дело и рибарство“ в сътрудничество със своя аташе по въпросите на рибарството, установен в Мавритания, и с Делегацията на Европейския съюз в Нуакшот) ще осигурява редовен мониторинг на изпълнението на настоящия протокол, по-специално по отношение на оползотворяването на възможностите за риболов от страна на операторите и по отношение на данните за улова. </w:t>
      </w:r>
    </w:p>
    <w:p>
      <w:pPr>
        <w:pStyle w:val="Text1"/>
        <w:pBdr>
          <w:top w:val="single" w:sz="4" w:space="1" w:color="auto"/>
          <w:left w:val="single" w:sz="4" w:space="4" w:color="auto"/>
          <w:bottom w:val="single" w:sz="4" w:space="1" w:color="auto"/>
          <w:right w:val="single" w:sz="4" w:space="4" w:color="auto"/>
        </w:pBdr>
        <w:rPr>
          <w:noProof/>
        </w:rPr>
      </w:pPr>
      <w:r>
        <w:rPr>
          <w:noProof/>
        </w:rPr>
        <w:t>Освен това СПОУР предвижда поне по едно ежегодно заседание на съвместния комитет, по време на което Комисията и Ислямска република Мавритания обсъждат изпълнението на Споразумението и на протокола към него и, ако е необходимо, коригират програмирането, а при целесъобразност — и финансовото участие, предвидено в протокола.</w:t>
      </w:r>
    </w:p>
    <w:p>
      <w:pPr>
        <w:pStyle w:val="ManualHeading2"/>
        <w:rPr>
          <w:bCs/>
          <w:iCs/>
          <w:noProof/>
          <w:szCs w:val="24"/>
        </w:rPr>
      </w:pPr>
      <w:r>
        <w:t>6.2.</w:t>
      </w:r>
      <w:r>
        <w:tab/>
      </w:r>
      <w:r>
        <w:rPr>
          <w:noProof/>
        </w:rPr>
        <w:t xml:space="preserve">Система за управление и контрол </w:t>
      </w:r>
    </w:p>
    <w:p>
      <w:pPr>
        <w:pStyle w:val="ManualHeading3"/>
        <w:rPr>
          <w:noProof/>
        </w:rPr>
      </w:pPr>
      <w:r>
        <w:t>6.2.1.</w:t>
      </w:r>
      <w:r>
        <w:tab/>
      </w:r>
      <w:r>
        <w:rPr>
          <w:noProof/>
        </w:rPr>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Изпълнението на протоколите за рибарство е придружено от определен брой рискове, по-специално във връзка със сумите, предназначени за финансиране на секторната политика в областта на рибарството (подпрограмиране).</w:t>
      </w:r>
    </w:p>
    <w:p>
      <w:pPr>
        <w:pStyle w:val="ManualHeading3"/>
        <w:rPr>
          <w:bCs/>
          <w:noProof/>
          <w:szCs w:val="24"/>
        </w:rPr>
      </w:pPr>
      <w:r>
        <w:t>6.2.2.</w:t>
      </w:r>
      <w:r>
        <w:tab/>
      </w:r>
      <w:r>
        <w:rPr>
          <w:noProof/>
        </w:rPr>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Предвижда се постоянен диалог, свързан с програмирането и изпълнението на секторната политика, предвидени в Споразумението и протокола. Съвместният анализ на резултатите, посочен в член 3 от протокола, също представлява част от тези методи за контрол.</w:t>
      </w:r>
    </w:p>
    <w:p>
      <w:pPr>
        <w:pStyle w:val="Text1"/>
        <w:pBdr>
          <w:top w:val="single" w:sz="4" w:space="1" w:color="auto"/>
          <w:left w:val="single" w:sz="4" w:space="4" w:color="auto"/>
          <w:bottom w:val="single" w:sz="4" w:space="1" w:color="auto"/>
          <w:right w:val="single" w:sz="4" w:space="4" w:color="auto"/>
        </w:pBdr>
        <w:rPr>
          <w:noProof/>
        </w:rPr>
      </w:pPr>
      <w:r>
        <w:rPr>
          <w:noProof/>
        </w:rPr>
        <w:t>Освен това в Споразумението и протокола се предвиждат специфични клаузи за временно преустановяване на тяхното действие при определени условия и дадени обстоятелства.</w:t>
      </w:r>
    </w:p>
    <w:p>
      <w:pPr>
        <w:pStyle w:val="ManualHeading3"/>
        <w:rPr>
          <w:noProof/>
        </w:rPr>
      </w:pPr>
      <w:r>
        <w:t>6.2.3.</w:t>
      </w:r>
      <w:r>
        <w:tab/>
      </w:r>
      <w:r>
        <w:rPr>
          <w:noProof/>
        </w:rPr>
        <w:t xml:space="preserve">Оценка на разходите и ползите от проверките и на очаквания риск от грешка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iCs/>
          <w:noProof/>
          <w:szCs w:val="24"/>
        </w:rPr>
      </w:pPr>
      <w:r>
        <w:t>6.3.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Комисията поема ангажимент да установи политически диалог и редовно съгласуване с Ислямска република Мавритания с цел подобряване на управлението на Споразумението и на протокола и увеличаване на приноса на ЕС за устойчивото управление на ресурсите. Във всички случаи плащанията, които Комисията извършва в рамките на СПОУР, са подчинени на нейните правила и обичайните ѝ бюджетни и финансови процедури. Това позволява, по-специално, да се идентифицират напълно банковите сметки на третите държави, по които се превеждат сумите за финансовото участие. За разглеждания протокол, в член 2, параграф 8 и в член 3, параграф 3.10 се посочва, че финансовото участие за достъпа на риболовните кораби и за секторното подпомагане трябва да се заплаща по сметка на държавната хазна в Централната банка на Мавритания </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7.</w:t>
      </w:r>
      <w:r>
        <w:tab/>
      </w:r>
      <w:r>
        <w:rPr>
          <w:noProof/>
        </w:rPr>
        <w:t xml:space="preserve">ОЧАКВАНО ФИНАНСОВО ОТРАЖЕНИЕ НА ПРЕДЛОЖЕНИЕТО/ИНИЦИАТИВАТА </w:t>
      </w:r>
    </w:p>
    <w:p>
      <w:pPr>
        <w:pStyle w:val="ManualHeading2"/>
        <w:rPr>
          <w:noProof/>
        </w:rPr>
      </w:pPr>
      <w:r>
        <w:t>7.1.</w:t>
      </w:r>
      <w:r>
        <w:tab/>
      </w:r>
      <w:r>
        <w:rPr>
          <w:noProof/>
        </w:rPr>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Видразход</w:t>
            </w:r>
          </w:p>
        </w:tc>
        <w:tc>
          <w:tcPr>
            <w:tcW w:w="4440" w:type="dxa"/>
            <w:gridSpan w:val="4"/>
            <w:vAlign w:val="center"/>
          </w:tcPr>
          <w:p>
            <w:pPr>
              <w:spacing w:before="60" w:after="60"/>
              <w:jc w:val="center"/>
              <w:rPr>
                <w:noProof/>
              </w:rPr>
            </w:pPr>
            <w:r>
              <w:rPr>
                <w:noProof/>
                <w:sz w:val="20"/>
              </w:rPr>
              <w:t xml:space="preserve">Участие </w:t>
            </w:r>
          </w:p>
        </w:tc>
      </w:tr>
      <w:tr>
        <w:tc>
          <w:tcPr>
            <w:tcW w:w="1080" w:type="dxa"/>
            <w:vMerge/>
            <w:vAlign w:val="center"/>
          </w:tcPr>
          <w:p>
            <w:pPr>
              <w:jc w:val="center"/>
              <w:rPr>
                <w:noProof/>
              </w:rPr>
            </w:pPr>
          </w:p>
        </w:tc>
        <w:tc>
          <w:tcPr>
            <w:tcW w:w="3960" w:type="dxa"/>
            <w:vAlign w:val="center"/>
          </w:tcPr>
          <w:p>
            <w:pPr>
              <w:rPr>
                <w:noProof/>
              </w:rPr>
            </w:pPr>
            <w:r>
              <w:rPr>
                <w:noProof/>
                <w:sz w:val="20"/>
              </w:rPr>
              <w:t>Номер [Наименование…...….]</w:t>
            </w:r>
          </w:p>
        </w:tc>
        <w:tc>
          <w:tcPr>
            <w:tcW w:w="1080" w:type="dxa"/>
            <w:vAlign w:val="center"/>
          </w:tcPr>
          <w:p>
            <w:pPr>
              <w:jc w:val="center"/>
              <w:rPr>
                <w:noProof/>
              </w:rPr>
            </w:pPr>
            <w:r>
              <w:rPr>
                <w:noProof/>
                <w:sz w:val="18"/>
              </w:rPr>
              <w:t>Многогод./едногод.</w:t>
            </w:r>
            <w:r>
              <w:rPr>
                <w:noProof/>
                <w:sz w:val="18"/>
              </w:rPr>
              <w:br/>
            </w:r>
            <w:r>
              <w:rPr>
                <w:noProof/>
                <w:sz w:val="18"/>
                <w:vertAlign w:val="superscript"/>
              </w:rPr>
              <w:t>(</w:t>
            </w:r>
            <w:r>
              <w:rPr>
                <w:rStyle w:val="FootnoteReference"/>
                <w:noProof/>
                <w:sz w:val="18"/>
              </w:rPr>
              <w:footnoteReference w:id="7"/>
            </w:r>
            <w:r>
              <w:rPr>
                <w:noProof/>
                <w:sz w:val="18"/>
                <w:vertAlign w:val="superscript"/>
              </w:rPr>
              <w:t>)</w:t>
            </w:r>
          </w:p>
        </w:tc>
        <w:tc>
          <w:tcPr>
            <w:tcW w:w="956" w:type="dxa"/>
            <w:vAlign w:val="center"/>
          </w:tcPr>
          <w:p>
            <w:pPr>
              <w:jc w:val="center"/>
              <w:rPr>
                <w:noProof/>
              </w:rPr>
            </w:pPr>
            <w:r>
              <w:rPr>
                <w:noProof/>
                <w:sz w:val="18"/>
              </w:rPr>
              <w:t>от държави от ЕАСТ</w:t>
            </w:r>
            <w:r>
              <w:rPr>
                <w:rStyle w:val="FootnoteReference"/>
                <w:noProof/>
                <w:sz w:val="18"/>
              </w:rPr>
              <w:footnoteReference w:id="8"/>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sz w:val="18"/>
              </w:rPr>
              <w:footnoteReference w:id="9"/>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rPr>
            </w:pPr>
            <w:r>
              <w:rPr>
                <w:noProof/>
                <w:sz w:val="22"/>
              </w:rPr>
              <w:t>2</w:t>
            </w:r>
          </w:p>
        </w:tc>
        <w:tc>
          <w:tcPr>
            <w:tcW w:w="3960" w:type="dxa"/>
            <w:vAlign w:val="center"/>
          </w:tcPr>
          <w:p>
            <w:pPr>
              <w:spacing w:before="60"/>
              <w:rPr>
                <w:noProof/>
              </w:rPr>
            </w:pPr>
            <w:r>
              <w:rPr>
                <w:noProof/>
                <w:sz w:val="22"/>
              </w:rPr>
              <w:t>11.03 01</w:t>
            </w:r>
          </w:p>
          <w:p>
            <w:pPr>
              <w:spacing w:after="60"/>
              <w:rPr>
                <w:noProof/>
              </w:rPr>
            </w:pPr>
            <w:r>
              <w:rPr>
                <w:noProof/>
                <w:sz w:val="22"/>
              </w:rPr>
              <w:t>Установяване на рамка за управление на риболовните дейности, извършвани от риболовните кораби на Съюза във водите на трети държави (СУР)</w:t>
            </w:r>
          </w:p>
        </w:tc>
        <w:tc>
          <w:tcPr>
            <w:tcW w:w="1080" w:type="dxa"/>
            <w:vAlign w:val="center"/>
          </w:tcPr>
          <w:p>
            <w:pPr>
              <w:jc w:val="center"/>
              <w:rPr>
                <w:noProof/>
                <w:color w:val="0000FF"/>
              </w:rPr>
            </w:pPr>
            <w:r>
              <w:rPr>
                <w:noProof/>
                <w:sz w:val="22"/>
              </w:rPr>
              <w:t>МБК</w:t>
            </w:r>
          </w:p>
        </w:tc>
        <w:tc>
          <w:tcPr>
            <w:tcW w:w="956" w:type="dxa"/>
            <w:vAlign w:val="center"/>
          </w:tcPr>
          <w:p>
            <w:pPr>
              <w:jc w:val="center"/>
              <w:rPr>
                <w:noProof/>
              </w:rPr>
            </w:pPr>
            <w:r>
              <w:rPr>
                <w:noProof/>
                <w:sz w:val="22"/>
              </w:rPr>
              <w:t>Няма</w:t>
            </w:r>
          </w:p>
        </w:tc>
        <w:tc>
          <w:tcPr>
            <w:tcW w:w="1080" w:type="dxa"/>
            <w:vAlign w:val="center"/>
          </w:tcPr>
          <w:p>
            <w:pPr>
              <w:jc w:val="center"/>
              <w:rPr>
                <w:noProof/>
              </w:rPr>
            </w:pPr>
            <w:r>
              <w:rPr>
                <w:noProof/>
                <w:sz w:val="22"/>
              </w:rPr>
              <w:t>Няма</w:t>
            </w:r>
          </w:p>
        </w:tc>
        <w:tc>
          <w:tcPr>
            <w:tcW w:w="956" w:type="dxa"/>
            <w:vAlign w:val="center"/>
          </w:tcPr>
          <w:p>
            <w:pPr>
              <w:jc w:val="center"/>
              <w:rPr>
                <w:noProof/>
              </w:rPr>
            </w:pPr>
            <w:r>
              <w:rPr>
                <w:noProof/>
                <w:sz w:val="22"/>
              </w:rPr>
              <w:t>Няма</w:t>
            </w:r>
          </w:p>
        </w:tc>
        <w:tc>
          <w:tcPr>
            <w:tcW w:w="1448" w:type="dxa"/>
            <w:vAlign w:val="center"/>
          </w:tcPr>
          <w:p>
            <w:pPr>
              <w:jc w:val="center"/>
              <w:rPr>
                <w:noProof/>
              </w:rPr>
            </w:pPr>
            <w:r>
              <w:rPr>
                <w:noProof/>
                <w:sz w:val="22"/>
              </w:rPr>
              <w:t>Няма</w:t>
            </w:r>
          </w:p>
        </w:tc>
      </w:tr>
      <w:tr>
        <w:tc>
          <w:tcPr>
            <w:tcW w:w="1080" w:type="dxa"/>
            <w:vAlign w:val="center"/>
          </w:tcPr>
          <w:p>
            <w:pPr>
              <w:jc w:val="center"/>
              <w:rPr>
                <w:noProof/>
              </w:rPr>
            </w:pPr>
          </w:p>
        </w:tc>
        <w:tc>
          <w:tcPr>
            <w:tcW w:w="3960" w:type="dxa"/>
            <w:vAlign w:val="center"/>
          </w:tcPr>
          <w:p>
            <w:pPr>
              <w:spacing w:before="60"/>
              <w:rPr>
                <w:noProof/>
              </w:rPr>
            </w:pPr>
            <w:r>
              <w:rPr>
                <w:noProof/>
                <w:sz w:val="22"/>
              </w:rPr>
              <w:t>11.01 04 01</w:t>
            </w:r>
          </w:p>
          <w:p>
            <w:pPr>
              <w:spacing w:before="60"/>
              <w:rPr>
                <w:noProof/>
              </w:rPr>
            </w:pPr>
            <w:r>
              <w:rPr>
                <w:noProof/>
                <w:sz w:val="22"/>
              </w:rPr>
              <w:t>Съпътстващи разходи за морско дело и рибарство — Неоперативна административна и техническа помощ</w:t>
            </w:r>
          </w:p>
        </w:tc>
        <w:tc>
          <w:tcPr>
            <w:tcW w:w="1080" w:type="dxa"/>
            <w:vAlign w:val="center"/>
          </w:tcPr>
          <w:p>
            <w:pPr>
              <w:jc w:val="center"/>
              <w:rPr>
                <w:noProof/>
              </w:rPr>
            </w:pPr>
            <w:r>
              <w:rPr>
                <w:noProof/>
                <w:sz w:val="22"/>
              </w:rPr>
              <w:t>ЕБК</w:t>
            </w:r>
          </w:p>
        </w:tc>
        <w:tc>
          <w:tcPr>
            <w:tcW w:w="956" w:type="dxa"/>
            <w:vAlign w:val="center"/>
          </w:tcPr>
          <w:p>
            <w:pPr>
              <w:jc w:val="center"/>
              <w:rPr>
                <w:noProof/>
              </w:rPr>
            </w:pPr>
            <w:r>
              <w:rPr>
                <w:noProof/>
                <w:sz w:val="22"/>
              </w:rPr>
              <w:t>Няма</w:t>
            </w:r>
          </w:p>
        </w:tc>
        <w:tc>
          <w:tcPr>
            <w:tcW w:w="1080" w:type="dxa"/>
            <w:vAlign w:val="center"/>
          </w:tcPr>
          <w:p>
            <w:pPr>
              <w:jc w:val="center"/>
              <w:rPr>
                <w:noProof/>
              </w:rPr>
            </w:pPr>
            <w:r>
              <w:rPr>
                <w:noProof/>
                <w:sz w:val="22"/>
              </w:rPr>
              <w:t>Няма</w:t>
            </w:r>
          </w:p>
        </w:tc>
        <w:tc>
          <w:tcPr>
            <w:tcW w:w="956" w:type="dxa"/>
            <w:vAlign w:val="center"/>
          </w:tcPr>
          <w:p>
            <w:pPr>
              <w:jc w:val="center"/>
              <w:rPr>
                <w:noProof/>
              </w:rPr>
            </w:pPr>
            <w:r>
              <w:rPr>
                <w:noProof/>
                <w:sz w:val="22"/>
              </w:rPr>
              <w:t>Няма</w:t>
            </w:r>
          </w:p>
        </w:tc>
        <w:tc>
          <w:tcPr>
            <w:tcW w:w="1448" w:type="dxa"/>
            <w:vAlign w:val="center"/>
          </w:tcPr>
          <w:p>
            <w:pPr>
              <w:jc w:val="center"/>
              <w:rPr>
                <w:noProof/>
              </w:rPr>
            </w:pPr>
            <w:r>
              <w:rPr>
                <w:noProof/>
                <w:sz w:val="22"/>
              </w:rPr>
              <w:t>Няма</w:t>
            </w:r>
          </w:p>
        </w:tc>
      </w:tr>
    </w:tbl>
    <w:p>
      <w:pPr>
        <w:pStyle w:val="ListBullet1"/>
        <w:rPr>
          <w:noProof/>
        </w:rPr>
      </w:pPr>
      <w:r>
        <w:rPr>
          <w:noProof/>
        </w:rPr>
        <w:t>Поискани нови бюджетни редове (неприложимо)</w:t>
      </w:r>
    </w:p>
    <w:p>
      <w:pPr>
        <w:pStyle w:val="Text1"/>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rPr>
              <w:t>Вид</w:t>
            </w:r>
            <w:r>
              <w:rPr>
                <w:noProof/>
              </w:rPr>
              <w:br/>
            </w:r>
            <w:r>
              <w:rPr>
                <w:noProof/>
                <w:sz w:val="18"/>
              </w:rPr>
              <w:t>разход</w:t>
            </w:r>
          </w:p>
        </w:tc>
        <w:tc>
          <w:tcPr>
            <w:tcW w:w="4440" w:type="dxa"/>
            <w:gridSpan w:val="4"/>
            <w:vAlign w:val="center"/>
          </w:tcPr>
          <w:p>
            <w:pPr>
              <w:spacing w:before="60" w:after="60"/>
              <w:jc w:val="center"/>
              <w:rPr>
                <w:noProof/>
              </w:rPr>
            </w:pPr>
            <w:r>
              <w:rPr>
                <w:noProof/>
                <w:sz w:val="20"/>
              </w:rPr>
              <w:t xml:space="preserve">Участие </w:t>
            </w:r>
          </w:p>
        </w:tc>
      </w:tr>
      <w:tr>
        <w:tc>
          <w:tcPr>
            <w:tcW w:w="1080" w:type="dxa"/>
            <w:vMerge/>
            <w:vAlign w:val="center"/>
          </w:tcPr>
          <w:p>
            <w:pPr>
              <w:jc w:val="center"/>
              <w:rPr>
                <w:noProof/>
              </w:rPr>
            </w:pPr>
          </w:p>
        </w:tc>
        <w:tc>
          <w:tcPr>
            <w:tcW w:w="3960" w:type="dxa"/>
            <w:vAlign w:val="center"/>
          </w:tcPr>
          <w:p>
            <w:pPr>
              <w:rPr>
                <w:noProof/>
              </w:rPr>
            </w:pPr>
            <w:r>
              <w:rPr>
                <w:noProof/>
              </w:rPr>
              <w:t>Номер</w:t>
            </w:r>
            <w:r>
              <w:rPr>
                <w:noProof/>
              </w:rPr>
              <w:br/>
            </w:r>
            <w:r>
              <w:rPr>
                <w:noProof/>
                <w:sz w:val="20"/>
              </w:rPr>
              <w:t>[Наименование…...…]</w:t>
            </w:r>
          </w:p>
        </w:tc>
        <w:tc>
          <w:tcPr>
            <w:tcW w:w="1080" w:type="dxa"/>
            <w:vAlign w:val="center"/>
          </w:tcPr>
          <w:p>
            <w:pPr>
              <w:jc w:val="center"/>
              <w:rPr>
                <w:noProof/>
              </w:rPr>
            </w:pPr>
            <w:r>
              <w:rPr>
                <w:noProof/>
                <w:sz w:val="18"/>
              </w:rPr>
              <w:t>МБК/ЕБК</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960" w:type="dxa"/>
            <w:vAlign w:val="center"/>
          </w:tcPr>
          <w:p>
            <w:pPr>
              <w:spacing w:before="60"/>
              <w:rPr>
                <w:noProof/>
              </w:rPr>
            </w:pPr>
            <w:r>
              <w:rPr>
                <w:noProof/>
                <w:sz w:val="22"/>
              </w:rPr>
              <w:t>[XX.YY.YY.YY]</w:t>
            </w: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rPr>
            </w:pPr>
            <w:r>
              <w:rPr>
                <w:noProof/>
                <w:sz w:val="22"/>
              </w:rPr>
              <w:t>ДА/НЕ</w:t>
            </w:r>
          </w:p>
        </w:tc>
        <w:tc>
          <w:tcPr>
            <w:tcW w:w="1080" w:type="dxa"/>
            <w:vAlign w:val="center"/>
          </w:tcPr>
          <w:p>
            <w:pPr>
              <w:jc w:val="center"/>
              <w:rPr>
                <w:noProof/>
                <w:color w:val="0000FF"/>
                <w:sz w:val="18"/>
              </w:rPr>
            </w:pPr>
            <w:r>
              <w:rPr>
                <w:noProof/>
                <w:sz w:val="22"/>
              </w:rPr>
              <w:t>ДА/НЕ</w:t>
            </w:r>
          </w:p>
        </w:tc>
        <w:tc>
          <w:tcPr>
            <w:tcW w:w="956" w:type="dxa"/>
            <w:vAlign w:val="center"/>
          </w:tcPr>
          <w:p>
            <w:pPr>
              <w:jc w:val="center"/>
              <w:rPr>
                <w:noProof/>
                <w:color w:val="0000FF"/>
                <w:sz w:val="18"/>
              </w:rPr>
            </w:pPr>
            <w:r>
              <w:rPr>
                <w:noProof/>
                <w:sz w:val="22"/>
              </w:rPr>
              <w:t>ДА/НЕ</w:t>
            </w:r>
          </w:p>
        </w:tc>
        <w:tc>
          <w:tcPr>
            <w:tcW w:w="1448" w:type="dxa"/>
            <w:vAlign w:val="center"/>
          </w:tcPr>
          <w:p>
            <w:pPr>
              <w:jc w:val="center"/>
              <w:rPr>
                <w:noProof/>
              </w:rPr>
            </w:pPr>
            <w:r>
              <w:rPr>
                <w:noProof/>
                <w:sz w:val="22"/>
              </w:rPr>
              <w:t>ДА/НЕ</w:t>
            </w:r>
          </w:p>
        </w:tc>
      </w:tr>
    </w:tbl>
    <w:p>
      <w:pPr>
        <w:rPr>
          <w:noProof/>
        </w:rPr>
        <w:sectPr>
          <w:pgSz w:w="11907" w:h="16840" w:code="1"/>
          <w:pgMar w:top="1134" w:right="1418" w:bottom="1134" w:left="1418" w:header="709" w:footer="709" w:gutter="0"/>
          <w:cols w:space="708"/>
          <w:docGrid w:linePitch="360"/>
        </w:sectPr>
      </w:pPr>
    </w:p>
    <w:p>
      <w:pPr>
        <w:pStyle w:val="ManualHeading2"/>
        <w:rPr>
          <w:bCs/>
          <w:iCs/>
          <w:noProof/>
          <w:szCs w:val="24"/>
        </w:rPr>
      </w:pPr>
      <w:r>
        <w:t>7.2.</w:t>
      </w:r>
      <w:r>
        <w:tab/>
      </w:r>
      <w:r>
        <w:rPr>
          <w:noProof/>
        </w:rPr>
        <w:t xml:space="preserve">Очаквано отражение върху разходите </w:t>
      </w:r>
    </w:p>
    <w:p>
      <w:pPr>
        <w:pStyle w:val="ManualHeading3"/>
        <w:rPr>
          <w:noProof/>
          <w:u w:val="single"/>
        </w:rPr>
      </w:pPr>
      <w:r>
        <w:t>7.2.1.</w:t>
      </w:r>
      <w:r>
        <w:tab/>
      </w:r>
      <w:r>
        <w:rPr>
          <w:noProof/>
        </w:rPr>
        <w:t xml:space="preserve">Обобщение на очакваното отражение върху разходите </w:t>
      </w:r>
    </w:p>
    <w:p>
      <w:pPr>
        <w:jc w:val="right"/>
        <w:rPr>
          <w:noProof/>
          <w:sz w:val="16"/>
        </w:rPr>
      </w:pPr>
      <w:r>
        <w:rPr>
          <w:noProof/>
          <w:sz w:val="20"/>
        </w:rPr>
        <w:t>млн. евро (до 3-тия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9"/>
        <w:gridCol w:w="1080"/>
        <w:gridCol w:w="8182"/>
      </w:tblGrid>
      <w:tr>
        <w:trPr>
          <w:jc w:val="center"/>
        </w:trPr>
        <w:tc>
          <w:tcPr>
            <w:tcW w:w="4379" w:type="dxa"/>
            <w:shd w:val="thinDiagStripe" w:color="C0C0C0" w:fill="auto"/>
            <w:vAlign w:val="center"/>
          </w:tcPr>
          <w:p>
            <w:pPr>
              <w:spacing w:before="60" w:after="60"/>
              <w:jc w:val="center"/>
              <w:rPr>
                <w:b/>
                <w:noProof/>
              </w:rPr>
            </w:pPr>
            <w:r>
              <w:rPr>
                <w:b/>
                <w:noProof/>
              </w:rPr>
              <w:t>Функция от многогодишната финансова</w:t>
            </w:r>
            <w:r>
              <w:rPr>
                <w:noProof/>
              </w:rPr>
              <w:br/>
            </w:r>
            <w:r>
              <w:rPr>
                <w:b/>
                <w:noProof/>
                <w:sz w:val="22"/>
              </w:rPr>
              <w:t xml:space="preserve">рамка: </w:t>
            </w:r>
          </w:p>
        </w:tc>
        <w:tc>
          <w:tcPr>
            <w:tcW w:w="1080" w:type="dxa"/>
            <w:vAlign w:val="center"/>
          </w:tcPr>
          <w:p>
            <w:pPr>
              <w:spacing w:before="60" w:after="60"/>
              <w:jc w:val="center"/>
              <w:rPr>
                <w:b/>
                <w:noProof/>
              </w:rPr>
            </w:pPr>
            <w:r>
              <w:rPr>
                <w:b/>
                <w:noProof/>
                <w:sz w:val="22"/>
              </w:rPr>
              <w:t>Номер 2</w:t>
            </w:r>
          </w:p>
        </w:tc>
        <w:tc>
          <w:tcPr>
            <w:tcW w:w="8182" w:type="dxa"/>
            <w:vAlign w:val="center"/>
          </w:tcPr>
          <w:p>
            <w:pPr>
              <w:spacing w:before="60" w:after="60"/>
              <w:rPr>
                <w:noProof/>
              </w:rPr>
            </w:pPr>
            <w:r>
              <w:rPr>
                <w:noProof/>
                <w:sz w:val="22"/>
              </w:rPr>
              <w:t>Устойчив растеж — природни ресурси Природни ресурси</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1777"/>
      </w:tblGrid>
      <w:tr>
        <w:tc>
          <w:tcPr>
            <w:tcW w:w="3960" w:type="dxa"/>
            <w:vAlign w:val="center"/>
          </w:tcPr>
          <w:p>
            <w:pPr>
              <w:jc w:val="center"/>
              <w:rPr>
                <w:noProof/>
              </w:rPr>
            </w:pPr>
            <w:r>
              <w:rPr>
                <w:noProof/>
                <w:sz w:val="22"/>
              </w:rPr>
              <w:t>ГД „Морско дело и рибарство“</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Година</w:t>
            </w:r>
            <w:r>
              <w:rPr>
                <w:noProof/>
                <w:sz w:val="20"/>
              </w:rPr>
              <w:br/>
            </w:r>
            <w:r>
              <w:rPr>
                <w:b/>
                <w:noProof/>
                <w:sz w:val="20"/>
              </w:rPr>
              <w:t>2015</w:t>
            </w:r>
          </w:p>
        </w:tc>
        <w:tc>
          <w:tcPr>
            <w:tcW w:w="868" w:type="dxa"/>
            <w:vAlign w:val="center"/>
          </w:tcPr>
          <w:p>
            <w:pPr>
              <w:jc w:val="center"/>
              <w:rPr>
                <w:noProof/>
                <w:sz w:val="20"/>
              </w:rPr>
            </w:pPr>
            <w:r>
              <w:rPr>
                <w:noProof/>
                <w:sz w:val="20"/>
              </w:rPr>
              <w:t>Година</w:t>
            </w:r>
            <w:r>
              <w:rPr>
                <w:noProof/>
                <w:sz w:val="20"/>
              </w:rPr>
              <w:br/>
            </w:r>
            <w:r>
              <w:rPr>
                <w:b/>
                <w:noProof/>
                <w:sz w:val="20"/>
              </w:rPr>
              <w:t>2016</w:t>
            </w:r>
          </w:p>
        </w:tc>
        <w:tc>
          <w:tcPr>
            <w:tcW w:w="868" w:type="dxa"/>
            <w:vAlign w:val="center"/>
          </w:tcPr>
          <w:p>
            <w:pPr>
              <w:jc w:val="center"/>
              <w:rPr>
                <w:noProof/>
                <w:sz w:val="20"/>
              </w:rPr>
            </w:pPr>
            <w:r>
              <w:rPr>
                <w:noProof/>
                <w:sz w:val="20"/>
              </w:rPr>
              <w:t>Година</w:t>
            </w:r>
            <w:r>
              <w:rPr>
                <w:noProof/>
                <w:sz w:val="20"/>
              </w:rPr>
              <w:br/>
            </w:r>
            <w:r>
              <w:rPr>
                <w:b/>
                <w:noProof/>
                <w:sz w:val="20"/>
              </w:rPr>
              <w:t>2017</w:t>
            </w:r>
          </w:p>
        </w:tc>
        <w:tc>
          <w:tcPr>
            <w:tcW w:w="868" w:type="dxa"/>
            <w:vAlign w:val="center"/>
          </w:tcPr>
          <w:p>
            <w:pPr>
              <w:jc w:val="center"/>
              <w:rPr>
                <w:noProof/>
                <w:sz w:val="20"/>
              </w:rPr>
            </w:pPr>
            <w:r>
              <w:rPr>
                <w:noProof/>
                <w:sz w:val="20"/>
              </w:rPr>
              <w:t>Година</w:t>
            </w:r>
            <w:r>
              <w:rPr>
                <w:noProof/>
                <w:sz w:val="20"/>
              </w:rPr>
              <w:br/>
            </w:r>
            <w:r>
              <w:rPr>
                <w:b/>
                <w:noProof/>
                <w:sz w:val="20"/>
              </w:rPr>
              <w:t>2018</w:t>
            </w:r>
          </w:p>
        </w:tc>
        <w:tc>
          <w:tcPr>
            <w:tcW w:w="1777"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rPr>
              <w:t xml:space="preserve"> Бюджетни кредити за оперативни разходи</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rPr>
            </w:pPr>
            <w:r>
              <w:rPr>
                <w:noProof/>
                <w:sz w:val="20"/>
              </w:rPr>
              <w:t>Номер на бюджетния ред 11.0301</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1777" w:type="dxa"/>
            <w:vAlign w:val="center"/>
          </w:tcPr>
          <w:p>
            <w:pPr>
              <w:spacing w:before="20" w:after="20"/>
              <w:jc w:val="center"/>
              <w:rPr>
                <w:b/>
                <w:noProof/>
                <w:sz w:val="18"/>
                <w:szCs w:val="18"/>
              </w:rPr>
            </w:pPr>
            <w:r>
              <w:rPr>
                <w:b/>
                <w:noProof/>
                <w:sz w:val="18"/>
              </w:rPr>
              <w:t>236,5</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1777" w:type="dxa"/>
            <w:vAlign w:val="center"/>
          </w:tcPr>
          <w:p>
            <w:pPr>
              <w:spacing w:before="20" w:after="20"/>
              <w:jc w:val="center"/>
              <w:rPr>
                <w:b/>
                <w:noProof/>
                <w:sz w:val="18"/>
                <w:szCs w:val="18"/>
              </w:rPr>
            </w:pPr>
            <w:r>
              <w:rPr>
                <w:b/>
                <w:noProof/>
                <w:sz w:val="18"/>
              </w:rPr>
              <w:t>236,5</w:t>
            </w:r>
          </w:p>
        </w:tc>
      </w:tr>
      <w:tr>
        <w:tc>
          <w:tcPr>
            <w:tcW w:w="3960" w:type="dxa"/>
            <w:vMerge w:val="restart"/>
            <w:vAlign w:val="center"/>
          </w:tcPr>
          <w:p>
            <w:pPr>
              <w:rPr>
                <w:noProof/>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1а)</w:t>
            </w:r>
          </w:p>
        </w:tc>
        <w:tc>
          <w:tcPr>
            <w:tcW w:w="868" w:type="dxa"/>
            <w:vAlign w:val="center"/>
          </w:tcPr>
          <w:p>
            <w:pPr>
              <w:spacing w:before="20" w:after="20"/>
              <w:jc w:val="center"/>
              <w:rPr>
                <w:noProof/>
                <w:sz w:val="18"/>
                <w:szCs w:val="18"/>
              </w:rPr>
            </w:pPr>
          </w:p>
        </w:tc>
        <w:tc>
          <w:tcPr>
            <w:tcW w:w="868" w:type="dxa"/>
            <w:vAlign w:val="center"/>
          </w:tcPr>
          <w:p>
            <w:pPr>
              <w:spacing w:before="20" w:after="20"/>
              <w:jc w:val="center"/>
              <w:rPr>
                <w:noProof/>
                <w:sz w:val="18"/>
                <w:szCs w:val="18"/>
              </w:rPr>
            </w:pPr>
          </w:p>
        </w:tc>
        <w:tc>
          <w:tcPr>
            <w:tcW w:w="868" w:type="dxa"/>
            <w:vAlign w:val="center"/>
          </w:tcPr>
          <w:p>
            <w:pPr>
              <w:spacing w:before="20" w:after="20"/>
              <w:jc w:val="center"/>
              <w:rPr>
                <w:noProof/>
                <w:sz w:val="18"/>
                <w:szCs w:val="18"/>
              </w:rPr>
            </w:pPr>
          </w:p>
        </w:tc>
        <w:tc>
          <w:tcPr>
            <w:tcW w:w="868" w:type="dxa"/>
            <w:vAlign w:val="center"/>
          </w:tcPr>
          <w:p>
            <w:pPr>
              <w:spacing w:before="20" w:after="20"/>
              <w:jc w:val="center"/>
              <w:rPr>
                <w:noProof/>
                <w:sz w:val="18"/>
                <w:szCs w:val="18"/>
              </w:rPr>
            </w:pPr>
          </w:p>
        </w:tc>
        <w:tc>
          <w:tcPr>
            <w:tcW w:w="1777" w:type="dxa"/>
            <w:vAlign w:val="center"/>
          </w:tcPr>
          <w:p>
            <w:pPr>
              <w:spacing w:before="20" w:after="20"/>
              <w:jc w:val="center"/>
              <w:rPr>
                <w:b/>
                <w:noProof/>
                <w:sz w:val="18"/>
                <w:szCs w:val="18"/>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center"/>
              <w:rPr>
                <w:noProof/>
                <w:sz w:val="18"/>
                <w:szCs w:val="18"/>
              </w:rPr>
            </w:pPr>
          </w:p>
        </w:tc>
        <w:tc>
          <w:tcPr>
            <w:tcW w:w="868" w:type="dxa"/>
            <w:vAlign w:val="center"/>
          </w:tcPr>
          <w:p>
            <w:pPr>
              <w:spacing w:before="20" w:after="20"/>
              <w:jc w:val="center"/>
              <w:rPr>
                <w:noProof/>
                <w:sz w:val="18"/>
                <w:szCs w:val="18"/>
              </w:rPr>
            </w:pPr>
          </w:p>
        </w:tc>
        <w:tc>
          <w:tcPr>
            <w:tcW w:w="868" w:type="dxa"/>
            <w:vAlign w:val="center"/>
          </w:tcPr>
          <w:p>
            <w:pPr>
              <w:spacing w:before="20" w:after="20"/>
              <w:jc w:val="center"/>
              <w:rPr>
                <w:noProof/>
                <w:sz w:val="18"/>
                <w:szCs w:val="18"/>
              </w:rPr>
            </w:pPr>
          </w:p>
        </w:tc>
        <w:tc>
          <w:tcPr>
            <w:tcW w:w="868" w:type="dxa"/>
            <w:vAlign w:val="center"/>
          </w:tcPr>
          <w:p>
            <w:pPr>
              <w:spacing w:before="20" w:after="20"/>
              <w:jc w:val="center"/>
              <w:rPr>
                <w:noProof/>
                <w:sz w:val="18"/>
                <w:szCs w:val="18"/>
              </w:rPr>
            </w:pPr>
          </w:p>
        </w:tc>
        <w:tc>
          <w:tcPr>
            <w:tcW w:w="1777" w:type="dxa"/>
            <w:vAlign w:val="center"/>
          </w:tcPr>
          <w:p>
            <w:pPr>
              <w:spacing w:before="20" w:after="20"/>
              <w:jc w:val="center"/>
              <w:rPr>
                <w:b/>
                <w:noProof/>
                <w:sz w:val="18"/>
                <w:szCs w:val="18"/>
              </w:rPr>
            </w:pPr>
          </w:p>
        </w:tc>
      </w:tr>
      <w:tr>
        <w:trPr>
          <w:trHeight w:val="231"/>
        </w:trPr>
        <w:tc>
          <w:tcPr>
            <w:tcW w:w="6054" w:type="dxa"/>
            <w:gridSpan w:val="4"/>
            <w:vAlign w:val="center"/>
          </w:tcPr>
          <w:p>
            <w:pPr>
              <w:spacing w:before="20" w:after="20"/>
              <w:rPr>
                <w:noProof/>
              </w:rPr>
            </w:pPr>
            <w:r>
              <w:rPr>
                <w:noProof/>
                <w:sz w:val="21"/>
              </w:rPr>
              <w:sym w:font="Wingdings" w:char="F09F"/>
            </w:r>
            <w:r>
              <w:rPr>
                <w:noProof/>
              </w:rPr>
              <w:t xml:space="preserve"> Бюджетни кредити за административни разходи, финансирани от пакета за определени програми</w:t>
            </w:r>
            <w:r>
              <w:rPr>
                <w:rStyle w:val="FootnoteReference"/>
                <w:noProof/>
              </w:rPr>
              <w:footnoteReference w:id="10"/>
            </w:r>
          </w:p>
          <w:p>
            <w:pPr>
              <w:spacing w:before="0" w:after="0"/>
              <w:rPr>
                <w:noProof/>
              </w:rPr>
            </w:pPr>
          </w:p>
        </w:tc>
        <w:tc>
          <w:tcPr>
            <w:tcW w:w="868" w:type="dxa"/>
            <w:vAlign w:val="center"/>
          </w:tcPr>
          <w:p>
            <w:pPr>
              <w:jc w:val="center"/>
              <w:rPr>
                <w:b/>
                <w:noProof/>
                <w:sz w:val="18"/>
                <w:szCs w:val="18"/>
              </w:rPr>
            </w:pPr>
          </w:p>
        </w:tc>
        <w:tc>
          <w:tcPr>
            <w:tcW w:w="868" w:type="dxa"/>
            <w:vAlign w:val="center"/>
          </w:tcPr>
          <w:p>
            <w:pPr>
              <w:jc w:val="center"/>
              <w:rPr>
                <w:b/>
                <w:noProof/>
                <w:sz w:val="18"/>
                <w:szCs w:val="18"/>
              </w:rPr>
            </w:pPr>
          </w:p>
        </w:tc>
        <w:tc>
          <w:tcPr>
            <w:tcW w:w="868" w:type="dxa"/>
            <w:vAlign w:val="center"/>
          </w:tcPr>
          <w:p>
            <w:pPr>
              <w:jc w:val="center"/>
              <w:rPr>
                <w:b/>
                <w:noProof/>
                <w:sz w:val="18"/>
                <w:szCs w:val="18"/>
              </w:rPr>
            </w:pPr>
          </w:p>
        </w:tc>
        <w:tc>
          <w:tcPr>
            <w:tcW w:w="868" w:type="dxa"/>
            <w:vAlign w:val="center"/>
          </w:tcPr>
          <w:p>
            <w:pPr>
              <w:jc w:val="center"/>
              <w:rPr>
                <w:b/>
                <w:noProof/>
                <w:sz w:val="18"/>
                <w:szCs w:val="18"/>
              </w:rPr>
            </w:pPr>
          </w:p>
        </w:tc>
        <w:tc>
          <w:tcPr>
            <w:tcW w:w="1777" w:type="dxa"/>
            <w:vAlign w:val="center"/>
          </w:tcPr>
          <w:p>
            <w:pPr>
              <w:jc w:val="center"/>
              <w:rPr>
                <w:b/>
                <w:noProof/>
                <w:sz w:val="18"/>
                <w:szCs w:val="18"/>
              </w:rPr>
            </w:pPr>
          </w:p>
        </w:tc>
      </w:tr>
      <w:tr>
        <w:trPr>
          <w:trHeight w:val="319"/>
        </w:trPr>
        <w:tc>
          <w:tcPr>
            <w:tcW w:w="3960" w:type="dxa"/>
            <w:vAlign w:val="center"/>
          </w:tcPr>
          <w:p>
            <w:pPr>
              <w:spacing w:before="60" w:after="60"/>
              <w:rPr>
                <w:noProof/>
              </w:rPr>
            </w:pPr>
            <w:r>
              <w:rPr>
                <w:noProof/>
              </w:rPr>
              <w:t>Номер на бюджетния ред 11 010401</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center"/>
              <w:rPr>
                <w:noProof/>
                <w:sz w:val="18"/>
                <w:szCs w:val="18"/>
              </w:rPr>
            </w:pPr>
            <w:r>
              <w:rPr>
                <w:noProof/>
                <w:sz w:val="18"/>
              </w:rPr>
              <w:t>0,151</w:t>
            </w:r>
          </w:p>
        </w:tc>
        <w:tc>
          <w:tcPr>
            <w:tcW w:w="868" w:type="dxa"/>
            <w:vAlign w:val="center"/>
          </w:tcPr>
          <w:p>
            <w:pPr>
              <w:spacing w:before="40" w:after="40"/>
              <w:jc w:val="center"/>
              <w:rPr>
                <w:noProof/>
                <w:sz w:val="18"/>
                <w:szCs w:val="18"/>
              </w:rPr>
            </w:pPr>
            <w:r>
              <w:rPr>
                <w:noProof/>
                <w:sz w:val="18"/>
              </w:rPr>
              <w:t>0,151</w:t>
            </w:r>
          </w:p>
        </w:tc>
        <w:tc>
          <w:tcPr>
            <w:tcW w:w="868" w:type="dxa"/>
            <w:vAlign w:val="center"/>
          </w:tcPr>
          <w:p>
            <w:pPr>
              <w:spacing w:before="40" w:after="40"/>
              <w:jc w:val="center"/>
              <w:rPr>
                <w:noProof/>
                <w:sz w:val="18"/>
                <w:szCs w:val="18"/>
              </w:rPr>
            </w:pPr>
            <w:r>
              <w:rPr>
                <w:noProof/>
                <w:sz w:val="18"/>
              </w:rPr>
              <w:t>0,151</w:t>
            </w:r>
          </w:p>
        </w:tc>
        <w:tc>
          <w:tcPr>
            <w:tcW w:w="868" w:type="dxa"/>
            <w:vAlign w:val="center"/>
          </w:tcPr>
          <w:p>
            <w:pPr>
              <w:spacing w:before="40" w:after="40"/>
              <w:jc w:val="center"/>
              <w:rPr>
                <w:noProof/>
                <w:sz w:val="18"/>
                <w:szCs w:val="18"/>
              </w:rPr>
            </w:pPr>
            <w:r>
              <w:rPr>
                <w:noProof/>
                <w:sz w:val="18"/>
              </w:rPr>
              <w:t>0,231</w:t>
            </w:r>
          </w:p>
        </w:tc>
        <w:tc>
          <w:tcPr>
            <w:tcW w:w="1777" w:type="dxa"/>
            <w:vAlign w:val="center"/>
          </w:tcPr>
          <w:p>
            <w:pPr>
              <w:spacing w:before="40" w:after="40"/>
              <w:jc w:val="center"/>
              <w:rPr>
                <w:b/>
                <w:noProof/>
                <w:sz w:val="18"/>
                <w:szCs w:val="18"/>
              </w:rPr>
            </w:pPr>
            <w:r>
              <w:rPr>
                <w:b/>
                <w:noProof/>
                <w:sz w:val="18"/>
              </w:rPr>
              <w:t>0,684</w:t>
            </w:r>
          </w:p>
        </w:tc>
      </w:tr>
      <w:tr>
        <w:tc>
          <w:tcPr>
            <w:tcW w:w="3960" w:type="dxa"/>
            <w:vMerge w:val="restart"/>
            <w:vAlign w:val="center"/>
          </w:tcPr>
          <w:p>
            <w:pPr>
              <w:jc w:val="center"/>
              <w:rPr>
                <w:b/>
                <w:noProof/>
              </w:rPr>
            </w:pPr>
            <w:r>
              <w:rPr>
                <w:b/>
                <w:noProof/>
              </w:rPr>
              <w:t>ОБЩО бюджетни кредити</w:t>
            </w:r>
            <w:r>
              <w:rPr>
                <w:noProof/>
              </w:rPr>
              <w:br/>
            </w:r>
            <w:r>
              <w:rPr>
                <w:b/>
                <w:noProof/>
              </w:rPr>
              <w:t>за ГД</w:t>
            </w:r>
            <w:r>
              <w:rPr>
                <w:noProof/>
              </w:rPr>
              <w:t xml:space="preserve"> „Морско дело и рибарство“</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=1+1a +3</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59,356</w:t>
            </w:r>
          </w:p>
        </w:tc>
        <w:tc>
          <w:tcPr>
            <w:tcW w:w="1777" w:type="dxa"/>
            <w:vAlign w:val="center"/>
          </w:tcPr>
          <w:p>
            <w:pPr>
              <w:spacing w:before="20" w:after="20"/>
              <w:jc w:val="center"/>
              <w:rPr>
                <w:b/>
                <w:noProof/>
                <w:sz w:val="18"/>
                <w:szCs w:val="18"/>
              </w:rPr>
            </w:pPr>
            <w:r>
              <w:rPr>
                <w:b/>
                <w:noProof/>
                <w:sz w:val="18"/>
              </w:rPr>
              <w:t>237,184</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59,356</w:t>
            </w:r>
          </w:p>
        </w:tc>
        <w:tc>
          <w:tcPr>
            <w:tcW w:w="1777" w:type="dxa"/>
            <w:vAlign w:val="center"/>
          </w:tcPr>
          <w:p>
            <w:pPr>
              <w:spacing w:before="20" w:after="20"/>
              <w:jc w:val="center"/>
              <w:rPr>
                <w:b/>
                <w:noProof/>
                <w:sz w:val="18"/>
                <w:szCs w:val="18"/>
              </w:rPr>
            </w:pPr>
            <w:r>
              <w:rPr>
                <w:b/>
                <w:noProof/>
                <w:sz w:val="18"/>
              </w:rPr>
              <w:t>237,184</w:t>
            </w:r>
          </w:p>
        </w:tc>
      </w:tr>
    </w:tbl>
    <w:p>
      <w:pPr>
        <w:rPr>
          <w:noProof/>
          <w:highlight w:val="yellow"/>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1777"/>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rPr>
              <w:t xml:space="preserve"> ОБЩО бюджетни кредити за оперативни разходи</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1777" w:type="dxa"/>
            <w:vAlign w:val="center"/>
          </w:tcPr>
          <w:p>
            <w:pPr>
              <w:spacing w:before="20" w:after="20"/>
              <w:jc w:val="center"/>
              <w:rPr>
                <w:b/>
                <w:noProof/>
                <w:sz w:val="18"/>
                <w:szCs w:val="18"/>
              </w:rPr>
            </w:pPr>
            <w:r>
              <w:rPr>
                <w:b/>
                <w:noProof/>
                <w:sz w:val="18"/>
              </w:rPr>
              <w:t>236,5</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1777" w:type="dxa"/>
            <w:vAlign w:val="center"/>
          </w:tcPr>
          <w:p>
            <w:pPr>
              <w:spacing w:before="20" w:after="20"/>
              <w:jc w:val="center"/>
              <w:rPr>
                <w:b/>
                <w:noProof/>
                <w:sz w:val="18"/>
                <w:szCs w:val="18"/>
              </w:rPr>
            </w:pPr>
            <w:r>
              <w:rPr>
                <w:b/>
                <w:noProof/>
                <w:sz w:val="18"/>
              </w:rPr>
              <w:t>236,5</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rPr>
              <w:t xml:space="preserve"> 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40" w:after="40"/>
              <w:jc w:val="center"/>
              <w:rPr>
                <w:noProof/>
                <w:sz w:val="18"/>
                <w:szCs w:val="18"/>
              </w:rPr>
            </w:pPr>
            <w:r>
              <w:rPr>
                <w:noProof/>
                <w:sz w:val="18"/>
              </w:rPr>
              <w:t>0,151</w:t>
            </w:r>
          </w:p>
        </w:tc>
        <w:tc>
          <w:tcPr>
            <w:tcW w:w="868" w:type="dxa"/>
            <w:vAlign w:val="center"/>
          </w:tcPr>
          <w:p>
            <w:pPr>
              <w:spacing w:before="40" w:after="40"/>
              <w:jc w:val="center"/>
              <w:rPr>
                <w:noProof/>
                <w:sz w:val="18"/>
                <w:szCs w:val="18"/>
              </w:rPr>
            </w:pPr>
            <w:r>
              <w:rPr>
                <w:noProof/>
                <w:sz w:val="18"/>
              </w:rPr>
              <w:t>0,151</w:t>
            </w:r>
          </w:p>
        </w:tc>
        <w:tc>
          <w:tcPr>
            <w:tcW w:w="868" w:type="dxa"/>
            <w:vAlign w:val="center"/>
          </w:tcPr>
          <w:p>
            <w:pPr>
              <w:spacing w:before="40" w:after="40"/>
              <w:jc w:val="center"/>
              <w:rPr>
                <w:noProof/>
                <w:sz w:val="18"/>
                <w:szCs w:val="18"/>
              </w:rPr>
            </w:pPr>
            <w:r>
              <w:rPr>
                <w:noProof/>
                <w:sz w:val="18"/>
              </w:rPr>
              <w:t>0,151</w:t>
            </w:r>
          </w:p>
        </w:tc>
        <w:tc>
          <w:tcPr>
            <w:tcW w:w="868" w:type="dxa"/>
            <w:vAlign w:val="center"/>
          </w:tcPr>
          <w:p>
            <w:pPr>
              <w:spacing w:before="40" w:after="40"/>
              <w:jc w:val="center"/>
              <w:rPr>
                <w:noProof/>
                <w:sz w:val="18"/>
                <w:szCs w:val="18"/>
              </w:rPr>
            </w:pPr>
            <w:r>
              <w:rPr>
                <w:noProof/>
                <w:sz w:val="18"/>
              </w:rPr>
              <w:t>0,231</w:t>
            </w:r>
          </w:p>
        </w:tc>
        <w:tc>
          <w:tcPr>
            <w:tcW w:w="1777" w:type="dxa"/>
            <w:vAlign w:val="center"/>
          </w:tcPr>
          <w:p>
            <w:pPr>
              <w:spacing w:before="40" w:after="40"/>
              <w:jc w:val="center"/>
              <w:rPr>
                <w:b/>
                <w:noProof/>
                <w:sz w:val="18"/>
                <w:szCs w:val="18"/>
              </w:rPr>
            </w:pPr>
            <w:r>
              <w:rPr>
                <w:b/>
                <w:noProof/>
                <w:sz w:val="18"/>
              </w:rPr>
              <w:t>0,684</w:t>
            </w:r>
          </w:p>
        </w:tc>
      </w:tr>
      <w:tr>
        <w:tc>
          <w:tcPr>
            <w:tcW w:w="3960" w:type="dxa"/>
            <w:vMerge w:val="restart"/>
            <w:shd w:val="thinDiagStripe" w:color="C0C0C0" w:fill="auto"/>
            <w:vAlign w:val="center"/>
          </w:tcPr>
          <w:p>
            <w:pPr>
              <w:jc w:val="center"/>
              <w:rPr>
                <w:b/>
                <w:noProof/>
              </w:rPr>
            </w:pPr>
            <w:r>
              <w:rPr>
                <w:b/>
                <w:noProof/>
              </w:rPr>
              <w:t>ОБЩО бюджетни кредити</w:t>
            </w:r>
            <w:r>
              <w:rPr>
                <w:noProof/>
              </w:rPr>
              <w:br/>
            </w:r>
            <w:r>
              <w:rPr>
                <w:b/>
                <w:noProof/>
                <w:sz w:val="22"/>
              </w:rPr>
              <w:t>за ФУНКЦИЯ 2</w:t>
            </w:r>
            <w:r>
              <w:rPr>
                <w:b/>
                <w:noProof/>
                <w:sz w:val="22"/>
              </w:rPr>
              <w:br/>
            </w:r>
            <w:r>
              <w:rPr>
                <w:noProof/>
                <w:sz w:val="22"/>
              </w:rP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59,356</w:t>
            </w:r>
          </w:p>
        </w:tc>
        <w:tc>
          <w:tcPr>
            <w:tcW w:w="1777" w:type="dxa"/>
            <w:vAlign w:val="center"/>
          </w:tcPr>
          <w:p>
            <w:pPr>
              <w:spacing w:before="20" w:after="20"/>
              <w:jc w:val="center"/>
              <w:rPr>
                <w:b/>
                <w:noProof/>
                <w:sz w:val="18"/>
                <w:szCs w:val="18"/>
              </w:rPr>
            </w:pPr>
            <w:r>
              <w:rPr>
                <w:b/>
                <w:noProof/>
                <w:sz w:val="18"/>
              </w:rPr>
              <w:t>237,184</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=5+ 6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59,356</w:t>
            </w:r>
          </w:p>
        </w:tc>
        <w:tc>
          <w:tcPr>
            <w:tcW w:w="1777" w:type="dxa"/>
            <w:vAlign w:val="center"/>
          </w:tcPr>
          <w:p>
            <w:pPr>
              <w:spacing w:before="20" w:after="20"/>
              <w:jc w:val="center"/>
              <w:rPr>
                <w:b/>
                <w:noProof/>
                <w:sz w:val="18"/>
                <w:szCs w:val="18"/>
              </w:rPr>
            </w:pPr>
            <w:r>
              <w:rPr>
                <w:b/>
                <w:noProof/>
                <w:sz w:val="18"/>
              </w:rPr>
              <w:t>237,184</w:t>
            </w:r>
          </w:p>
        </w:tc>
      </w:tr>
    </w:tbl>
    <w:p>
      <w:pPr>
        <w:spacing w:after="40"/>
        <w:rPr>
          <w:b/>
          <w:noProof/>
          <w:sz w:val="22"/>
          <w:u w:val="single"/>
        </w:rPr>
      </w:pPr>
      <w:r>
        <w:rPr>
          <w:b/>
          <w:noProof/>
          <w:sz w:val="22"/>
          <w:u w:val="single"/>
        </w:rPr>
        <w:t>Ако предложението/инициативата има отражение върху повече от една функция: НЕПРИЛОЖИМО</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rPr>
            </w:pPr>
            <w:r>
              <w:rPr>
                <w:noProof/>
                <w:sz w:val="21"/>
              </w:rPr>
              <w:sym w:font="Wingdings" w:char="F09F"/>
            </w:r>
            <w:r>
              <w:rPr>
                <w:noProof/>
              </w:rPr>
              <w:t xml:space="preserve"> ОБЩО бюджетни кредити за оперативни разходи</w:t>
            </w:r>
          </w:p>
        </w:tc>
        <w:tc>
          <w:tcPr>
            <w:tcW w:w="1440" w:type="dxa"/>
            <w:tcBorders>
              <w:top w:val="single" w:sz="4" w:space="0" w:color="FF0000"/>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sym w:font="Wingdings" w:char="F09F"/>
            </w:r>
            <w:r>
              <w:rPr>
                <w:noProof/>
              </w:rPr>
              <w:t xml:space="preserve"> 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rPr>
              <w:t>ОБЩО бюджетни кредити</w:t>
            </w:r>
            <w:r>
              <w:rPr>
                <w:noProof/>
              </w:rPr>
              <w:br/>
            </w:r>
            <w:r>
              <w:rPr>
                <w:b/>
                <w:noProof/>
                <w:sz w:val="22"/>
              </w:rPr>
              <w:t>за ФУНКЦИИ 1—4</w:t>
            </w:r>
            <w:r>
              <w:rPr>
                <w:b/>
                <w:noProof/>
                <w:sz w:val="22"/>
              </w:rPr>
              <w:br/>
            </w:r>
            <w:r>
              <w:rPr>
                <w:noProof/>
                <w:sz w:val="22"/>
              </w:rPr>
              <w:t>от многогодишната финансова рамка</w:t>
            </w:r>
            <w:r>
              <w:rPr>
                <w:noProof/>
                <w:sz w:val="22"/>
              </w:rPr>
              <w:br/>
            </w:r>
            <w:r>
              <w:rPr>
                <w:noProof/>
                <w:sz w:val="20"/>
              </w:rPr>
              <w:t>(Референтна сума)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Плащания</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rPr>
              <w:t>Функция от многогодишната финансова</w:t>
            </w:r>
            <w:r>
              <w:rPr>
                <w:noProof/>
              </w:rPr>
              <w:br/>
            </w:r>
            <w:r>
              <w:rPr>
                <w:b/>
                <w:noProof/>
                <w:sz w:val="22"/>
              </w:rPr>
              <w:t xml:space="preserve">рамка: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Администрация</w:t>
            </w:r>
          </w:p>
        </w:tc>
      </w:tr>
    </w:tbl>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0"/>
              </w:rPr>
              <w:br/>
            </w:r>
            <w:r>
              <w:rPr>
                <w:b/>
                <w:noProof/>
                <w:sz w:val="20"/>
              </w:rPr>
              <w:t>2015</w:t>
            </w:r>
          </w:p>
        </w:tc>
        <w:tc>
          <w:tcPr>
            <w:tcW w:w="868" w:type="dxa"/>
            <w:vAlign w:val="center"/>
          </w:tcPr>
          <w:p>
            <w:pPr>
              <w:jc w:val="center"/>
              <w:rPr>
                <w:noProof/>
                <w:sz w:val="20"/>
              </w:rPr>
            </w:pPr>
            <w:r>
              <w:rPr>
                <w:noProof/>
                <w:sz w:val="20"/>
              </w:rPr>
              <w:t>Година</w:t>
            </w:r>
            <w:r>
              <w:rPr>
                <w:noProof/>
                <w:sz w:val="20"/>
              </w:rPr>
              <w:br/>
            </w:r>
            <w:r>
              <w:rPr>
                <w:b/>
                <w:noProof/>
                <w:sz w:val="20"/>
              </w:rPr>
              <w:t>2016</w:t>
            </w:r>
          </w:p>
        </w:tc>
        <w:tc>
          <w:tcPr>
            <w:tcW w:w="868" w:type="dxa"/>
            <w:vAlign w:val="center"/>
          </w:tcPr>
          <w:p>
            <w:pPr>
              <w:jc w:val="center"/>
              <w:rPr>
                <w:noProof/>
                <w:sz w:val="20"/>
              </w:rPr>
            </w:pPr>
            <w:r>
              <w:rPr>
                <w:noProof/>
                <w:sz w:val="20"/>
              </w:rPr>
              <w:t>Година</w:t>
            </w:r>
            <w:r>
              <w:rPr>
                <w:noProof/>
                <w:sz w:val="20"/>
              </w:rPr>
              <w:br/>
            </w:r>
            <w:r>
              <w:rPr>
                <w:b/>
                <w:noProof/>
                <w:sz w:val="20"/>
              </w:rPr>
              <w:t>2017</w:t>
            </w:r>
          </w:p>
        </w:tc>
        <w:tc>
          <w:tcPr>
            <w:tcW w:w="868" w:type="dxa"/>
            <w:vAlign w:val="center"/>
          </w:tcPr>
          <w:p>
            <w:pPr>
              <w:jc w:val="center"/>
              <w:rPr>
                <w:noProof/>
                <w:sz w:val="20"/>
              </w:rPr>
            </w:pPr>
            <w:r>
              <w:rPr>
                <w:noProof/>
                <w:sz w:val="20"/>
              </w:rPr>
              <w:t>Година</w:t>
            </w:r>
            <w:r>
              <w:rPr>
                <w:noProof/>
                <w:sz w:val="20"/>
              </w:rPr>
              <w:br/>
            </w:r>
            <w:r>
              <w:rPr>
                <w:b/>
                <w:noProof/>
                <w:sz w:val="20"/>
              </w:rPr>
              <w:t>2018</w:t>
            </w:r>
          </w:p>
        </w:tc>
        <w:tc>
          <w:tcPr>
            <w:tcW w:w="1777" w:type="dxa"/>
            <w:vAlign w:val="center"/>
          </w:tcPr>
          <w:p>
            <w:pPr>
              <w:jc w:val="center"/>
              <w:rPr>
                <w:b/>
                <w:noProof/>
                <w:sz w:val="20"/>
              </w:rPr>
            </w:pPr>
            <w:r>
              <w:rPr>
                <w:b/>
                <w:noProof/>
                <w:sz w:val="20"/>
              </w:rPr>
              <w:t>ОБЩО</w:t>
            </w:r>
          </w:p>
        </w:tc>
      </w:tr>
      <w:tr>
        <w:trPr>
          <w:gridAfter w:val="7"/>
          <w:wAfter w:w="7343" w:type="dxa"/>
        </w:trPr>
        <w:tc>
          <w:tcPr>
            <w:tcW w:w="3960" w:type="dxa"/>
            <w:vAlign w:val="center"/>
          </w:tcPr>
          <w:p>
            <w:pPr>
              <w:spacing w:before="60" w:after="60"/>
              <w:jc w:val="center"/>
              <w:rPr>
                <w:noProof/>
              </w:rPr>
            </w:pPr>
            <w:r>
              <w:rPr>
                <w:noProof/>
                <w:sz w:val="22"/>
              </w:rPr>
              <w:t>ГД: „Морско дело и рибарство“</w:t>
            </w:r>
          </w:p>
        </w:tc>
      </w:tr>
      <w:tr>
        <w:trPr>
          <w:trHeight w:val="313"/>
        </w:trPr>
        <w:tc>
          <w:tcPr>
            <w:tcW w:w="6054" w:type="dxa"/>
            <w:gridSpan w:val="3"/>
            <w:vAlign w:val="center"/>
          </w:tcPr>
          <w:p>
            <w:pPr>
              <w:spacing w:before="20" w:after="20"/>
              <w:rPr>
                <w:noProof/>
              </w:rPr>
            </w:pPr>
            <w:r>
              <w:rPr>
                <w:noProof/>
                <w:sz w:val="22"/>
              </w:rPr>
              <w:sym w:font="Wingdings" w:char="F09F"/>
            </w:r>
            <w:r>
              <w:rPr>
                <w:noProof/>
              </w:rPr>
              <w:t xml:space="preserve"> Човешки ресурси</w:t>
            </w:r>
          </w:p>
        </w:tc>
        <w:tc>
          <w:tcPr>
            <w:tcW w:w="868" w:type="dxa"/>
            <w:vAlign w:val="center"/>
          </w:tcPr>
          <w:p>
            <w:pPr>
              <w:spacing w:before="20" w:after="20"/>
              <w:jc w:val="center"/>
              <w:rPr>
                <w:noProof/>
                <w:sz w:val="18"/>
                <w:szCs w:val="18"/>
              </w:rPr>
            </w:pPr>
            <w:r>
              <w:rPr>
                <w:noProof/>
                <w:sz w:val="18"/>
              </w:rPr>
              <w:t>0,210</w:t>
            </w:r>
          </w:p>
        </w:tc>
        <w:tc>
          <w:tcPr>
            <w:tcW w:w="868" w:type="dxa"/>
            <w:vAlign w:val="center"/>
          </w:tcPr>
          <w:p>
            <w:pPr>
              <w:spacing w:before="20" w:after="20"/>
              <w:jc w:val="center"/>
              <w:rPr>
                <w:noProof/>
                <w:sz w:val="18"/>
                <w:szCs w:val="18"/>
              </w:rPr>
            </w:pPr>
            <w:r>
              <w:rPr>
                <w:noProof/>
                <w:sz w:val="18"/>
              </w:rPr>
              <w:t>0,210</w:t>
            </w:r>
          </w:p>
        </w:tc>
        <w:tc>
          <w:tcPr>
            <w:tcW w:w="868" w:type="dxa"/>
            <w:vAlign w:val="center"/>
          </w:tcPr>
          <w:p>
            <w:pPr>
              <w:spacing w:before="20" w:after="20"/>
              <w:jc w:val="center"/>
              <w:rPr>
                <w:noProof/>
                <w:sz w:val="18"/>
                <w:szCs w:val="18"/>
              </w:rPr>
            </w:pPr>
            <w:r>
              <w:rPr>
                <w:noProof/>
                <w:sz w:val="18"/>
              </w:rPr>
              <w:t>0,210</w:t>
            </w:r>
          </w:p>
        </w:tc>
        <w:tc>
          <w:tcPr>
            <w:tcW w:w="868" w:type="dxa"/>
            <w:vAlign w:val="center"/>
          </w:tcPr>
          <w:p>
            <w:pPr>
              <w:spacing w:before="20" w:after="20"/>
              <w:jc w:val="center"/>
              <w:rPr>
                <w:noProof/>
                <w:sz w:val="18"/>
                <w:szCs w:val="18"/>
              </w:rPr>
            </w:pPr>
            <w:r>
              <w:rPr>
                <w:noProof/>
                <w:sz w:val="18"/>
              </w:rPr>
              <w:t>0,210</w:t>
            </w:r>
          </w:p>
        </w:tc>
        <w:tc>
          <w:tcPr>
            <w:tcW w:w="1777" w:type="dxa"/>
            <w:vAlign w:val="center"/>
          </w:tcPr>
          <w:p>
            <w:pPr>
              <w:spacing w:before="20" w:after="20"/>
              <w:jc w:val="center"/>
              <w:rPr>
                <w:b/>
                <w:noProof/>
                <w:sz w:val="18"/>
                <w:szCs w:val="18"/>
              </w:rPr>
            </w:pPr>
            <w:r>
              <w:rPr>
                <w:b/>
                <w:noProof/>
                <w:sz w:val="18"/>
              </w:rPr>
              <w:t>0,840</w:t>
            </w:r>
          </w:p>
        </w:tc>
      </w:tr>
      <w:tr>
        <w:trPr>
          <w:trHeight w:val="351"/>
        </w:trPr>
        <w:tc>
          <w:tcPr>
            <w:tcW w:w="6054" w:type="dxa"/>
            <w:gridSpan w:val="3"/>
            <w:vAlign w:val="center"/>
          </w:tcPr>
          <w:p>
            <w:pPr>
              <w:spacing w:before="20" w:after="20"/>
              <w:rPr>
                <w:noProof/>
              </w:rPr>
            </w:pPr>
            <w:r>
              <w:rPr>
                <w:noProof/>
                <w:sz w:val="22"/>
              </w:rPr>
              <w:sym w:font="Wingdings" w:char="F09F"/>
            </w:r>
            <w:r>
              <w:rPr>
                <w:noProof/>
              </w:rPr>
              <w:t xml:space="preserve"> Други административни разходи</w:t>
            </w:r>
          </w:p>
        </w:tc>
        <w:tc>
          <w:tcPr>
            <w:tcW w:w="868" w:type="dxa"/>
            <w:vAlign w:val="center"/>
          </w:tcPr>
          <w:p>
            <w:pPr>
              <w:spacing w:before="20" w:after="20"/>
              <w:jc w:val="center"/>
              <w:rPr>
                <w:noProof/>
                <w:sz w:val="18"/>
                <w:szCs w:val="18"/>
              </w:rPr>
            </w:pPr>
            <w:r>
              <w:rPr>
                <w:noProof/>
                <w:sz w:val="18"/>
              </w:rPr>
              <w:t>0,03</w:t>
            </w:r>
          </w:p>
        </w:tc>
        <w:tc>
          <w:tcPr>
            <w:tcW w:w="868" w:type="dxa"/>
            <w:vAlign w:val="center"/>
          </w:tcPr>
          <w:p>
            <w:pPr>
              <w:spacing w:before="20" w:after="20"/>
              <w:jc w:val="center"/>
              <w:rPr>
                <w:noProof/>
                <w:sz w:val="18"/>
                <w:szCs w:val="18"/>
              </w:rPr>
            </w:pPr>
            <w:r>
              <w:rPr>
                <w:noProof/>
                <w:sz w:val="18"/>
              </w:rPr>
              <w:t>0,03</w:t>
            </w:r>
          </w:p>
        </w:tc>
        <w:tc>
          <w:tcPr>
            <w:tcW w:w="868" w:type="dxa"/>
            <w:vAlign w:val="center"/>
          </w:tcPr>
          <w:p>
            <w:pPr>
              <w:spacing w:before="20" w:after="20"/>
              <w:jc w:val="center"/>
              <w:rPr>
                <w:noProof/>
                <w:sz w:val="18"/>
                <w:szCs w:val="18"/>
              </w:rPr>
            </w:pPr>
            <w:r>
              <w:rPr>
                <w:noProof/>
                <w:sz w:val="18"/>
              </w:rPr>
              <w:t>0,03</w:t>
            </w:r>
          </w:p>
        </w:tc>
        <w:tc>
          <w:tcPr>
            <w:tcW w:w="868" w:type="dxa"/>
            <w:vAlign w:val="center"/>
          </w:tcPr>
          <w:p>
            <w:pPr>
              <w:spacing w:before="20" w:after="20"/>
              <w:jc w:val="center"/>
              <w:rPr>
                <w:noProof/>
                <w:sz w:val="18"/>
                <w:szCs w:val="18"/>
              </w:rPr>
            </w:pPr>
            <w:r>
              <w:rPr>
                <w:noProof/>
                <w:sz w:val="18"/>
              </w:rPr>
              <w:t>0,03</w:t>
            </w:r>
          </w:p>
        </w:tc>
        <w:tc>
          <w:tcPr>
            <w:tcW w:w="1777" w:type="dxa"/>
            <w:vAlign w:val="center"/>
          </w:tcPr>
          <w:p>
            <w:pPr>
              <w:spacing w:before="20" w:after="20"/>
              <w:jc w:val="center"/>
              <w:rPr>
                <w:b/>
                <w:noProof/>
                <w:sz w:val="18"/>
                <w:szCs w:val="18"/>
              </w:rPr>
            </w:pPr>
            <w:r>
              <w:rPr>
                <w:b/>
                <w:noProof/>
                <w:sz w:val="18"/>
              </w:rPr>
              <w:t>0,12</w:t>
            </w:r>
          </w:p>
        </w:tc>
      </w:tr>
      <w:tr>
        <w:tc>
          <w:tcPr>
            <w:tcW w:w="3960" w:type="dxa"/>
            <w:vAlign w:val="center"/>
          </w:tcPr>
          <w:p>
            <w:pPr>
              <w:jc w:val="center"/>
              <w:rPr>
                <w:b/>
                <w:noProof/>
              </w:rPr>
            </w:pPr>
            <w:r>
              <w:rPr>
                <w:b/>
                <w:noProof/>
                <w:sz w:val="22"/>
              </w:rPr>
              <w:t>ОБЩО ГД „Морско дело и рибарство“</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center"/>
              <w:rPr>
                <w:noProof/>
                <w:sz w:val="18"/>
                <w:szCs w:val="18"/>
              </w:rPr>
            </w:pPr>
            <w:r>
              <w:rPr>
                <w:noProof/>
                <w:sz w:val="18"/>
              </w:rPr>
              <w:t>0,24</w:t>
            </w:r>
          </w:p>
        </w:tc>
        <w:tc>
          <w:tcPr>
            <w:tcW w:w="868" w:type="dxa"/>
            <w:vAlign w:val="center"/>
          </w:tcPr>
          <w:p>
            <w:pPr>
              <w:spacing w:before="60" w:after="60"/>
              <w:jc w:val="center"/>
              <w:rPr>
                <w:noProof/>
                <w:sz w:val="18"/>
                <w:szCs w:val="18"/>
              </w:rPr>
            </w:pPr>
            <w:r>
              <w:rPr>
                <w:noProof/>
                <w:sz w:val="18"/>
              </w:rPr>
              <w:t>0,24</w:t>
            </w:r>
          </w:p>
        </w:tc>
        <w:tc>
          <w:tcPr>
            <w:tcW w:w="868" w:type="dxa"/>
            <w:vAlign w:val="center"/>
          </w:tcPr>
          <w:p>
            <w:pPr>
              <w:spacing w:before="60" w:after="60"/>
              <w:jc w:val="center"/>
              <w:rPr>
                <w:noProof/>
                <w:sz w:val="18"/>
                <w:szCs w:val="18"/>
              </w:rPr>
            </w:pPr>
            <w:r>
              <w:rPr>
                <w:noProof/>
                <w:sz w:val="18"/>
              </w:rPr>
              <w:t>0,24</w:t>
            </w:r>
          </w:p>
        </w:tc>
        <w:tc>
          <w:tcPr>
            <w:tcW w:w="868" w:type="dxa"/>
            <w:vAlign w:val="center"/>
          </w:tcPr>
          <w:p>
            <w:pPr>
              <w:spacing w:before="60" w:after="60"/>
              <w:jc w:val="center"/>
              <w:rPr>
                <w:noProof/>
                <w:sz w:val="18"/>
                <w:szCs w:val="18"/>
              </w:rPr>
            </w:pPr>
            <w:r>
              <w:rPr>
                <w:noProof/>
                <w:sz w:val="18"/>
              </w:rPr>
              <w:t>0,24</w:t>
            </w:r>
          </w:p>
        </w:tc>
        <w:tc>
          <w:tcPr>
            <w:tcW w:w="1777" w:type="dxa"/>
            <w:vAlign w:val="center"/>
          </w:tcPr>
          <w:p>
            <w:pPr>
              <w:spacing w:before="20" w:after="20"/>
              <w:jc w:val="center"/>
              <w:rPr>
                <w:b/>
                <w:noProof/>
                <w:sz w:val="18"/>
                <w:szCs w:val="18"/>
              </w:rPr>
            </w:pPr>
            <w:r>
              <w:rPr>
                <w:b/>
                <w:noProof/>
                <w:sz w:val="18"/>
              </w:rPr>
              <w:t>0,96</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1777"/>
      </w:tblGrid>
      <w:tr>
        <w:tc>
          <w:tcPr>
            <w:tcW w:w="3960" w:type="dxa"/>
            <w:shd w:val="thinDiagStripe" w:color="C0C0C0" w:fill="auto"/>
            <w:vAlign w:val="center"/>
          </w:tcPr>
          <w:p>
            <w:pPr>
              <w:jc w:val="center"/>
              <w:rPr>
                <w:b/>
                <w:noProof/>
              </w:rPr>
            </w:pPr>
            <w:r>
              <w:rPr>
                <w:b/>
                <w:noProof/>
              </w:rPr>
              <w:t>ОБЩО бюджетни кредити</w:t>
            </w:r>
            <w:r>
              <w:rPr>
                <w:noProof/>
              </w:rPr>
              <w:br/>
            </w:r>
            <w:r>
              <w:rPr>
                <w:b/>
                <w:noProof/>
                <w:sz w:val="22"/>
              </w:rPr>
              <w:t>за ФУНКЦИЯ 5</w:t>
            </w:r>
            <w:r>
              <w:rPr>
                <w:b/>
                <w:noProof/>
                <w:sz w:val="22"/>
              </w:rPr>
              <w:br/>
            </w:r>
            <w:r>
              <w:rPr>
                <w:noProof/>
                <w:sz w:val="22"/>
              </w:rP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60" w:after="60"/>
              <w:jc w:val="center"/>
              <w:rPr>
                <w:noProof/>
                <w:sz w:val="18"/>
                <w:szCs w:val="18"/>
              </w:rPr>
            </w:pPr>
            <w:r>
              <w:rPr>
                <w:noProof/>
                <w:sz w:val="18"/>
              </w:rPr>
              <w:t>0,24</w:t>
            </w:r>
          </w:p>
        </w:tc>
        <w:tc>
          <w:tcPr>
            <w:tcW w:w="868" w:type="dxa"/>
            <w:vAlign w:val="center"/>
          </w:tcPr>
          <w:p>
            <w:pPr>
              <w:spacing w:before="60" w:after="60"/>
              <w:jc w:val="center"/>
              <w:rPr>
                <w:noProof/>
                <w:sz w:val="18"/>
                <w:szCs w:val="18"/>
              </w:rPr>
            </w:pPr>
            <w:r>
              <w:rPr>
                <w:noProof/>
                <w:sz w:val="18"/>
              </w:rPr>
              <w:t>0,24</w:t>
            </w:r>
          </w:p>
        </w:tc>
        <w:tc>
          <w:tcPr>
            <w:tcW w:w="868" w:type="dxa"/>
            <w:vAlign w:val="center"/>
          </w:tcPr>
          <w:p>
            <w:pPr>
              <w:spacing w:before="60" w:after="60"/>
              <w:jc w:val="center"/>
              <w:rPr>
                <w:noProof/>
                <w:sz w:val="18"/>
                <w:szCs w:val="18"/>
              </w:rPr>
            </w:pPr>
            <w:r>
              <w:rPr>
                <w:noProof/>
                <w:sz w:val="18"/>
              </w:rPr>
              <w:t>0,24</w:t>
            </w:r>
          </w:p>
        </w:tc>
        <w:tc>
          <w:tcPr>
            <w:tcW w:w="868" w:type="dxa"/>
            <w:vAlign w:val="center"/>
          </w:tcPr>
          <w:p>
            <w:pPr>
              <w:spacing w:before="60" w:after="60"/>
              <w:jc w:val="center"/>
              <w:rPr>
                <w:noProof/>
                <w:sz w:val="18"/>
                <w:szCs w:val="18"/>
              </w:rPr>
            </w:pPr>
            <w:r>
              <w:rPr>
                <w:noProof/>
                <w:sz w:val="18"/>
              </w:rPr>
              <w:t>0,24</w:t>
            </w:r>
          </w:p>
        </w:tc>
        <w:tc>
          <w:tcPr>
            <w:tcW w:w="1777" w:type="dxa"/>
            <w:vAlign w:val="center"/>
          </w:tcPr>
          <w:p>
            <w:pPr>
              <w:spacing w:before="20" w:after="20"/>
              <w:jc w:val="center"/>
              <w:rPr>
                <w:b/>
                <w:noProof/>
                <w:sz w:val="18"/>
                <w:szCs w:val="18"/>
              </w:rPr>
            </w:pPr>
            <w:r>
              <w:rPr>
                <w:b/>
                <w:noProof/>
                <w:sz w:val="18"/>
              </w:rPr>
              <w:t>0,96</w:t>
            </w:r>
          </w:p>
        </w:tc>
      </w:tr>
    </w:tbl>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0"/>
              </w:rPr>
              <w:br/>
            </w:r>
            <w:r>
              <w:rPr>
                <w:b/>
                <w:noProof/>
                <w:sz w:val="20"/>
              </w:rPr>
              <w:t>2015</w:t>
            </w:r>
          </w:p>
        </w:tc>
        <w:tc>
          <w:tcPr>
            <w:tcW w:w="868" w:type="dxa"/>
            <w:vAlign w:val="center"/>
          </w:tcPr>
          <w:p>
            <w:pPr>
              <w:jc w:val="center"/>
              <w:rPr>
                <w:noProof/>
                <w:sz w:val="20"/>
              </w:rPr>
            </w:pPr>
            <w:r>
              <w:rPr>
                <w:noProof/>
                <w:sz w:val="20"/>
              </w:rPr>
              <w:t>Година</w:t>
            </w:r>
            <w:r>
              <w:rPr>
                <w:noProof/>
                <w:sz w:val="20"/>
              </w:rPr>
              <w:br/>
            </w:r>
            <w:r>
              <w:rPr>
                <w:b/>
                <w:noProof/>
                <w:sz w:val="20"/>
              </w:rPr>
              <w:t>2016</w:t>
            </w:r>
          </w:p>
        </w:tc>
        <w:tc>
          <w:tcPr>
            <w:tcW w:w="868" w:type="dxa"/>
            <w:vAlign w:val="center"/>
          </w:tcPr>
          <w:p>
            <w:pPr>
              <w:jc w:val="center"/>
              <w:rPr>
                <w:noProof/>
                <w:sz w:val="20"/>
              </w:rPr>
            </w:pPr>
            <w:r>
              <w:rPr>
                <w:noProof/>
                <w:sz w:val="20"/>
              </w:rPr>
              <w:t>Година</w:t>
            </w:r>
            <w:r>
              <w:rPr>
                <w:noProof/>
                <w:sz w:val="20"/>
              </w:rPr>
              <w:br/>
            </w:r>
            <w:r>
              <w:rPr>
                <w:b/>
                <w:noProof/>
                <w:sz w:val="20"/>
              </w:rPr>
              <w:t>2017</w:t>
            </w:r>
          </w:p>
        </w:tc>
        <w:tc>
          <w:tcPr>
            <w:tcW w:w="868" w:type="dxa"/>
            <w:vAlign w:val="center"/>
          </w:tcPr>
          <w:p>
            <w:pPr>
              <w:jc w:val="center"/>
              <w:rPr>
                <w:noProof/>
                <w:sz w:val="20"/>
              </w:rPr>
            </w:pPr>
            <w:r>
              <w:rPr>
                <w:noProof/>
                <w:sz w:val="20"/>
              </w:rPr>
              <w:t>Година</w:t>
            </w:r>
            <w:r>
              <w:rPr>
                <w:noProof/>
                <w:sz w:val="20"/>
              </w:rPr>
              <w:br/>
            </w:r>
            <w:r>
              <w:rPr>
                <w:b/>
                <w:noProof/>
                <w:sz w:val="20"/>
              </w:rPr>
              <w:t>2018</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rPr>
              <w:t>ОБЩО бюджетни кредити</w:t>
            </w:r>
            <w:r>
              <w:rPr>
                <w:noProof/>
              </w:rPr>
              <w:br/>
            </w:r>
            <w:r>
              <w:rPr>
                <w:b/>
                <w:noProof/>
                <w:sz w:val="22"/>
              </w:rPr>
              <w:t>за ФУНКЦИИ 1—5</w:t>
            </w:r>
            <w:r>
              <w:rPr>
                <w:b/>
                <w:noProof/>
                <w:sz w:val="22"/>
              </w:rPr>
              <w:br/>
            </w:r>
            <w:r>
              <w:rPr>
                <w:noProof/>
                <w:sz w:val="22"/>
              </w:rP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jc w:val="center"/>
              <w:rPr>
                <w:noProof/>
                <w:sz w:val="18"/>
                <w:szCs w:val="18"/>
              </w:rPr>
            </w:pPr>
            <w:r>
              <w:rPr>
                <w:noProof/>
                <w:sz w:val="18"/>
              </w:rPr>
              <w:t>59,496</w:t>
            </w:r>
          </w:p>
        </w:tc>
        <w:tc>
          <w:tcPr>
            <w:tcW w:w="868" w:type="dxa"/>
            <w:vAlign w:val="center"/>
          </w:tcPr>
          <w:p>
            <w:pPr>
              <w:jc w:val="center"/>
              <w:rPr>
                <w:noProof/>
                <w:sz w:val="18"/>
                <w:szCs w:val="18"/>
              </w:rPr>
            </w:pPr>
            <w:r>
              <w:rPr>
                <w:noProof/>
                <w:sz w:val="18"/>
              </w:rPr>
              <w:t>59,496</w:t>
            </w:r>
          </w:p>
        </w:tc>
        <w:tc>
          <w:tcPr>
            <w:tcW w:w="868" w:type="dxa"/>
            <w:vAlign w:val="center"/>
          </w:tcPr>
          <w:p>
            <w:pPr>
              <w:jc w:val="center"/>
              <w:rPr>
                <w:noProof/>
                <w:sz w:val="18"/>
                <w:szCs w:val="18"/>
              </w:rPr>
            </w:pPr>
            <w:r>
              <w:rPr>
                <w:noProof/>
                <w:sz w:val="18"/>
              </w:rPr>
              <w:t>59,496</w:t>
            </w:r>
          </w:p>
        </w:tc>
        <w:tc>
          <w:tcPr>
            <w:tcW w:w="868" w:type="dxa"/>
            <w:vAlign w:val="center"/>
          </w:tcPr>
          <w:p>
            <w:pPr>
              <w:jc w:val="center"/>
              <w:rPr>
                <w:noProof/>
                <w:sz w:val="18"/>
                <w:szCs w:val="18"/>
              </w:rPr>
            </w:pPr>
            <w:r>
              <w:rPr>
                <w:noProof/>
                <w:sz w:val="18"/>
              </w:rPr>
              <w:t>59,576</w:t>
            </w:r>
          </w:p>
        </w:tc>
        <w:tc>
          <w:tcPr>
            <w:tcW w:w="1777" w:type="dxa"/>
            <w:vAlign w:val="center"/>
          </w:tcPr>
          <w:p>
            <w:pPr>
              <w:spacing w:before="60" w:after="60"/>
              <w:jc w:val="center"/>
              <w:rPr>
                <w:b/>
                <w:noProof/>
                <w:sz w:val="18"/>
                <w:szCs w:val="18"/>
              </w:rPr>
            </w:pPr>
            <w:r>
              <w:rPr>
                <w:b/>
                <w:noProof/>
                <w:sz w:val="18"/>
              </w:rPr>
              <w:t>238,064</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jc w:val="center"/>
              <w:rPr>
                <w:noProof/>
                <w:sz w:val="18"/>
                <w:szCs w:val="18"/>
              </w:rPr>
            </w:pPr>
            <w:r>
              <w:rPr>
                <w:noProof/>
                <w:sz w:val="18"/>
              </w:rPr>
              <w:t>59,496</w:t>
            </w:r>
          </w:p>
        </w:tc>
        <w:tc>
          <w:tcPr>
            <w:tcW w:w="868" w:type="dxa"/>
            <w:vAlign w:val="center"/>
          </w:tcPr>
          <w:p>
            <w:pPr>
              <w:jc w:val="center"/>
              <w:rPr>
                <w:noProof/>
                <w:sz w:val="18"/>
                <w:szCs w:val="18"/>
              </w:rPr>
            </w:pPr>
            <w:r>
              <w:rPr>
                <w:noProof/>
                <w:sz w:val="18"/>
              </w:rPr>
              <w:t>59,496</w:t>
            </w:r>
          </w:p>
        </w:tc>
        <w:tc>
          <w:tcPr>
            <w:tcW w:w="868" w:type="dxa"/>
            <w:vAlign w:val="center"/>
          </w:tcPr>
          <w:p>
            <w:pPr>
              <w:jc w:val="center"/>
              <w:rPr>
                <w:noProof/>
                <w:sz w:val="18"/>
                <w:szCs w:val="18"/>
              </w:rPr>
            </w:pPr>
            <w:r>
              <w:rPr>
                <w:noProof/>
                <w:sz w:val="18"/>
              </w:rPr>
              <w:t>59,496</w:t>
            </w:r>
          </w:p>
        </w:tc>
        <w:tc>
          <w:tcPr>
            <w:tcW w:w="868" w:type="dxa"/>
            <w:vAlign w:val="center"/>
          </w:tcPr>
          <w:p>
            <w:pPr>
              <w:jc w:val="center"/>
              <w:rPr>
                <w:noProof/>
                <w:sz w:val="18"/>
                <w:szCs w:val="18"/>
              </w:rPr>
            </w:pPr>
            <w:r>
              <w:rPr>
                <w:noProof/>
                <w:sz w:val="18"/>
              </w:rPr>
              <w:t>59,576</w:t>
            </w:r>
          </w:p>
        </w:tc>
        <w:tc>
          <w:tcPr>
            <w:tcW w:w="1777" w:type="dxa"/>
            <w:vAlign w:val="center"/>
          </w:tcPr>
          <w:p>
            <w:pPr>
              <w:spacing w:before="60" w:after="60"/>
              <w:jc w:val="center"/>
              <w:rPr>
                <w:b/>
                <w:noProof/>
                <w:sz w:val="18"/>
                <w:szCs w:val="18"/>
              </w:rPr>
            </w:pPr>
            <w:r>
              <w:rPr>
                <w:b/>
                <w:noProof/>
                <w:sz w:val="18"/>
              </w:rPr>
              <w:t>238,064</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r>
        <w:t>7.2.2.</w:t>
      </w:r>
      <w:r>
        <w:tab/>
      </w:r>
      <w:r>
        <w:rPr>
          <w:noProof/>
        </w:rPr>
        <w:t xml:space="preserve">Очаквано отражение върху бюджетните кредити за оперативни разходи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t>x</w:t>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евро (до 3-ия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51"/>
        <w:gridCol w:w="21"/>
        <w:gridCol w:w="851"/>
        <w:gridCol w:w="337"/>
        <w:gridCol w:w="648"/>
        <w:gridCol w:w="7"/>
        <w:gridCol w:w="425"/>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szCs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jc w:val="center"/>
              <w:rPr>
                <w:noProof/>
                <w:sz w:val="20"/>
              </w:rPr>
            </w:pPr>
            <w:r>
              <w:rPr>
                <w:noProof/>
                <w:sz w:val="20"/>
              </w:rPr>
              <w:t>Година</w:t>
            </w:r>
            <w:r>
              <w:rPr>
                <w:noProof/>
                <w:sz w:val="20"/>
              </w:rPr>
              <w:br/>
            </w:r>
            <w:r>
              <w:rPr>
                <w:b/>
                <w:noProof/>
                <w:sz w:val="20"/>
              </w:rPr>
              <w:t>2015</w:t>
            </w:r>
          </w:p>
        </w:tc>
        <w:tc>
          <w:tcPr>
            <w:tcW w:w="1260" w:type="dxa"/>
            <w:gridSpan w:val="2"/>
            <w:vAlign w:val="center"/>
          </w:tcPr>
          <w:p>
            <w:pPr>
              <w:jc w:val="center"/>
              <w:rPr>
                <w:noProof/>
                <w:sz w:val="20"/>
              </w:rPr>
            </w:pPr>
            <w:r>
              <w:rPr>
                <w:noProof/>
                <w:sz w:val="20"/>
              </w:rPr>
              <w:t>Година</w:t>
            </w:r>
            <w:r>
              <w:rPr>
                <w:noProof/>
                <w:sz w:val="20"/>
              </w:rPr>
              <w:br/>
            </w:r>
            <w:r>
              <w:rPr>
                <w:b/>
                <w:noProof/>
                <w:sz w:val="20"/>
              </w:rPr>
              <w:t>2016</w:t>
            </w:r>
          </w:p>
        </w:tc>
        <w:tc>
          <w:tcPr>
            <w:tcW w:w="1440" w:type="dxa"/>
            <w:gridSpan w:val="2"/>
            <w:vAlign w:val="center"/>
          </w:tcPr>
          <w:p>
            <w:pPr>
              <w:jc w:val="center"/>
              <w:rPr>
                <w:noProof/>
                <w:sz w:val="20"/>
              </w:rPr>
            </w:pPr>
            <w:r>
              <w:rPr>
                <w:noProof/>
                <w:sz w:val="20"/>
              </w:rPr>
              <w:t>Година</w:t>
            </w:r>
            <w:r>
              <w:rPr>
                <w:noProof/>
                <w:sz w:val="20"/>
              </w:rPr>
              <w:br/>
            </w:r>
            <w:r>
              <w:rPr>
                <w:b/>
                <w:noProof/>
                <w:sz w:val="20"/>
              </w:rPr>
              <w:t>2017</w:t>
            </w:r>
          </w:p>
        </w:tc>
        <w:tc>
          <w:tcPr>
            <w:tcW w:w="1823" w:type="dxa"/>
            <w:gridSpan w:val="3"/>
            <w:vAlign w:val="center"/>
          </w:tcPr>
          <w:p>
            <w:pPr>
              <w:jc w:val="center"/>
              <w:rPr>
                <w:noProof/>
                <w:sz w:val="20"/>
              </w:rPr>
            </w:pPr>
            <w:r>
              <w:rPr>
                <w:noProof/>
                <w:sz w:val="20"/>
              </w:rPr>
              <w:t>Година</w:t>
            </w:r>
            <w:r>
              <w:rPr>
                <w:noProof/>
                <w:sz w:val="20"/>
              </w:rPr>
              <w:br/>
            </w:r>
            <w:r>
              <w:rPr>
                <w:b/>
                <w:noProof/>
                <w:sz w:val="20"/>
              </w:rPr>
              <w:t>2018</w:t>
            </w:r>
          </w:p>
        </w:tc>
        <w:tc>
          <w:tcPr>
            <w:tcW w:w="992" w:type="dxa"/>
            <w:gridSpan w:val="3"/>
            <w:vAlign w:val="center"/>
          </w:tcPr>
          <w:p>
            <w:pPr>
              <w:jc w:val="center"/>
              <w:rPr>
                <w:noProof/>
                <w:sz w:val="18"/>
                <w:szCs w:val="18"/>
              </w:rPr>
            </w:pPr>
            <w:r>
              <w:rPr>
                <w:noProof/>
                <w:sz w:val="20"/>
              </w:rPr>
              <w:t>Година</w:t>
            </w:r>
            <w:r>
              <w:rPr>
                <w:noProof/>
                <w:sz w:val="20"/>
              </w:rPr>
              <w:br/>
            </w:r>
            <w:r>
              <w:rPr>
                <w:b/>
                <w:noProof/>
                <w:sz w:val="20"/>
              </w:rPr>
              <w:t>…</w:t>
            </w:r>
          </w:p>
        </w:tc>
        <w:tc>
          <w:tcPr>
            <w:tcW w:w="2405" w:type="dxa"/>
            <w:gridSpan w:val="4"/>
            <w:vAlign w:val="center"/>
          </w:tcPr>
          <w:p>
            <w:pPr>
              <w:jc w:val="center"/>
              <w:rPr>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noProof/>
                <w:sz w:val="18"/>
                <w:szCs w:val="18"/>
              </w:rPr>
            </w:pPr>
            <w:r>
              <w:rPr>
                <w:b/>
                <w:noProof/>
                <w:sz w:val="18"/>
              </w:rPr>
              <w:t>ОБЩО</w:t>
            </w:r>
          </w:p>
        </w:tc>
      </w:tr>
      <w:tr>
        <w:trPr>
          <w:jc w:val="center"/>
        </w:trPr>
        <w:tc>
          <w:tcPr>
            <w:tcW w:w="1423" w:type="dxa"/>
            <w:vMerge/>
            <w:vAlign w:val="center"/>
          </w:tcPr>
          <w:p>
            <w:pPr>
              <w:ind w:right="-29"/>
              <w:jc w:val="center"/>
              <w:rPr>
                <w:noProof/>
                <w:sz w:val="18"/>
                <w:szCs w:val="18"/>
              </w:rPr>
            </w:pPr>
          </w:p>
        </w:tc>
        <w:tc>
          <w:tcPr>
            <w:tcW w:w="12185" w:type="dxa"/>
            <w:gridSpan w:val="20"/>
            <w:vAlign w:val="center"/>
          </w:tcPr>
          <w:p>
            <w:pPr>
              <w:spacing w:before="60" w:after="60"/>
              <w:ind w:right="-29"/>
              <w:jc w:val="center"/>
              <w:rPr>
                <w:noProof/>
                <w:sz w:val="18"/>
                <w:szCs w:val="18"/>
              </w:rPr>
            </w:pPr>
            <w:r>
              <w:rPr>
                <w:b/>
                <w:noProof/>
                <w:sz w:val="18"/>
              </w:rPr>
              <w:t>РЕЗУЛТАТИ</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Вид</w:t>
            </w:r>
            <w:r>
              <w:rPr>
                <w:rStyle w:val="FootnoteReference"/>
                <w:noProof/>
                <w:sz w:val="18"/>
              </w:rPr>
              <w:footnoteReference w:id="11"/>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72"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51"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37"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648"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432"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1</w:t>
            </w:r>
            <w:r>
              <w:rPr>
                <w:rStyle w:val="FootnoteReference"/>
                <w:noProof/>
                <w:sz w:val="18"/>
              </w:rPr>
              <w:footnoteReference w:id="12"/>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72" w:type="dxa"/>
            <w:gridSpan w:val="2"/>
            <w:tcBorders>
              <w:top w:val="nil"/>
              <w:left w:val="nil"/>
              <w:bottom w:val="nil"/>
              <w:right w:val="nil"/>
            </w:tcBorders>
          </w:tcPr>
          <w:p>
            <w:pPr>
              <w:spacing w:before="60" w:after="60"/>
              <w:ind w:right="-29"/>
              <w:jc w:val="center"/>
              <w:rPr>
                <w:noProof/>
                <w:sz w:val="18"/>
                <w:szCs w:val="18"/>
              </w:rPr>
            </w:pPr>
          </w:p>
        </w:tc>
        <w:tc>
          <w:tcPr>
            <w:tcW w:w="851" w:type="dxa"/>
            <w:tcBorders>
              <w:top w:val="nil"/>
              <w:left w:val="nil"/>
              <w:bottom w:val="nil"/>
              <w:right w:val="nil"/>
            </w:tcBorders>
          </w:tcPr>
          <w:p>
            <w:pPr>
              <w:spacing w:before="60" w:after="60"/>
              <w:ind w:right="-29"/>
              <w:jc w:val="center"/>
              <w:rPr>
                <w:noProof/>
                <w:sz w:val="18"/>
                <w:szCs w:val="18"/>
              </w:rPr>
            </w:pPr>
          </w:p>
        </w:tc>
        <w:tc>
          <w:tcPr>
            <w:tcW w:w="337"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лицензии на кораби</w:t>
            </w:r>
          </w:p>
        </w:tc>
        <w:tc>
          <w:tcPr>
            <w:tcW w:w="720" w:type="dxa"/>
          </w:tcPr>
          <w:p>
            <w:pPr>
              <w:ind w:right="-29"/>
              <w:jc w:val="center"/>
              <w:rPr>
                <w:noProof/>
                <w:sz w:val="18"/>
                <w:szCs w:val="18"/>
              </w:rPr>
            </w:pPr>
            <w:r>
              <w:rPr>
                <w:noProof/>
                <w:sz w:val="18"/>
              </w:rPr>
              <w:t>t/година</w:t>
            </w:r>
          </w:p>
        </w:tc>
        <w:tc>
          <w:tcPr>
            <w:tcW w:w="701" w:type="dxa"/>
          </w:tcPr>
          <w:p>
            <w:pPr>
              <w:ind w:right="-29"/>
              <w:rPr>
                <w:noProof/>
                <w:sz w:val="18"/>
                <w:szCs w:val="18"/>
              </w:rPr>
            </w:pPr>
          </w:p>
        </w:tc>
        <w:tc>
          <w:tcPr>
            <w:tcW w:w="504" w:type="dxa"/>
            <w:tcBorders>
              <w:right w:val="dashSmallGap" w:sz="4" w:space="0" w:color="auto"/>
            </w:tcBorders>
            <w:vAlign w:val="center"/>
          </w:tcPr>
          <w:p>
            <w:pPr>
              <w:ind w:right="-29"/>
              <w:jc w:val="center"/>
              <w:rPr>
                <w:noProof/>
                <w:sz w:val="18"/>
                <w:szCs w:val="18"/>
              </w:rPr>
            </w:pPr>
            <w:r>
              <w:rPr>
                <w:noProof/>
                <w:sz w:val="18"/>
              </w:rPr>
              <w:t>98</w:t>
            </w:r>
          </w:p>
        </w:tc>
        <w:tc>
          <w:tcPr>
            <w:tcW w:w="720" w:type="dxa"/>
            <w:tcBorders>
              <w:left w:val="dashSmallGap" w:sz="4" w:space="0" w:color="auto"/>
            </w:tcBorders>
            <w:vAlign w:val="center"/>
          </w:tcPr>
          <w:p>
            <w:pPr>
              <w:ind w:right="-29"/>
              <w:jc w:val="center"/>
              <w:rPr>
                <w:noProof/>
                <w:sz w:val="18"/>
                <w:szCs w:val="18"/>
              </w:rPr>
            </w:pPr>
            <w:r>
              <w:rPr>
                <w:noProof/>
                <w:sz w:val="18"/>
              </w:rPr>
              <w:t>55</w:t>
            </w:r>
          </w:p>
        </w:tc>
        <w:tc>
          <w:tcPr>
            <w:tcW w:w="540" w:type="dxa"/>
            <w:tcBorders>
              <w:right w:val="dashSmallGap" w:sz="4" w:space="0" w:color="auto"/>
            </w:tcBorders>
            <w:vAlign w:val="center"/>
          </w:tcPr>
          <w:p>
            <w:pPr>
              <w:ind w:right="-29"/>
              <w:jc w:val="center"/>
              <w:rPr>
                <w:noProof/>
                <w:sz w:val="18"/>
                <w:szCs w:val="18"/>
              </w:rPr>
            </w:pPr>
            <w:r>
              <w:rPr>
                <w:noProof/>
                <w:sz w:val="18"/>
              </w:rPr>
              <w:t>98</w:t>
            </w:r>
          </w:p>
        </w:tc>
        <w:tc>
          <w:tcPr>
            <w:tcW w:w="720" w:type="dxa"/>
            <w:tcBorders>
              <w:left w:val="dashSmallGap" w:sz="4" w:space="0" w:color="auto"/>
            </w:tcBorders>
            <w:vAlign w:val="center"/>
          </w:tcPr>
          <w:p>
            <w:pPr>
              <w:ind w:right="-29"/>
              <w:jc w:val="center"/>
              <w:rPr>
                <w:noProof/>
                <w:sz w:val="18"/>
                <w:szCs w:val="18"/>
              </w:rPr>
            </w:pPr>
            <w:r>
              <w:rPr>
                <w:noProof/>
                <w:sz w:val="18"/>
              </w:rPr>
              <w:t>55</w:t>
            </w:r>
          </w:p>
        </w:tc>
        <w:tc>
          <w:tcPr>
            <w:tcW w:w="720" w:type="dxa"/>
            <w:tcBorders>
              <w:right w:val="dashSmallGap" w:sz="4" w:space="0" w:color="auto"/>
            </w:tcBorders>
            <w:vAlign w:val="center"/>
          </w:tcPr>
          <w:p>
            <w:pPr>
              <w:ind w:right="-29"/>
              <w:jc w:val="center"/>
              <w:rPr>
                <w:noProof/>
                <w:sz w:val="18"/>
                <w:szCs w:val="18"/>
              </w:rPr>
            </w:pPr>
            <w:r>
              <w:rPr>
                <w:noProof/>
                <w:sz w:val="18"/>
              </w:rPr>
              <w:t>98</w:t>
            </w:r>
          </w:p>
        </w:tc>
        <w:tc>
          <w:tcPr>
            <w:tcW w:w="720" w:type="dxa"/>
            <w:tcBorders>
              <w:left w:val="dashSmallGap" w:sz="4" w:space="0" w:color="auto"/>
            </w:tcBorders>
            <w:vAlign w:val="center"/>
          </w:tcPr>
          <w:p>
            <w:pPr>
              <w:ind w:right="-29"/>
              <w:jc w:val="center"/>
              <w:rPr>
                <w:noProof/>
                <w:sz w:val="18"/>
                <w:szCs w:val="18"/>
              </w:rPr>
            </w:pPr>
            <w:r>
              <w:rPr>
                <w:noProof/>
                <w:sz w:val="18"/>
              </w:rPr>
              <w:t>55</w:t>
            </w:r>
          </w:p>
        </w:tc>
        <w:tc>
          <w:tcPr>
            <w:tcW w:w="972" w:type="dxa"/>
            <w:gridSpan w:val="2"/>
            <w:tcBorders>
              <w:right w:val="dashSmallGap" w:sz="4" w:space="0" w:color="auto"/>
            </w:tcBorders>
            <w:vAlign w:val="center"/>
          </w:tcPr>
          <w:p>
            <w:pPr>
              <w:ind w:right="-29"/>
              <w:jc w:val="center"/>
              <w:rPr>
                <w:noProof/>
                <w:sz w:val="18"/>
                <w:szCs w:val="18"/>
              </w:rPr>
            </w:pPr>
            <w:r>
              <w:rPr>
                <w:noProof/>
                <w:sz w:val="18"/>
              </w:rPr>
              <w:t>98</w:t>
            </w:r>
          </w:p>
        </w:tc>
        <w:tc>
          <w:tcPr>
            <w:tcW w:w="851" w:type="dxa"/>
            <w:tcBorders>
              <w:left w:val="dashSmallGap" w:sz="4" w:space="0" w:color="auto"/>
            </w:tcBorders>
            <w:vAlign w:val="center"/>
          </w:tcPr>
          <w:p>
            <w:pPr>
              <w:ind w:right="-29"/>
              <w:jc w:val="center"/>
              <w:rPr>
                <w:noProof/>
                <w:sz w:val="18"/>
                <w:szCs w:val="18"/>
              </w:rPr>
            </w:pPr>
            <w:r>
              <w:rPr>
                <w:noProof/>
                <w:sz w:val="18"/>
              </w:rPr>
              <w:t>55</w:t>
            </w:r>
          </w:p>
        </w:tc>
        <w:tc>
          <w:tcPr>
            <w:tcW w:w="337" w:type="dxa"/>
            <w:tcBorders>
              <w:right w:val="dashSmallGap" w:sz="4" w:space="0" w:color="auto"/>
            </w:tcBorders>
            <w:vAlign w:val="center"/>
          </w:tcPr>
          <w:p>
            <w:pPr>
              <w:ind w:right="-29"/>
              <w:jc w:val="center"/>
              <w:rPr>
                <w:noProof/>
                <w:sz w:val="18"/>
                <w:szCs w:val="18"/>
              </w:rPr>
            </w:pPr>
          </w:p>
        </w:tc>
        <w:tc>
          <w:tcPr>
            <w:tcW w:w="648" w:type="dxa"/>
            <w:tcBorders>
              <w:left w:val="dashSmallGap" w:sz="4" w:space="0" w:color="auto"/>
            </w:tcBorders>
            <w:vAlign w:val="center"/>
          </w:tcPr>
          <w:p>
            <w:pPr>
              <w:ind w:right="-29"/>
              <w:jc w:val="center"/>
              <w:rPr>
                <w:noProof/>
                <w:sz w:val="18"/>
                <w:szCs w:val="18"/>
              </w:rPr>
            </w:pPr>
          </w:p>
        </w:tc>
        <w:tc>
          <w:tcPr>
            <w:tcW w:w="432" w:type="dxa"/>
            <w:gridSpan w:val="2"/>
            <w:tcBorders>
              <w:right w:val="dashSmallGap" w:sz="4" w:space="0" w:color="auto"/>
            </w:tcBorders>
            <w:vAlign w:val="center"/>
          </w:tcPr>
          <w:p>
            <w:pPr>
              <w:ind w:right="-29"/>
              <w:jc w:val="center"/>
              <w:rPr>
                <w:noProof/>
                <w:sz w:val="18"/>
                <w:szCs w:val="18"/>
              </w:rPr>
            </w:pPr>
          </w:p>
        </w:tc>
        <w:tc>
          <w:tcPr>
            <w:tcW w:w="720" w:type="dxa"/>
            <w:tcBorders>
              <w:left w:val="dashSmallGap" w:sz="4" w:space="0" w:color="auto"/>
            </w:tcBorders>
            <w:vAlign w:val="center"/>
          </w:tcPr>
          <w:p>
            <w:pPr>
              <w:ind w:right="-29"/>
              <w:jc w:val="center"/>
              <w:rPr>
                <w:noProof/>
                <w:sz w:val="18"/>
                <w:szCs w:val="18"/>
              </w:rPr>
            </w:pPr>
          </w:p>
        </w:tc>
        <w:tc>
          <w:tcPr>
            <w:tcW w:w="540" w:type="dxa"/>
            <w:tcBorders>
              <w:right w:val="dashSmallGap" w:sz="4" w:space="0" w:color="auto"/>
            </w:tcBorders>
            <w:vAlign w:val="center"/>
          </w:tcPr>
          <w:p>
            <w:pPr>
              <w:ind w:right="-29"/>
              <w:jc w:val="center"/>
              <w:rPr>
                <w:noProof/>
                <w:sz w:val="18"/>
                <w:szCs w:val="18"/>
              </w:rPr>
            </w:pPr>
          </w:p>
        </w:tc>
        <w:tc>
          <w:tcPr>
            <w:tcW w:w="720" w:type="dxa"/>
            <w:tcBorders>
              <w:left w:val="dashSmallGap" w:sz="4" w:space="0" w:color="auto"/>
            </w:tcBorders>
            <w:vAlign w:val="center"/>
          </w:tcPr>
          <w:p>
            <w:pPr>
              <w:ind w:right="-29"/>
              <w:jc w:val="center"/>
              <w:rPr>
                <w:noProof/>
                <w:sz w:val="18"/>
                <w:szCs w:val="18"/>
              </w:rPr>
            </w:pPr>
          </w:p>
        </w:tc>
        <w:tc>
          <w:tcPr>
            <w:tcW w:w="720" w:type="dxa"/>
            <w:vAlign w:val="center"/>
          </w:tcPr>
          <w:p>
            <w:pPr>
              <w:ind w:right="-29"/>
              <w:jc w:val="center"/>
              <w:rPr>
                <w:noProof/>
                <w:sz w:val="18"/>
                <w:szCs w:val="18"/>
              </w:rPr>
            </w:pPr>
            <w:r>
              <w:rPr>
                <w:noProof/>
                <w:sz w:val="18"/>
              </w:rPr>
              <w:t>392</w:t>
            </w:r>
          </w:p>
        </w:tc>
        <w:tc>
          <w:tcPr>
            <w:tcW w:w="900" w:type="dxa"/>
            <w:vAlign w:val="center"/>
          </w:tcPr>
          <w:p>
            <w:pPr>
              <w:ind w:right="-29"/>
              <w:jc w:val="center"/>
              <w:rPr>
                <w:noProof/>
                <w:sz w:val="18"/>
                <w:szCs w:val="18"/>
              </w:rPr>
            </w:pPr>
            <w:r>
              <w:rPr>
                <w:noProof/>
                <w:sz w:val="18"/>
              </w:rPr>
              <w:t>220</w:t>
            </w:r>
          </w:p>
        </w:tc>
      </w:tr>
      <w:tr>
        <w:trPr>
          <w:trHeight w:hRule="exact" w:val="369"/>
          <w:jc w:val="center"/>
        </w:trPr>
        <w:tc>
          <w:tcPr>
            <w:tcW w:w="1423" w:type="dxa"/>
          </w:tcPr>
          <w:p>
            <w:pPr>
              <w:ind w:right="-29"/>
              <w:jc w:val="center"/>
              <w:rPr>
                <w:noProof/>
                <w:sz w:val="18"/>
                <w:szCs w:val="18"/>
              </w:rPr>
            </w:pPr>
            <w:r>
              <w:rPr>
                <w:noProof/>
                <w:sz w:val="18"/>
              </w:rPr>
              <w:t>— секторно подпомагане</w:t>
            </w:r>
          </w:p>
        </w:tc>
        <w:tc>
          <w:tcPr>
            <w:tcW w:w="720" w:type="dxa"/>
          </w:tcPr>
          <w:p>
            <w:pPr>
              <w:ind w:right="-29"/>
              <w:jc w:val="center"/>
              <w:rPr>
                <w:noProof/>
                <w:sz w:val="18"/>
                <w:szCs w:val="18"/>
              </w:rPr>
            </w:pPr>
            <w:r>
              <w:rPr>
                <w:noProof/>
                <w:sz w:val="18"/>
              </w:rPr>
              <w:t>годишно</w:t>
            </w:r>
          </w:p>
        </w:tc>
        <w:tc>
          <w:tcPr>
            <w:tcW w:w="701" w:type="dxa"/>
          </w:tcPr>
          <w:p>
            <w:pPr>
              <w:ind w:right="-29"/>
              <w:jc w:val="center"/>
              <w:rPr>
                <w:noProof/>
                <w:sz w:val="18"/>
                <w:szCs w:val="18"/>
              </w:rPr>
            </w:pPr>
            <w:r>
              <w:rPr>
                <w:noProof/>
                <w:sz w:val="18"/>
              </w:rPr>
              <w:t>4,125</w:t>
            </w:r>
          </w:p>
        </w:tc>
        <w:tc>
          <w:tcPr>
            <w:tcW w:w="504" w:type="dxa"/>
            <w:tcBorders>
              <w:right w:val="dashSmallGap" w:sz="4" w:space="0" w:color="auto"/>
            </w:tcBorders>
            <w:vAlign w:val="center"/>
          </w:tcPr>
          <w:p>
            <w:pPr>
              <w:ind w:right="-29"/>
              <w:jc w:val="center"/>
              <w:rPr>
                <w:noProof/>
                <w:sz w:val="18"/>
                <w:szCs w:val="18"/>
              </w:rPr>
            </w:pPr>
          </w:p>
        </w:tc>
        <w:tc>
          <w:tcPr>
            <w:tcW w:w="720" w:type="dxa"/>
            <w:tcBorders>
              <w:left w:val="dashSmallGap" w:sz="4" w:space="0" w:color="auto"/>
            </w:tcBorders>
            <w:vAlign w:val="center"/>
          </w:tcPr>
          <w:p>
            <w:pPr>
              <w:ind w:right="-29"/>
              <w:jc w:val="center"/>
              <w:rPr>
                <w:noProof/>
                <w:sz w:val="18"/>
                <w:szCs w:val="18"/>
              </w:rPr>
            </w:pPr>
            <w:r>
              <w:rPr>
                <w:noProof/>
                <w:sz w:val="18"/>
              </w:rPr>
              <w:t>4,125</w:t>
            </w:r>
          </w:p>
        </w:tc>
        <w:tc>
          <w:tcPr>
            <w:tcW w:w="540" w:type="dxa"/>
            <w:tcBorders>
              <w:right w:val="dashSmallGap" w:sz="4" w:space="0" w:color="auto"/>
            </w:tcBorders>
            <w:vAlign w:val="center"/>
          </w:tcPr>
          <w:p>
            <w:pPr>
              <w:ind w:right="-29"/>
              <w:jc w:val="center"/>
              <w:rPr>
                <w:noProof/>
                <w:sz w:val="18"/>
                <w:szCs w:val="18"/>
              </w:rPr>
            </w:pPr>
          </w:p>
        </w:tc>
        <w:tc>
          <w:tcPr>
            <w:tcW w:w="720" w:type="dxa"/>
            <w:tcBorders>
              <w:left w:val="dashSmallGap" w:sz="4" w:space="0" w:color="auto"/>
            </w:tcBorders>
            <w:vAlign w:val="center"/>
          </w:tcPr>
          <w:p>
            <w:pPr>
              <w:ind w:right="-29"/>
              <w:jc w:val="center"/>
              <w:rPr>
                <w:noProof/>
                <w:sz w:val="18"/>
                <w:szCs w:val="18"/>
              </w:rPr>
            </w:pPr>
            <w:r>
              <w:rPr>
                <w:noProof/>
                <w:sz w:val="18"/>
              </w:rPr>
              <w:t>4,125</w:t>
            </w:r>
          </w:p>
        </w:tc>
        <w:tc>
          <w:tcPr>
            <w:tcW w:w="720" w:type="dxa"/>
            <w:tcBorders>
              <w:right w:val="dashSmallGap" w:sz="4" w:space="0" w:color="auto"/>
            </w:tcBorders>
            <w:vAlign w:val="center"/>
          </w:tcPr>
          <w:p>
            <w:pPr>
              <w:ind w:right="-29"/>
              <w:jc w:val="center"/>
              <w:rPr>
                <w:noProof/>
                <w:sz w:val="18"/>
                <w:szCs w:val="18"/>
              </w:rPr>
            </w:pPr>
          </w:p>
        </w:tc>
        <w:tc>
          <w:tcPr>
            <w:tcW w:w="720" w:type="dxa"/>
            <w:tcBorders>
              <w:left w:val="dashSmallGap" w:sz="4" w:space="0" w:color="auto"/>
            </w:tcBorders>
            <w:vAlign w:val="center"/>
          </w:tcPr>
          <w:p>
            <w:pPr>
              <w:ind w:right="-29"/>
              <w:jc w:val="center"/>
              <w:rPr>
                <w:noProof/>
                <w:sz w:val="18"/>
                <w:szCs w:val="18"/>
              </w:rPr>
            </w:pPr>
            <w:r>
              <w:rPr>
                <w:noProof/>
                <w:sz w:val="18"/>
              </w:rPr>
              <w:t>4,125</w:t>
            </w:r>
          </w:p>
        </w:tc>
        <w:tc>
          <w:tcPr>
            <w:tcW w:w="972" w:type="dxa"/>
            <w:gridSpan w:val="2"/>
            <w:tcBorders>
              <w:right w:val="dashSmallGap" w:sz="4" w:space="0" w:color="auto"/>
            </w:tcBorders>
            <w:vAlign w:val="center"/>
          </w:tcPr>
          <w:p>
            <w:pPr>
              <w:ind w:right="-29"/>
              <w:jc w:val="center"/>
              <w:rPr>
                <w:noProof/>
                <w:sz w:val="18"/>
                <w:szCs w:val="18"/>
              </w:rPr>
            </w:pPr>
          </w:p>
        </w:tc>
        <w:tc>
          <w:tcPr>
            <w:tcW w:w="851" w:type="dxa"/>
            <w:tcBorders>
              <w:left w:val="dashSmallGap" w:sz="4" w:space="0" w:color="auto"/>
            </w:tcBorders>
            <w:vAlign w:val="center"/>
          </w:tcPr>
          <w:p>
            <w:pPr>
              <w:ind w:right="-29"/>
              <w:jc w:val="center"/>
              <w:rPr>
                <w:noProof/>
                <w:sz w:val="18"/>
                <w:szCs w:val="18"/>
              </w:rPr>
            </w:pPr>
            <w:r>
              <w:rPr>
                <w:noProof/>
                <w:sz w:val="18"/>
              </w:rPr>
              <w:t>4,125</w:t>
            </w:r>
          </w:p>
        </w:tc>
        <w:tc>
          <w:tcPr>
            <w:tcW w:w="337" w:type="dxa"/>
            <w:tcBorders>
              <w:right w:val="dashSmallGap" w:sz="4" w:space="0" w:color="auto"/>
            </w:tcBorders>
            <w:vAlign w:val="center"/>
          </w:tcPr>
          <w:p>
            <w:pPr>
              <w:ind w:right="-29"/>
              <w:jc w:val="center"/>
              <w:rPr>
                <w:noProof/>
                <w:sz w:val="18"/>
                <w:szCs w:val="18"/>
              </w:rPr>
            </w:pPr>
          </w:p>
        </w:tc>
        <w:tc>
          <w:tcPr>
            <w:tcW w:w="648" w:type="dxa"/>
            <w:tcBorders>
              <w:left w:val="dashSmallGap" w:sz="4" w:space="0" w:color="auto"/>
            </w:tcBorders>
            <w:vAlign w:val="center"/>
          </w:tcPr>
          <w:p>
            <w:pPr>
              <w:ind w:right="-29"/>
              <w:jc w:val="center"/>
              <w:rPr>
                <w:noProof/>
                <w:sz w:val="18"/>
                <w:szCs w:val="18"/>
              </w:rPr>
            </w:pPr>
          </w:p>
        </w:tc>
        <w:tc>
          <w:tcPr>
            <w:tcW w:w="432" w:type="dxa"/>
            <w:gridSpan w:val="2"/>
            <w:tcBorders>
              <w:right w:val="dashSmallGap" w:sz="4" w:space="0" w:color="auto"/>
            </w:tcBorders>
            <w:vAlign w:val="center"/>
          </w:tcPr>
          <w:p>
            <w:pPr>
              <w:ind w:right="-29"/>
              <w:jc w:val="center"/>
              <w:rPr>
                <w:noProof/>
                <w:sz w:val="18"/>
                <w:szCs w:val="18"/>
              </w:rPr>
            </w:pPr>
          </w:p>
        </w:tc>
        <w:tc>
          <w:tcPr>
            <w:tcW w:w="720" w:type="dxa"/>
            <w:tcBorders>
              <w:left w:val="dashSmallGap" w:sz="4" w:space="0" w:color="auto"/>
            </w:tcBorders>
            <w:vAlign w:val="center"/>
          </w:tcPr>
          <w:p>
            <w:pPr>
              <w:ind w:right="-29"/>
              <w:jc w:val="center"/>
              <w:rPr>
                <w:noProof/>
                <w:sz w:val="18"/>
                <w:szCs w:val="18"/>
              </w:rPr>
            </w:pPr>
          </w:p>
        </w:tc>
        <w:tc>
          <w:tcPr>
            <w:tcW w:w="540" w:type="dxa"/>
            <w:tcBorders>
              <w:right w:val="dashSmallGap" w:sz="4" w:space="0" w:color="auto"/>
            </w:tcBorders>
            <w:vAlign w:val="center"/>
          </w:tcPr>
          <w:p>
            <w:pPr>
              <w:ind w:right="-29"/>
              <w:jc w:val="center"/>
              <w:rPr>
                <w:noProof/>
                <w:sz w:val="18"/>
                <w:szCs w:val="18"/>
              </w:rPr>
            </w:pPr>
          </w:p>
        </w:tc>
        <w:tc>
          <w:tcPr>
            <w:tcW w:w="720" w:type="dxa"/>
            <w:tcBorders>
              <w:left w:val="dashSmallGap" w:sz="4" w:space="0" w:color="auto"/>
            </w:tcBorders>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900" w:type="dxa"/>
            <w:vAlign w:val="center"/>
          </w:tcPr>
          <w:p>
            <w:pPr>
              <w:ind w:right="-29"/>
              <w:jc w:val="center"/>
              <w:rPr>
                <w:noProof/>
                <w:sz w:val="18"/>
                <w:szCs w:val="18"/>
              </w:rPr>
            </w:pPr>
            <w:r>
              <w:rPr>
                <w:noProof/>
                <w:sz w:val="18"/>
              </w:rPr>
              <w:t>16,5</w:t>
            </w:r>
          </w:p>
        </w:tc>
      </w:tr>
      <w:tr>
        <w:trPr>
          <w:trHeight w:hRule="exact" w:val="369"/>
          <w:jc w:val="center"/>
        </w:trPr>
        <w:tc>
          <w:tcPr>
            <w:tcW w:w="1423" w:type="dxa"/>
          </w:tcPr>
          <w:p>
            <w:pPr>
              <w:ind w:right="-29"/>
              <w:jc w:val="center"/>
              <w:rPr>
                <w:noProof/>
                <w:sz w:val="18"/>
                <w:szCs w:val="18"/>
              </w:rPr>
            </w:pPr>
            <w:r>
              <w:rPr>
                <w:noProof/>
                <w:sz w:val="18"/>
              </w:rPr>
              <w:t xml:space="preserve"> </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54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972" w:type="dxa"/>
            <w:gridSpan w:val="2"/>
            <w:vAlign w:val="center"/>
          </w:tcPr>
          <w:p>
            <w:pPr>
              <w:ind w:right="-29"/>
              <w:jc w:val="center"/>
              <w:rPr>
                <w:noProof/>
                <w:sz w:val="18"/>
                <w:szCs w:val="18"/>
              </w:rPr>
            </w:pPr>
          </w:p>
        </w:tc>
        <w:tc>
          <w:tcPr>
            <w:tcW w:w="851" w:type="dxa"/>
            <w:vAlign w:val="center"/>
          </w:tcPr>
          <w:p>
            <w:pPr>
              <w:ind w:right="-29"/>
              <w:jc w:val="center"/>
              <w:rPr>
                <w:noProof/>
                <w:sz w:val="18"/>
                <w:szCs w:val="18"/>
              </w:rPr>
            </w:pPr>
          </w:p>
        </w:tc>
        <w:tc>
          <w:tcPr>
            <w:tcW w:w="337" w:type="dxa"/>
            <w:vAlign w:val="center"/>
          </w:tcPr>
          <w:p>
            <w:pPr>
              <w:ind w:right="-29"/>
              <w:jc w:val="center"/>
              <w:rPr>
                <w:noProof/>
                <w:sz w:val="18"/>
                <w:szCs w:val="18"/>
              </w:rPr>
            </w:pPr>
          </w:p>
        </w:tc>
        <w:tc>
          <w:tcPr>
            <w:tcW w:w="648" w:type="dxa"/>
            <w:vAlign w:val="center"/>
          </w:tcPr>
          <w:p>
            <w:pPr>
              <w:ind w:right="-29"/>
              <w:jc w:val="center"/>
              <w:rPr>
                <w:noProof/>
                <w:sz w:val="18"/>
                <w:szCs w:val="18"/>
              </w:rPr>
            </w:pPr>
          </w:p>
        </w:tc>
        <w:tc>
          <w:tcPr>
            <w:tcW w:w="432" w:type="dxa"/>
            <w:gridSpan w:val="2"/>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54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900" w:type="dxa"/>
            <w:vAlign w:val="center"/>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№1</w:t>
            </w:r>
          </w:p>
        </w:tc>
        <w:tc>
          <w:tcPr>
            <w:tcW w:w="504"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r>
              <w:rPr>
                <w:noProof/>
                <w:sz w:val="18"/>
              </w:rPr>
              <w:t>59,125</w:t>
            </w:r>
          </w:p>
        </w:tc>
        <w:tc>
          <w:tcPr>
            <w:tcW w:w="54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r>
              <w:rPr>
                <w:noProof/>
                <w:sz w:val="18"/>
              </w:rPr>
              <w:t>59,125</w:t>
            </w:r>
          </w:p>
        </w:tc>
        <w:tc>
          <w:tcPr>
            <w:tcW w:w="72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r>
              <w:rPr>
                <w:noProof/>
                <w:sz w:val="18"/>
              </w:rPr>
              <w:t>59,125</w:t>
            </w:r>
          </w:p>
        </w:tc>
        <w:tc>
          <w:tcPr>
            <w:tcW w:w="972" w:type="dxa"/>
            <w:gridSpan w:val="2"/>
            <w:tcBorders>
              <w:bottom w:val="single" w:sz="12" w:space="0" w:color="auto"/>
            </w:tcBorders>
            <w:vAlign w:val="center"/>
          </w:tcPr>
          <w:p>
            <w:pPr>
              <w:ind w:right="-29"/>
              <w:jc w:val="center"/>
              <w:rPr>
                <w:noProof/>
                <w:sz w:val="18"/>
                <w:szCs w:val="18"/>
              </w:rPr>
            </w:pPr>
          </w:p>
        </w:tc>
        <w:tc>
          <w:tcPr>
            <w:tcW w:w="851" w:type="dxa"/>
            <w:tcBorders>
              <w:bottom w:val="single" w:sz="12" w:space="0" w:color="auto"/>
            </w:tcBorders>
            <w:vAlign w:val="center"/>
          </w:tcPr>
          <w:p>
            <w:pPr>
              <w:ind w:right="-29"/>
              <w:jc w:val="center"/>
              <w:rPr>
                <w:noProof/>
                <w:sz w:val="18"/>
                <w:szCs w:val="18"/>
              </w:rPr>
            </w:pPr>
            <w:r>
              <w:rPr>
                <w:noProof/>
                <w:sz w:val="18"/>
              </w:rPr>
              <w:t>59,125</w:t>
            </w:r>
          </w:p>
        </w:tc>
        <w:tc>
          <w:tcPr>
            <w:tcW w:w="337" w:type="dxa"/>
            <w:tcBorders>
              <w:bottom w:val="single" w:sz="12" w:space="0" w:color="auto"/>
            </w:tcBorders>
            <w:vAlign w:val="center"/>
          </w:tcPr>
          <w:p>
            <w:pPr>
              <w:ind w:right="-29"/>
              <w:jc w:val="center"/>
              <w:rPr>
                <w:noProof/>
                <w:sz w:val="18"/>
                <w:szCs w:val="18"/>
              </w:rPr>
            </w:pPr>
          </w:p>
        </w:tc>
        <w:tc>
          <w:tcPr>
            <w:tcW w:w="648" w:type="dxa"/>
            <w:tcBorders>
              <w:bottom w:val="single" w:sz="12" w:space="0" w:color="auto"/>
            </w:tcBorders>
            <w:vAlign w:val="center"/>
          </w:tcPr>
          <w:p>
            <w:pPr>
              <w:ind w:right="-29"/>
              <w:jc w:val="center"/>
              <w:rPr>
                <w:noProof/>
                <w:sz w:val="18"/>
                <w:szCs w:val="18"/>
              </w:rPr>
            </w:pPr>
          </w:p>
        </w:tc>
        <w:tc>
          <w:tcPr>
            <w:tcW w:w="432" w:type="dxa"/>
            <w:gridSpan w:val="2"/>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54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900" w:type="dxa"/>
            <w:tcBorders>
              <w:bottom w:val="single" w:sz="12" w:space="0" w:color="auto"/>
            </w:tcBorders>
            <w:vAlign w:val="center"/>
          </w:tcPr>
          <w:p>
            <w:pPr>
              <w:ind w:right="-29"/>
              <w:jc w:val="center"/>
              <w:rPr>
                <w:noProof/>
                <w:sz w:val="18"/>
                <w:szCs w:val="18"/>
              </w:rPr>
            </w:pPr>
            <w:r>
              <w:rPr>
                <w:noProof/>
                <w:sz w:val="18"/>
              </w:rPr>
              <w:t>236,5</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2…</w:t>
            </w:r>
          </w:p>
        </w:tc>
        <w:tc>
          <w:tcPr>
            <w:tcW w:w="504" w:type="dxa"/>
            <w:tcBorders>
              <w:top w:val="nil"/>
              <w:left w:val="nil"/>
              <w:bottom w:val="nil"/>
              <w:right w:val="nil"/>
            </w:tcBorders>
            <w:vAlign w:val="center"/>
          </w:tcPr>
          <w:p>
            <w:pPr>
              <w:spacing w:before="60" w:after="60"/>
              <w:ind w:right="-29"/>
              <w:jc w:val="center"/>
              <w:rPr>
                <w:noProof/>
                <w:sz w:val="18"/>
                <w:szCs w:val="18"/>
              </w:rPr>
            </w:pPr>
          </w:p>
        </w:tc>
        <w:tc>
          <w:tcPr>
            <w:tcW w:w="720" w:type="dxa"/>
            <w:tcBorders>
              <w:top w:val="nil"/>
              <w:left w:val="nil"/>
              <w:bottom w:val="nil"/>
              <w:right w:val="nil"/>
            </w:tcBorders>
            <w:vAlign w:val="center"/>
          </w:tcPr>
          <w:p>
            <w:pPr>
              <w:spacing w:before="60" w:after="60"/>
              <w:ind w:right="-29"/>
              <w:jc w:val="center"/>
              <w:rPr>
                <w:noProof/>
                <w:sz w:val="18"/>
                <w:szCs w:val="18"/>
              </w:rPr>
            </w:pPr>
          </w:p>
        </w:tc>
        <w:tc>
          <w:tcPr>
            <w:tcW w:w="540" w:type="dxa"/>
            <w:tcBorders>
              <w:top w:val="nil"/>
              <w:left w:val="nil"/>
              <w:bottom w:val="nil"/>
              <w:right w:val="nil"/>
            </w:tcBorders>
            <w:vAlign w:val="center"/>
          </w:tcPr>
          <w:p>
            <w:pPr>
              <w:spacing w:before="60" w:after="60"/>
              <w:ind w:right="-29"/>
              <w:jc w:val="center"/>
              <w:rPr>
                <w:noProof/>
                <w:sz w:val="18"/>
                <w:szCs w:val="18"/>
              </w:rPr>
            </w:pPr>
          </w:p>
        </w:tc>
        <w:tc>
          <w:tcPr>
            <w:tcW w:w="720" w:type="dxa"/>
            <w:tcBorders>
              <w:top w:val="nil"/>
              <w:left w:val="nil"/>
              <w:bottom w:val="nil"/>
              <w:right w:val="nil"/>
            </w:tcBorders>
            <w:vAlign w:val="center"/>
          </w:tcPr>
          <w:p>
            <w:pPr>
              <w:spacing w:before="60" w:after="60"/>
              <w:ind w:right="-29"/>
              <w:jc w:val="center"/>
              <w:rPr>
                <w:noProof/>
                <w:sz w:val="18"/>
                <w:szCs w:val="18"/>
              </w:rPr>
            </w:pPr>
          </w:p>
        </w:tc>
        <w:tc>
          <w:tcPr>
            <w:tcW w:w="720" w:type="dxa"/>
            <w:tcBorders>
              <w:top w:val="nil"/>
              <w:left w:val="nil"/>
              <w:bottom w:val="nil"/>
              <w:right w:val="nil"/>
            </w:tcBorders>
            <w:vAlign w:val="center"/>
          </w:tcPr>
          <w:p>
            <w:pPr>
              <w:spacing w:before="60" w:after="60"/>
              <w:ind w:right="-29"/>
              <w:jc w:val="center"/>
              <w:rPr>
                <w:noProof/>
                <w:sz w:val="18"/>
                <w:szCs w:val="18"/>
              </w:rPr>
            </w:pPr>
          </w:p>
        </w:tc>
        <w:tc>
          <w:tcPr>
            <w:tcW w:w="720" w:type="dxa"/>
            <w:tcBorders>
              <w:top w:val="nil"/>
              <w:left w:val="nil"/>
              <w:bottom w:val="nil"/>
              <w:right w:val="nil"/>
            </w:tcBorders>
            <w:vAlign w:val="center"/>
          </w:tcPr>
          <w:p>
            <w:pPr>
              <w:spacing w:before="60" w:after="60"/>
              <w:ind w:right="-29"/>
              <w:jc w:val="center"/>
              <w:rPr>
                <w:noProof/>
                <w:sz w:val="18"/>
                <w:szCs w:val="18"/>
              </w:rPr>
            </w:pPr>
          </w:p>
        </w:tc>
        <w:tc>
          <w:tcPr>
            <w:tcW w:w="972" w:type="dxa"/>
            <w:gridSpan w:val="2"/>
            <w:tcBorders>
              <w:top w:val="nil"/>
              <w:left w:val="nil"/>
              <w:bottom w:val="nil"/>
              <w:right w:val="nil"/>
            </w:tcBorders>
            <w:vAlign w:val="center"/>
          </w:tcPr>
          <w:p>
            <w:pPr>
              <w:spacing w:before="60" w:after="60"/>
              <w:ind w:right="-29"/>
              <w:jc w:val="center"/>
              <w:rPr>
                <w:noProof/>
                <w:sz w:val="18"/>
                <w:szCs w:val="18"/>
              </w:rPr>
            </w:pPr>
          </w:p>
        </w:tc>
        <w:tc>
          <w:tcPr>
            <w:tcW w:w="851" w:type="dxa"/>
            <w:tcBorders>
              <w:top w:val="nil"/>
              <w:left w:val="nil"/>
              <w:bottom w:val="nil"/>
              <w:right w:val="nil"/>
            </w:tcBorders>
            <w:vAlign w:val="center"/>
          </w:tcPr>
          <w:p>
            <w:pPr>
              <w:spacing w:before="60" w:after="60"/>
              <w:ind w:right="-29"/>
              <w:jc w:val="center"/>
              <w:rPr>
                <w:noProof/>
                <w:sz w:val="18"/>
                <w:szCs w:val="18"/>
              </w:rPr>
            </w:pPr>
          </w:p>
        </w:tc>
        <w:tc>
          <w:tcPr>
            <w:tcW w:w="337" w:type="dxa"/>
            <w:tcBorders>
              <w:top w:val="nil"/>
              <w:left w:val="nil"/>
              <w:bottom w:val="nil"/>
              <w:right w:val="nil"/>
            </w:tcBorders>
            <w:vAlign w:val="center"/>
          </w:tcPr>
          <w:p>
            <w:pPr>
              <w:spacing w:before="60" w:after="60"/>
              <w:ind w:right="-29"/>
              <w:jc w:val="center"/>
              <w:rPr>
                <w:noProof/>
                <w:sz w:val="18"/>
                <w:szCs w:val="18"/>
              </w:rPr>
            </w:pPr>
          </w:p>
        </w:tc>
        <w:tc>
          <w:tcPr>
            <w:tcW w:w="648" w:type="dxa"/>
            <w:tcBorders>
              <w:top w:val="nil"/>
              <w:left w:val="nil"/>
              <w:bottom w:val="nil"/>
              <w:right w:val="nil"/>
            </w:tcBorders>
            <w:vAlign w:val="center"/>
          </w:tcPr>
          <w:p>
            <w:pPr>
              <w:spacing w:before="60" w:after="60"/>
              <w:ind w:right="-29"/>
              <w:jc w:val="center"/>
              <w:rPr>
                <w:noProof/>
                <w:sz w:val="18"/>
                <w:szCs w:val="18"/>
              </w:rPr>
            </w:pPr>
          </w:p>
        </w:tc>
        <w:tc>
          <w:tcPr>
            <w:tcW w:w="432" w:type="dxa"/>
            <w:gridSpan w:val="2"/>
            <w:tcBorders>
              <w:top w:val="nil"/>
              <w:left w:val="nil"/>
              <w:bottom w:val="nil"/>
              <w:right w:val="nil"/>
            </w:tcBorders>
            <w:vAlign w:val="center"/>
          </w:tcPr>
          <w:p>
            <w:pPr>
              <w:spacing w:before="60" w:after="60"/>
              <w:ind w:right="-29"/>
              <w:jc w:val="center"/>
              <w:rPr>
                <w:noProof/>
                <w:sz w:val="18"/>
                <w:szCs w:val="18"/>
              </w:rPr>
            </w:pPr>
          </w:p>
        </w:tc>
        <w:tc>
          <w:tcPr>
            <w:tcW w:w="720" w:type="dxa"/>
            <w:tcBorders>
              <w:top w:val="nil"/>
              <w:left w:val="nil"/>
              <w:bottom w:val="nil"/>
              <w:right w:val="nil"/>
            </w:tcBorders>
            <w:vAlign w:val="center"/>
          </w:tcPr>
          <w:p>
            <w:pPr>
              <w:spacing w:before="60" w:after="60"/>
              <w:ind w:right="-29"/>
              <w:jc w:val="center"/>
              <w:rPr>
                <w:noProof/>
                <w:sz w:val="18"/>
                <w:szCs w:val="18"/>
              </w:rPr>
            </w:pPr>
          </w:p>
        </w:tc>
        <w:tc>
          <w:tcPr>
            <w:tcW w:w="540" w:type="dxa"/>
            <w:tcBorders>
              <w:top w:val="nil"/>
              <w:left w:val="nil"/>
              <w:bottom w:val="nil"/>
              <w:right w:val="nil"/>
            </w:tcBorders>
            <w:vAlign w:val="center"/>
          </w:tcPr>
          <w:p>
            <w:pPr>
              <w:spacing w:before="60" w:after="60"/>
              <w:ind w:right="-29"/>
              <w:jc w:val="center"/>
              <w:rPr>
                <w:noProof/>
                <w:sz w:val="18"/>
                <w:szCs w:val="18"/>
              </w:rPr>
            </w:pPr>
          </w:p>
        </w:tc>
        <w:tc>
          <w:tcPr>
            <w:tcW w:w="720" w:type="dxa"/>
            <w:tcBorders>
              <w:top w:val="nil"/>
              <w:left w:val="nil"/>
              <w:bottom w:val="nil"/>
              <w:right w:val="nil"/>
            </w:tcBorders>
            <w:vAlign w:val="center"/>
          </w:tcPr>
          <w:p>
            <w:pPr>
              <w:spacing w:before="60" w:after="60"/>
              <w:ind w:right="-29"/>
              <w:jc w:val="center"/>
              <w:rPr>
                <w:noProof/>
                <w:sz w:val="18"/>
                <w:szCs w:val="18"/>
              </w:rPr>
            </w:pPr>
          </w:p>
        </w:tc>
        <w:tc>
          <w:tcPr>
            <w:tcW w:w="720" w:type="dxa"/>
            <w:tcBorders>
              <w:top w:val="nil"/>
              <w:left w:val="nil"/>
              <w:bottom w:val="nil"/>
              <w:right w:val="nil"/>
            </w:tcBorders>
            <w:vAlign w:val="center"/>
          </w:tcPr>
          <w:p>
            <w:pPr>
              <w:spacing w:before="60" w:after="60"/>
              <w:ind w:right="-29"/>
              <w:jc w:val="center"/>
              <w:rPr>
                <w:noProof/>
                <w:sz w:val="18"/>
                <w:szCs w:val="18"/>
              </w:rPr>
            </w:pPr>
          </w:p>
        </w:tc>
        <w:tc>
          <w:tcPr>
            <w:tcW w:w="900" w:type="dxa"/>
            <w:tcBorders>
              <w:top w:val="nil"/>
              <w:left w:val="nil"/>
              <w:bottom w:val="nil"/>
              <w:right w:val="nil"/>
            </w:tcBorders>
            <w:vAlign w:val="center"/>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54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972" w:type="dxa"/>
            <w:gridSpan w:val="2"/>
            <w:vAlign w:val="center"/>
          </w:tcPr>
          <w:p>
            <w:pPr>
              <w:ind w:right="-29"/>
              <w:jc w:val="center"/>
              <w:rPr>
                <w:noProof/>
                <w:sz w:val="18"/>
                <w:szCs w:val="18"/>
              </w:rPr>
            </w:pPr>
          </w:p>
        </w:tc>
        <w:tc>
          <w:tcPr>
            <w:tcW w:w="851" w:type="dxa"/>
            <w:vAlign w:val="center"/>
          </w:tcPr>
          <w:p>
            <w:pPr>
              <w:ind w:right="-29"/>
              <w:jc w:val="center"/>
              <w:rPr>
                <w:noProof/>
                <w:sz w:val="18"/>
                <w:szCs w:val="18"/>
              </w:rPr>
            </w:pPr>
          </w:p>
        </w:tc>
        <w:tc>
          <w:tcPr>
            <w:tcW w:w="337" w:type="dxa"/>
            <w:vAlign w:val="center"/>
          </w:tcPr>
          <w:p>
            <w:pPr>
              <w:ind w:right="-29"/>
              <w:jc w:val="center"/>
              <w:rPr>
                <w:noProof/>
                <w:sz w:val="18"/>
                <w:szCs w:val="18"/>
              </w:rPr>
            </w:pPr>
          </w:p>
        </w:tc>
        <w:tc>
          <w:tcPr>
            <w:tcW w:w="648" w:type="dxa"/>
            <w:vAlign w:val="center"/>
          </w:tcPr>
          <w:p>
            <w:pPr>
              <w:ind w:right="-29"/>
              <w:jc w:val="center"/>
              <w:rPr>
                <w:noProof/>
                <w:sz w:val="18"/>
                <w:szCs w:val="18"/>
              </w:rPr>
            </w:pPr>
          </w:p>
        </w:tc>
        <w:tc>
          <w:tcPr>
            <w:tcW w:w="432" w:type="dxa"/>
            <w:gridSpan w:val="2"/>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54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900" w:type="dxa"/>
            <w:vAlign w:val="center"/>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54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951" w:type="dxa"/>
            <w:tcBorders>
              <w:bottom w:val="single" w:sz="12" w:space="0" w:color="auto"/>
            </w:tcBorders>
            <w:vAlign w:val="center"/>
          </w:tcPr>
          <w:p>
            <w:pPr>
              <w:ind w:right="-29"/>
              <w:jc w:val="center"/>
              <w:rPr>
                <w:noProof/>
                <w:sz w:val="18"/>
                <w:szCs w:val="18"/>
              </w:rPr>
            </w:pPr>
          </w:p>
        </w:tc>
        <w:tc>
          <w:tcPr>
            <w:tcW w:w="872" w:type="dxa"/>
            <w:gridSpan w:val="2"/>
            <w:tcBorders>
              <w:bottom w:val="single" w:sz="12" w:space="0" w:color="auto"/>
            </w:tcBorders>
            <w:vAlign w:val="center"/>
          </w:tcPr>
          <w:p>
            <w:pPr>
              <w:ind w:right="-29"/>
              <w:jc w:val="center"/>
              <w:rPr>
                <w:noProof/>
                <w:sz w:val="18"/>
                <w:szCs w:val="18"/>
              </w:rPr>
            </w:pPr>
          </w:p>
        </w:tc>
        <w:tc>
          <w:tcPr>
            <w:tcW w:w="337" w:type="dxa"/>
            <w:tcBorders>
              <w:bottom w:val="single" w:sz="12" w:space="0" w:color="auto"/>
            </w:tcBorders>
            <w:vAlign w:val="center"/>
          </w:tcPr>
          <w:p>
            <w:pPr>
              <w:ind w:right="-29"/>
              <w:jc w:val="center"/>
              <w:rPr>
                <w:noProof/>
                <w:sz w:val="18"/>
                <w:szCs w:val="18"/>
              </w:rPr>
            </w:pPr>
          </w:p>
        </w:tc>
        <w:tc>
          <w:tcPr>
            <w:tcW w:w="648" w:type="dxa"/>
            <w:tcBorders>
              <w:bottom w:val="single" w:sz="12" w:space="0" w:color="auto"/>
            </w:tcBorders>
            <w:vAlign w:val="center"/>
          </w:tcPr>
          <w:p>
            <w:pPr>
              <w:ind w:right="-29"/>
              <w:jc w:val="center"/>
              <w:rPr>
                <w:noProof/>
                <w:sz w:val="18"/>
                <w:szCs w:val="18"/>
              </w:rPr>
            </w:pPr>
          </w:p>
        </w:tc>
        <w:tc>
          <w:tcPr>
            <w:tcW w:w="432" w:type="dxa"/>
            <w:gridSpan w:val="2"/>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54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900" w:type="dxa"/>
            <w:tcBorders>
              <w:bottom w:val="single" w:sz="12" w:space="0" w:color="auto"/>
            </w:tcBorders>
            <w:vAlign w:val="center"/>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highlight w:val="yellow"/>
              </w:rPr>
            </w:pPr>
            <w:r>
              <w:rPr>
                <w:b/>
                <w:noProof/>
                <w:sz w:val="18"/>
              </w:rPr>
              <w:t>ОБЩО РАЗХОДИ</w:t>
            </w:r>
          </w:p>
        </w:tc>
        <w:tc>
          <w:tcPr>
            <w:tcW w:w="504" w:type="dxa"/>
            <w:tcBorders>
              <w:top w:val="single" w:sz="12" w:space="0" w:color="auto"/>
              <w:bottom w:val="single" w:sz="12" w:space="0" w:color="auto"/>
            </w:tcBorders>
            <w:vAlign w:val="center"/>
          </w:tcPr>
          <w:p>
            <w:pPr>
              <w:spacing w:before="180" w:after="180"/>
              <w:ind w:right="-29"/>
              <w:jc w:val="center"/>
              <w:rPr>
                <w:noProof/>
                <w:sz w:val="18"/>
                <w:szCs w:val="18"/>
                <w:highlight w:val="yellow"/>
              </w:rPr>
            </w:pPr>
          </w:p>
        </w:tc>
        <w:tc>
          <w:tcPr>
            <w:tcW w:w="720" w:type="dxa"/>
            <w:tcBorders>
              <w:top w:val="single" w:sz="12" w:space="0" w:color="auto"/>
              <w:bottom w:val="single" w:sz="12" w:space="0" w:color="auto"/>
            </w:tcBorders>
            <w:vAlign w:val="center"/>
          </w:tcPr>
          <w:p>
            <w:pPr>
              <w:ind w:right="-29"/>
              <w:jc w:val="center"/>
              <w:rPr>
                <w:noProof/>
                <w:sz w:val="18"/>
                <w:szCs w:val="18"/>
              </w:rPr>
            </w:pPr>
            <w:r>
              <w:rPr>
                <w:noProof/>
                <w:sz w:val="18"/>
              </w:rPr>
              <w:t>59,125</w:t>
            </w:r>
          </w:p>
        </w:tc>
        <w:tc>
          <w:tcPr>
            <w:tcW w:w="540" w:type="dxa"/>
            <w:tcBorders>
              <w:top w:val="single" w:sz="12" w:space="0" w:color="auto"/>
              <w:bottom w:val="single" w:sz="12" w:space="0" w:color="auto"/>
            </w:tcBorders>
            <w:vAlign w:val="center"/>
          </w:tcPr>
          <w:p>
            <w:pPr>
              <w:ind w:right="-29"/>
              <w:jc w:val="center"/>
              <w:rPr>
                <w:noProof/>
                <w:sz w:val="18"/>
                <w:szCs w:val="18"/>
              </w:rPr>
            </w:pPr>
          </w:p>
        </w:tc>
        <w:tc>
          <w:tcPr>
            <w:tcW w:w="720" w:type="dxa"/>
            <w:tcBorders>
              <w:top w:val="single" w:sz="12" w:space="0" w:color="auto"/>
              <w:bottom w:val="single" w:sz="12" w:space="0" w:color="auto"/>
            </w:tcBorders>
            <w:vAlign w:val="center"/>
          </w:tcPr>
          <w:p>
            <w:pPr>
              <w:ind w:right="-29"/>
              <w:jc w:val="center"/>
              <w:rPr>
                <w:noProof/>
                <w:sz w:val="18"/>
                <w:szCs w:val="18"/>
              </w:rPr>
            </w:pPr>
            <w:r>
              <w:rPr>
                <w:noProof/>
                <w:sz w:val="18"/>
              </w:rPr>
              <w:t>59,125</w:t>
            </w:r>
          </w:p>
        </w:tc>
        <w:tc>
          <w:tcPr>
            <w:tcW w:w="720" w:type="dxa"/>
            <w:tcBorders>
              <w:top w:val="single" w:sz="12" w:space="0" w:color="auto"/>
              <w:bottom w:val="single" w:sz="12" w:space="0" w:color="auto"/>
            </w:tcBorders>
            <w:vAlign w:val="center"/>
          </w:tcPr>
          <w:p>
            <w:pPr>
              <w:ind w:right="-29"/>
              <w:jc w:val="center"/>
              <w:rPr>
                <w:noProof/>
                <w:sz w:val="18"/>
                <w:szCs w:val="18"/>
              </w:rPr>
            </w:pPr>
          </w:p>
        </w:tc>
        <w:tc>
          <w:tcPr>
            <w:tcW w:w="720" w:type="dxa"/>
            <w:tcBorders>
              <w:top w:val="single" w:sz="12" w:space="0" w:color="auto"/>
              <w:bottom w:val="single" w:sz="12" w:space="0" w:color="auto"/>
            </w:tcBorders>
            <w:vAlign w:val="center"/>
          </w:tcPr>
          <w:p>
            <w:pPr>
              <w:ind w:right="-29"/>
              <w:jc w:val="center"/>
              <w:rPr>
                <w:noProof/>
                <w:sz w:val="18"/>
                <w:szCs w:val="18"/>
              </w:rPr>
            </w:pPr>
            <w:r>
              <w:rPr>
                <w:noProof/>
                <w:sz w:val="18"/>
              </w:rPr>
              <w:t>59,125</w:t>
            </w:r>
          </w:p>
        </w:tc>
        <w:tc>
          <w:tcPr>
            <w:tcW w:w="972" w:type="dxa"/>
            <w:gridSpan w:val="2"/>
            <w:tcBorders>
              <w:top w:val="single" w:sz="12" w:space="0" w:color="auto"/>
              <w:bottom w:val="single" w:sz="12" w:space="0" w:color="auto"/>
            </w:tcBorders>
            <w:vAlign w:val="center"/>
          </w:tcPr>
          <w:p>
            <w:pPr>
              <w:ind w:right="-29"/>
              <w:jc w:val="center"/>
              <w:rPr>
                <w:noProof/>
                <w:sz w:val="18"/>
                <w:szCs w:val="18"/>
              </w:rPr>
            </w:pPr>
          </w:p>
        </w:tc>
        <w:tc>
          <w:tcPr>
            <w:tcW w:w="851" w:type="dxa"/>
            <w:tcBorders>
              <w:top w:val="single" w:sz="12" w:space="0" w:color="auto"/>
              <w:bottom w:val="single" w:sz="12" w:space="0" w:color="auto"/>
            </w:tcBorders>
            <w:vAlign w:val="center"/>
          </w:tcPr>
          <w:p>
            <w:pPr>
              <w:ind w:right="-29"/>
              <w:jc w:val="center"/>
              <w:rPr>
                <w:noProof/>
                <w:sz w:val="18"/>
                <w:szCs w:val="18"/>
              </w:rPr>
            </w:pPr>
            <w:r>
              <w:rPr>
                <w:noProof/>
                <w:sz w:val="18"/>
              </w:rPr>
              <w:t>59,125</w:t>
            </w:r>
          </w:p>
        </w:tc>
        <w:tc>
          <w:tcPr>
            <w:tcW w:w="337" w:type="dxa"/>
            <w:tcBorders>
              <w:top w:val="single" w:sz="12" w:space="0" w:color="auto"/>
              <w:bottom w:val="single" w:sz="12" w:space="0" w:color="auto"/>
            </w:tcBorders>
            <w:vAlign w:val="center"/>
          </w:tcPr>
          <w:p>
            <w:pPr>
              <w:ind w:right="-29"/>
              <w:jc w:val="center"/>
              <w:rPr>
                <w:noProof/>
                <w:sz w:val="18"/>
                <w:szCs w:val="18"/>
              </w:rPr>
            </w:pPr>
          </w:p>
        </w:tc>
        <w:tc>
          <w:tcPr>
            <w:tcW w:w="648" w:type="dxa"/>
            <w:tcBorders>
              <w:top w:val="single" w:sz="12" w:space="0" w:color="auto"/>
              <w:bottom w:val="single" w:sz="12" w:space="0" w:color="auto"/>
            </w:tcBorders>
            <w:vAlign w:val="center"/>
          </w:tcPr>
          <w:p>
            <w:pPr>
              <w:ind w:right="-29"/>
              <w:jc w:val="center"/>
              <w:rPr>
                <w:noProof/>
                <w:sz w:val="18"/>
                <w:szCs w:val="18"/>
              </w:rPr>
            </w:pPr>
          </w:p>
        </w:tc>
        <w:tc>
          <w:tcPr>
            <w:tcW w:w="432" w:type="dxa"/>
            <w:gridSpan w:val="2"/>
            <w:tcBorders>
              <w:top w:val="single" w:sz="12" w:space="0" w:color="auto"/>
              <w:bottom w:val="single" w:sz="12" w:space="0" w:color="auto"/>
            </w:tcBorders>
            <w:vAlign w:val="center"/>
          </w:tcPr>
          <w:p>
            <w:pPr>
              <w:ind w:right="-29"/>
              <w:jc w:val="center"/>
              <w:rPr>
                <w:noProof/>
                <w:sz w:val="18"/>
                <w:szCs w:val="18"/>
              </w:rPr>
            </w:pPr>
          </w:p>
        </w:tc>
        <w:tc>
          <w:tcPr>
            <w:tcW w:w="720" w:type="dxa"/>
            <w:tcBorders>
              <w:top w:val="single" w:sz="12" w:space="0" w:color="auto"/>
              <w:bottom w:val="single" w:sz="12" w:space="0" w:color="auto"/>
            </w:tcBorders>
            <w:vAlign w:val="center"/>
          </w:tcPr>
          <w:p>
            <w:pPr>
              <w:ind w:right="-29"/>
              <w:jc w:val="center"/>
              <w:rPr>
                <w:noProof/>
                <w:sz w:val="18"/>
                <w:szCs w:val="18"/>
              </w:rPr>
            </w:pPr>
          </w:p>
        </w:tc>
        <w:tc>
          <w:tcPr>
            <w:tcW w:w="540" w:type="dxa"/>
            <w:tcBorders>
              <w:top w:val="single" w:sz="12" w:space="0" w:color="auto"/>
              <w:bottom w:val="single" w:sz="12" w:space="0" w:color="auto"/>
            </w:tcBorders>
            <w:vAlign w:val="center"/>
          </w:tcPr>
          <w:p>
            <w:pPr>
              <w:ind w:right="-29"/>
              <w:jc w:val="center"/>
              <w:rPr>
                <w:noProof/>
                <w:sz w:val="18"/>
                <w:szCs w:val="18"/>
              </w:rPr>
            </w:pPr>
          </w:p>
        </w:tc>
        <w:tc>
          <w:tcPr>
            <w:tcW w:w="720" w:type="dxa"/>
            <w:tcBorders>
              <w:top w:val="single" w:sz="12" w:space="0" w:color="auto"/>
              <w:bottom w:val="single" w:sz="12" w:space="0" w:color="auto"/>
            </w:tcBorders>
            <w:vAlign w:val="center"/>
          </w:tcPr>
          <w:p>
            <w:pPr>
              <w:ind w:right="-29"/>
              <w:jc w:val="center"/>
              <w:rPr>
                <w:noProof/>
                <w:sz w:val="18"/>
                <w:szCs w:val="18"/>
              </w:rPr>
            </w:pPr>
          </w:p>
        </w:tc>
        <w:tc>
          <w:tcPr>
            <w:tcW w:w="720" w:type="dxa"/>
            <w:tcBorders>
              <w:top w:val="single" w:sz="12" w:space="0" w:color="auto"/>
              <w:bottom w:val="single" w:sz="12" w:space="0" w:color="auto"/>
            </w:tcBorders>
            <w:vAlign w:val="center"/>
          </w:tcPr>
          <w:p>
            <w:pPr>
              <w:ind w:right="-29"/>
              <w:jc w:val="center"/>
              <w:rPr>
                <w:noProof/>
                <w:sz w:val="18"/>
                <w:szCs w:val="18"/>
              </w:rPr>
            </w:pPr>
          </w:p>
        </w:tc>
        <w:tc>
          <w:tcPr>
            <w:tcW w:w="900" w:type="dxa"/>
            <w:tcBorders>
              <w:top w:val="single" w:sz="12" w:space="0" w:color="auto"/>
              <w:bottom w:val="single" w:sz="12" w:space="0" w:color="auto"/>
              <w:right w:val="single" w:sz="12" w:space="0" w:color="auto"/>
            </w:tcBorders>
            <w:vAlign w:val="center"/>
          </w:tcPr>
          <w:p>
            <w:pPr>
              <w:ind w:right="-29"/>
              <w:jc w:val="center"/>
              <w:rPr>
                <w:noProof/>
                <w:sz w:val="18"/>
                <w:szCs w:val="18"/>
              </w:rPr>
            </w:pPr>
            <w:r>
              <w:rPr>
                <w:noProof/>
                <w:sz w:val="18"/>
              </w:rPr>
              <w:t>236,5</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7.2.3.</w:t>
      </w:r>
      <w:r>
        <w:tab/>
      </w:r>
      <w:r>
        <w:rPr>
          <w:noProof/>
        </w:rPr>
        <w:t>Очаквано отражение върху бюджетните кредити за административни разходи</w:t>
      </w:r>
    </w:p>
    <w:p>
      <w:pPr>
        <w:pStyle w:val="ManualHeading4"/>
        <w:rPr>
          <w:noProof/>
        </w:rPr>
      </w:pPr>
      <w:r>
        <w:t>7.2.3.1.</w:t>
      </w:r>
      <w:r>
        <w:tab/>
      </w:r>
      <w:r>
        <w:rPr>
          <w:noProof/>
        </w:rPr>
        <w:t xml:space="preserve">Обобщение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t>x</w:t>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3-тия знак след десетичната запетая)</w:t>
      </w: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jc w:val="center"/>
              <w:rPr>
                <w:noProof/>
                <w:sz w:val="20"/>
              </w:rPr>
            </w:pPr>
            <w:r>
              <w:rPr>
                <w:noProof/>
                <w:sz w:val="20"/>
              </w:rPr>
              <w:t>Година</w:t>
            </w:r>
            <w:r>
              <w:rPr>
                <w:noProof/>
                <w:sz w:val="20"/>
              </w:rPr>
              <w:br/>
            </w:r>
            <w:r>
              <w:rPr>
                <w:b/>
                <w:noProof/>
                <w:sz w:val="20"/>
              </w:rPr>
              <w:t>2015</w:t>
            </w:r>
          </w:p>
        </w:tc>
        <w:tc>
          <w:tcPr>
            <w:tcW w:w="1080" w:type="dxa"/>
            <w:vAlign w:val="center"/>
          </w:tcPr>
          <w:p>
            <w:pPr>
              <w:jc w:val="center"/>
              <w:rPr>
                <w:noProof/>
                <w:sz w:val="20"/>
              </w:rPr>
            </w:pPr>
            <w:r>
              <w:rPr>
                <w:noProof/>
                <w:sz w:val="20"/>
              </w:rPr>
              <w:t>Година</w:t>
            </w:r>
            <w:r>
              <w:rPr>
                <w:noProof/>
                <w:sz w:val="20"/>
              </w:rPr>
              <w:br/>
            </w:r>
            <w:r>
              <w:rPr>
                <w:b/>
                <w:noProof/>
                <w:sz w:val="20"/>
              </w:rPr>
              <w:t>2016</w:t>
            </w:r>
          </w:p>
        </w:tc>
        <w:tc>
          <w:tcPr>
            <w:tcW w:w="1080" w:type="dxa"/>
            <w:vAlign w:val="center"/>
          </w:tcPr>
          <w:p>
            <w:pPr>
              <w:jc w:val="center"/>
              <w:rPr>
                <w:noProof/>
                <w:sz w:val="20"/>
              </w:rPr>
            </w:pPr>
            <w:r>
              <w:rPr>
                <w:noProof/>
                <w:sz w:val="20"/>
              </w:rPr>
              <w:t>Година</w:t>
            </w:r>
            <w:r>
              <w:rPr>
                <w:noProof/>
                <w:sz w:val="20"/>
              </w:rPr>
              <w:br/>
            </w:r>
            <w:r>
              <w:rPr>
                <w:b/>
                <w:noProof/>
                <w:sz w:val="20"/>
              </w:rPr>
              <w:t>2017</w:t>
            </w:r>
          </w:p>
        </w:tc>
        <w:tc>
          <w:tcPr>
            <w:tcW w:w="1080" w:type="dxa"/>
            <w:vAlign w:val="center"/>
          </w:tcPr>
          <w:p>
            <w:pPr>
              <w:jc w:val="center"/>
              <w:rPr>
                <w:noProof/>
                <w:sz w:val="20"/>
              </w:rPr>
            </w:pPr>
            <w:r>
              <w:rPr>
                <w:noProof/>
                <w:sz w:val="20"/>
              </w:rPr>
              <w:t>Година</w:t>
            </w:r>
            <w:r>
              <w:rPr>
                <w:noProof/>
                <w:sz w:val="20"/>
              </w:rPr>
              <w:br/>
            </w:r>
            <w:r>
              <w:rPr>
                <w:b/>
                <w:noProof/>
                <w:sz w:val="20"/>
              </w:rPr>
              <w:t>2018</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rPr>
              <w:t>ФУНКЦИЯ 5</w:t>
            </w:r>
            <w:r>
              <w:rPr>
                <w:noProof/>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20" w:after="20"/>
              <w:jc w:val="center"/>
              <w:rPr>
                <w:noProof/>
                <w:sz w:val="16"/>
                <w:szCs w:val="16"/>
              </w:rPr>
            </w:pPr>
            <w:r>
              <w:rPr>
                <w:noProof/>
                <w:sz w:val="16"/>
              </w:rPr>
              <w:t>0,210</w:t>
            </w:r>
          </w:p>
        </w:tc>
        <w:tc>
          <w:tcPr>
            <w:tcW w:w="1080" w:type="dxa"/>
            <w:vAlign w:val="center"/>
          </w:tcPr>
          <w:p>
            <w:pPr>
              <w:spacing w:before="20" w:after="20"/>
              <w:jc w:val="center"/>
              <w:rPr>
                <w:noProof/>
                <w:sz w:val="16"/>
                <w:szCs w:val="16"/>
              </w:rPr>
            </w:pPr>
            <w:r>
              <w:rPr>
                <w:noProof/>
                <w:sz w:val="16"/>
              </w:rPr>
              <w:t>0,210</w:t>
            </w:r>
          </w:p>
        </w:tc>
        <w:tc>
          <w:tcPr>
            <w:tcW w:w="1080" w:type="dxa"/>
            <w:vAlign w:val="center"/>
          </w:tcPr>
          <w:p>
            <w:pPr>
              <w:spacing w:before="20" w:after="20"/>
              <w:jc w:val="center"/>
              <w:rPr>
                <w:noProof/>
                <w:sz w:val="16"/>
                <w:szCs w:val="16"/>
              </w:rPr>
            </w:pPr>
            <w:r>
              <w:rPr>
                <w:noProof/>
                <w:sz w:val="16"/>
              </w:rPr>
              <w:t>0,210</w:t>
            </w:r>
          </w:p>
        </w:tc>
        <w:tc>
          <w:tcPr>
            <w:tcW w:w="1080" w:type="dxa"/>
            <w:vAlign w:val="center"/>
          </w:tcPr>
          <w:p>
            <w:pPr>
              <w:spacing w:before="20" w:after="20"/>
              <w:jc w:val="center"/>
              <w:rPr>
                <w:noProof/>
                <w:sz w:val="16"/>
                <w:szCs w:val="16"/>
              </w:rPr>
            </w:pPr>
            <w:r>
              <w:rPr>
                <w:noProof/>
                <w:sz w:val="16"/>
              </w:rPr>
              <w:t>0,210</w:t>
            </w:r>
          </w:p>
        </w:tc>
        <w:tc>
          <w:tcPr>
            <w:tcW w:w="1080" w:type="dxa"/>
            <w:vAlign w:val="center"/>
          </w:tcPr>
          <w:p>
            <w:pPr>
              <w:spacing w:before="20" w:after="20"/>
              <w:jc w:val="center"/>
              <w:rPr>
                <w:b/>
                <w:noProof/>
                <w:sz w:val="16"/>
                <w:szCs w:val="16"/>
              </w:rPr>
            </w:pPr>
            <w:r>
              <w:rPr>
                <w:b/>
                <w:noProof/>
                <w:sz w:val="16"/>
              </w:rPr>
              <w:t>0,840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center"/>
              <w:rPr>
                <w:noProof/>
                <w:sz w:val="16"/>
                <w:szCs w:val="16"/>
              </w:rPr>
            </w:pPr>
            <w:r>
              <w:rPr>
                <w:noProof/>
                <w:sz w:val="16"/>
              </w:rPr>
              <w:t>0,03</w:t>
            </w:r>
          </w:p>
        </w:tc>
        <w:tc>
          <w:tcPr>
            <w:tcW w:w="1080" w:type="dxa"/>
            <w:vAlign w:val="center"/>
          </w:tcPr>
          <w:p>
            <w:pPr>
              <w:spacing w:before="60" w:after="60" w:line="200" w:lineRule="exact"/>
              <w:jc w:val="center"/>
              <w:rPr>
                <w:noProof/>
                <w:sz w:val="16"/>
                <w:szCs w:val="16"/>
              </w:rPr>
            </w:pPr>
            <w:r>
              <w:rPr>
                <w:noProof/>
                <w:sz w:val="16"/>
              </w:rPr>
              <w:t>0,03</w:t>
            </w:r>
          </w:p>
        </w:tc>
        <w:tc>
          <w:tcPr>
            <w:tcW w:w="1080" w:type="dxa"/>
            <w:vAlign w:val="center"/>
          </w:tcPr>
          <w:p>
            <w:pPr>
              <w:spacing w:before="60" w:after="60" w:line="200" w:lineRule="exact"/>
              <w:jc w:val="center"/>
              <w:rPr>
                <w:noProof/>
                <w:sz w:val="16"/>
                <w:szCs w:val="16"/>
              </w:rPr>
            </w:pPr>
            <w:r>
              <w:rPr>
                <w:noProof/>
                <w:sz w:val="16"/>
              </w:rPr>
              <w:t>0,03</w:t>
            </w:r>
          </w:p>
        </w:tc>
        <w:tc>
          <w:tcPr>
            <w:tcW w:w="1080" w:type="dxa"/>
            <w:vAlign w:val="center"/>
          </w:tcPr>
          <w:p>
            <w:pPr>
              <w:spacing w:before="60" w:after="60" w:line="200" w:lineRule="exact"/>
              <w:jc w:val="center"/>
              <w:rPr>
                <w:noProof/>
                <w:sz w:val="16"/>
                <w:szCs w:val="16"/>
              </w:rPr>
            </w:pPr>
            <w:r>
              <w:rPr>
                <w:noProof/>
                <w:sz w:val="16"/>
              </w:rPr>
              <w:t>0,03</w:t>
            </w:r>
          </w:p>
        </w:tc>
        <w:tc>
          <w:tcPr>
            <w:tcW w:w="1080" w:type="dxa"/>
            <w:vAlign w:val="center"/>
          </w:tcPr>
          <w:p>
            <w:pPr>
              <w:spacing w:before="60" w:after="60" w:line="200" w:lineRule="exact"/>
              <w:jc w:val="center"/>
              <w:rPr>
                <w:b/>
                <w:noProof/>
                <w:sz w:val="16"/>
                <w:szCs w:val="16"/>
              </w:rPr>
            </w:pPr>
            <w:r>
              <w:rPr>
                <w:b/>
                <w:noProof/>
                <w:sz w:val="16"/>
              </w:rPr>
              <w:t>0,12</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rPr>
              <w:t>Междинна сума за ФУНКЦИЯ 5</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center"/>
              <w:rPr>
                <w:noProof/>
                <w:sz w:val="16"/>
                <w:szCs w:val="16"/>
              </w:rPr>
            </w:pPr>
            <w:r>
              <w:rPr>
                <w:noProof/>
                <w:sz w:val="16"/>
              </w:rPr>
              <w:t>0,240</w:t>
            </w:r>
          </w:p>
        </w:tc>
        <w:tc>
          <w:tcPr>
            <w:tcW w:w="1080" w:type="dxa"/>
            <w:vAlign w:val="center"/>
          </w:tcPr>
          <w:p>
            <w:pPr>
              <w:jc w:val="center"/>
              <w:rPr>
                <w:noProof/>
              </w:rPr>
            </w:pPr>
            <w:r>
              <w:rPr>
                <w:noProof/>
                <w:sz w:val="16"/>
              </w:rPr>
              <w:t>0,240</w:t>
            </w:r>
          </w:p>
        </w:tc>
        <w:tc>
          <w:tcPr>
            <w:tcW w:w="1080" w:type="dxa"/>
            <w:vAlign w:val="center"/>
          </w:tcPr>
          <w:p>
            <w:pPr>
              <w:jc w:val="center"/>
              <w:rPr>
                <w:noProof/>
              </w:rPr>
            </w:pPr>
            <w:r>
              <w:rPr>
                <w:noProof/>
                <w:sz w:val="16"/>
              </w:rPr>
              <w:t>0,240</w:t>
            </w:r>
          </w:p>
        </w:tc>
        <w:tc>
          <w:tcPr>
            <w:tcW w:w="1080" w:type="dxa"/>
            <w:vAlign w:val="center"/>
          </w:tcPr>
          <w:p>
            <w:pPr>
              <w:jc w:val="center"/>
              <w:rPr>
                <w:noProof/>
              </w:rPr>
            </w:pPr>
            <w:r>
              <w:rPr>
                <w:noProof/>
                <w:sz w:val="16"/>
              </w:rPr>
              <w:t>0,240</w:t>
            </w:r>
          </w:p>
        </w:tc>
        <w:tc>
          <w:tcPr>
            <w:tcW w:w="1080" w:type="dxa"/>
            <w:vAlign w:val="center"/>
          </w:tcPr>
          <w:p>
            <w:pPr>
              <w:spacing w:before="20" w:after="20"/>
              <w:jc w:val="center"/>
              <w:rPr>
                <w:b/>
                <w:noProof/>
                <w:sz w:val="16"/>
                <w:szCs w:val="16"/>
              </w:rPr>
            </w:pPr>
            <w:r>
              <w:rPr>
                <w:b/>
                <w:noProof/>
                <w:sz w:val="16"/>
              </w:rPr>
              <w:t>0,96</w:t>
            </w:r>
          </w:p>
        </w:tc>
      </w:tr>
    </w:tbl>
    <w:p>
      <w:pPr>
        <w:spacing w:line="200" w:lineRule="exact"/>
        <w:rPr>
          <w:noProof/>
          <w:sz w:val="16"/>
          <w:szCs w:val="16"/>
          <w:highlight w:val="yellow"/>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rPr>
              <w:t>Извън ФУНКЦИЯ 5</w:t>
            </w:r>
            <w:r>
              <w:rPr>
                <w:noProof/>
              </w:rPr>
              <w:br/>
            </w:r>
            <w:r>
              <w:rPr>
                <w:rStyle w:val="FootnoteReference"/>
                <w:noProof/>
              </w:rPr>
              <w:footnoteReference w:id="13"/>
            </w:r>
            <w:r>
              <w:rPr>
                <w:noProof/>
              </w:rPr>
              <w:t xml:space="preserve"> от многогодишната финансова рамка</w:t>
            </w:r>
            <w:r>
              <w:rPr>
                <w:b/>
                <w:noProof/>
                <w:sz w:val="16"/>
              </w:rPr>
              <w:t xml:space="preserve">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center"/>
              <w:rPr>
                <w:noProof/>
                <w:sz w:val="16"/>
                <w:szCs w:val="16"/>
              </w:rPr>
            </w:pPr>
            <w:r>
              <w:rPr>
                <w:noProof/>
                <w:sz w:val="16"/>
              </w:rPr>
              <w:t>0,125</w:t>
            </w:r>
          </w:p>
        </w:tc>
        <w:tc>
          <w:tcPr>
            <w:tcW w:w="1080" w:type="dxa"/>
            <w:vAlign w:val="center"/>
          </w:tcPr>
          <w:p>
            <w:pPr>
              <w:jc w:val="center"/>
              <w:rPr>
                <w:noProof/>
              </w:rPr>
            </w:pPr>
            <w:r>
              <w:rPr>
                <w:noProof/>
                <w:sz w:val="16"/>
              </w:rPr>
              <w:t>0,125</w:t>
            </w:r>
          </w:p>
        </w:tc>
        <w:tc>
          <w:tcPr>
            <w:tcW w:w="1080" w:type="dxa"/>
            <w:vAlign w:val="center"/>
          </w:tcPr>
          <w:p>
            <w:pPr>
              <w:jc w:val="center"/>
              <w:rPr>
                <w:noProof/>
              </w:rPr>
            </w:pPr>
            <w:r>
              <w:rPr>
                <w:noProof/>
                <w:sz w:val="16"/>
              </w:rPr>
              <w:t>0,125</w:t>
            </w:r>
          </w:p>
        </w:tc>
        <w:tc>
          <w:tcPr>
            <w:tcW w:w="1080" w:type="dxa"/>
            <w:vAlign w:val="center"/>
          </w:tcPr>
          <w:p>
            <w:pPr>
              <w:jc w:val="center"/>
              <w:rPr>
                <w:noProof/>
              </w:rPr>
            </w:pPr>
            <w:r>
              <w:rPr>
                <w:noProof/>
                <w:sz w:val="16"/>
              </w:rPr>
              <w:t>0,125</w:t>
            </w:r>
          </w:p>
        </w:tc>
        <w:tc>
          <w:tcPr>
            <w:tcW w:w="1080" w:type="dxa"/>
            <w:vAlign w:val="center"/>
          </w:tcPr>
          <w:p>
            <w:pPr>
              <w:spacing w:before="60" w:after="60" w:line="200" w:lineRule="exact"/>
              <w:jc w:val="center"/>
              <w:rPr>
                <w:b/>
                <w:noProof/>
                <w:sz w:val="16"/>
                <w:szCs w:val="16"/>
              </w:rPr>
            </w:pPr>
            <w:r>
              <w:rPr>
                <w:b/>
                <w:noProof/>
                <w:sz w:val="16"/>
              </w:rPr>
              <w:t>0,5</w:t>
            </w:r>
          </w:p>
        </w:tc>
      </w:tr>
      <w:tr>
        <w:trPr>
          <w:trHeight w:val="585"/>
        </w:trPr>
        <w:tc>
          <w:tcPr>
            <w:tcW w:w="1980" w:type="dxa"/>
            <w:vAlign w:val="center"/>
          </w:tcPr>
          <w:p>
            <w:pPr>
              <w:spacing w:before="60" w:after="60" w:line="200" w:lineRule="exact"/>
              <w:ind w:left="72"/>
              <w:jc w:val="left"/>
              <w:rPr>
                <w:noProof/>
                <w:sz w:val="16"/>
                <w:szCs w:val="16"/>
              </w:rPr>
            </w:pPr>
            <w:r>
              <w:rPr>
                <w:noProof/>
              </w:rPr>
              <w:t>Други разходи</w:t>
            </w:r>
            <w:r>
              <w:rPr>
                <w:noProof/>
              </w:rPr>
              <w:br/>
            </w:r>
            <w:r>
              <w:rPr>
                <w:noProof/>
                <w:sz w:val="16"/>
              </w:rPr>
              <w:t>с административен характер</w:t>
            </w:r>
          </w:p>
        </w:tc>
        <w:tc>
          <w:tcPr>
            <w:tcW w:w="1080" w:type="dxa"/>
            <w:vAlign w:val="center"/>
          </w:tcPr>
          <w:p>
            <w:pPr>
              <w:spacing w:before="60" w:after="60" w:line="200" w:lineRule="exact"/>
              <w:jc w:val="center"/>
              <w:rPr>
                <w:noProof/>
                <w:sz w:val="16"/>
                <w:szCs w:val="16"/>
              </w:rPr>
            </w:pPr>
            <w:r>
              <w:rPr>
                <w:noProof/>
                <w:sz w:val="16"/>
              </w:rPr>
              <w:t>0,026</w:t>
            </w:r>
          </w:p>
        </w:tc>
        <w:tc>
          <w:tcPr>
            <w:tcW w:w="1080" w:type="dxa"/>
            <w:vAlign w:val="center"/>
          </w:tcPr>
          <w:p>
            <w:pPr>
              <w:spacing w:before="60" w:after="60" w:line="200" w:lineRule="exact"/>
              <w:jc w:val="center"/>
              <w:rPr>
                <w:noProof/>
                <w:sz w:val="16"/>
                <w:szCs w:val="16"/>
              </w:rPr>
            </w:pPr>
            <w:r>
              <w:rPr>
                <w:noProof/>
                <w:sz w:val="16"/>
              </w:rPr>
              <w:t>0,026</w:t>
            </w:r>
          </w:p>
        </w:tc>
        <w:tc>
          <w:tcPr>
            <w:tcW w:w="1080" w:type="dxa"/>
            <w:vAlign w:val="center"/>
          </w:tcPr>
          <w:p>
            <w:pPr>
              <w:jc w:val="center"/>
              <w:rPr>
                <w:noProof/>
              </w:rPr>
            </w:pPr>
            <w:r>
              <w:rPr>
                <w:noProof/>
                <w:sz w:val="16"/>
              </w:rPr>
              <w:t>0,026</w:t>
            </w:r>
          </w:p>
        </w:tc>
        <w:tc>
          <w:tcPr>
            <w:tcW w:w="1080" w:type="dxa"/>
            <w:vAlign w:val="center"/>
          </w:tcPr>
          <w:p>
            <w:pPr>
              <w:jc w:val="center"/>
              <w:rPr>
                <w:noProof/>
              </w:rPr>
            </w:pPr>
            <w:r>
              <w:rPr>
                <w:noProof/>
                <w:sz w:val="16"/>
              </w:rPr>
              <w:t>0,1006</w:t>
            </w:r>
          </w:p>
        </w:tc>
        <w:tc>
          <w:tcPr>
            <w:tcW w:w="1080" w:type="dxa"/>
            <w:vAlign w:val="center"/>
          </w:tcPr>
          <w:p>
            <w:pPr>
              <w:spacing w:before="60" w:after="60" w:line="200" w:lineRule="exact"/>
              <w:jc w:val="center"/>
              <w:rPr>
                <w:b/>
                <w:noProof/>
                <w:sz w:val="16"/>
                <w:szCs w:val="16"/>
              </w:rPr>
            </w:pPr>
            <w:r>
              <w:rPr>
                <w:b/>
                <w:noProof/>
                <w:sz w:val="16"/>
              </w:rPr>
              <w:t>0,184</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rPr>
              <w:t>Междинна сума</w:t>
            </w:r>
            <w:r>
              <w:rPr>
                <w:noProof/>
              </w:rPr>
              <w:br/>
            </w:r>
            <w:r>
              <w:rPr>
                <w:b/>
                <w:noProof/>
              </w:rPr>
              <w:t>извън ФУНКЦИЯ 5</w:t>
            </w:r>
            <w:r>
              <w:rPr>
                <w:noProof/>
              </w:rPr>
              <w:br/>
            </w:r>
            <w:r>
              <w:rPr>
                <w:b/>
                <w:noProof/>
                <w:sz w:val="16"/>
              </w:rPr>
              <w:t xml:space="preserve">от многогодишната финансова рамка </w:t>
            </w:r>
          </w:p>
        </w:tc>
        <w:tc>
          <w:tcPr>
            <w:tcW w:w="1080" w:type="dxa"/>
            <w:vAlign w:val="center"/>
          </w:tcPr>
          <w:p>
            <w:pPr>
              <w:spacing w:before="40" w:after="40"/>
              <w:jc w:val="center"/>
              <w:rPr>
                <w:noProof/>
                <w:sz w:val="16"/>
                <w:szCs w:val="16"/>
              </w:rPr>
            </w:pPr>
            <w:r>
              <w:rPr>
                <w:noProof/>
                <w:sz w:val="16"/>
              </w:rPr>
              <w:t>0,151</w:t>
            </w:r>
          </w:p>
        </w:tc>
        <w:tc>
          <w:tcPr>
            <w:tcW w:w="1080" w:type="dxa"/>
            <w:vAlign w:val="center"/>
          </w:tcPr>
          <w:p>
            <w:pPr>
              <w:spacing w:before="40" w:after="40"/>
              <w:jc w:val="center"/>
              <w:rPr>
                <w:noProof/>
                <w:sz w:val="16"/>
                <w:szCs w:val="16"/>
              </w:rPr>
            </w:pPr>
            <w:r>
              <w:rPr>
                <w:noProof/>
                <w:sz w:val="16"/>
              </w:rPr>
              <w:t>0,151</w:t>
            </w:r>
          </w:p>
        </w:tc>
        <w:tc>
          <w:tcPr>
            <w:tcW w:w="1080" w:type="dxa"/>
            <w:vAlign w:val="center"/>
          </w:tcPr>
          <w:p>
            <w:pPr>
              <w:spacing w:before="40" w:after="40"/>
              <w:jc w:val="center"/>
              <w:rPr>
                <w:noProof/>
                <w:sz w:val="16"/>
                <w:szCs w:val="16"/>
              </w:rPr>
            </w:pPr>
            <w:r>
              <w:rPr>
                <w:noProof/>
                <w:sz w:val="16"/>
              </w:rPr>
              <w:t>0,151</w:t>
            </w:r>
          </w:p>
        </w:tc>
        <w:tc>
          <w:tcPr>
            <w:tcW w:w="1080" w:type="dxa"/>
            <w:vAlign w:val="center"/>
          </w:tcPr>
          <w:p>
            <w:pPr>
              <w:spacing w:before="40" w:after="40"/>
              <w:jc w:val="center"/>
              <w:rPr>
                <w:noProof/>
                <w:sz w:val="16"/>
                <w:szCs w:val="16"/>
              </w:rPr>
            </w:pPr>
            <w:r>
              <w:rPr>
                <w:noProof/>
                <w:sz w:val="16"/>
              </w:rPr>
              <w:t>0,231</w:t>
            </w:r>
          </w:p>
        </w:tc>
        <w:tc>
          <w:tcPr>
            <w:tcW w:w="1080" w:type="dxa"/>
            <w:vAlign w:val="center"/>
          </w:tcPr>
          <w:p>
            <w:pPr>
              <w:spacing w:before="40" w:after="40"/>
              <w:jc w:val="center"/>
              <w:rPr>
                <w:b/>
                <w:noProof/>
                <w:sz w:val="16"/>
                <w:szCs w:val="16"/>
              </w:rPr>
            </w:pPr>
            <w:r>
              <w:rPr>
                <w:b/>
                <w:noProof/>
                <w:sz w:val="16"/>
              </w:rPr>
              <w:t>0,684</w:t>
            </w:r>
          </w:p>
        </w:tc>
      </w:tr>
    </w:tbl>
    <w:p>
      <w:pPr>
        <w:spacing w:line="200" w:lineRule="exact"/>
        <w:rPr>
          <w:noProof/>
          <w:sz w:val="16"/>
          <w:szCs w:val="16"/>
          <w:highlight w:val="yellow"/>
        </w:rPr>
      </w:pPr>
    </w:p>
    <w:tbl>
      <w:tblPr>
        <w:tblW w:w="7380" w:type="dxa"/>
        <w:tblInd w:w="-612" w:type="dxa"/>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8"/>
                <w:szCs w:val="18"/>
              </w:rPr>
            </w:pPr>
            <w:r>
              <w:rPr>
                <w:b/>
                <w:noProof/>
                <w:sz w:val="18"/>
              </w:rPr>
              <w:t>0,391</w:t>
            </w:r>
          </w:p>
        </w:tc>
        <w:tc>
          <w:tcPr>
            <w:tcW w:w="1080" w:type="dxa"/>
            <w:tcBorders>
              <w:top w:val="single" w:sz="12" w:space="0" w:color="auto"/>
              <w:left w:val="single" w:sz="2" w:space="0" w:color="auto"/>
              <w:bottom w:val="single" w:sz="12" w:space="0" w:color="auto"/>
              <w:right w:val="single" w:sz="2" w:space="0" w:color="auto"/>
            </w:tcBorders>
            <w:vAlign w:val="center"/>
          </w:tcPr>
          <w:p>
            <w:pPr>
              <w:jc w:val="center"/>
              <w:rPr>
                <w:noProof/>
                <w:sz w:val="18"/>
                <w:szCs w:val="18"/>
              </w:rPr>
            </w:pPr>
            <w:r>
              <w:rPr>
                <w:b/>
                <w:noProof/>
                <w:sz w:val="18"/>
              </w:rPr>
              <w:t>0,391</w:t>
            </w:r>
          </w:p>
        </w:tc>
        <w:tc>
          <w:tcPr>
            <w:tcW w:w="1080" w:type="dxa"/>
            <w:tcBorders>
              <w:top w:val="single" w:sz="12" w:space="0" w:color="auto"/>
              <w:left w:val="single" w:sz="2" w:space="0" w:color="auto"/>
              <w:bottom w:val="single" w:sz="12" w:space="0" w:color="auto"/>
              <w:right w:val="single" w:sz="2" w:space="0" w:color="auto"/>
            </w:tcBorders>
            <w:vAlign w:val="center"/>
          </w:tcPr>
          <w:p>
            <w:pPr>
              <w:jc w:val="center"/>
              <w:rPr>
                <w:noProof/>
                <w:sz w:val="18"/>
                <w:szCs w:val="18"/>
              </w:rPr>
            </w:pPr>
            <w:r>
              <w:rPr>
                <w:b/>
                <w:noProof/>
                <w:sz w:val="18"/>
              </w:rPr>
              <w:t>0,391</w:t>
            </w:r>
          </w:p>
        </w:tc>
        <w:tc>
          <w:tcPr>
            <w:tcW w:w="1080" w:type="dxa"/>
            <w:tcBorders>
              <w:top w:val="single" w:sz="12" w:space="0" w:color="auto"/>
              <w:left w:val="single" w:sz="2" w:space="0" w:color="auto"/>
              <w:bottom w:val="single" w:sz="12" w:space="0" w:color="auto"/>
              <w:right w:val="single" w:sz="2" w:space="0" w:color="auto"/>
            </w:tcBorders>
            <w:vAlign w:val="center"/>
          </w:tcPr>
          <w:p>
            <w:pPr>
              <w:jc w:val="center"/>
              <w:rPr>
                <w:noProof/>
                <w:sz w:val="18"/>
                <w:szCs w:val="18"/>
              </w:rPr>
            </w:pPr>
            <w:r>
              <w:rPr>
                <w:b/>
                <w:noProof/>
                <w:sz w:val="18"/>
              </w:rPr>
              <w:t>0,471</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center"/>
              <w:rPr>
                <w:b/>
                <w:noProof/>
                <w:sz w:val="18"/>
                <w:szCs w:val="18"/>
              </w:rPr>
            </w:pPr>
            <w:r>
              <w:rPr>
                <w:b/>
                <w:noProof/>
                <w:sz w:val="18"/>
              </w:rPr>
              <w:t>1,644</w:t>
            </w:r>
          </w:p>
        </w:tc>
      </w:tr>
    </w:tbl>
    <w:p>
      <w:pPr>
        <w:rPr>
          <w:noProof/>
          <w:u w:val="single"/>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Необходимите бюджетни кредити за административни разходи ще бъдат покрити от бюджетните кредити на ГД, които вече са предвидени за управлението на дейността и/или които са преразпределени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ManualHeading4"/>
        <w:rPr>
          <w:bCs/>
          <w:noProof/>
          <w:szCs w:val="24"/>
        </w:rPr>
      </w:pPr>
      <w:r>
        <w:t>7.2.3.2.</w:t>
      </w:r>
      <w:r>
        <w:tab/>
      </w:r>
      <w:r>
        <w:rPr>
          <w:b/>
          <w:noProof/>
        </w:rPr>
        <w:t xml:space="preserve"> </w:t>
      </w:r>
      <w:r>
        <w:rPr>
          <w:noProof/>
        </w:rPr>
        <w:t xml:space="preserve">Очаквани нужди от човешки ресурси </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t>x</w:t>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4913"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
        <w:gridCol w:w="1951"/>
        <w:gridCol w:w="1955"/>
        <w:gridCol w:w="909"/>
        <w:gridCol w:w="1082"/>
        <w:gridCol w:w="1586"/>
        <w:gridCol w:w="1416"/>
        <w:gridCol w:w="215"/>
      </w:tblGrid>
      <w:tr>
        <w:trPr>
          <w:gridBefore w:val="1"/>
          <w:gridAfter w:val="1"/>
          <w:wBefore w:w="6" w:type="pct"/>
          <w:wAfter w:w="118" w:type="pct"/>
          <w:trHeight w:val="289"/>
          <w:jc w:val="center"/>
        </w:trPr>
        <w:tc>
          <w:tcPr>
            <w:tcW w:w="2140" w:type="pct"/>
            <w:gridSpan w:val="2"/>
            <w:shd w:val="clear" w:color="auto" w:fill="auto"/>
          </w:tcPr>
          <w:p>
            <w:pPr>
              <w:pStyle w:val="Text1"/>
              <w:spacing w:before="40" w:after="40"/>
              <w:ind w:left="0"/>
              <w:jc w:val="center"/>
              <w:rPr>
                <w:i/>
                <w:noProof/>
                <w:sz w:val="16"/>
                <w:szCs w:val="16"/>
              </w:rPr>
            </w:pPr>
          </w:p>
        </w:tc>
        <w:tc>
          <w:tcPr>
            <w:tcW w:w="498" w:type="pct"/>
            <w:shd w:val="clear" w:color="auto" w:fill="auto"/>
            <w:vAlign w:val="center"/>
          </w:tcPr>
          <w:p>
            <w:pPr>
              <w:jc w:val="center"/>
              <w:rPr>
                <w:noProof/>
                <w:sz w:val="20"/>
              </w:rPr>
            </w:pPr>
            <w:r>
              <w:rPr>
                <w:noProof/>
                <w:sz w:val="20"/>
              </w:rPr>
              <w:t>Година</w:t>
            </w:r>
            <w:r>
              <w:rPr>
                <w:noProof/>
                <w:sz w:val="20"/>
              </w:rPr>
              <w:br/>
            </w:r>
            <w:r>
              <w:rPr>
                <w:b/>
                <w:noProof/>
                <w:sz w:val="20"/>
              </w:rPr>
              <w:t>2015</w:t>
            </w:r>
          </w:p>
        </w:tc>
        <w:tc>
          <w:tcPr>
            <w:tcW w:w="593" w:type="pct"/>
            <w:shd w:val="clear" w:color="auto" w:fill="auto"/>
            <w:vAlign w:val="center"/>
          </w:tcPr>
          <w:p>
            <w:pPr>
              <w:jc w:val="center"/>
              <w:rPr>
                <w:noProof/>
                <w:sz w:val="20"/>
              </w:rPr>
            </w:pPr>
            <w:r>
              <w:rPr>
                <w:noProof/>
                <w:sz w:val="20"/>
              </w:rPr>
              <w:t>Година</w:t>
            </w:r>
            <w:r>
              <w:rPr>
                <w:noProof/>
                <w:sz w:val="20"/>
              </w:rPr>
              <w:br/>
            </w:r>
            <w:r>
              <w:rPr>
                <w:b/>
                <w:noProof/>
                <w:sz w:val="20"/>
              </w:rPr>
              <w:t>2016</w:t>
            </w:r>
          </w:p>
        </w:tc>
        <w:tc>
          <w:tcPr>
            <w:tcW w:w="869" w:type="pct"/>
            <w:shd w:val="clear" w:color="auto" w:fill="auto"/>
            <w:vAlign w:val="center"/>
          </w:tcPr>
          <w:p>
            <w:pPr>
              <w:jc w:val="center"/>
              <w:rPr>
                <w:noProof/>
                <w:sz w:val="20"/>
              </w:rPr>
            </w:pPr>
            <w:r>
              <w:rPr>
                <w:noProof/>
                <w:sz w:val="20"/>
              </w:rPr>
              <w:t>Година</w:t>
            </w:r>
            <w:r>
              <w:rPr>
                <w:noProof/>
                <w:sz w:val="20"/>
              </w:rPr>
              <w:br/>
            </w:r>
            <w:r>
              <w:rPr>
                <w:b/>
                <w:noProof/>
                <w:sz w:val="20"/>
              </w:rPr>
              <w:t>2017</w:t>
            </w:r>
          </w:p>
        </w:tc>
        <w:tc>
          <w:tcPr>
            <w:tcW w:w="776" w:type="pct"/>
            <w:shd w:val="clear" w:color="auto" w:fill="auto"/>
            <w:vAlign w:val="center"/>
          </w:tcPr>
          <w:p>
            <w:pPr>
              <w:jc w:val="center"/>
              <w:rPr>
                <w:noProof/>
                <w:sz w:val="20"/>
              </w:rPr>
            </w:pPr>
            <w:r>
              <w:rPr>
                <w:noProof/>
                <w:sz w:val="20"/>
              </w:rPr>
              <w:t>Година</w:t>
            </w:r>
            <w:r>
              <w:rPr>
                <w:noProof/>
                <w:sz w:val="20"/>
              </w:rPr>
              <w:br/>
            </w:r>
            <w:r>
              <w:rPr>
                <w:b/>
                <w:noProof/>
                <w:sz w:val="20"/>
              </w:rPr>
              <w:t>2018</w:t>
            </w:r>
          </w:p>
        </w:tc>
      </w:tr>
      <w:tr>
        <w:trPr>
          <w:gridBefore w:val="1"/>
          <w:gridAfter w:val="1"/>
          <w:wBefore w:w="6" w:type="pct"/>
          <w:wAfter w:w="118" w:type="pct"/>
          <w:trHeight w:val="289"/>
          <w:jc w:val="center"/>
        </w:trPr>
        <w:tc>
          <w:tcPr>
            <w:tcW w:w="4100" w:type="pct"/>
            <w:gridSpan w:val="5"/>
            <w:shd w:val="clear" w:color="auto" w:fill="auto"/>
          </w:tcPr>
          <w:p>
            <w:pPr>
              <w:spacing w:before="20" w:after="20"/>
              <w:rPr>
                <w:noProof/>
                <w:sz w:val="16"/>
                <w:szCs w:val="16"/>
              </w:rPr>
            </w:pPr>
            <w:r>
              <w:rPr>
                <w:b/>
                <w:noProof/>
                <w:sz w:val="16"/>
                <w:szCs w:val="16"/>
              </w:rPr>
              <w:sym w:font="Wingdings" w:char="F09F"/>
            </w:r>
            <w:r>
              <w:rPr>
                <w:noProof/>
              </w:rPr>
              <w:t xml:space="preserve"> </w:t>
            </w:r>
            <w:r>
              <w:rPr>
                <w:b/>
                <w:noProof/>
              </w:rPr>
              <w:t>Длъжности в щатното разписание (длъжностни лица и временно наети лица)</w:t>
            </w:r>
          </w:p>
        </w:tc>
        <w:tc>
          <w:tcPr>
            <w:tcW w:w="776" w:type="pct"/>
            <w:shd w:val="clear" w:color="auto" w:fill="auto"/>
            <w:vAlign w:val="center"/>
          </w:tcPr>
          <w:p>
            <w:pPr>
              <w:spacing w:before="20" w:after="20"/>
              <w:jc w:val="center"/>
              <w:rPr>
                <w:noProof/>
                <w:sz w:val="16"/>
                <w:szCs w:val="16"/>
              </w:rPr>
            </w:pPr>
          </w:p>
        </w:tc>
      </w:tr>
      <w:tr>
        <w:trPr>
          <w:gridBefore w:val="1"/>
          <w:gridAfter w:val="1"/>
          <w:wBefore w:w="6" w:type="pct"/>
          <w:wAfter w:w="118" w:type="pct"/>
          <w:trHeight w:val="289"/>
          <w:jc w:val="center"/>
        </w:trPr>
        <w:tc>
          <w:tcPr>
            <w:tcW w:w="2140"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11 01 01 01 (Централа и представителства на Комисията)</w:t>
            </w:r>
          </w:p>
        </w:tc>
        <w:tc>
          <w:tcPr>
            <w:tcW w:w="498" w:type="pct"/>
            <w:shd w:val="clear" w:color="auto" w:fill="auto"/>
            <w:vAlign w:val="center"/>
          </w:tcPr>
          <w:p>
            <w:pPr>
              <w:spacing w:beforeLines="20" w:before="48" w:afterLines="20" w:after="48"/>
              <w:jc w:val="center"/>
              <w:rPr>
                <w:noProof/>
                <w:sz w:val="16"/>
                <w:szCs w:val="16"/>
              </w:rPr>
            </w:pPr>
            <w:r>
              <w:rPr>
                <w:noProof/>
                <w:sz w:val="16"/>
              </w:rPr>
              <w:t>1</w:t>
            </w:r>
          </w:p>
        </w:tc>
        <w:tc>
          <w:tcPr>
            <w:tcW w:w="593" w:type="pct"/>
            <w:shd w:val="clear" w:color="auto" w:fill="auto"/>
            <w:vAlign w:val="center"/>
          </w:tcPr>
          <w:p>
            <w:pPr>
              <w:spacing w:beforeLines="20" w:before="48" w:afterLines="20" w:after="48"/>
              <w:jc w:val="center"/>
              <w:rPr>
                <w:noProof/>
                <w:sz w:val="16"/>
                <w:szCs w:val="16"/>
              </w:rPr>
            </w:pPr>
            <w:r>
              <w:rPr>
                <w:noProof/>
                <w:sz w:val="16"/>
              </w:rPr>
              <w:t>1</w:t>
            </w:r>
          </w:p>
        </w:tc>
        <w:tc>
          <w:tcPr>
            <w:tcW w:w="869" w:type="pct"/>
            <w:shd w:val="clear" w:color="auto" w:fill="auto"/>
            <w:vAlign w:val="center"/>
          </w:tcPr>
          <w:p>
            <w:pPr>
              <w:spacing w:beforeLines="20" w:before="48" w:afterLines="20" w:after="48"/>
              <w:jc w:val="center"/>
              <w:rPr>
                <w:noProof/>
                <w:sz w:val="16"/>
                <w:szCs w:val="16"/>
              </w:rPr>
            </w:pPr>
            <w:r>
              <w:rPr>
                <w:noProof/>
                <w:sz w:val="16"/>
              </w:rPr>
              <w:t>1</w:t>
            </w:r>
          </w:p>
        </w:tc>
        <w:tc>
          <w:tcPr>
            <w:tcW w:w="776" w:type="pct"/>
            <w:shd w:val="clear" w:color="auto" w:fill="auto"/>
            <w:vAlign w:val="center"/>
          </w:tcPr>
          <w:p>
            <w:pPr>
              <w:spacing w:beforeLines="20" w:before="48" w:afterLines="20" w:after="48"/>
              <w:jc w:val="center"/>
              <w:rPr>
                <w:noProof/>
                <w:sz w:val="16"/>
                <w:szCs w:val="16"/>
              </w:rPr>
            </w:pPr>
            <w:r>
              <w:rPr>
                <w:noProof/>
                <w:sz w:val="16"/>
              </w:rPr>
              <w:t>1</w:t>
            </w:r>
          </w:p>
        </w:tc>
      </w:tr>
      <w:tr>
        <w:trPr>
          <w:gridBefore w:val="1"/>
          <w:gridAfter w:val="1"/>
          <w:wBefore w:w="6" w:type="pct"/>
          <w:wAfter w:w="118" w:type="pct"/>
          <w:trHeight w:val="289"/>
          <w:jc w:val="center"/>
        </w:trPr>
        <w:tc>
          <w:tcPr>
            <w:tcW w:w="2140"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498" w:type="pct"/>
            <w:shd w:val="clear" w:color="auto" w:fill="auto"/>
            <w:vAlign w:val="center"/>
          </w:tcPr>
          <w:p>
            <w:pPr>
              <w:spacing w:beforeLines="20" w:before="48" w:afterLines="20" w:after="48"/>
              <w:jc w:val="center"/>
              <w:rPr>
                <w:noProof/>
                <w:sz w:val="16"/>
                <w:szCs w:val="16"/>
              </w:rPr>
            </w:pPr>
          </w:p>
        </w:tc>
        <w:tc>
          <w:tcPr>
            <w:tcW w:w="593" w:type="pct"/>
            <w:shd w:val="clear" w:color="auto" w:fill="auto"/>
            <w:vAlign w:val="center"/>
          </w:tcPr>
          <w:p>
            <w:pPr>
              <w:spacing w:beforeLines="20" w:before="48" w:afterLines="20" w:after="48"/>
              <w:jc w:val="center"/>
              <w:rPr>
                <w:noProof/>
                <w:sz w:val="16"/>
                <w:szCs w:val="16"/>
              </w:rPr>
            </w:pPr>
          </w:p>
        </w:tc>
        <w:tc>
          <w:tcPr>
            <w:tcW w:w="869" w:type="pct"/>
            <w:shd w:val="clear" w:color="auto" w:fill="auto"/>
            <w:vAlign w:val="center"/>
          </w:tcPr>
          <w:p>
            <w:pPr>
              <w:spacing w:beforeLines="20" w:before="48" w:afterLines="20" w:after="48"/>
              <w:jc w:val="center"/>
              <w:rPr>
                <w:noProof/>
                <w:sz w:val="16"/>
                <w:szCs w:val="16"/>
              </w:rPr>
            </w:pPr>
          </w:p>
        </w:tc>
        <w:tc>
          <w:tcPr>
            <w:tcW w:w="776" w:type="pct"/>
            <w:shd w:val="clear" w:color="auto" w:fill="auto"/>
            <w:vAlign w:val="center"/>
          </w:tcPr>
          <w:p>
            <w:pPr>
              <w:spacing w:beforeLines="20" w:before="48" w:afterLines="20" w:after="48"/>
              <w:jc w:val="center"/>
              <w:rPr>
                <w:noProof/>
                <w:sz w:val="16"/>
                <w:szCs w:val="16"/>
              </w:rPr>
            </w:pPr>
          </w:p>
        </w:tc>
      </w:tr>
      <w:tr>
        <w:trPr>
          <w:gridBefore w:val="1"/>
          <w:gridAfter w:val="1"/>
          <w:wBefore w:w="6" w:type="pct"/>
          <w:wAfter w:w="118" w:type="pct"/>
          <w:trHeight w:val="289"/>
          <w:jc w:val="center"/>
        </w:trPr>
        <w:tc>
          <w:tcPr>
            <w:tcW w:w="2140"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498" w:type="pct"/>
            <w:shd w:val="clear" w:color="auto" w:fill="auto"/>
            <w:vAlign w:val="center"/>
          </w:tcPr>
          <w:p>
            <w:pPr>
              <w:spacing w:beforeLines="20" w:before="48" w:afterLines="20" w:after="48"/>
              <w:jc w:val="center"/>
              <w:rPr>
                <w:noProof/>
                <w:sz w:val="16"/>
                <w:szCs w:val="16"/>
              </w:rPr>
            </w:pPr>
          </w:p>
        </w:tc>
        <w:tc>
          <w:tcPr>
            <w:tcW w:w="593" w:type="pct"/>
            <w:shd w:val="clear" w:color="auto" w:fill="auto"/>
            <w:vAlign w:val="center"/>
          </w:tcPr>
          <w:p>
            <w:pPr>
              <w:spacing w:beforeLines="20" w:before="48" w:afterLines="20" w:after="48"/>
              <w:jc w:val="center"/>
              <w:rPr>
                <w:noProof/>
                <w:sz w:val="16"/>
                <w:szCs w:val="16"/>
              </w:rPr>
            </w:pPr>
          </w:p>
        </w:tc>
        <w:tc>
          <w:tcPr>
            <w:tcW w:w="869" w:type="pct"/>
            <w:shd w:val="clear" w:color="auto" w:fill="auto"/>
            <w:vAlign w:val="center"/>
          </w:tcPr>
          <w:p>
            <w:pPr>
              <w:spacing w:beforeLines="20" w:before="48" w:afterLines="20" w:after="48"/>
              <w:jc w:val="center"/>
              <w:rPr>
                <w:noProof/>
                <w:sz w:val="16"/>
                <w:szCs w:val="16"/>
              </w:rPr>
            </w:pPr>
          </w:p>
        </w:tc>
        <w:tc>
          <w:tcPr>
            <w:tcW w:w="776" w:type="pct"/>
            <w:shd w:val="clear" w:color="auto" w:fill="auto"/>
            <w:vAlign w:val="center"/>
          </w:tcPr>
          <w:p>
            <w:pPr>
              <w:spacing w:beforeLines="20" w:before="48" w:afterLines="20" w:after="48"/>
              <w:jc w:val="center"/>
              <w:rPr>
                <w:noProof/>
                <w:sz w:val="16"/>
                <w:szCs w:val="16"/>
              </w:rPr>
            </w:pPr>
          </w:p>
        </w:tc>
      </w:tr>
      <w:tr>
        <w:trPr>
          <w:gridBefore w:val="1"/>
          <w:gridAfter w:val="1"/>
          <w:wBefore w:w="6" w:type="pct"/>
          <w:wAfter w:w="118" w:type="pct"/>
          <w:trHeight w:val="289"/>
          <w:jc w:val="center"/>
        </w:trPr>
        <w:tc>
          <w:tcPr>
            <w:tcW w:w="2140"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498" w:type="pct"/>
            <w:shd w:val="clear" w:color="auto" w:fill="auto"/>
            <w:vAlign w:val="center"/>
          </w:tcPr>
          <w:p>
            <w:pPr>
              <w:spacing w:beforeLines="20" w:before="48" w:afterLines="20" w:after="48"/>
              <w:jc w:val="center"/>
              <w:rPr>
                <w:noProof/>
                <w:sz w:val="16"/>
                <w:szCs w:val="16"/>
              </w:rPr>
            </w:pPr>
          </w:p>
        </w:tc>
        <w:tc>
          <w:tcPr>
            <w:tcW w:w="593" w:type="pct"/>
            <w:shd w:val="clear" w:color="auto" w:fill="auto"/>
            <w:vAlign w:val="center"/>
          </w:tcPr>
          <w:p>
            <w:pPr>
              <w:spacing w:beforeLines="20" w:before="48" w:afterLines="20" w:after="48"/>
              <w:jc w:val="center"/>
              <w:rPr>
                <w:noProof/>
                <w:sz w:val="16"/>
                <w:szCs w:val="16"/>
              </w:rPr>
            </w:pPr>
          </w:p>
        </w:tc>
        <w:tc>
          <w:tcPr>
            <w:tcW w:w="869" w:type="pct"/>
            <w:shd w:val="clear" w:color="auto" w:fill="auto"/>
            <w:vAlign w:val="center"/>
          </w:tcPr>
          <w:p>
            <w:pPr>
              <w:spacing w:beforeLines="20" w:before="48" w:afterLines="20" w:after="48"/>
              <w:jc w:val="center"/>
              <w:rPr>
                <w:noProof/>
                <w:sz w:val="16"/>
                <w:szCs w:val="16"/>
              </w:rPr>
            </w:pPr>
          </w:p>
        </w:tc>
        <w:tc>
          <w:tcPr>
            <w:tcW w:w="776" w:type="pct"/>
            <w:shd w:val="clear" w:color="auto" w:fill="auto"/>
            <w:vAlign w:val="center"/>
          </w:tcPr>
          <w:p>
            <w:pPr>
              <w:spacing w:beforeLines="20" w:before="48" w:afterLines="20" w:after="48"/>
              <w:jc w:val="center"/>
              <w:rPr>
                <w:noProof/>
                <w:sz w:val="16"/>
                <w:szCs w:val="16"/>
              </w:rPr>
            </w:pPr>
          </w:p>
        </w:tc>
      </w:tr>
      <w:tr>
        <w:trPr>
          <w:trHeight w:val="248"/>
          <w:jc w:val="center"/>
        </w:trPr>
        <w:tc>
          <w:tcPr>
            <w:tcW w:w="5000" w:type="pct"/>
            <w:gridSpan w:val="8"/>
            <w:shd w:val="clear" w:color="auto" w:fill="auto"/>
            <w:vAlign w:val="center"/>
          </w:tcPr>
          <w:p>
            <w:pPr>
              <w:pStyle w:val="Text1"/>
              <w:spacing w:before="60" w:after="60"/>
              <w:ind w:left="0"/>
              <w:jc w:val="left"/>
              <w:rPr>
                <w:b/>
                <w:noProof/>
                <w:sz w:val="16"/>
                <w:szCs w:val="16"/>
              </w:rPr>
            </w:pPr>
            <w:r>
              <w:rPr>
                <w:b/>
                <w:noProof/>
                <w:sz w:val="16"/>
                <w:szCs w:val="16"/>
              </w:rPr>
              <w:sym w:font="Wingdings" w:char="F09F"/>
            </w:r>
            <w:r>
              <w:rPr>
                <w:noProof/>
              </w:rPr>
              <w:t xml:space="preserve"> </w:t>
            </w:r>
            <w:r>
              <w:rPr>
                <w:b/>
                <w:noProof/>
              </w:rPr>
              <w:t>Външен персонал (в еквивалент на пълно работно време — ЕПРВ)</w:t>
            </w:r>
            <w:r>
              <w:rPr>
                <w:rStyle w:val="FootnoteReference"/>
                <w:b/>
                <w:noProof/>
              </w:rPr>
              <w:footnoteReference w:id="14"/>
            </w:r>
          </w:p>
          <w:p>
            <w:pPr>
              <w:pStyle w:val="Text1"/>
              <w:spacing w:before="0" w:after="0"/>
              <w:ind w:left="0"/>
              <w:jc w:val="left"/>
              <w:rPr>
                <w:noProof/>
                <w:sz w:val="16"/>
                <w:szCs w:val="16"/>
              </w:rPr>
            </w:pPr>
          </w:p>
        </w:tc>
      </w:tr>
      <w:tr>
        <w:trPr>
          <w:gridBefore w:val="1"/>
          <w:gridAfter w:val="1"/>
          <w:wBefore w:w="6" w:type="pct"/>
          <w:wAfter w:w="118" w:type="pct"/>
          <w:trHeight w:val="289"/>
          <w:jc w:val="center"/>
        </w:trPr>
        <w:tc>
          <w:tcPr>
            <w:tcW w:w="2140"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11 01 02 01 (ДНП, КНЕ, ПНА от общия финансов пакет)</w:t>
            </w:r>
          </w:p>
        </w:tc>
        <w:tc>
          <w:tcPr>
            <w:tcW w:w="498" w:type="pct"/>
            <w:shd w:val="clear" w:color="auto" w:fill="auto"/>
            <w:vAlign w:val="center"/>
          </w:tcPr>
          <w:p>
            <w:pPr>
              <w:spacing w:beforeLines="20" w:before="48" w:afterLines="20" w:after="48"/>
              <w:jc w:val="center"/>
              <w:rPr>
                <w:noProof/>
                <w:sz w:val="16"/>
                <w:szCs w:val="16"/>
              </w:rPr>
            </w:pPr>
            <w:r>
              <w:rPr>
                <w:noProof/>
                <w:sz w:val="16"/>
              </w:rPr>
              <w:t>1</w:t>
            </w:r>
          </w:p>
        </w:tc>
        <w:tc>
          <w:tcPr>
            <w:tcW w:w="593" w:type="pct"/>
            <w:shd w:val="clear" w:color="auto" w:fill="auto"/>
            <w:vAlign w:val="center"/>
          </w:tcPr>
          <w:p>
            <w:pPr>
              <w:spacing w:beforeLines="20" w:before="48" w:afterLines="20" w:after="48"/>
              <w:jc w:val="center"/>
              <w:rPr>
                <w:noProof/>
                <w:sz w:val="16"/>
                <w:szCs w:val="16"/>
              </w:rPr>
            </w:pPr>
            <w:r>
              <w:rPr>
                <w:noProof/>
                <w:sz w:val="16"/>
              </w:rPr>
              <w:t>1</w:t>
            </w:r>
          </w:p>
        </w:tc>
        <w:tc>
          <w:tcPr>
            <w:tcW w:w="869" w:type="pct"/>
            <w:shd w:val="clear" w:color="auto" w:fill="auto"/>
            <w:vAlign w:val="center"/>
          </w:tcPr>
          <w:p>
            <w:pPr>
              <w:spacing w:beforeLines="20" w:before="48" w:afterLines="20" w:after="48"/>
              <w:jc w:val="center"/>
              <w:rPr>
                <w:noProof/>
                <w:sz w:val="16"/>
                <w:szCs w:val="16"/>
              </w:rPr>
            </w:pPr>
            <w:r>
              <w:rPr>
                <w:noProof/>
                <w:sz w:val="16"/>
              </w:rPr>
              <w:t>1</w:t>
            </w:r>
          </w:p>
        </w:tc>
        <w:tc>
          <w:tcPr>
            <w:tcW w:w="776" w:type="pct"/>
            <w:shd w:val="clear" w:color="auto" w:fill="auto"/>
            <w:vAlign w:val="center"/>
          </w:tcPr>
          <w:p>
            <w:pPr>
              <w:spacing w:beforeLines="20" w:before="48" w:afterLines="20" w:after="48"/>
              <w:jc w:val="center"/>
              <w:rPr>
                <w:noProof/>
                <w:sz w:val="16"/>
                <w:szCs w:val="16"/>
              </w:rPr>
            </w:pPr>
            <w:r>
              <w:rPr>
                <w:noProof/>
                <w:sz w:val="16"/>
              </w:rPr>
              <w:t>1</w:t>
            </w:r>
          </w:p>
        </w:tc>
      </w:tr>
      <w:tr>
        <w:trPr>
          <w:gridBefore w:val="1"/>
          <w:gridAfter w:val="1"/>
          <w:wBefore w:w="6" w:type="pct"/>
          <w:wAfter w:w="118" w:type="pct"/>
          <w:trHeight w:val="289"/>
          <w:jc w:val="center"/>
        </w:trPr>
        <w:tc>
          <w:tcPr>
            <w:tcW w:w="2140"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498" w:type="pct"/>
            <w:shd w:val="clear" w:color="auto" w:fill="auto"/>
            <w:vAlign w:val="center"/>
          </w:tcPr>
          <w:p>
            <w:pPr>
              <w:spacing w:beforeLines="20" w:before="48" w:afterLines="20" w:after="48"/>
              <w:jc w:val="center"/>
              <w:rPr>
                <w:noProof/>
                <w:sz w:val="16"/>
                <w:szCs w:val="16"/>
              </w:rPr>
            </w:pPr>
          </w:p>
        </w:tc>
        <w:tc>
          <w:tcPr>
            <w:tcW w:w="593" w:type="pct"/>
            <w:shd w:val="clear" w:color="auto" w:fill="auto"/>
            <w:vAlign w:val="center"/>
          </w:tcPr>
          <w:p>
            <w:pPr>
              <w:spacing w:beforeLines="20" w:before="48" w:afterLines="20" w:after="48"/>
              <w:jc w:val="center"/>
              <w:rPr>
                <w:noProof/>
                <w:sz w:val="16"/>
                <w:szCs w:val="16"/>
              </w:rPr>
            </w:pPr>
          </w:p>
        </w:tc>
        <w:tc>
          <w:tcPr>
            <w:tcW w:w="869" w:type="pct"/>
            <w:shd w:val="clear" w:color="auto" w:fill="auto"/>
            <w:vAlign w:val="center"/>
          </w:tcPr>
          <w:p>
            <w:pPr>
              <w:spacing w:beforeLines="20" w:before="48" w:afterLines="20" w:after="48"/>
              <w:jc w:val="center"/>
              <w:rPr>
                <w:noProof/>
                <w:sz w:val="16"/>
                <w:szCs w:val="16"/>
              </w:rPr>
            </w:pPr>
          </w:p>
        </w:tc>
        <w:tc>
          <w:tcPr>
            <w:tcW w:w="776" w:type="pct"/>
            <w:shd w:val="clear" w:color="auto" w:fill="auto"/>
            <w:vAlign w:val="center"/>
          </w:tcPr>
          <w:p>
            <w:pPr>
              <w:spacing w:beforeLines="20" w:before="48" w:afterLines="20" w:after="48"/>
              <w:jc w:val="center"/>
              <w:rPr>
                <w:noProof/>
                <w:sz w:val="16"/>
                <w:szCs w:val="16"/>
              </w:rPr>
            </w:pPr>
          </w:p>
        </w:tc>
      </w:tr>
      <w:tr>
        <w:trPr>
          <w:gridBefore w:val="1"/>
          <w:gridAfter w:val="1"/>
          <w:wBefore w:w="6" w:type="pct"/>
          <w:wAfter w:w="118" w:type="pct"/>
          <w:trHeight w:val="289"/>
          <w:jc w:val="center"/>
        </w:trPr>
        <w:tc>
          <w:tcPr>
            <w:tcW w:w="1069"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11</w:t>
            </w:r>
            <w:r>
              <w:rPr>
                <w:noProof/>
                <w:sz w:val="16"/>
              </w:rPr>
              <w:t xml:space="preserve"> 01 04 01</w:t>
            </w:r>
            <w:r>
              <w:rPr>
                <w:b/>
                <w:i/>
                <w:noProof/>
                <w:sz w:val="16"/>
              </w:rPr>
              <w:t xml:space="preserve"> </w:t>
            </w:r>
            <w:r>
              <w:rPr>
                <w:rStyle w:val="FootnoteReference"/>
                <w:b/>
                <w:i/>
                <w:noProof/>
                <w:sz w:val="16"/>
              </w:rPr>
              <w:footnoteReference w:id="15"/>
            </w:r>
          </w:p>
          <w:p>
            <w:pPr>
              <w:pStyle w:val="Text1"/>
              <w:spacing w:beforeLines="20" w:before="48" w:afterLines="20" w:after="48"/>
              <w:ind w:left="136"/>
              <w:jc w:val="left"/>
              <w:rPr>
                <w:b/>
                <w:noProof/>
                <w:sz w:val="16"/>
                <w:szCs w:val="16"/>
              </w:rPr>
            </w:pPr>
          </w:p>
        </w:tc>
        <w:tc>
          <w:tcPr>
            <w:tcW w:w="1071"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498" w:type="pct"/>
            <w:shd w:val="clear" w:color="auto" w:fill="auto"/>
            <w:vAlign w:val="center"/>
          </w:tcPr>
          <w:p>
            <w:pPr>
              <w:pStyle w:val="Text1"/>
              <w:spacing w:beforeLines="20" w:before="48" w:afterLines="20" w:after="48"/>
              <w:ind w:left="0"/>
              <w:rPr>
                <w:noProof/>
                <w:sz w:val="16"/>
                <w:szCs w:val="16"/>
              </w:rPr>
            </w:pPr>
          </w:p>
        </w:tc>
        <w:tc>
          <w:tcPr>
            <w:tcW w:w="593" w:type="pct"/>
            <w:shd w:val="clear" w:color="auto" w:fill="auto"/>
            <w:vAlign w:val="center"/>
          </w:tcPr>
          <w:p>
            <w:pPr>
              <w:spacing w:beforeLines="20" w:before="48" w:afterLines="20" w:after="48"/>
              <w:jc w:val="center"/>
              <w:rPr>
                <w:noProof/>
                <w:sz w:val="16"/>
                <w:szCs w:val="16"/>
              </w:rPr>
            </w:pPr>
          </w:p>
        </w:tc>
        <w:tc>
          <w:tcPr>
            <w:tcW w:w="869" w:type="pct"/>
            <w:shd w:val="clear" w:color="auto" w:fill="auto"/>
            <w:vAlign w:val="center"/>
          </w:tcPr>
          <w:p>
            <w:pPr>
              <w:spacing w:beforeLines="20" w:before="48" w:afterLines="20" w:after="48"/>
              <w:jc w:val="center"/>
              <w:rPr>
                <w:noProof/>
                <w:sz w:val="16"/>
                <w:szCs w:val="16"/>
              </w:rPr>
            </w:pPr>
          </w:p>
        </w:tc>
        <w:tc>
          <w:tcPr>
            <w:tcW w:w="776" w:type="pct"/>
            <w:shd w:val="clear" w:color="auto" w:fill="auto"/>
            <w:vAlign w:val="center"/>
          </w:tcPr>
          <w:p>
            <w:pPr>
              <w:spacing w:beforeLines="20" w:before="48" w:afterLines="20" w:after="48"/>
              <w:jc w:val="center"/>
              <w:rPr>
                <w:noProof/>
                <w:sz w:val="16"/>
                <w:szCs w:val="16"/>
              </w:rPr>
            </w:pPr>
          </w:p>
        </w:tc>
      </w:tr>
      <w:tr>
        <w:trPr>
          <w:gridBefore w:val="1"/>
          <w:gridAfter w:val="1"/>
          <w:wBefore w:w="6" w:type="pct"/>
          <w:wAfter w:w="118" w:type="pct"/>
          <w:trHeight w:val="289"/>
          <w:jc w:val="center"/>
        </w:trPr>
        <w:tc>
          <w:tcPr>
            <w:tcW w:w="1069" w:type="pct"/>
            <w:vMerge/>
            <w:shd w:val="clear" w:color="auto" w:fill="auto"/>
            <w:vAlign w:val="center"/>
          </w:tcPr>
          <w:p>
            <w:pPr>
              <w:pStyle w:val="Text1"/>
              <w:spacing w:beforeLines="20" w:before="48" w:afterLines="20" w:after="48"/>
              <w:ind w:left="136"/>
              <w:jc w:val="left"/>
              <w:rPr>
                <w:b/>
                <w:noProof/>
                <w:sz w:val="16"/>
                <w:szCs w:val="16"/>
              </w:rPr>
            </w:pPr>
          </w:p>
        </w:tc>
        <w:tc>
          <w:tcPr>
            <w:tcW w:w="1071"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498" w:type="pct"/>
            <w:shd w:val="clear" w:color="auto" w:fill="auto"/>
            <w:vAlign w:val="center"/>
          </w:tcPr>
          <w:p>
            <w:pPr>
              <w:pStyle w:val="Text1"/>
              <w:spacing w:beforeLines="20" w:before="48" w:afterLines="20" w:after="48"/>
              <w:ind w:left="0"/>
              <w:jc w:val="center"/>
              <w:rPr>
                <w:noProof/>
                <w:sz w:val="16"/>
                <w:szCs w:val="16"/>
              </w:rPr>
            </w:pPr>
            <w:r>
              <w:rPr>
                <w:noProof/>
                <w:sz w:val="16"/>
              </w:rPr>
              <w:t>1</w:t>
            </w:r>
          </w:p>
        </w:tc>
        <w:tc>
          <w:tcPr>
            <w:tcW w:w="593" w:type="pct"/>
            <w:shd w:val="clear" w:color="auto" w:fill="auto"/>
            <w:vAlign w:val="center"/>
          </w:tcPr>
          <w:p>
            <w:pPr>
              <w:spacing w:beforeLines="20" w:before="48" w:afterLines="20" w:after="48"/>
              <w:jc w:val="center"/>
              <w:rPr>
                <w:noProof/>
                <w:sz w:val="16"/>
                <w:szCs w:val="16"/>
              </w:rPr>
            </w:pPr>
            <w:r>
              <w:rPr>
                <w:noProof/>
                <w:sz w:val="16"/>
              </w:rPr>
              <w:t>1</w:t>
            </w:r>
          </w:p>
        </w:tc>
        <w:tc>
          <w:tcPr>
            <w:tcW w:w="869" w:type="pct"/>
            <w:shd w:val="clear" w:color="auto" w:fill="auto"/>
            <w:vAlign w:val="center"/>
          </w:tcPr>
          <w:p>
            <w:pPr>
              <w:spacing w:beforeLines="20" w:before="48" w:afterLines="20" w:after="48"/>
              <w:jc w:val="center"/>
              <w:rPr>
                <w:noProof/>
                <w:sz w:val="16"/>
                <w:szCs w:val="16"/>
              </w:rPr>
            </w:pPr>
            <w:r>
              <w:rPr>
                <w:noProof/>
                <w:sz w:val="16"/>
              </w:rPr>
              <w:t>1</w:t>
            </w:r>
          </w:p>
        </w:tc>
        <w:tc>
          <w:tcPr>
            <w:tcW w:w="776" w:type="pct"/>
            <w:shd w:val="clear" w:color="auto" w:fill="auto"/>
            <w:vAlign w:val="center"/>
          </w:tcPr>
          <w:p>
            <w:pPr>
              <w:spacing w:beforeLines="20" w:before="48" w:afterLines="20" w:after="48"/>
              <w:jc w:val="center"/>
              <w:rPr>
                <w:noProof/>
                <w:sz w:val="16"/>
                <w:szCs w:val="16"/>
              </w:rPr>
            </w:pPr>
            <w:r>
              <w:rPr>
                <w:noProof/>
                <w:sz w:val="16"/>
              </w:rPr>
              <w:t>1</w:t>
            </w:r>
          </w:p>
        </w:tc>
      </w:tr>
      <w:tr>
        <w:trPr>
          <w:gridBefore w:val="1"/>
          <w:gridAfter w:val="1"/>
          <w:wBefore w:w="6" w:type="pct"/>
          <w:wAfter w:w="118" w:type="pct"/>
          <w:trHeight w:val="289"/>
          <w:jc w:val="center"/>
        </w:trPr>
        <w:tc>
          <w:tcPr>
            <w:tcW w:w="2140" w:type="pct"/>
            <w:gridSpan w:val="2"/>
            <w:shd w:val="clear" w:color="auto" w:fill="auto"/>
            <w:vAlign w:val="center"/>
          </w:tcPr>
          <w:p>
            <w:pPr>
              <w:pStyle w:val="Text1"/>
              <w:spacing w:beforeLines="20" w:before="48" w:afterLines="20" w:after="48"/>
              <w:ind w:left="136"/>
              <w:jc w:val="left"/>
              <w:rPr>
                <w:noProof/>
                <w:sz w:val="16"/>
                <w:szCs w:val="16"/>
              </w:rPr>
            </w:pPr>
            <w:r>
              <w:rPr>
                <w:b/>
                <w:noProof/>
              </w:rPr>
              <w:t>XX</w:t>
            </w:r>
            <w:r>
              <w:rPr>
                <w:noProof/>
              </w:rPr>
              <w:t xml:space="preserve"> 01 05 02 (ДНП, КНЕ, ПНА — Непреки изследвания)</w:t>
            </w:r>
          </w:p>
        </w:tc>
        <w:tc>
          <w:tcPr>
            <w:tcW w:w="498" w:type="pct"/>
            <w:shd w:val="clear" w:color="auto" w:fill="auto"/>
            <w:vAlign w:val="center"/>
          </w:tcPr>
          <w:p>
            <w:pPr>
              <w:spacing w:beforeLines="20" w:before="48" w:afterLines="20" w:after="48"/>
              <w:jc w:val="center"/>
              <w:rPr>
                <w:noProof/>
                <w:sz w:val="16"/>
                <w:szCs w:val="16"/>
              </w:rPr>
            </w:pPr>
          </w:p>
        </w:tc>
        <w:tc>
          <w:tcPr>
            <w:tcW w:w="593" w:type="pct"/>
            <w:shd w:val="clear" w:color="auto" w:fill="auto"/>
            <w:vAlign w:val="center"/>
          </w:tcPr>
          <w:p>
            <w:pPr>
              <w:spacing w:beforeLines="20" w:before="48" w:afterLines="20" w:after="48"/>
              <w:jc w:val="center"/>
              <w:rPr>
                <w:noProof/>
                <w:sz w:val="16"/>
                <w:szCs w:val="16"/>
              </w:rPr>
            </w:pPr>
          </w:p>
        </w:tc>
        <w:tc>
          <w:tcPr>
            <w:tcW w:w="869" w:type="pct"/>
            <w:shd w:val="clear" w:color="auto" w:fill="auto"/>
            <w:vAlign w:val="center"/>
          </w:tcPr>
          <w:p>
            <w:pPr>
              <w:spacing w:beforeLines="20" w:before="48" w:afterLines="20" w:after="48"/>
              <w:jc w:val="center"/>
              <w:rPr>
                <w:noProof/>
                <w:sz w:val="16"/>
                <w:szCs w:val="16"/>
              </w:rPr>
            </w:pPr>
          </w:p>
        </w:tc>
        <w:tc>
          <w:tcPr>
            <w:tcW w:w="776" w:type="pct"/>
            <w:shd w:val="clear" w:color="auto" w:fill="auto"/>
            <w:vAlign w:val="center"/>
          </w:tcPr>
          <w:p>
            <w:pPr>
              <w:spacing w:beforeLines="20" w:before="48" w:afterLines="20" w:after="48"/>
              <w:jc w:val="center"/>
              <w:rPr>
                <w:noProof/>
                <w:sz w:val="16"/>
                <w:szCs w:val="16"/>
              </w:rPr>
            </w:pPr>
          </w:p>
        </w:tc>
      </w:tr>
      <w:tr>
        <w:trPr>
          <w:gridBefore w:val="1"/>
          <w:gridAfter w:val="1"/>
          <w:wBefore w:w="6" w:type="pct"/>
          <w:wAfter w:w="118" w:type="pct"/>
          <w:trHeight w:val="289"/>
          <w:jc w:val="center"/>
        </w:trPr>
        <w:tc>
          <w:tcPr>
            <w:tcW w:w="2140"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ПНА, КНЕ — Преки изследвания)</w:t>
            </w:r>
          </w:p>
        </w:tc>
        <w:tc>
          <w:tcPr>
            <w:tcW w:w="498" w:type="pct"/>
            <w:shd w:val="clear" w:color="auto" w:fill="auto"/>
            <w:vAlign w:val="center"/>
          </w:tcPr>
          <w:p>
            <w:pPr>
              <w:spacing w:beforeLines="20" w:before="48" w:afterLines="20" w:after="48"/>
              <w:jc w:val="center"/>
              <w:rPr>
                <w:noProof/>
                <w:sz w:val="16"/>
                <w:szCs w:val="16"/>
              </w:rPr>
            </w:pPr>
          </w:p>
        </w:tc>
        <w:tc>
          <w:tcPr>
            <w:tcW w:w="593" w:type="pct"/>
            <w:shd w:val="clear" w:color="auto" w:fill="auto"/>
            <w:vAlign w:val="center"/>
          </w:tcPr>
          <w:p>
            <w:pPr>
              <w:spacing w:beforeLines="20" w:before="48" w:afterLines="20" w:after="48"/>
              <w:jc w:val="center"/>
              <w:rPr>
                <w:noProof/>
                <w:sz w:val="16"/>
                <w:szCs w:val="16"/>
              </w:rPr>
            </w:pPr>
          </w:p>
        </w:tc>
        <w:tc>
          <w:tcPr>
            <w:tcW w:w="869" w:type="pct"/>
            <w:shd w:val="clear" w:color="auto" w:fill="auto"/>
            <w:vAlign w:val="center"/>
          </w:tcPr>
          <w:p>
            <w:pPr>
              <w:spacing w:beforeLines="20" w:before="48" w:afterLines="20" w:after="48"/>
              <w:jc w:val="center"/>
              <w:rPr>
                <w:noProof/>
                <w:sz w:val="16"/>
                <w:szCs w:val="16"/>
              </w:rPr>
            </w:pPr>
          </w:p>
        </w:tc>
        <w:tc>
          <w:tcPr>
            <w:tcW w:w="776" w:type="pct"/>
            <w:shd w:val="clear" w:color="auto" w:fill="auto"/>
            <w:vAlign w:val="center"/>
          </w:tcPr>
          <w:p>
            <w:pPr>
              <w:spacing w:beforeLines="20" w:before="48" w:afterLines="20" w:after="48"/>
              <w:jc w:val="center"/>
              <w:rPr>
                <w:noProof/>
                <w:sz w:val="16"/>
                <w:szCs w:val="16"/>
              </w:rPr>
            </w:pPr>
          </w:p>
        </w:tc>
      </w:tr>
      <w:tr>
        <w:trPr>
          <w:gridBefore w:val="1"/>
          <w:gridAfter w:val="1"/>
          <w:wBefore w:w="6" w:type="pct"/>
          <w:wAfter w:w="118" w:type="pct"/>
          <w:trHeight w:val="289"/>
          <w:jc w:val="center"/>
        </w:trPr>
        <w:tc>
          <w:tcPr>
            <w:tcW w:w="2140"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49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9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86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76"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gridAfter w:val="1"/>
          <w:wBefore w:w="6" w:type="pct"/>
          <w:wAfter w:w="118" w:type="pct"/>
          <w:trHeight w:val="289"/>
          <w:jc w:val="center"/>
        </w:trPr>
        <w:tc>
          <w:tcPr>
            <w:tcW w:w="2140"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49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93"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869"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776"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rPr>
        <w:t>XX</w:t>
      </w:r>
      <w:r>
        <w:rPr>
          <w:noProof/>
        </w:rPr>
        <w:t xml:space="preserve"> е съответната област на политиката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временно наети служители</w:t>
            </w:r>
          </w:p>
        </w:tc>
        <w:tc>
          <w:tcPr>
            <w:tcW w:w="7200" w:type="dxa"/>
          </w:tcPr>
          <w:p>
            <w:pPr>
              <w:rPr>
                <w:noProof/>
                <w:sz w:val="20"/>
              </w:rPr>
            </w:pPr>
            <w:r>
              <w:rPr>
                <w:noProof/>
                <w:sz w:val="20"/>
              </w:rPr>
              <w:t>Административно и бюджетно прилагане на Споразумението (лицензии, наблюдение на улова, плащания, секторна подкрепа), подготовка и участие в заседанията на съвместния комитет и в преговорите по следващия протокол, подготовка и оценка на законодателните актове, кореспонденция, техническа и научна подкрепа.</w:t>
            </w:r>
          </w:p>
          <w:p>
            <w:pPr>
              <w:rPr>
                <w:noProof/>
                <w:sz w:val="20"/>
              </w:rPr>
            </w:pPr>
            <w:r>
              <w:rPr>
                <w:noProof/>
                <w:sz w:val="20"/>
              </w:rPr>
              <w:t xml:space="preserve">Отговорен служител + финансов асистент + секретариат + началник-отдел (или негов заместник) + научна и техническа подкрепа и събиране на данни относно лицензите и улова: 1 ЕПРВ по 132 000 EUR/год. (началник на секретариат, управител лицензи, административен и финансов асистент) </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r>
              <w:rPr>
                <w:noProof/>
                <w:sz w:val="20"/>
              </w:rPr>
              <w:t>Наблюдение на прилагането на Споразумението и на изпълнението на секторната подкрепа. По прогнозна оценка: 2 ЕПРВ, от които 1 ЕПРВ по 78 000 EUR/год. (отговорен служител КНЕ) и 1 ЕПРВ по 70 000 EUR/год. (договорно нает персонал в делегациите).</w:t>
            </w: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7.2.4.</w:t>
      </w:r>
      <w:r>
        <w:tab/>
      </w:r>
      <w:r>
        <w:rPr>
          <w:noProof/>
        </w:rPr>
        <w:t xml:space="preserve">Съвместимост с настоящата многогодишна финансова рамка </w:t>
      </w:r>
    </w:p>
    <w:p>
      <w:pPr>
        <w:pStyle w:val="ListDash1"/>
        <w:rPr>
          <w:noProof/>
        </w:rPr>
      </w:pPr>
      <w:r>
        <w:rPr>
          <w:noProof/>
        </w:rPr>
        <w:t>x</w:t>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r>
        <w:rPr>
          <w:rStyle w:val="FootnoteReference"/>
          <w:noProof/>
        </w:rPr>
        <w:footnoteReference w:id="16"/>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7.2.5.</w:t>
      </w:r>
      <w:r>
        <w:tab/>
      </w:r>
      <w:r>
        <w:rPr>
          <w:noProof/>
        </w:rPr>
        <w:t xml:space="preserve">Участие на трети страни във финансирането </w:t>
      </w:r>
    </w:p>
    <w:p>
      <w:pPr>
        <w:pStyle w:val="ListDash1"/>
        <w:rPr>
          <w:noProof/>
        </w:rPr>
      </w:pPr>
      <w:r>
        <w:rPr>
          <w:noProof/>
        </w:rPr>
        <w:t xml:space="preserve">Предложението/инициативата не предвижда съфинансиране от трети страни. </w:t>
      </w:r>
    </w:p>
    <w:p>
      <w:pPr>
        <w:pStyle w:val="ListDash1"/>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EUR (до 3-тия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sz w:val="20"/>
              </w:rPr>
              <w:br/>
            </w:r>
            <w:r>
              <w:rPr>
                <w:b/>
                <w:noProof/>
                <w:sz w:val="20"/>
              </w:rPr>
              <w:t>N</w:t>
            </w:r>
          </w:p>
        </w:tc>
        <w:tc>
          <w:tcPr>
            <w:tcW w:w="964" w:type="dxa"/>
            <w:vAlign w:val="center"/>
          </w:tcPr>
          <w:p>
            <w:pPr>
              <w:jc w:val="center"/>
              <w:rPr>
                <w:noProof/>
                <w:sz w:val="20"/>
              </w:rPr>
            </w:pPr>
            <w:r>
              <w:rPr>
                <w:noProof/>
                <w:sz w:val="20"/>
              </w:rPr>
              <w:t>Година</w:t>
            </w:r>
            <w:r>
              <w:rPr>
                <w:noProof/>
                <w:sz w:val="20"/>
              </w:rPr>
              <w:br/>
            </w:r>
            <w:r>
              <w:rPr>
                <w:b/>
                <w:noProof/>
                <w:sz w:val="20"/>
              </w:rPr>
              <w:t>N+1</w:t>
            </w:r>
          </w:p>
        </w:tc>
        <w:tc>
          <w:tcPr>
            <w:tcW w:w="964" w:type="dxa"/>
            <w:vAlign w:val="center"/>
          </w:tcPr>
          <w:p>
            <w:pPr>
              <w:jc w:val="center"/>
              <w:rPr>
                <w:noProof/>
                <w:sz w:val="20"/>
              </w:rPr>
            </w:pPr>
            <w:r>
              <w:rPr>
                <w:noProof/>
                <w:sz w:val="20"/>
              </w:rPr>
              <w:t>Година</w:t>
            </w:r>
            <w:r>
              <w:rPr>
                <w:noProof/>
                <w:sz w:val="20"/>
              </w:rPr>
              <w:br/>
            </w:r>
            <w:r>
              <w:rPr>
                <w:b/>
                <w:noProof/>
                <w:sz w:val="20"/>
              </w:rPr>
              <w:t>N+2</w:t>
            </w:r>
          </w:p>
        </w:tc>
        <w:tc>
          <w:tcPr>
            <w:tcW w:w="964" w:type="dxa"/>
            <w:vAlign w:val="center"/>
          </w:tcPr>
          <w:p>
            <w:pPr>
              <w:jc w:val="center"/>
              <w:rPr>
                <w:noProof/>
                <w:sz w:val="20"/>
              </w:rPr>
            </w:pPr>
            <w:r>
              <w:rPr>
                <w:noProof/>
                <w:sz w:val="20"/>
              </w:rPr>
              <w:t>Година</w:t>
            </w:r>
            <w:r>
              <w:rPr>
                <w:noProof/>
                <w:sz w:val="20"/>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iCs/>
          <w:noProof/>
          <w:szCs w:val="24"/>
        </w:rPr>
      </w:pPr>
      <w:r>
        <w:rPr>
          <w:noProof/>
        </w:rPr>
        <w:br w:type="page"/>
      </w:r>
      <w:r>
        <w:t>7.3.</w:t>
      </w:r>
      <w:r>
        <w:tab/>
      </w:r>
      <w:r>
        <w:rPr>
          <w:noProof/>
        </w:rPr>
        <w:t xml:space="preserve">Очаквано отражение върху приходите </w:t>
      </w:r>
    </w:p>
    <w:p>
      <w:pPr>
        <w:pStyle w:val="ListDash1"/>
        <w:rPr>
          <w:noProof/>
        </w:rPr>
      </w:pPr>
      <w:r>
        <w:rPr>
          <w:noProof/>
        </w:rPr>
        <w:t>x</w:t>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tabs>
          <w:tab w:val="clear" w:pos="2126"/>
        </w:tabs>
        <w:rPr>
          <w:noProof/>
        </w:rPr>
      </w:pPr>
      <w:r>
        <w:rPr>
          <w:noProof/>
        </w:rPr>
        <w:sym w:font="Wingdings" w:char="F0A8"/>
      </w:r>
      <w:r>
        <w:rPr>
          <w:noProof/>
        </w:rPr>
        <w:tab/>
        <w:t xml:space="preserve">върху собствените ресурси </w:t>
      </w:r>
    </w:p>
    <w:p>
      <w:pPr>
        <w:pStyle w:val="ListNumberLevel3"/>
        <w:tabs>
          <w:tab w:val="clear" w:pos="2126"/>
        </w:tabs>
        <w:rPr>
          <w:noProof/>
        </w:rPr>
      </w:pPr>
      <w:r>
        <w:rPr>
          <w:noProof/>
        </w:rPr>
        <w:sym w:font="Wingdings" w:char="F0A8"/>
      </w:r>
      <w:r>
        <w:rPr>
          <w:noProof/>
        </w:rPr>
        <w:tab/>
        <w:t xml:space="preserve">върху разните приходи </w:t>
      </w:r>
    </w:p>
    <w:p>
      <w:pPr>
        <w:jc w:val="right"/>
        <w:rPr>
          <w:i/>
          <w:noProof/>
          <w:sz w:val="20"/>
        </w:rPr>
      </w:pPr>
      <w:r>
        <w:rPr>
          <w:noProof/>
          <w:sz w:val="20"/>
        </w:rPr>
        <w:t>млн. евро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17"/>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noProof/>
                <w:sz w:val="18"/>
              </w:rPr>
              <w:br/>
            </w:r>
            <w:r>
              <w:rPr>
                <w:b/>
                <w:noProof/>
                <w:sz w:val="18"/>
              </w:rPr>
              <w:t>N</w:t>
            </w:r>
          </w:p>
        </w:tc>
        <w:tc>
          <w:tcPr>
            <w:tcW w:w="900" w:type="dxa"/>
            <w:vAlign w:val="center"/>
          </w:tcPr>
          <w:p>
            <w:pPr>
              <w:jc w:val="center"/>
              <w:rPr>
                <w:noProof/>
                <w:sz w:val="18"/>
              </w:rPr>
            </w:pPr>
            <w:r>
              <w:rPr>
                <w:noProof/>
                <w:sz w:val="18"/>
              </w:rPr>
              <w:t>Година</w:t>
            </w:r>
            <w:r>
              <w:rPr>
                <w:noProof/>
                <w:sz w:val="18"/>
              </w:rPr>
              <w:br/>
            </w:r>
            <w:r>
              <w:rPr>
                <w:b/>
                <w:noProof/>
                <w:sz w:val="18"/>
              </w:rPr>
              <w:t>N+1</w:t>
            </w:r>
          </w:p>
        </w:tc>
        <w:tc>
          <w:tcPr>
            <w:tcW w:w="900" w:type="dxa"/>
            <w:vAlign w:val="center"/>
          </w:tcPr>
          <w:p>
            <w:pPr>
              <w:jc w:val="center"/>
              <w:rPr>
                <w:noProof/>
                <w:sz w:val="18"/>
              </w:rPr>
            </w:pPr>
            <w:r>
              <w:rPr>
                <w:noProof/>
                <w:sz w:val="18"/>
              </w:rPr>
              <w:t>Година</w:t>
            </w:r>
            <w:r>
              <w:rPr>
                <w:noProof/>
                <w:sz w:val="18"/>
              </w:rPr>
              <w:br/>
            </w:r>
            <w:r>
              <w:rPr>
                <w:b/>
                <w:noProof/>
                <w:sz w:val="18"/>
              </w:rPr>
              <w:t>N+2</w:t>
            </w:r>
          </w:p>
        </w:tc>
        <w:tc>
          <w:tcPr>
            <w:tcW w:w="1080" w:type="dxa"/>
            <w:vAlign w:val="center"/>
          </w:tcPr>
          <w:p>
            <w:pPr>
              <w:jc w:val="center"/>
              <w:rPr>
                <w:noProof/>
                <w:sz w:val="18"/>
              </w:rPr>
            </w:pPr>
            <w:r>
              <w:rPr>
                <w:noProof/>
                <w:sz w:val="18"/>
              </w:rPr>
              <w:t>Година</w:t>
            </w:r>
            <w:r>
              <w:rPr>
                <w:noProof/>
                <w:sz w:val="18"/>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p>
      <w:pPr>
        <w:keepNext/>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ОВ C , ... г., стр. ...</w:t>
      </w:r>
    </w:p>
  </w:footnote>
  <w:footnote w:id="2">
    <w:p>
      <w:pPr>
        <w:spacing w:before="0" w:after="0"/>
        <w:ind w:left="709" w:hanging="709"/>
      </w:pPr>
      <w:r>
        <w:rPr>
          <w:rStyle w:val="FootnoteReference"/>
        </w:rPr>
        <w:footnoteRef/>
      </w:r>
      <w:r>
        <w:tab/>
      </w:r>
      <w:r>
        <w:rPr>
          <w:sz w:val="20"/>
        </w:rPr>
        <w:t>Регламент (ЕО) № 1801/2006 на Съвета от 30 ноември 2006 г. относно сключването на Споразумението за партньорство в областта на рибарството между Европейската общност и Ислямска република Мавритания (ОВ L 343, 8.12.2006 г., стр. 1).</w:t>
      </w:r>
    </w:p>
  </w:footnote>
  <w:footnote w:id="3">
    <w:p>
      <w:pPr>
        <w:pStyle w:val="FootnoteText"/>
      </w:pPr>
      <w:r>
        <w:rPr>
          <w:rStyle w:val="FootnoteReference"/>
        </w:rPr>
        <w:footnoteRef/>
      </w:r>
      <w:r>
        <w:tab/>
        <w:t>Решение (ЕС) ... на Съвета относно подписването от името на Европейския съюз и временното прилагане на Протокола за определяне на възможностите за риболов и на финансовото участие, предвидени в Споразумението за партньорство в областта на рибарството между Общността и Ислямска република Мавритания, за период от четири години (ОВ L ..., ... г., стр. ...).</w:t>
      </w:r>
    </w:p>
  </w:footnote>
  <w:footnote w:id="4">
    <w:p>
      <w:pPr>
        <w:pStyle w:val="FootnoteText"/>
        <w:rPr>
          <w:szCs w:val="24"/>
        </w:rPr>
      </w:pPr>
      <w:r>
        <w:rPr>
          <w:rStyle w:val="FootnoteReference"/>
        </w:rPr>
        <w:footnoteRef/>
      </w:r>
      <w:r>
        <w:tab/>
        <w:t>УД: управление по дейности; БД: бюджетиране по дейности.</w:t>
      </w:r>
    </w:p>
  </w:footnote>
  <w:footnote w:id="5">
    <w:p>
      <w:pPr>
        <w:pStyle w:val="FootnoteText"/>
        <w:rPr>
          <w:szCs w:val="24"/>
        </w:rPr>
      </w:pPr>
      <w:r>
        <w:rPr>
          <w:rStyle w:val="FootnoteReference"/>
        </w:rPr>
        <w:footnoteRef/>
      </w:r>
      <w:r>
        <w:tab/>
        <w:t>Съгласно член 54, параграф 2, буква а) или б) от Финансовия регламент.</w:t>
      </w:r>
    </w:p>
  </w:footnote>
  <w:footnote w:id="6">
    <w:p>
      <w:pPr>
        <w:pStyle w:val="FootnoteTex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r>
          <w:rPr>
            <w:rStyle w:val="Hyperlink"/>
            <w:noProof/>
            <w:sz w:val="18"/>
          </w:rPr>
          <w:t>http://www.cc.cec/budg/man/budgmanag/budgmanag_en.html</w:t>
        </w:r>
      </w:hyperlink>
    </w:p>
  </w:footnote>
  <w:footnote w:id="7">
    <w:p>
      <w:pPr>
        <w:pStyle w:val="FootnoteText"/>
        <w:rPr>
          <w:szCs w:val="24"/>
        </w:rPr>
      </w:pPr>
      <w:r>
        <w:rPr>
          <w:rStyle w:val="FootnoteReference"/>
        </w:rPr>
        <w:footnoteRef/>
      </w:r>
      <w:r>
        <w:tab/>
        <w:t>МБК = многогодишни бюджетни кредити / ЕБК = едногодишни бюджетни кредити.</w:t>
      </w:r>
    </w:p>
  </w:footnote>
  <w:footnote w:id="8">
    <w:p>
      <w:pPr>
        <w:pStyle w:val="FootnoteText"/>
        <w:rPr>
          <w:szCs w:val="24"/>
        </w:rPr>
      </w:pPr>
      <w:r>
        <w:rPr>
          <w:rStyle w:val="FootnoteReference"/>
        </w:rPr>
        <w:footnoteRef/>
      </w:r>
      <w:r>
        <w:tab/>
        <w:t xml:space="preserve">ЕАСТ: Европейска асоциация за свободна търговия. </w:t>
      </w:r>
    </w:p>
  </w:footnote>
  <w:footnote w:id="9">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10">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 Това обхваща, наред с останалото, разходите за участие на експерти от ЕС в годишните заседания на Независимия съвместен научен комитет (член 4.1 от Протокола) и последваща оценка през последната година от валидността на протокола (на което се дължи увеличението по този бюджетен ред през 2018 г.).</w:t>
      </w:r>
    </w:p>
  </w:footnote>
  <w:footnote w:id="11">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12">
    <w:p>
      <w:pPr>
        <w:pStyle w:val="FootnoteText"/>
        <w:rPr>
          <w:szCs w:val="24"/>
        </w:rPr>
      </w:pPr>
      <w:r>
        <w:rPr>
          <w:rStyle w:val="FootnoteReference"/>
        </w:rPr>
        <w:footnoteRef/>
      </w:r>
      <w:r>
        <w:tab/>
        <w:t xml:space="preserve">Съгласно описанието в точка 1.4.2. „Конкретни цели…“. </w:t>
      </w:r>
    </w:p>
  </w:footnote>
  <w:footnote w:id="13">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изследвания, преки изследвания.</w:t>
      </w:r>
    </w:p>
  </w:footnote>
  <w:footnote w:id="14">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15">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16">
    <w:p>
      <w:pPr>
        <w:pStyle w:val="FootnoteText"/>
        <w:rPr>
          <w:szCs w:val="24"/>
        </w:rPr>
      </w:pPr>
      <w:r>
        <w:rPr>
          <w:rStyle w:val="FootnoteReference"/>
        </w:rPr>
        <w:footnoteRef/>
      </w:r>
      <w:r>
        <w:tab/>
        <w:t>Вж. точки 19 и 24 от Междуинституционалното споразумение (за периода 2007—2013 г.)</w:t>
      </w:r>
    </w:p>
  </w:footnote>
  <w:footnote w:id="17">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0B29E5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BC96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99825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BC69E9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AE80A9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C64EDE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0596BBFA"/>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16"/>
  </w:num>
  <w:num w:numId="3">
    <w:abstractNumId w:val="15"/>
  </w:num>
  <w:num w:numId="4">
    <w:abstractNumId w:val="23"/>
  </w:num>
  <w:num w:numId="5">
    <w:abstractNumId w:val="6"/>
  </w:num>
  <w:num w:numId="6">
    <w:abstractNumId w:val="5"/>
  </w:num>
  <w:num w:numId="7">
    <w:abstractNumId w:val="4"/>
  </w:num>
  <w:num w:numId="8">
    <w:abstractNumId w:val="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0"/>
  </w:num>
  <w:num w:numId="13">
    <w:abstractNumId w:val="20"/>
    <w:lvlOverride w:ilvl="0">
      <w:startOverride w:val="1"/>
    </w:lvlOverride>
  </w:num>
  <w:num w:numId="14">
    <w:abstractNumId w:val="24"/>
    <w:lvlOverride w:ilvl="0">
      <w:startOverride w:val="1"/>
    </w:lvlOverride>
  </w:num>
  <w:num w:numId="15">
    <w:abstractNumId w:val="20"/>
  </w:num>
  <w:num w:numId="16">
    <w:abstractNumId w:val="12"/>
  </w:num>
  <w:num w:numId="17">
    <w:abstractNumId w:val="22"/>
  </w:num>
  <w:num w:numId="18">
    <w:abstractNumId w:val="11"/>
  </w:num>
  <w:num w:numId="19">
    <w:abstractNumId w:val="13"/>
  </w:num>
  <w:num w:numId="20">
    <w:abstractNumId w:val="9"/>
  </w:num>
  <w:num w:numId="21">
    <w:abstractNumId w:val="21"/>
  </w:num>
  <w:num w:numId="22">
    <w:abstractNumId w:val="8"/>
  </w:num>
  <w:num w:numId="23">
    <w:abstractNumId w:val="14"/>
  </w:num>
  <w:num w:numId="24">
    <w:abstractNumId w:val="18"/>
  </w:num>
  <w:num w:numId="25">
    <w:abstractNumId w:val="19"/>
  </w:num>
  <w:num w:numId="26">
    <w:abstractNumId w:val="10"/>
  </w:num>
  <w:num w:numId="27">
    <w:abstractNumId w:val="17"/>
  </w:num>
  <w:num w:numId="2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oNotTrackMoves/>
  <w:defaultTabStop w:val="720"/>
  <w:hyphenationZone w:val="425"/>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0-01 09:57: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1"/>
    <w:docVar w:name="DQCResult_StructureCheck" w:val="0;0"/>
    <w:docVar w:name="DQCResult_SuperfluousWhitespace" w:val="0;9"/>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480DB5B7146D4A9C9034E6D172FF4046"/>
    <w:docVar w:name="LW_CROSSREFERENCE" w:val="&lt;UNUSED&gt;"/>
    <w:docVar w:name="LW_DocType" w:val="COM"/>
    <w:docVar w:name="LW_EMISSION" w:val="1.10.2015"/>
    <w:docVar w:name="LW_EMISSION_ISODATE" w:val="2015-10-0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29"/>
    <w:docVar w:name="LW_REF.II.NEW.CP_YEAR" w:val="2015"/>
    <w:docVar w:name="LW_REF.INST.NEW" w:val="COM"/>
    <w:docVar w:name="LW_REF.INST.NEW_ADOPTED" w:val="final"/>
    <w:docVar w:name="LW_REF.INST.NEW_TEXT" w:val="(2015) 477"/>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9?\u1082?\u1083?\u1102?\u1095?\u1074?\u1072?\u1085?\u1077?\u1090?\u1086? \u1085?\u1072? \u1087?\u1088?\u1086?\u1090?\u1086?\u1082?\u1086?\u1083?\u1072? \u1079?\u1072? \u1086?\u1087?\u1088?\u1077?\u1076?\u1077?\u1083?\u1103?\u1085?\u1077? \u1085?\u1072? \u1074?\u1098?\u1079?\u1084?\u1086?\u1078?\u1085?\u1086?\u1089?\u1090?\u1080?\u1090?\u1077? \u1079?\u1072? \u1088?\u1080?\u1073?\u1086?\u1083?\u1086?\u1074? \u1080? \u1085?\u1072? \u1092?\u1080?\u1085?\u1072?\u1085?\u1089?\u1086?\u1074?\u1086?\u1090?\u1086? \u1091?\u1095?\u1072?\u1089?\u1090?\u1080?\u1077?, \u1087?\u1088?\u1077?\u1076?\u1074?\u1080?\u1076?\u1077?\u1085?\u1080? \u1074? \u1057?\u1087?\u1086?\u1088?\u1072?\u1079?\u1091?\u1084?\u1077?\u1085?\u1080?\u1077?\u1090?\u1086? \u1079?\u1072? \u1087?\u1072?\u1088?\u1090?\u1085?\u1100?\u1086?\u1088?\u1089?\u1090?\u1074?\u1086? \u1074? \u1086?\u1073?\u1083?\u1072?\u1089?\u1090?\u1090?\u1072? \u1085?\u1072? \u1088?\u1080?\u1073?\u1072?\u1088?\u1089?\u1090?\u1074?\u1086?\u1090?\u1086? \u1084?\u1077?\u1078?\u1076?\u1091? \u1045?\u1074?\u1088?\u1086?\u1087?\u1077?\u1081?\u1089?\u1082?\u1072?\u1090?\u1072? \u1086?\u1073?\u1097?\u1085?\u1086?\u1089?\u1090? \u1080? \u1048?\u1089?\u1083?\u1103?\u1084?\u1089?\u1082?\u1072? \u1088?\u1077?\u1087?\u1091?\u1073?\u1083?\u1080?\u1082?\u1072? \u1052?\u1072?\u1074?\u1088?\u1080?\u1090?\u1072?\u1085?\u1080?\u1103? \u1079?\u1072? \u1087?\u1077?\u1088?\u1080?\u1086?\u1076? \u1086?\u1090? \u1095?\u1077?\u1090?\u1080?\u1088?\u1080? \u1075?\u1086?\u1076?\u1080?\u1085?\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szCs w:val="24"/>
    </w:rPr>
  </w:style>
  <w:style w:type="paragraph" w:customStyle="1" w:styleId="ListBullet1">
    <w:name w:val="List Bullet 1"/>
    <w:basedOn w:val="Normal"/>
    <w:pPr>
      <w:numPr>
        <w:numId w:val="1"/>
      </w:numPr>
    </w:pPr>
    <w:rPr>
      <w:rFonts w:eastAsia="Times New Roman"/>
      <w:szCs w:val="24"/>
    </w:rPr>
  </w:style>
  <w:style w:type="paragraph" w:customStyle="1" w:styleId="ListDash1">
    <w:name w:val="List Dash 1"/>
    <w:basedOn w:val="Normal"/>
    <w:pPr>
      <w:numPr>
        <w:numId w:val="2"/>
      </w:numPr>
    </w:pPr>
    <w:rPr>
      <w:rFonts w:eastAsia="Times New Roman"/>
      <w:szCs w:val="24"/>
    </w:rPr>
  </w:style>
  <w:style w:type="paragraph" w:customStyle="1" w:styleId="ListDash2">
    <w:name w:val="List Dash 2"/>
    <w:basedOn w:val="Normal"/>
    <w:pPr>
      <w:numPr>
        <w:numId w:val="3"/>
      </w:numPr>
    </w:pPr>
    <w:rPr>
      <w:rFonts w:eastAsia="Times New Roman"/>
      <w:szCs w:val="24"/>
    </w:rPr>
  </w:style>
  <w:style w:type="paragraph" w:customStyle="1" w:styleId="ListNumberLevel2">
    <w:name w:val="List Number (Level 2)"/>
    <w:basedOn w:val="Normal"/>
    <w:pPr>
      <w:numPr>
        <w:ilvl w:val="1"/>
        <w:numId w:val="4"/>
      </w:numPr>
    </w:pPr>
    <w:rPr>
      <w:rFonts w:eastAsia="Times New Roman"/>
      <w:szCs w:val="24"/>
    </w:rPr>
  </w:style>
  <w:style w:type="paragraph" w:customStyle="1" w:styleId="ListNumberLevel3">
    <w:name w:val="List Number (Level 3)"/>
    <w:basedOn w:val="Normal"/>
    <w:pPr>
      <w:numPr>
        <w:ilvl w:val="2"/>
        <w:numId w:val="4"/>
      </w:numPr>
    </w:pPr>
    <w:rPr>
      <w:rFonts w:eastAsia="Times New Roman"/>
      <w:szCs w:val="24"/>
    </w:rPr>
  </w:style>
  <w:style w:type="paragraph" w:customStyle="1" w:styleId="ListNumberLevel4">
    <w:name w:val="List Number (Level 4)"/>
    <w:basedOn w:val="Normal"/>
    <w:pPr>
      <w:numPr>
        <w:ilvl w:val="3"/>
        <w:numId w:val="4"/>
      </w:numPr>
    </w:pPr>
    <w:rPr>
      <w:rFonts w:eastAsia="Times New Roman"/>
      <w:szCs w:val="24"/>
    </w:rPr>
  </w:style>
  <w:style w:type="character" w:styleId="Hyperlink">
    <w:name w:val="Hyperlink"/>
    <w:rPr>
      <w:color w:val="0000FF"/>
      <w:u w:val="single"/>
    </w:rPr>
  </w:style>
  <w:style w:type="character" w:customStyle="1" w:styleId="Text1Char">
    <w:name w:val="Text 1 Char"/>
    <w:rPr>
      <w:rFonts w:ascii="Times New Roman" w:hAnsi="Times New Roman"/>
      <w:sz w:val="24"/>
      <w:szCs w:val="22"/>
      <w:lang w:eastAsia="bg-BG"/>
    </w:rPr>
  </w:style>
  <w:style w:type="character" w:styleId="FollowedHyperlink">
    <w:name w:val="FollowedHyperlink"/>
    <w:uiPriority w:val="99"/>
    <w:semiHidden/>
    <w:unhideWhenUsed/>
    <w:rPr>
      <w:color w:val="800080"/>
      <w:u w:val="single"/>
    </w:r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425596">
      <w:bodyDiv w:val="1"/>
      <w:marLeft w:val="0"/>
      <w:marRight w:val="0"/>
      <w:marTop w:val="0"/>
      <w:marBottom w:val="0"/>
      <w:divBdr>
        <w:top w:val="none" w:sz="0" w:space="0" w:color="auto"/>
        <w:left w:val="none" w:sz="0" w:space="0" w:color="auto"/>
        <w:bottom w:val="none" w:sz="0" w:space="0" w:color="auto"/>
        <w:right w:val="none" w:sz="0" w:space="0" w:color="auto"/>
      </w:divBdr>
    </w:div>
    <w:div w:id="753162812">
      <w:bodyDiv w:val="1"/>
      <w:marLeft w:val="0"/>
      <w:marRight w:val="0"/>
      <w:marTop w:val="0"/>
      <w:marBottom w:val="0"/>
      <w:divBdr>
        <w:top w:val="none" w:sz="0" w:space="0" w:color="auto"/>
        <w:left w:val="none" w:sz="0" w:space="0" w:color="auto"/>
        <w:bottom w:val="none" w:sz="0" w:space="0" w:color="auto"/>
        <w:right w:val="none" w:sz="0" w:space="0" w:color="auto"/>
      </w:divBdr>
    </w:div>
    <w:div w:id="754668176">
      <w:bodyDiv w:val="1"/>
      <w:marLeft w:val="0"/>
      <w:marRight w:val="0"/>
      <w:marTop w:val="0"/>
      <w:marBottom w:val="0"/>
      <w:divBdr>
        <w:top w:val="none" w:sz="0" w:space="0" w:color="auto"/>
        <w:left w:val="none" w:sz="0" w:space="0" w:color="auto"/>
        <w:bottom w:val="none" w:sz="0" w:space="0" w:color="auto"/>
        <w:right w:val="none" w:sz="0" w:space="0" w:color="auto"/>
      </w:divBdr>
      <w:divsChild>
        <w:div w:id="1830097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DA420-03C7-4593-9827-4E7D176AA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25</Pages>
  <Words>4195</Words>
  <Characters>25047</Characters>
  <Application>Microsoft Office Word</Application>
  <DocSecurity>0</DocSecurity>
  <Lines>1318</Lines>
  <Paragraphs>664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28578</CharactersWithSpaces>
  <SharedDoc>false</SharedDoc>
  <HLinks>
    <vt:vector size="6" baseType="variant">
      <vt:variant>
        <vt:i4>7209039</vt:i4>
      </vt:variant>
      <vt:variant>
        <vt:i4>0</vt:i4>
      </vt:variant>
      <vt:variant>
        <vt:i4>0</vt:i4>
      </vt:variant>
      <vt:variant>
        <vt:i4>5</vt:i4>
      </vt:variant>
      <vt:variant>
        <vt:lpwstr>http://www.cc.cec/budg/man/budgmanag/budgmanag_en.html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2015-08-07T10:03:00Z</cp:lastPrinted>
  <dcterms:created xsi:type="dcterms:W3CDTF">2015-09-23T11:43:00Z</dcterms:created>
  <dcterms:modified xsi:type="dcterms:W3CDTF">2015-10-01T07:57:00Z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LWCR Document">
    <vt:lpwstr>True</vt:lpwstr>
  </property>
  <property fmtid="{D5CDD505-2E9C-101B-9397-08002B2CF9AE}" pid="11" name="LWCR Version">
    <vt:lpwstr>1.6.413</vt:lpwstr>
  </property>
  <property fmtid="{D5CDD505-2E9C-101B-9397-08002B2CF9AE}" pid="12" name="DQCStatus">
    <vt:lpwstr>Green (DQC version 03)</vt:lpwstr>
  </property>
</Properties>
</file>