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689" w:rsidRDefault="00B55B79" w:rsidP="00B55B79">
      <w:pPr>
        <w:pStyle w:val="Pagedecouverture"/>
      </w:pPr>
      <w:bookmarkStart w:id="0" w:name="_DMBM_2597"/>
      <w:bookmarkStart w:id="1" w:name="_CSF_TOC_1"/>
      <w:bookmarkStart w:id="2"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B1EB5B58A8BB475DB288364DE2A3E38D" style="width:450.75pt;height:321pt">
            <v:imagedata r:id="rId10" o:title=""/>
          </v:shape>
        </w:pict>
      </w:r>
    </w:p>
    <w:bookmarkEnd w:id="2"/>
    <w:p w:rsidR="0012099B" w:rsidRDefault="0012099B" w:rsidP="0012099B">
      <w:pPr>
        <w:sectPr w:rsidR="0012099B" w:rsidSect="00B55B79">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rsidR="00F50689" w:rsidRDefault="00F50689" w:rsidP="00F50689">
      <w:pPr>
        <w:pStyle w:val="CoverPage"/>
      </w:pPr>
    </w:p>
    <w:p w:rsidR="00F50689" w:rsidRDefault="00F50689" w:rsidP="00F50689">
      <w:pPr>
        <w:pStyle w:val="CoverPage"/>
      </w:pPr>
    </w:p>
    <w:p w:rsidR="00F50689" w:rsidRDefault="005A36C4" w:rsidP="00F50689">
      <w:pPr>
        <w:pStyle w:val="CoverPage"/>
      </w:pPr>
      <w:r>
        <w:t xml:space="preserve">Консолидирани годишни отчети на </w:t>
      </w:r>
      <w:r>
        <w:br/>
        <w:t xml:space="preserve">Европейския съюз </w:t>
      </w:r>
    </w:p>
    <w:p w:rsidR="00F50689" w:rsidRDefault="005A36C4" w:rsidP="00F50689">
      <w:pPr>
        <w:pStyle w:val="CoverPage"/>
      </w:pPr>
      <w:r>
        <w:t>2014 финансова година</w:t>
      </w:r>
    </w:p>
    <w:p w:rsidR="00F50689" w:rsidRDefault="00F50689" w:rsidP="00F50689">
      <w:pPr>
        <w:pStyle w:val="CoverPage"/>
      </w:pPr>
    </w:p>
    <w:p w:rsidR="00F50689" w:rsidRDefault="00F50689" w:rsidP="00F50689">
      <w:pPr>
        <w:pStyle w:val="CoverPage"/>
      </w:pPr>
    </w:p>
    <w:p w:rsidR="00F50689" w:rsidRPr="00522083" w:rsidRDefault="005A36C4" w:rsidP="00F50689">
      <w:pPr>
        <w:pStyle w:val="CoverPage"/>
        <w:sectPr w:rsidR="00F50689" w:rsidRPr="00522083" w:rsidSect="0012099B">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8" w:footer="708" w:gutter="0"/>
          <w:cols w:space="720"/>
          <w:docGrid w:linePitch="360"/>
        </w:sectPr>
      </w:pPr>
      <w:r>
        <w:t xml:space="preserve"> </w:t>
      </w:r>
      <w:bookmarkEnd w:id="0"/>
    </w:p>
    <w:p w:rsidR="00F50689" w:rsidRDefault="005A36C4" w:rsidP="00F50689">
      <w:pPr>
        <w:pStyle w:val="HEADERTABLE"/>
      </w:pPr>
      <w:bookmarkStart w:id="3" w:name="_DMBM_2598"/>
      <w:r>
        <w:lastRenderedPageBreak/>
        <w:t>СЪДЪРЖАНИЕ</w:t>
      </w:r>
    </w:p>
    <w:p w:rsidR="00F50689" w:rsidRDefault="00F50689" w:rsidP="00F50689">
      <w:pPr>
        <w:pStyle w:val="HEADERTABLE"/>
      </w:pPr>
    </w:p>
    <w:p w:rsidR="00F50689" w:rsidRPr="00E33112" w:rsidRDefault="007B09E9" w:rsidP="007B09E9">
      <w:pPr>
        <w:pStyle w:val="HEADERTABLE"/>
        <w:tabs>
          <w:tab w:val="left" w:pos="3118"/>
        </w:tabs>
      </w:pPr>
      <w:r>
        <w:tab/>
      </w:r>
    </w:p>
    <w:p w:rsidR="003879AD" w:rsidRDefault="003879AD">
      <w:pPr>
        <w:pStyle w:val="TOC1"/>
        <w:rPr>
          <w:rFonts w:asciiTheme="minorHAnsi" w:eastAsiaTheme="minorEastAsia" w:hAnsiTheme="minorHAnsi" w:cstheme="minorBidi"/>
          <w:color w:val="auto"/>
          <w:szCs w:val="22"/>
          <w:lang w:val="en-GB" w:eastAsia="en-GB" w:bidi="ar-SA"/>
        </w:rPr>
      </w:pPr>
      <w:r>
        <w:rPr>
          <w:szCs w:val="24"/>
          <w:lang w:val="en-GB" w:eastAsia="en-GB"/>
        </w:rPr>
        <w:fldChar w:fldCharType="begin"/>
      </w:r>
      <w:r w:rsidRPr="00D01CA2">
        <w:instrText xml:space="preserve"> TOC \h \z \t "FIRST CHAPTER_PAGE_1;1;FIRST_CHAPTER_PAGE;1;HEADER_TITLE_1;1" </w:instrText>
      </w:r>
      <w:r>
        <w:rPr>
          <w:szCs w:val="24"/>
          <w:lang w:val="en-GB" w:eastAsia="en-GB"/>
        </w:rPr>
        <w:fldChar w:fldCharType="separate"/>
      </w:r>
      <w:hyperlink w:anchor="_Toc431302338" w:history="1">
        <w:r w:rsidRPr="00641598">
          <w:rPr>
            <w:rStyle w:val="Hyperlink"/>
          </w:rPr>
          <w:t>ОБСЪЖДАНЕ И АНАЛИЗ НА ФИНАНСОВИТЕ ОТЧЕТИ</w:t>
        </w:r>
        <w:r>
          <w:rPr>
            <w:webHidden/>
          </w:rPr>
          <w:tab/>
        </w:r>
        <w:r>
          <w:rPr>
            <w:webHidden/>
          </w:rPr>
          <w:fldChar w:fldCharType="begin"/>
        </w:r>
        <w:r>
          <w:rPr>
            <w:webHidden/>
          </w:rPr>
          <w:instrText xml:space="preserve"> PAGEREF _Toc431302338 \h </w:instrText>
        </w:r>
        <w:r>
          <w:rPr>
            <w:webHidden/>
          </w:rPr>
        </w:r>
        <w:r>
          <w:rPr>
            <w:webHidden/>
          </w:rPr>
          <w:fldChar w:fldCharType="separate"/>
        </w:r>
        <w:r w:rsidR="005D3A22">
          <w:rPr>
            <w:webHidden/>
          </w:rPr>
          <w:t>3</w:t>
        </w:r>
        <w:r>
          <w:rPr>
            <w:webHidden/>
          </w:rPr>
          <w:fldChar w:fldCharType="end"/>
        </w:r>
      </w:hyperlink>
    </w:p>
    <w:p w:rsidR="003879AD" w:rsidRDefault="00B55B79">
      <w:pPr>
        <w:pStyle w:val="TOC1"/>
        <w:rPr>
          <w:rFonts w:asciiTheme="minorHAnsi" w:eastAsiaTheme="minorEastAsia" w:hAnsiTheme="minorHAnsi" w:cstheme="minorBidi"/>
          <w:color w:val="auto"/>
          <w:szCs w:val="22"/>
          <w:lang w:val="en-GB" w:eastAsia="en-GB" w:bidi="ar-SA"/>
        </w:rPr>
      </w:pPr>
      <w:hyperlink w:anchor="_Toc431302339" w:history="1">
        <w:r w:rsidR="003879AD" w:rsidRPr="00641598">
          <w:rPr>
            <w:rStyle w:val="Hyperlink"/>
          </w:rPr>
          <w:t>БЕЛЕЖКА, ПРИДРУЖАВАЩА КОНСОЛИДИРАНИТЕ ОТЧЕТИ</w:t>
        </w:r>
        <w:r w:rsidR="003879AD">
          <w:rPr>
            <w:webHidden/>
          </w:rPr>
          <w:tab/>
        </w:r>
        <w:r w:rsidR="003879AD">
          <w:rPr>
            <w:webHidden/>
          </w:rPr>
          <w:fldChar w:fldCharType="begin"/>
        </w:r>
        <w:r w:rsidR="003879AD">
          <w:rPr>
            <w:webHidden/>
          </w:rPr>
          <w:instrText xml:space="preserve"> PAGEREF _Toc431302339 \h </w:instrText>
        </w:r>
        <w:r w:rsidR="003879AD">
          <w:rPr>
            <w:webHidden/>
          </w:rPr>
        </w:r>
        <w:r w:rsidR="003879AD">
          <w:rPr>
            <w:webHidden/>
          </w:rPr>
          <w:fldChar w:fldCharType="separate"/>
        </w:r>
        <w:r w:rsidR="005D3A22">
          <w:rPr>
            <w:webHidden/>
          </w:rPr>
          <w:t>25</w:t>
        </w:r>
        <w:r w:rsidR="003879AD">
          <w:rPr>
            <w:webHidden/>
          </w:rPr>
          <w:fldChar w:fldCharType="end"/>
        </w:r>
      </w:hyperlink>
    </w:p>
    <w:p w:rsidR="003879AD" w:rsidRDefault="00B55B79">
      <w:pPr>
        <w:pStyle w:val="TOC1"/>
        <w:rPr>
          <w:rFonts w:asciiTheme="minorHAnsi" w:eastAsiaTheme="minorEastAsia" w:hAnsiTheme="minorHAnsi" w:cstheme="minorBidi"/>
          <w:color w:val="auto"/>
          <w:szCs w:val="22"/>
          <w:lang w:val="en-GB" w:eastAsia="en-GB" w:bidi="ar-SA"/>
        </w:rPr>
      </w:pPr>
      <w:hyperlink w:anchor="_Toc431302340" w:history="1">
        <w:r w:rsidR="003879AD" w:rsidRPr="00641598">
          <w:rPr>
            <w:rStyle w:val="Hyperlink"/>
          </w:rPr>
          <w:t>КОНСОЛИДИРАНИ ФИНАНСОВИ ОТЧЕТИ И ОБЯСНИТЕЛНИ БЕЛЕЖКИ</w:t>
        </w:r>
        <w:r w:rsidR="003879AD">
          <w:rPr>
            <w:webHidden/>
          </w:rPr>
          <w:tab/>
        </w:r>
        <w:r w:rsidR="003879AD">
          <w:rPr>
            <w:webHidden/>
          </w:rPr>
          <w:fldChar w:fldCharType="begin"/>
        </w:r>
        <w:r w:rsidR="003879AD">
          <w:rPr>
            <w:webHidden/>
          </w:rPr>
          <w:instrText xml:space="preserve"> PAGEREF _Toc431302340 \h </w:instrText>
        </w:r>
        <w:r w:rsidR="003879AD">
          <w:rPr>
            <w:webHidden/>
          </w:rPr>
        </w:r>
        <w:r w:rsidR="003879AD">
          <w:rPr>
            <w:webHidden/>
          </w:rPr>
          <w:fldChar w:fldCharType="separate"/>
        </w:r>
        <w:r w:rsidR="005D3A22">
          <w:rPr>
            <w:webHidden/>
          </w:rPr>
          <w:t>26</w:t>
        </w:r>
        <w:r w:rsidR="003879AD">
          <w:rPr>
            <w:webHidden/>
          </w:rPr>
          <w:fldChar w:fldCharType="end"/>
        </w:r>
      </w:hyperlink>
    </w:p>
    <w:p w:rsidR="003879AD" w:rsidRDefault="00B55B79">
      <w:pPr>
        <w:pStyle w:val="TOC1"/>
        <w:rPr>
          <w:rFonts w:asciiTheme="minorHAnsi" w:eastAsiaTheme="minorEastAsia" w:hAnsiTheme="minorHAnsi" w:cstheme="minorBidi"/>
          <w:color w:val="auto"/>
          <w:szCs w:val="22"/>
          <w:lang w:val="en-GB" w:eastAsia="en-GB" w:bidi="ar-SA"/>
        </w:rPr>
      </w:pPr>
      <w:hyperlink w:anchor="_Toc431302341" w:history="1">
        <w:r w:rsidR="003879AD" w:rsidRPr="00641598">
          <w:rPr>
            <w:rStyle w:val="Hyperlink"/>
          </w:rPr>
          <w:t>СЧЕТОВОДЕН БАЛАНС</w:t>
        </w:r>
        <w:r w:rsidR="003879AD">
          <w:rPr>
            <w:webHidden/>
          </w:rPr>
          <w:tab/>
        </w:r>
        <w:r w:rsidR="003879AD">
          <w:rPr>
            <w:webHidden/>
          </w:rPr>
          <w:fldChar w:fldCharType="begin"/>
        </w:r>
        <w:r w:rsidR="003879AD">
          <w:rPr>
            <w:webHidden/>
          </w:rPr>
          <w:instrText xml:space="preserve"> PAGEREF _Toc431302341 \h </w:instrText>
        </w:r>
        <w:r w:rsidR="003879AD">
          <w:rPr>
            <w:webHidden/>
          </w:rPr>
        </w:r>
        <w:r w:rsidR="003879AD">
          <w:rPr>
            <w:webHidden/>
          </w:rPr>
          <w:fldChar w:fldCharType="separate"/>
        </w:r>
        <w:r w:rsidR="005D3A22">
          <w:rPr>
            <w:webHidden/>
          </w:rPr>
          <w:t>28</w:t>
        </w:r>
        <w:r w:rsidR="003879AD">
          <w:rPr>
            <w:webHidden/>
          </w:rPr>
          <w:fldChar w:fldCharType="end"/>
        </w:r>
      </w:hyperlink>
    </w:p>
    <w:p w:rsidR="003879AD" w:rsidRDefault="00B55B79">
      <w:pPr>
        <w:pStyle w:val="TOC1"/>
        <w:rPr>
          <w:rFonts w:asciiTheme="minorHAnsi" w:eastAsiaTheme="minorEastAsia" w:hAnsiTheme="minorHAnsi" w:cstheme="minorBidi"/>
          <w:color w:val="auto"/>
          <w:szCs w:val="22"/>
          <w:lang w:val="en-GB" w:eastAsia="en-GB" w:bidi="ar-SA"/>
        </w:rPr>
      </w:pPr>
      <w:hyperlink w:anchor="_Toc431302342" w:history="1">
        <w:r w:rsidR="003879AD" w:rsidRPr="00641598">
          <w:rPr>
            <w:rStyle w:val="Hyperlink"/>
          </w:rPr>
          <w:t>ОТЧЕТ ЗА ФИНАНСОВИЯ РЕЗУЛТАТ</w:t>
        </w:r>
        <w:r w:rsidR="003879AD">
          <w:rPr>
            <w:webHidden/>
          </w:rPr>
          <w:tab/>
        </w:r>
        <w:r w:rsidR="003879AD">
          <w:rPr>
            <w:webHidden/>
          </w:rPr>
          <w:fldChar w:fldCharType="begin"/>
        </w:r>
        <w:r w:rsidR="003879AD">
          <w:rPr>
            <w:webHidden/>
          </w:rPr>
          <w:instrText xml:space="preserve"> PAGEREF _Toc431302342 \h </w:instrText>
        </w:r>
        <w:r w:rsidR="003879AD">
          <w:rPr>
            <w:webHidden/>
          </w:rPr>
        </w:r>
        <w:r w:rsidR="003879AD">
          <w:rPr>
            <w:webHidden/>
          </w:rPr>
          <w:fldChar w:fldCharType="separate"/>
        </w:r>
        <w:r w:rsidR="005D3A22">
          <w:rPr>
            <w:webHidden/>
          </w:rPr>
          <w:t>29</w:t>
        </w:r>
        <w:r w:rsidR="003879AD">
          <w:rPr>
            <w:webHidden/>
          </w:rPr>
          <w:fldChar w:fldCharType="end"/>
        </w:r>
      </w:hyperlink>
    </w:p>
    <w:p w:rsidR="003879AD" w:rsidRDefault="00B55B79">
      <w:pPr>
        <w:pStyle w:val="TOC1"/>
        <w:rPr>
          <w:rFonts w:asciiTheme="minorHAnsi" w:eastAsiaTheme="minorEastAsia" w:hAnsiTheme="minorHAnsi" w:cstheme="minorBidi"/>
          <w:color w:val="auto"/>
          <w:szCs w:val="22"/>
          <w:lang w:val="en-GB" w:eastAsia="en-GB" w:bidi="ar-SA"/>
        </w:rPr>
      </w:pPr>
      <w:hyperlink w:anchor="_Toc431302343" w:history="1">
        <w:r w:rsidR="003879AD" w:rsidRPr="00641598">
          <w:rPr>
            <w:rStyle w:val="Hyperlink"/>
          </w:rPr>
          <w:t>ОТЧЕТ ЗА ПАРИЧНИТЕ ПОТОЦИ</w:t>
        </w:r>
        <w:r w:rsidR="003879AD">
          <w:rPr>
            <w:webHidden/>
          </w:rPr>
          <w:tab/>
        </w:r>
        <w:r w:rsidR="003879AD">
          <w:rPr>
            <w:webHidden/>
          </w:rPr>
          <w:fldChar w:fldCharType="begin"/>
        </w:r>
        <w:r w:rsidR="003879AD">
          <w:rPr>
            <w:webHidden/>
          </w:rPr>
          <w:instrText xml:space="preserve"> PAGEREF _Toc431302343 \h </w:instrText>
        </w:r>
        <w:r w:rsidR="003879AD">
          <w:rPr>
            <w:webHidden/>
          </w:rPr>
        </w:r>
        <w:r w:rsidR="003879AD">
          <w:rPr>
            <w:webHidden/>
          </w:rPr>
          <w:fldChar w:fldCharType="separate"/>
        </w:r>
        <w:r w:rsidR="005D3A22">
          <w:rPr>
            <w:webHidden/>
          </w:rPr>
          <w:t>30</w:t>
        </w:r>
        <w:r w:rsidR="003879AD">
          <w:rPr>
            <w:webHidden/>
          </w:rPr>
          <w:fldChar w:fldCharType="end"/>
        </w:r>
      </w:hyperlink>
    </w:p>
    <w:p w:rsidR="003879AD" w:rsidRDefault="00B55B79">
      <w:pPr>
        <w:pStyle w:val="TOC1"/>
        <w:rPr>
          <w:rFonts w:asciiTheme="minorHAnsi" w:eastAsiaTheme="minorEastAsia" w:hAnsiTheme="minorHAnsi" w:cstheme="minorBidi"/>
          <w:color w:val="auto"/>
          <w:szCs w:val="22"/>
          <w:lang w:val="en-GB" w:eastAsia="en-GB" w:bidi="ar-SA"/>
        </w:rPr>
      </w:pPr>
      <w:hyperlink w:anchor="_Toc431302344" w:history="1">
        <w:r w:rsidR="003879AD" w:rsidRPr="00641598">
          <w:rPr>
            <w:rStyle w:val="Hyperlink"/>
          </w:rPr>
          <w:t>ОТЧЕТ ЗА ПРОМЕНИТЕ В НЕТНИТЕ АКТИВИ</w:t>
        </w:r>
        <w:r w:rsidR="003879AD">
          <w:rPr>
            <w:webHidden/>
          </w:rPr>
          <w:tab/>
        </w:r>
        <w:r w:rsidR="003879AD">
          <w:rPr>
            <w:webHidden/>
          </w:rPr>
          <w:fldChar w:fldCharType="begin"/>
        </w:r>
        <w:r w:rsidR="003879AD">
          <w:rPr>
            <w:webHidden/>
          </w:rPr>
          <w:instrText xml:space="preserve"> PAGEREF _Toc431302344 \h </w:instrText>
        </w:r>
        <w:r w:rsidR="003879AD">
          <w:rPr>
            <w:webHidden/>
          </w:rPr>
        </w:r>
        <w:r w:rsidR="003879AD">
          <w:rPr>
            <w:webHidden/>
          </w:rPr>
          <w:fldChar w:fldCharType="separate"/>
        </w:r>
        <w:r w:rsidR="005D3A22">
          <w:rPr>
            <w:webHidden/>
          </w:rPr>
          <w:t>31</w:t>
        </w:r>
        <w:r w:rsidR="003879AD">
          <w:rPr>
            <w:webHidden/>
          </w:rPr>
          <w:fldChar w:fldCharType="end"/>
        </w:r>
      </w:hyperlink>
    </w:p>
    <w:p w:rsidR="003879AD" w:rsidRDefault="00B55B79">
      <w:pPr>
        <w:pStyle w:val="TOC1"/>
        <w:rPr>
          <w:rFonts w:asciiTheme="minorHAnsi" w:eastAsiaTheme="minorEastAsia" w:hAnsiTheme="minorHAnsi" w:cstheme="minorBidi"/>
          <w:color w:val="auto"/>
          <w:szCs w:val="22"/>
          <w:lang w:val="en-GB" w:eastAsia="en-GB" w:bidi="ar-SA"/>
        </w:rPr>
      </w:pPr>
      <w:hyperlink w:anchor="_Toc431302345" w:history="1">
        <w:r w:rsidR="003879AD" w:rsidRPr="00641598">
          <w:rPr>
            <w:rStyle w:val="Hyperlink"/>
          </w:rPr>
          <w:t>БЕЛЕЖКИ КЪМ ФИНАНСОВИТЕ ОТЧЕТИ</w:t>
        </w:r>
        <w:r w:rsidR="003879AD">
          <w:rPr>
            <w:webHidden/>
          </w:rPr>
          <w:tab/>
        </w:r>
        <w:r w:rsidR="003879AD">
          <w:rPr>
            <w:webHidden/>
          </w:rPr>
          <w:fldChar w:fldCharType="begin"/>
        </w:r>
        <w:r w:rsidR="003879AD">
          <w:rPr>
            <w:webHidden/>
          </w:rPr>
          <w:instrText xml:space="preserve"> PAGEREF _Toc431302345 \h </w:instrText>
        </w:r>
        <w:r w:rsidR="003879AD">
          <w:rPr>
            <w:webHidden/>
          </w:rPr>
        </w:r>
        <w:r w:rsidR="003879AD">
          <w:rPr>
            <w:webHidden/>
          </w:rPr>
          <w:fldChar w:fldCharType="separate"/>
        </w:r>
        <w:r w:rsidR="005D3A22">
          <w:rPr>
            <w:webHidden/>
          </w:rPr>
          <w:t>32</w:t>
        </w:r>
        <w:r w:rsidR="003879AD">
          <w:rPr>
            <w:webHidden/>
          </w:rPr>
          <w:fldChar w:fldCharType="end"/>
        </w:r>
      </w:hyperlink>
    </w:p>
    <w:p w:rsidR="003879AD" w:rsidRDefault="00B55B79">
      <w:pPr>
        <w:pStyle w:val="TOC1"/>
        <w:rPr>
          <w:rFonts w:asciiTheme="minorHAnsi" w:eastAsiaTheme="minorEastAsia" w:hAnsiTheme="minorHAnsi" w:cstheme="minorBidi"/>
          <w:color w:val="auto"/>
          <w:szCs w:val="22"/>
          <w:lang w:val="en-GB" w:eastAsia="en-GB" w:bidi="ar-SA"/>
        </w:rPr>
      </w:pPr>
      <w:hyperlink w:anchor="_Toc431302346" w:history="1">
        <w:r w:rsidR="003879AD" w:rsidRPr="00641598">
          <w:rPr>
            <w:rStyle w:val="Hyperlink"/>
          </w:rPr>
          <w:t>АГРЕГИРАНИ ОТЧЕТИ ЗА ИЗПЪЛНЕНИЕТО НА БЮДЖЕТА И ОБЯСНИТЕЛНИ БЕЛЕЖКИ</w:t>
        </w:r>
        <w:r w:rsidR="003879AD">
          <w:rPr>
            <w:webHidden/>
          </w:rPr>
          <w:tab/>
        </w:r>
        <w:r w:rsidR="003879AD">
          <w:rPr>
            <w:webHidden/>
          </w:rPr>
          <w:fldChar w:fldCharType="begin"/>
        </w:r>
        <w:r w:rsidR="003879AD">
          <w:rPr>
            <w:webHidden/>
          </w:rPr>
          <w:instrText xml:space="preserve"> PAGEREF _Toc431302346 \h </w:instrText>
        </w:r>
        <w:r w:rsidR="003879AD">
          <w:rPr>
            <w:webHidden/>
          </w:rPr>
        </w:r>
        <w:r w:rsidR="003879AD">
          <w:rPr>
            <w:webHidden/>
          </w:rPr>
          <w:fldChar w:fldCharType="separate"/>
        </w:r>
        <w:r w:rsidR="005D3A22">
          <w:rPr>
            <w:webHidden/>
          </w:rPr>
          <w:t>102</w:t>
        </w:r>
        <w:r w:rsidR="003879AD">
          <w:rPr>
            <w:webHidden/>
          </w:rPr>
          <w:fldChar w:fldCharType="end"/>
        </w:r>
      </w:hyperlink>
    </w:p>
    <w:p w:rsidR="0004057B" w:rsidRPr="003879AD" w:rsidRDefault="003879AD" w:rsidP="003879AD">
      <w:pPr>
        <w:pStyle w:val="TOC1"/>
        <w:rPr>
          <w:rFonts w:asciiTheme="minorHAnsi" w:eastAsiaTheme="minorEastAsia" w:hAnsiTheme="minorHAnsi" w:cstheme="minorBidi"/>
          <w:color w:val="auto"/>
          <w:szCs w:val="22"/>
          <w:lang w:val="en-GB"/>
        </w:rPr>
      </w:pPr>
      <w:r>
        <w:rPr>
          <w:lang w:val="fr-BE"/>
        </w:rPr>
        <w:fldChar w:fldCharType="end"/>
      </w:r>
    </w:p>
    <w:p w:rsidR="00F50689" w:rsidRPr="00D01CA2" w:rsidRDefault="005A36C4" w:rsidP="00F50689">
      <w:pPr>
        <w:pStyle w:val="Textstand-alone"/>
        <w:sectPr w:rsidR="00F50689" w:rsidRPr="00D01CA2" w:rsidSect="00F50689">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8" w:footer="708" w:gutter="0"/>
          <w:cols w:space="708"/>
          <w:docGrid w:linePitch="360"/>
        </w:sectPr>
      </w:pPr>
      <w:r>
        <w:t xml:space="preserve"> </w:t>
      </w:r>
      <w:bookmarkEnd w:id="3"/>
    </w:p>
    <w:p w:rsidR="00C21E0C" w:rsidRDefault="00C21E0C">
      <w:pPr>
        <w:rPr>
          <w:rFonts w:ascii="Verdana" w:hAnsi="Verdana"/>
          <w:noProof/>
          <w:sz w:val="18"/>
          <w:szCs w:val="18"/>
        </w:rPr>
      </w:pPr>
      <w:bookmarkStart w:id="4" w:name="_DMBM_2612"/>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bookmarkStart w:id="5" w:name="_GoBack"/>
      <w:bookmarkEnd w:id="5"/>
    </w:p>
    <w:p w:rsidR="00F50689" w:rsidRDefault="00F50689" w:rsidP="00F50689">
      <w:pPr>
        <w:pStyle w:val="Textstand-alon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Pr="005A17DF" w:rsidRDefault="005A17DF" w:rsidP="005A17DF">
      <w:pPr>
        <w:pStyle w:val="FIRSTCHAPTERPAGE"/>
        <w:ind w:right="-426"/>
        <w:rPr>
          <w:spacing w:val="-4"/>
        </w:rPr>
      </w:pPr>
      <w:bookmarkStart w:id="6" w:name="_Toc431302338"/>
      <w:r w:rsidRPr="005A17DF">
        <w:rPr>
          <w:spacing w:val="-4"/>
        </w:rPr>
        <w:t xml:space="preserve">ОБСЪЖДАНЕ И АНАЛИЗ НА </w:t>
      </w:r>
      <w:r w:rsidR="005A36C4" w:rsidRPr="005A17DF">
        <w:rPr>
          <w:spacing w:val="-4"/>
        </w:rPr>
        <w:t>ФИНАНСОВИТЕ ОТЧЕТИ</w:t>
      </w:r>
      <w:bookmarkEnd w:id="6"/>
    </w:p>
    <w:p w:rsidR="00F50689" w:rsidRDefault="005A36C4">
      <w:pPr>
        <w:rPr>
          <w:rFonts w:ascii="Verdana" w:hAnsi="Verdana"/>
          <w:noProof/>
          <w:sz w:val="18"/>
          <w:szCs w:val="18"/>
        </w:rPr>
      </w:pPr>
      <w:r>
        <w:br w:type="page"/>
      </w:r>
    </w:p>
    <w:p w:rsidR="00F50689" w:rsidRDefault="005A36C4" w:rsidP="00F50689">
      <w:pPr>
        <w:pStyle w:val="HEADER1Part4"/>
      </w:pPr>
      <w:r>
        <w:t>ЕС: Институционално управление и операции</w:t>
      </w:r>
    </w:p>
    <w:p w:rsidR="00F50689" w:rsidRDefault="005A36C4" w:rsidP="00F50689">
      <w:pPr>
        <w:pStyle w:val="DGTextstand-alone"/>
      </w:pPr>
      <w:r>
        <w:t xml:space="preserve">Европейският съюз (ЕС) представлява икономическо и политическо партньорство между 28 европейски държави. Той бе създаден през 1993 г. с Договора от Маастрихт и замени Европейската общност, Европейската общност за въглища и стомана (ЕОВС) и Евратом. Последното съществено изменение на нормативната база, с която бе създаден ЕС — Договорът от Лисабон, влезе в сила на 1 декември 2009 г. </w:t>
      </w:r>
    </w:p>
    <w:p w:rsidR="00F50689" w:rsidRPr="00C46C10" w:rsidRDefault="005A36C4" w:rsidP="00F50689">
      <w:pPr>
        <w:pStyle w:val="DGTextstand-alone"/>
      </w:pPr>
      <w:r>
        <w:t>ЕС се основава на върховенството на закона. Това означава, че всяко действие, предприето от ЕС, се основава на договори, които са одобрени доброволно и демократично от всички държави — членки на ЕС. Той притежава уникална по рода си институционална структура:</w:t>
      </w:r>
    </w:p>
    <w:p w:rsidR="00F50689" w:rsidRDefault="00C21E0C" w:rsidP="00F50689">
      <w:pPr>
        <w:pStyle w:val="DGTextstand-alone"/>
        <w:numPr>
          <w:ilvl w:val="0"/>
          <w:numId w:val="4"/>
        </w:numPr>
      </w:pPr>
      <w:r>
        <w:t>европейските граждани избират пряко членовете на Европейския парламент (ЕП);</w:t>
      </w:r>
    </w:p>
    <w:p w:rsidR="00D64639" w:rsidRDefault="00D64639" w:rsidP="00D64639">
      <w:pPr>
        <w:pStyle w:val="DGTextstand-alone"/>
        <w:numPr>
          <w:ilvl w:val="0"/>
          <w:numId w:val="4"/>
        </w:numPr>
      </w:pPr>
      <w:r>
        <w:t>общите приоритети на ЕС се определят от Европейския съвет, в който участват националните лидери и лидерите на равнище ЕС;</w:t>
      </w:r>
    </w:p>
    <w:p w:rsidR="00D64639" w:rsidRPr="00274FEF" w:rsidRDefault="00D64639" w:rsidP="00D64639">
      <w:pPr>
        <w:pStyle w:val="DGTextstand-alone"/>
        <w:numPr>
          <w:ilvl w:val="0"/>
          <w:numId w:val="4"/>
        </w:numPr>
      </w:pPr>
      <w:r>
        <w:t>правителствата защитават националните интереси на своята държава в рамките на Съвета на Европейския съюз (наричан по-нататък „Съветът“);</w:t>
      </w:r>
    </w:p>
    <w:p w:rsidR="00F50689" w:rsidRPr="00274FEF" w:rsidRDefault="00C21E0C" w:rsidP="00F50689">
      <w:pPr>
        <w:pStyle w:val="DGTextstand-alone"/>
        <w:numPr>
          <w:ilvl w:val="0"/>
          <w:numId w:val="4"/>
        </w:numPr>
      </w:pPr>
      <w:r>
        <w:t>интересите на ЕС като цяло се подкрепят от Европейската комисия (наричана по-нататък „Комисията“), чийто председател се избира от ЕП и чиито членове се предлагат за назначаване от националните правителства по общо съгласие с избрания председател и се подлагат колективно на гласуване за одобрение от ЕП.</w:t>
      </w:r>
    </w:p>
    <w:p w:rsidR="00F50689" w:rsidRDefault="005A36C4" w:rsidP="00F50689">
      <w:pPr>
        <w:pStyle w:val="DGTextstand-alone"/>
      </w:pPr>
      <w:r>
        <w:t>ЕС разполага със собствена нормативна уредба, която функционира отделно от международното право и е неразделна част от правните системи на държавите членки. Нормативната уредба на ЕС се основава на източници на право, които са собствени на ЕС. Поради различното естество на тези източници трябваше да бъде въведена йерархия за тях. Първичното законодателство се намира на върха на йерархията и е съставено от Договорите. След него идват международните споразумения, сключени от ЕС, общите правни принципи и вторичното законодателство, което се основава на Договорите.</w:t>
      </w:r>
    </w:p>
    <w:p w:rsidR="00F50689" w:rsidRPr="0053319E" w:rsidRDefault="005A36C4" w:rsidP="00F50689">
      <w:pPr>
        <w:pStyle w:val="DGTextstand-alone"/>
      </w:pPr>
      <w:r>
        <w:t>Източници и йерархия на правото на Съюза:</w:t>
      </w:r>
    </w:p>
    <w:p w:rsidR="00F50689" w:rsidRPr="0053319E" w:rsidRDefault="005A36C4" w:rsidP="00F50689">
      <w:pPr>
        <w:pStyle w:val="DGTextstand-alone"/>
        <w:numPr>
          <w:ilvl w:val="0"/>
          <w:numId w:val="5"/>
        </w:numPr>
        <w:spacing w:before="0" w:after="0"/>
      </w:pPr>
      <w:r>
        <w:t>Договор за Европейския съюз (ДЕС); Договор за функционирането на Европейския съюз (ДФЕС); Харта на основните права на Европейския съюз; други договори и протоколи;</w:t>
      </w:r>
    </w:p>
    <w:p w:rsidR="00F50689" w:rsidRPr="0053319E" w:rsidRDefault="005A36C4" w:rsidP="00F50689">
      <w:pPr>
        <w:pStyle w:val="DGTextstand-alone"/>
        <w:numPr>
          <w:ilvl w:val="0"/>
          <w:numId w:val="5"/>
        </w:numPr>
        <w:spacing w:before="0" w:after="0"/>
      </w:pPr>
      <w:r>
        <w:t>международни споразумения;</w:t>
      </w:r>
    </w:p>
    <w:p w:rsidR="00F50689" w:rsidRPr="0053319E" w:rsidRDefault="005A36C4" w:rsidP="00F50689">
      <w:pPr>
        <w:pStyle w:val="DGTextstand-alone"/>
        <w:numPr>
          <w:ilvl w:val="0"/>
          <w:numId w:val="5"/>
        </w:numPr>
        <w:spacing w:before="0" w:after="0"/>
      </w:pPr>
      <w:r>
        <w:t>общи принципи на правото на Съюза;</w:t>
      </w:r>
    </w:p>
    <w:p w:rsidR="00F50689" w:rsidRPr="0053319E" w:rsidRDefault="005A36C4" w:rsidP="00F50689">
      <w:pPr>
        <w:pStyle w:val="DGTextstand-alone"/>
        <w:numPr>
          <w:ilvl w:val="0"/>
          <w:numId w:val="5"/>
        </w:numPr>
        <w:spacing w:before="0" w:after="0"/>
      </w:pPr>
      <w:r>
        <w:t>вторично законодателство.</w:t>
      </w:r>
    </w:p>
    <w:p w:rsidR="00F50689" w:rsidRPr="00DE3924" w:rsidRDefault="005A36C4" w:rsidP="00F50689">
      <w:pPr>
        <w:pStyle w:val="DGTextstand-alone"/>
        <w:rPr>
          <w:color w:val="000000" w:themeColor="text1"/>
        </w:rPr>
      </w:pPr>
      <w:r>
        <w:rPr>
          <w:color w:val="000000" w:themeColor="text1"/>
        </w:rPr>
        <w:t xml:space="preserve">Институционалното управление на ЕС се състои от институции, агенции и други органи на ЕС, които са посочени в бележка </w:t>
      </w:r>
      <w:r>
        <w:rPr>
          <w:b/>
          <w:color w:val="000000" w:themeColor="text1"/>
        </w:rPr>
        <w:t>10</w:t>
      </w:r>
      <w:r>
        <w:rPr>
          <w:color w:val="000000" w:themeColor="text1"/>
        </w:rPr>
        <w:t xml:space="preserve"> от бележките към финансовите отчети. Основните институции от гледна точка на отговорността за изготвянето на политиките и вземането на решения са ЕП, Европейският съвет, Съветът и Комисията. </w:t>
      </w:r>
    </w:p>
    <w:p w:rsidR="00F50689" w:rsidRPr="00FB6969" w:rsidRDefault="005A36C4">
      <w:pPr>
        <w:pStyle w:val="HEADER5"/>
      </w:pPr>
      <w:r>
        <w:t>Европейски парламент</w:t>
      </w:r>
    </w:p>
    <w:p w:rsidR="00F50689" w:rsidRPr="00A24EEC" w:rsidRDefault="005A36C4" w:rsidP="00F50689">
      <w:pPr>
        <w:pStyle w:val="DGTextstand-alone"/>
      </w:pPr>
      <w:r>
        <w:t>ЕП представлява важен форум за политически дискусии и вземане на политически решения на равнище ЕС. Членовете на ЕП се избират пряко от гласоподавателите във всички държави членки, за да представляват интересите на гражданите по отношение на законотворчеството на ЕС и за да се гарантира, че другите институции на ЕС работят по демократичен начин.</w:t>
      </w:r>
    </w:p>
    <w:p w:rsidR="00F50689" w:rsidRDefault="005A36C4" w:rsidP="00F50689">
      <w:pPr>
        <w:pStyle w:val="DGTextstand-alone"/>
      </w:pPr>
      <w:r>
        <w:t xml:space="preserve">През годините и с измененията, внесени в европейските договори, ЕП получи значителни законодателни и бюджетни правомощия, които му позволяват да определя заедно с представителите на правителствата на държавите членки в рамките на Съвета посоката, в която се развива европейският проект. По този начин ЕП се стреми да насърчава демокрацията и правата на човека — не само в Европа, но и в целия свят. </w:t>
      </w:r>
    </w:p>
    <w:p w:rsidR="00F50689" w:rsidRPr="00EA1E2B" w:rsidRDefault="005A36C4" w:rsidP="00F50689">
      <w:pPr>
        <w:pStyle w:val="DGTextstand-alone"/>
      </w:pPr>
      <w:r>
        <w:t xml:space="preserve">ЕП е равноправен на Съвета участник в годишната бюджетна процедура. Той участва в бюджетния процес от етапа на съставяне, и по-конкретно в определянето на общите насоки и вида на разходите, до приемането. Той определя бюджета съвместно със Съвета и наблюдава неговото изпълнение. ЕП освобождава от отговорност във връзка с изпълнението на бюджета по препоръка на Съвета. На последно място, ЕП трябва да даде съгласието си за многогодишната финансова рамка (МФР), която гарантира, че разходите на ЕС се развиват по систематичен начин и в рамките на собствените му ресурси. </w:t>
      </w:r>
      <w:r>
        <w:rPr>
          <w:color w:val="000000" w:themeColor="text1"/>
        </w:rPr>
        <w:t>Настоящият председател на ЕП е Мартин Шулц.</w:t>
      </w:r>
    </w:p>
    <w:p w:rsidR="00F50689" w:rsidRPr="00FB6969" w:rsidRDefault="005A36C4">
      <w:pPr>
        <w:pStyle w:val="HEADER5"/>
      </w:pPr>
      <w:r>
        <w:t>Европейски съвет и Съвет на Европейския съюз</w:t>
      </w:r>
    </w:p>
    <w:p w:rsidR="00F50689" w:rsidRDefault="005A36C4">
      <w:pPr>
        <w:pStyle w:val="DGTextstand-alone"/>
      </w:pPr>
      <w:r>
        <w:t>Европейският съвет, който включва държавните или правителствените ръководители на държавите членки, както и неговия председател и председателя на Комисията, осигурява необходимия тласък за развитието на ЕС и определя общите политически насоки и приоритети. Настоящият председател на Европейския съвет е Доналд Туск.</w:t>
      </w:r>
    </w:p>
    <w:p w:rsidR="00F50689" w:rsidRDefault="005A36C4">
      <w:pPr>
        <w:pStyle w:val="DGTextstand-alone"/>
      </w:pPr>
      <w:r>
        <w:t>Съвместно с ЕП Съветът приема законодателството на ЕС посредством регламенти и директиви, като освен това взема решения и отправя незадължителни препоръки. Съветът се състои от представител на министерско равнище на всяка държава членка, който е упълномощен да поема задължения от името на правителството на тази държава, като гласува от нейно име. С изключение на Съвета в конфигурация за външните работи, Съветът се председателства от представителя на държавата членка, която председателства Съюза въз основа на равен ротационен принцип на всеки шест месеца. Комитет, съставен от постоянните представители на правителствата на държавите членки (Корепер), подготвя работата на Съвета.</w:t>
      </w:r>
    </w:p>
    <w:p w:rsidR="00F50689" w:rsidRDefault="005A36C4" w:rsidP="00F50689">
      <w:pPr>
        <w:pStyle w:val="DGTextstand-alone"/>
      </w:pPr>
      <w:r>
        <w:t>В областите на своите правомощия Съветът взема решенията си с квалифицирано мнозинство, освен когато в Договорите е предвидено друго (напр. единодушие или обикновено мнозинство). Съветът е едно от двете направления (другото направление е ЕП) на бюджетния орган, който приема бюджета на ЕС. В съответствие със специална законодателна процедура и като действа единодушно, Съветът приема също решенията за определяне на разпоредбите, които се прилагат за системата на собствените ресурси и за МФР. В последния случай ЕП трябва да даде одобрението си с мнозинство от своите членове. Последната МФР (за периода 2014—2020 г.) бе приета от Съвета през ноември 2013 г.</w:t>
      </w:r>
    </w:p>
    <w:p w:rsidR="00F50689" w:rsidRPr="00FB6969" w:rsidRDefault="005A36C4">
      <w:pPr>
        <w:pStyle w:val="HEADER5"/>
      </w:pPr>
      <w:r>
        <w:t>Европейска комисия</w:t>
      </w:r>
    </w:p>
    <w:p w:rsidR="00F50689" w:rsidRDefault="005A36C4" w:rsidP="00F50689">
      <w:pPr>
        <w:pStyle w:val="DGTextstand-alone"/>
      </w:pPr>
      <w:r>
        <w:t>Комисията е изпълнителният орган на ЕС. Тя представлява интересите на ЕС като цяло (не интересите на отделните държави).</w:t>
      </w:r>
    </w:p>
    <w:p w:rsidR="00F50689" w:rsidRDefault="005A36C4" w:rsidP="00F50689">
      <w:pPr>
        <w:pStyle w:val="DGTextstand-alone"/>
        <w:spacing w:after="120"/>
      </w:pPr>
      <w:r>
        <w:t>Основните функции на Комисията са следните:</w:t>
      </w:r>
    </w:p>
    <w:p w:rsidR="00F50689" w:rsidRPr="00FB6969" w:rsidRDefault="005A36C4" w:rsidP="00F50689">
      <w:pPr>
        <w:pStyle w:val="DGTextstand-alone"/>
        <w:numPr>
          <w:ilvl w:val="0"/>
          <w:numId w:val="6"/>
        </w:numPr>
        <w:spacing w:before="0" w:after="0"/>
      </w:pPr>
      <w:r>
        <w:t>да предлага законодателство, което след това се приема от съзаконодателите — Европейския парламент и Съвета;</w:t>
      </w:r>
    </w:p>
    <w:p w:rsidR="00F50689" w:rsidRPr="00FB6969" w:rsidRDefault="005A36C4" w:rsidP="00F50689">
      <w:pPr>
        <w:pStyle w:val="DGTextstand-alone"/>
        <w:numPr>
          <w:ilvl w:val="0"/>
          <w:numId w:val="6"/>
        </w:numPr>
        <w:spacing w:before="0" w:after="0"/>
      </w:pPr>
      <w:r>
        <w:t>да осигурява спазването на европейското право (при необходимост с помощта на Съда на ЕС);</w:t>
      </w:r>
    </w:p>
    <w:p w:rsidR="00F50689" w:rsidRPr="00FB6969" w:rsidRDefault="005A36C4" w:rsidP="00F50689">
      <w:pPr>
        <w:pStyle w:val="DGTextstand-alone"/>
        <w:numPr>
          <w:ilvl w:val="0"/>
          <w:numId w:val="6"/>
        </w:numPr>
        <w:spacing w:before="0" w:after="0"/>
      </w:pPr>
      <w:r>
        <w:t>да определя цели и приоритети за действие, които се посочват всяка година в работната програма на Комисията, и да работи за тяхното постигане;</w:t>
      </w:r>
    </w:p>
    <w:p w:rsidR="00F50689" w:rsidRPr="00FB6969" w:rsidRDefault="005A36C4" w:rsidP="00F50689">
      <w:pPr>
        <w:pStyle w:val="DGTextstand-alone"/>
        <w:numPr>
          <w:ilvl w:val="0"/>
          <w:numId w:val="6"/>
        </w:numPr>
        <w:spacing w:before="0" w:after="0"/>
      </w:pPr>
      <w:r>
        <w:t>да управлява и провежда политиките на ЕС и бюджета;</w:t>
      </w:r>
    </w:p>
    <w:p w:rsidR="00F50689" w:rsidRPr="00FB6969" w:rsidRDefault="005A36C4" w:rsidP="00F50689">
      <w:pPr>
        <w:pStyle w:val="DGTextstand-alone"/>
        <w:numPr>
          <w:ilvl w:val="0"/>
          <w:numId w:val="6"/>
        </w:numPr>
        <w:spacing w:before="0" w:after="0"/>
      </w:pPr>
      <w:r>
        <w:t>да представлява Съюза извън Европа (например да договаря търговски споразумения между ЕС и други държави).</w:t>
      </w:r>
    </w:p>
    <w:p w:rsidR="00F50689" w:rsidRDefault="005A36C4">
      <w:pPr>
        <w:pStyle w:val="DGTextstand-alone"/>
      </w:pPr>
      <w:r>
        <w:t>На всеки пет години се назначава нов екип от 28 комисари (по един от всяка държава — членка на ЕС). Кандидатът за председател на Комисията се предлага на ЕП от Европейския съвет, който взема решение с квалифицирано мнозинство и като взема под внимание изборите за ЕП. След това председателят на Комисията се избира от ЕП с мнозинство от съставляващите го членове (което съответства на поне 376 от 751 гласа). След като бъде избран, председателят избира останалите 27 членове на Комисията въз основа на предложенията от държавите членки. След това окончателният списък на кандидатите за членове на Комисията трябва да бъде одобрен от новоизбрания председател и Съвета. За Комисията като цяло е необходимо одобрението на Парламента. Преди това кандидатите за членове на Комисията се оценяват от различните комисии на ЕП. Мандатът на настоящата Комисия е до 31 октомври 2019 г. Нейният председател е Жан-Клод Юнкер.</w:t>
      </w:r>
    </w:p>
    <w:p w:rsidR="00F50689" w:rsidRDefault="005A36C4">
      <w:pPr>
        <w:pStyle w:val="DGTextstand-alone"/>
      </w:pPr>
      <w:r>
        <w:t>Приоритетите на настоящата Комисията са в следните области: 1) работни места, растеж и инвестиции, 2) цифров единен пазар, 3) енергиен съюз и климат, 4) вътрешен пазар, 5) икономически и паричен съюз, 6) свободна търговия между ЕС и САЩ, 7) правосъдие и основни права, 8) миграция, 9) ЕС като участник на глобално равнище и 10) демократична промяна.</w:t>
      </w:r>
    </w:p>
    <w:p w:rsidR="00F50689" w:rsidRPr="008251AA" w:rsidRDefault="005A36C4">
      <w:pPr>
        <w:pStyle w:val="DGTextstand-alone"/>
      </w:pPr>
      <w:r>
        <w:t>Персоналът на Комисията работи в отдели, известни като генерални дирекции (ГД) или служби, всяка от които отговаря за определена област на политиката и се ръководи от генерален директор. ГД изготвят закони, но техните предложения стават официални едва след като бъдат приети от колегиума от членовете на Комисията (на заседание на 28-те членове на Комисията). ГД също управляват инициативи за финансиране на равнище ЕС и провеждат обществени консултации и комуникационни дейности.</w:t>
      </w:r>
    </w:p>
    <w:p w:rsidR="00F50689" w:rsidRDefault="005A36C4" w:rsidP="00F50689">
      <w:pPr>
        <w:pStyle w:val="DGTextstand-alone"/>
      </w:pPr>
      <w:r>
        <w:t>Комисията също така управлява редица изпълнителни агенции, които помагат в управлението на програмите на ЕС.</w:t>
      </w:r>
    </w:p>
    <w:p w:rsidR="00F50689" w:rsidRDefault="005A36C4" w:rsidP="00F50689">
      <w:pPr>
        <w:pStyle w:val="HEADER1Part4"/>
      </w:pPr>
      <w:r>
        <w:t>Инициативи и стратегии на Комисията</w:t>
      </w:r>
    </w:p>
    <w:p w:rsidR="00F50689" w:rsidRDefault="005A36C4" w:rsidP="00F50689">
      <w:pPr>
        <w:pStyle w:val="DGTextstand-alone"/>
      </w:pPr>
      <w:r>
        <w:t>Новата комисия, която встъпи в длъжност през ноември 2014 г., определи работната си програма за 2015 г. и новите инициативи на Комисията до 2019 г. В работната програма се излагат плановете на Комисията и се посочват действията, които ще имат положителен ефект върху работните места, растежа и инвестициите през 2015 г. Тази програма е съсредоточена върху ограничен набор от конкретни нови инициативи, като например:</w:t>
      </w:r>
    </w:p>
    <w:p w:rsidR="00F50689" w:rsidRPr="00EA1E2B" w:rsidRDefault="005A36C4" w:rsidP="00F50689">
      <w:pPr>
        <w:pStyle w:val="DGTextstand-alone"/>
        <w:rPr>
          <w:b/>
        </w:rPr>
      </w:pPr>
      <w:r>
        <w:rPr>
          <w:b/>
        </w:rPr>
        <w:t>Нови стимули за работните места, растежа и инвестициите</w:t>
      </w:r>
    </w:p>
    <w:p w:rsidR="00F50689" w:rsidRDefault="005A36C4" w:rsidP="00F50689">
      <w:pPr>
        <w:pStyle w:val="DGTextstand-alone"/>
        <w:numPr>
          <w:ilvl w:val="0"/>
          <w:numId w:val="7"/>
        </w:numPr>
      </w:pPr>
      <w:r>
        <w:t>Инициатива за инвестиции на стойност 315 млрд. EUR: законодателните мерки във връзка с обявения в края на 2014 г. план, предназначени за отключване на публичните и частните инвестиции в реалната икономика през следващите три години;</w:t>
      </w:r>
    </w:p>
    <w:p w:rsidR="00F50689" w:rsidRDefault="005A36C4" w:rsidP="00F50689">
      <w:pPr>
        <w:pStyle w:val="DGTextstand-alone"/>
        <w:numPr>
          <w:ilvl w:val="0"/>
          <w:numId w:val="7"/>
        </w:numPr>
      </w:pPr>
      <w:r>
        <w:t>насърчаване на интеграцията на пазара на труда и на пригодността за заетост; и</w:t>
      </w:r>
    </w:p>
    <w:p w:rsidR="00F50689" w:rsidRDefault="005A36C4" w:rsidP="00F50689">
      <w:pPr>
        <w:pStyle w:val="DGTextstand-alone"/>
        <w:numPr>
          <w:ilvl w:val="0"/>
          <w:numId w:val="7"/>
        </w:numPr>
      </w:pPr>
      <w:r>
        <w:t>преглед на стратегията „Европа 2020“.</w:t>
      </w:r>
    </w:p>
    <w:p w:rsidR="00D64639" w:rsidRDefault="005A36C4" w:rsidP="00F50689">
      <w:pPr>
        <w:pStyle w:val="DGTextstand-alone"/>
      </w:pPr>
      <w:r>
        <w:rPr>
          <w:b/>
        </w:rPr>
        <w:t>Пакет за цифровия единен пазар:</w:t>
      </w:r>
      <w:r>
        <w:t xml:space="preserve"> </w:t>
      </w:r>
    </w:p>
    <w:p w:rsidR="00D64639" w:rsidRDefault="005A36C4" w:rsidP="00D64639">
      <w:pPr>
        <w:pStyle w:val="DGTextstand-alone"/>
        <w:numPr>
          <w:ilvl w:val="0"/>
          <w:numId w:val="8"/>
        </w:numPr>
      </w:pPr>
      <w:r>
        <w:t>създаване на условия за динамична цифрова икономика и общество чрез допълване на регулаторната среда за телекомуникациите;</w:t>
      </w:r>
    </w:p>
    <w:p w:rsidR="00D64639" w:rsidRDefault="00D64639" w:rsidP="00D64639">
      <w:pPr>
        <w:pStyle w:val="DGTextstand-alone"/>
        <w:numPr>
          <w:ilvl w:val="0"/>
          <w:numId w:val="8"/>
        </w:numPr>
      </w:pPr>
      <w:r>
        <w:t>модернизиране на разпоредбите за авторското право;</w:t>
      </w:r>
    </w:p>
    <w:p w:rsidR="00D64639" w:rsidRDefault="00D64639" w:rsidP="00D64639">
      <w:pPr>
        <w:pStyle w:val="DGTextstand-alone"/>
        <w:numPr>
          <w:ilvl w:val="0"/>
          <w:numId w:val="8"/>
        </w:numPr>
      </w:pPr>
      <w:r>
        <w:t>опростяване на разпоредбите за потребителите, извършващи онлайн и цифрови покупки;</w:t>
      </w:r>
    </w:p>
    <w:p w:rsidR="00D64639" w:rsidRDefault="00D64639" w:rsidP="00D64639">
      <w:pPr>
        <w:pStyle w:val="DGTextstand-alone"/>
        <w:numPr>
          <w:ilvl w:val="0"/>
          <w:numId w:val="8"/>
        </w:numPr>
      </w:pPr>
      <w:r>
        <w:t xml:space="preserve">повишаване на сигурността на кибернетичното пространство; и </w:t>
      </w:r>
    </w:p>
    <w:p w:rsidR="00F50689" w:rsidRDefault="00D64639" w:rsidP="00D64639">
      <w:pPr>
        <w:pStyle w:val="DGTextstand-alone"/>
        <w:numPr>
          <w:ilvl w:val="0"/>
          <w:numId w:val="8"/>
        </w:numPr>
      </w:pPr>
      <w:r>
        <w:t>включване на цифровизацията в различните области на политиката.</w:t>
      </w:r>
    </w:p>
    <w:p w:rsidR="00F50689" w:rsidRPr="00EA1E2B" w:rsidRDefault="005A36C4" w:rsidP="00F50689">
      <w:pPr>
        <w:pStyle w:val="DGTextstand-alone"/>
        <w:rPr>
          <w:b/>
        </w:rPr>
      </w:pPr>
      <w:r>
        <w:rPr>
          <w:b/>
        </w:rPr>
        <w:t>Устойчив енергиен съюз с ориентирана към бъдещето политика по въпросите на изменението на климата</w:t>
      </w:r>
    </w:p>
    <w:p w:rsidR="00F50689" w:rsidRDefault="005A36C4" w:rsidP="00F50689">
      <w:pPr>
        <w:pStyle w:val="DGTextstand-alone"/>
        <w:numPr>
          <w:ilvl w:val="0"/>
          <w:numId w:val="8"/>
        </w:numPr>
      </w:pPr>
      <w:r>
        <w:t>създаване на европейския енергиен съюз: гарантиране на сигурността на енергийните доставки, по-нататъшно интегриране на националните енергийни пазари, намаляване на търсенето на енергия в ЕС и намаляване на въглеродните емисии от енергийния микс; и</w:t>
      </w:r>
    </w:p>
    <w:p w:rsidR="00F50689" w:rsidRDefault="005A36C4" w:rsidP="00F50689">
      <w:pPr>
        <w:pStyle w:val="DGTextstand-alone"/>
        <w:numPr>
          <w:ilvl w:val="0"/>
          <w:numId w:val="8"/>
        </w:numPr>
      </w:pPr>
      <w:r>
        <w:t>многостранни действия в отговор на изменението на климата.</w:t>
      </w:r>
    </w:p>
    <w:p w:rsidR="00F50689" w:rsidRPr="00EA1E2B" w:rsidRDefault="005A36C4" w:rsidP="00F50689">
      <w:pPr>
        <w:pStyle w:val="DGTextstand-alone"/>
        <w:rPr>
          <w:b/>
        </w:rPr>
      </w:pPr>
      <w:r>
        <w:rPr>
          <w:b/>
        </w:rPr>
        <w:t>По-задълбочен и по-справедлив вътрешен пазар</w:t>
      </w:r>
    </w:p>
    <w:p w:rsidR="00F50689" w:rsidRDefault="005A36C4" w:rsidP="00F50689">
      <w:pPr>
        <w:pStyle w:val="DGTextstand-alone"/>
        <w:numPr>
          <w:ilvl w:val="0"/>
          <w:numId w:val="9"/>
        </w:numPr>
      </w:pPr>
      <w:r>
        <w:t>стратегия за вътрешния пазар;</w:t>
      </w:r>
    </w:p>
    <w:p w:rsidR="00F50689" w:rsidRDefault="005A36C4" w:rsidP="00F50689">
      <w:pPr>
        <w:pStyle w:val="DGTextstand-alone"/>
        <w:numPr>
          <w:ilvl w:val="0"/>
          <w:numId w:val="9"/>
        </w:numPr>
      </w:pPr>
      <w:r>
        <w:t>пакет за мобилността на труда;</w:t>
      </w:r>
    </w:p>
    <w:p w:rsidR="00F50689" w:rsidRDefault="005A36C4" w:rsidP="00F50689">
      <w:pPr>
        <w:pStyle w:val="DGTextstand-alone"/>
        <w:numPr>
          <w:ilvl w:val="0"/>
          <w:numId w:val="9"/>
        </w:numPr>
      </w:pPr>
      <w:r>
        <w:t>план за действие за съюз на капиталовите пазари;</w:t>
      </w:r>
    </w:p>
    <w:p w:rsidR="00F50689" w:rsidRDefault="005A36C4" w:rsidP="00F50689">
      <w:pPr>
        <w:pStyle w:val="DGTextstand-alone"/>
        <w:numPr>
          <w:ilvl w:val="0"/>
          <w:numId w:val="9"/>
        </w:numPr>
      </w:pPr>
      <w:r>
        <w:t>рамка за преструктуриране на финансови институции; и</w:t>
      </w:r>
    </w:p>
    <w:p w:rsidR="00F50689" w:rsidRDefault="005A36C4" w:rsidP="00F50689">
      <w:pPr>
        <w:pStyle w:val="DGTextstand-alone"/>
        <w:numPr>
          <w:ilvl w:val="0"/>
          <w:numId w:val="9"/>
        </w:numPr>
      </w:pPr>
      <w:r>
        <w:t>пакет за въздухоплаването.</w:t>
      </w:r>
    </w:p>
    <w:p w:rsidR="00F50689" w:rsidRPr="00EA1E2B" w:rsidRDefault="005A36C4" w:rsidP="00F50689">
      <w:pPr>
        <w:pStyle w:val="DGTextstand-alone"/>
        <w:rPr>
          <w:b/>
        </w:rPr>
      </w:pPr>
      <w:r>
        <w:rPr>
          <w:b/>
        </w:rPr>
        <w:t>Стратегия за търговията и инвестициите с цел насърчаване на работните места и растежа</w:t>
      </w:r>
    </w:p>
    <w:p w:rsidR="00F50689" w:rsidRPr="00EA1E2B" w:rsidRDefault="005A36C4" w:rsidP="00F50689">
      <w:pPr>
        <w:pStyle w:val="DGTextstand-alone"/>
        <w:rPr>
          <w:b/>
        </w:rPr>
      </w:pPr>
      <w:r>
        <w:rPr>
          <w:b/>
        </w:rPr>
        <w:t>Пространство на правосъдие и основни права</w:t>
      </w:r>
    </w:p>
    <w:p w:rsidR="00F50689" w:rsidRDefault="005A36C4" w:rsidP="00F50689">
      <w:pPr>
        <w:pStyle w:val="DGTextstand-alone"/>
        <w:numPr>
          <w:ilvl w:val="0"/>
          <w:numId w:val="10"/>
        </w:numPr>
      </w:pPr>
      <w:r>
        <w:t>присъединяване на ЕС към Европейската конвенция за правата на човека; и</w:t>
      </w:r>
    </w:p>
    <w:p w:rsidR="00F50689" w:rsidRDefault="005A36C4" w:rsidP="00F50689">
      <w:pPr>
        <w:pStyle w:val="DGTextstand-alone"/>
        <w:numPr>
          <w:ilvl w:val="0"/>
          <w:numId w:val="10"/>
        </w:numPr>
      </w:pPr>
      <w:r>
        <w:t>европейска програма за сигурност.</w:t>
      </w:r>
    </w:p>
    <w:p w:rsidR="00D64639" w:rsidRDefault="005A36C4" w:rsidP="00F50689">
      <w:pPr>
        <w:pStyle w:val="DGTextstand-alone"/>
      </w:pPr>
      <w:r>
        <w:rPr>
          <w:b/>
        </w:rPr>
        <w:t>Нова политика за миграцията</w:t>
      </w:r>
      <w:r>
        <w:t xml:space="preserve">: </w:t>
      </w:r>
    </w:p>
    <w:p w:rsidR="00D64639" w:rsidRDefault="005A36C4" w:rsidP="00D64639">
      <w:pPr>
        <w:pStyle w:val="DGTextstand-alone"/>
        <w:numPr>
          <w:ilvl w:val="0"/>
          <w:numId w:val="11"/>
        </w:numPr>
      </w:pPr>
      <w:r>
        <w:t xml:space="preserve">разработване на нов подход към законната миграция, за да се превърне ЕС в привлекателна дестинация за таланти и умения; и </w:t>
      </w:r>
    </w:p>
    <w:p w:rsidR="00F50689" w:rsidRDefault="00D64639" w:rsidP="00D64639">
      <w:pPr>
        <w:pStyle w:val="DGTextstand-alone"/>
        <w:numPr>
          <w:ilvl w:val="0"/>
          <w:numId w:val="11"/>
        </w:numPr>
      </w:pPr>
      <w:r>
        <w:t>подобряване на управлението на миграцията към ЕС посредством по-тясно сътрудничество с третите държави, солидарност между държавите членки и борба с трафика на хора.</w:t>
      </w:r>
    </w:p>
    <w:p w:rsidR="00F50689" w:rsidRPr="00EA1E2B" w:rsidRDefault="005A36C4" w:rsidP="00F50689">
      <w:pPr>
        <w:pStyle w:val="DGTextstand-alone"/>
        <w:rPr>
          <w:b/>
        </w:rPr>
      </w:pPr>
      <w:r>
        <w:rPr>
          <w:b/>
        </w:rPr>
        <w:t>По-силен участник на глобално равнище</w:t>
      </w:r>
    </w:p>
    <w:p w:rsidR="00F50689" w:rsidRPr="00BA030C" w:rsidRDefault="005A36C4" w:rsidP="00F50689">
      <w:pPr>
        <w:pStyle w:val="DGTextstand-alone"/>
        <w:numPr>
          <w:ilvl w:val="0"/>
          <w:numId w:val="11"/>
        </w:numPr>
      </w:pPr>
      <w:r>
        <w:t>европейска политика за съседство; и</w:t>
      </w:r>
    </w:p>
    <w:p w:rsidR="00F50689" w:rsidRPr="00BA030C" w:rsidRDefault="005A36C4" w:rsidP="00F50689">
      <w:pPr>
        <w:pStyle w:val="DGTextstand-alone"/>
        <w:numPr>
          <w:ilvl w:val="0"/>
          <w:numId w:val="11"/>
        </w:numPr>
      </w:pPr>
      <w:r>
        <w:t>цели за устойчиво развитие след 2015 г.</w:t>
      </w:r>
    </w:p>
    <w:p w:rsidR="00F50689" w:rsidRPr="00EA1E2B" w:rsidRDefault="005A36C4" w:rsidP="00F50689">
      <w:pPr>
        <w:pStyle w:val="DGTextstand-alone"/>
        <w:rPr>
          <w:b/>
        </w:rPr>
      </w:pPr>
      <w:r>
        <w:rPr>
          <w:b/>
        </w:rPr>
        <w:t>Справедлива данъчна среда</w:t>
      </w:r>
    </w:p>
    <w:p w:rsidR="00F50689" w:rsidRDefault="005A36C4" w:rsidP="00F50689">
      <w:pPr>
        <w:pStyle w:val="DGTextstand-alone"/>
        <w:numPr>
          <w:ilvl w:val="0"/>
          <w:numId w:val="11"/>
        </w:numPr>
      </w:pPr>
      <w:r>
        <w:t>план за действие във връзка с усилията за борба с укриването на данъци и данъчните измами, включително мерки на равнище ЕС за преминаване към система, въз основа на която държавата, в която се генерират печалбите, е и държавата, в която се извършва данъчното облагане; включително автоматичен обмен на информация относно данъчните становища и стабилизиране на корпоративните данъчни основи; и</w:t>
      </w:r>
    </w:p>
    <w:p w:rsidR="00F50689" w:rsidRDefault="005A36C4" w:rsidP="00F50689">
      <w:pPr>
        <w:pStyle w:val="DGTextstand-alone"/>
        <w:numPr>
          <w:ilvl w:val="0"/>
          <w:numId w:val="11"/>
        </w:numPr>
      </w:pPr>
      <w:r>
        <w:t>задължителен обмен на информация относно данъчните становища.</w:t>
      </w:r>
    </w:p>
    <w:p w:rsidR="00F50689" w:rsidRPr="00EA1E2B" w:rsidRDefault="005A36C4" w:rsidP="00F50689">
      <w:pPr>
        <w:pStyle w:val="DGTextstand-alone"/>
        <w:rPr>
          <w:b/>
        </w:rPr>
      </w:pPr>
      <w:r>
        <w:rPr>
          <w:b/>
        </w:rPr>
        <w:t>Съюз на демократична промяна</w:t>
      </w:r>
    </w:p>
    <w:p w:rsidR="00F50689" w:rsidRDefault="005A36C4" w:rsidP="00F50689">
      <w:pPr>
        <w:pStyle w:val="DGTextstand-alone"/>
        <w:numPr>
          <w:ilvl w:val="0"/>
          <w:numId w:val="11"/>
        </w:numPr>
      </w:pPr>
      <w:r>
        <w:t>споразумение на ЕС за по-добро законотворчество;</w:t>
      </w:r>
    </w:p>
    <w:p w:rsidR="00F50689" w:rsidRDefault="005A36C4" w:rsidP="00F50689">
      <w:pPr>
        <w:pStyle w:val="DGTextstand-alone"/>
        <w:numPr>
          <w:ilvl w:val="0"/>
          <w:numId w:val="11"/>
        </w:numPr>
      </w:pPr>
      <w:r>
        <w:t>задължителен регистър за прозрачност; и</w:t>
      </w:r>
    </w:p>
    <w:p w:rsidR="00F50689" w:rsidRDefault="005A36C4" w:rsidP="00F50689">
      <w:pPr>
        <w:pStyle w:val="DGTextstand-alone"/>
        <w:numPr>
          <w:ilvl w:val="0"/>
          <w:numId w:val="11"/>
        </w:numPr>
      </w:pPr>
      <w:r>
        <w:t>преглед на процеса на вземане на решения относно генетично модифицираните организми.</w:t>
      </w:r>
    </w:p>
    <w:p w:rsidR="00F50689" w:rsidRDefault="005A36C4" w:rsidP="00F50689">
      <w:pPr>
        <w:pStyle w:val="DGTextstand-alone"/>
      </w:pPr>
      <w:r>
        <w:rPr>
          <w:b/>
        </w:rPr>
        <w:t>По-задълбочен икономически и паричен съюз</w:t>
      </w:r>
      <w:r>
        <w:t>: продължаване на усилията за насърчаване на икономическата стабилност и за привличане на инвеститори в Европа.</w:t>
      </w:r>
    </w:p>
    <w:p w:rsidR="00F50689" w:rsidRDefault="005A36C4" w:rsidP="00F50689">
      <w:pPr>
        <w:pStyle w:val="DGTextstand-alone"/>
        <w:spacing w:after="480"/>
      </w:pPr>
      <w:r>
        <w:t>В хода на изготвянето на работната програма Комисията разгледа около 450 предложения, които бяха внесени в ЕП и Съвета, и предлага да оттегли или измени 80 от тях. Някои са предложени за оттегляне, тъй като не съответстват на приоритетите на новата Комисия. В много случаи Комисията запазва твърдия си ангажимент по отношение на набелязаните цели, но от предложенията няма полза, ако остават неразгледани на масата за преговори или ако бъдат толкова отслабени в процеса на преговорите, че няма да могат да изпълнят първоначалното си предназначение. Когато случаят е такъв, Комисията ще предложи нови, по-добри начини за постигане на тези цели.</w:t>
      </w:r>
    </w:p>
    <w:p w:rsidR="00F50689" w:rsidRDefault="005A36C4" w:rsidP="00F50689">
      <w:pPr>
        <w:pStyle w:val="HEADER1Part4"/>
      </w:pPr>
      <w:r>
        <w:t>Бюджетът на ЕС: От изготвянето му до освобождаването от отговорност във връзка с неговото изпълнение</w:t>
      </w:r>
    </w:p>
    <w:p w:rsidR="00F50689" w:rsidRDefault="005A36C4" w:rsidP="00F50689">
      <w:pPr>
        <w:pStyle w:val="HEADER2Part4"/>
      </w:pPr>
      <w:r>
        <w:t>Бюджет и финансиране</w:t>
      </w:r>
    </w:p>
    <w:p w:rsidR="00F50689" w:rsidRPr="00EA1E2B" w:rsidRDefault="005A36C4" w:rsidP="00F50689">
      <w:pPr>
        <w:pStyle w:val="DGTextstand-alone"/>
      </w:pPr>
      <w:r>
        <w:t>МФР се състои от функции с годишни лимити за бюджетните кредити за поети задължения, определени за всяка от тези функции. Сумата от таваните на всички функции дава общия таван на бюджетните кредити за поети задължения. Бюджетът на ЕС финансира широк набор от политики и програми в целия ЕС. В съответствие с приоритетите, определени от ЕП и Съвета в МФР, Комисията изпълнява на място специфични програми, дейности и проекти. Пряката връзка между годишния бюджет и политиките на ЕС се осигурява чрез основаното на дейности бюджетиране (ABB). Номенклатурата на основаното на дейности бюджетиране дава възможност ясно да се посочват областите на политиката на ЕС и общият размер на отпуснатите за всяка от тези области ресурси. Бюджетът се изготвя от Комисията и обикновено се одобрява в средата на декември от ЕП и Съвета съгласно процедурата по член 314 от ДФЕС. Според принципа на балансираност на бюджета общият размер на приходите трябва да е равен на общия размер на разходите за дадена финансова година.</w:t>
      </w:r>
    </w:p>
    <w:p w:rsidR="00F50689" w:rsidRPr="00EA1E2B" w:rsidRDefault="005A36C4" w:rsidP="00F50689">
      <w:pPr>
        <w:pStyle w:val="DGTextstand-alone"/>
      </w:pPr>
      <w:r>
        <w:t xml:space="preserve">ЕС разполага с две основни категории финансиране: приходи от собствени ресурси и разни приходи. Приходите от собствени ресурси представляват основната част от финансирането на ЕС и се начисляват автоматично за ЕС, за да може той да финансира своя бюджет, без да е необходимо националните органи да вземат последващо решение. Общият размер на собствените ресурси, необходими за финансиране на бюджета, се определя, като от общия размер на разходите се извади общият размер на разните приходи. Общият размер на собствените ресурси не може да надвишава 1,23 % от брутния национален доход (БНД) на ЕС. Собствените ресурси могат да бъдат разделени на традиционни собствени ресурси (като митническите налози), собствен ресурс на база данъка върху добавената стойност (ДДС) и ресурс на база брутния национален доход (БНД). Разните приходи, идващи от дейностите на ЕС (напр. глобите в областта на конкуренцията), обикновено представляват по-малко от 10 % от общите приходи. </w:t>
      </w:r>
    </w:p>
    <w:p w:rsidR="00F50689" w:rsidRPr="00EA1E2B" w:rsidRDefault="005A36C4" w:rsidP="00F50689">
      <w:pPr>
        <w:pStyle w:val="DGTextstand-alone"/>
      </w:pPr>
      <w:r>
        <w:t>По принцип ЕС не може да взема средства назаем на капиталовите пазари или от финансови институции, за да финансира своя бюджет.</w:t>
      </w:r>
    </w:p>
    <w:p w:rsidR="00F50689" w:rsidRDefault="005A36C4" w:rsidP="00F50689">
      <w:pPr>
        <w:pStyle w:val="HEADER2Part4"/>
      </w:pPr>
      <w:r>
        <w:t>Как се управлява и разходва бюджетът на ЕС</w:t>
      </w:r>
    </w:p>
    <w:p w:rsidR="00F50689" w:rsidRDefault="005A36C4" w:rsidP="00F50689">
      <w:pPr>
        <w:pStyle w:val="HEADER5"/>
      </w:pPr>
      <w:r>
        <w:t>Основни оперативни разходи</w:t>
      </w:r>
    </w:p>
    <w:p w:rsidR="00F50689" w:rsidRDefault="005A36C4" w:rsidP="00F50689">
      <w:pPr>
        <w:pStyle w:val="DGTextstand-alone"/>
      </w:pPr>
      <w:r>
        <w:t>Оперативните разходи на ЕС обхващат различните функции от МФР и съществуват под различна форма в зависимост от това как парите се разходват и управляват. От 2014 г. Комисията класифицира разходите, както следва:</w:t>
      </w:r>
    </w:p>
    <w:p w:rsidR="00F50689" w:rsidRDefault="005A36C4" w:rsidP="00F50689">
      <w:pPr>
        <w:pStyle w:val="DGTextstand-alone"/>
        <w:ind w:left="720"/>
      </w:pPr>
      <w:r>
        <w:rPr>
          <w:b/>
        </w:rPr>
        <w:t>Пряко управление:</w:t>
      </w:r>
      <w:r>
        <w:t xml:space="preserve"> при него бюджетът се изпълнява пряко от службите на Комисията.</w:t>
      </w:r>
    </w:p>
    <w:p w:rsidR="00F50689" w:rsidRDefault="005A36C4" w:rsidP="00F50689">
      <w:pPr>
        <w:pStyle w:val="DGTextstand-alone"/>
        <w:ind w:left="720"/>
      </w:pPr>
      <w:r>
        <w:rPr>
          <w:b/>
        </w:rPr>
        <w:t>Непряко управление:</w:t>
      </w:r>
      <w:r>
        <w:t xml:space="preserve"> то се отнася до случаите, в които Комисията възлага задачи по изпълнението на бюджета на органи, уредени от правото на ЕС или от национално право, като например агенциите на ЕС.</w:t>
      </w:r>
    </w:p>
    <w:p w:rsidR="00F50689" w:rsidRDefault="005A36C4" w:rsidP="00F50689">
      <w:pPr>
        <w:pStyle w:val="DGTextstand-alone"/>
        <w:ind w:left="720"/>
      </w:pPr>
      <w:r>
        <w:rPr>
          <w:b/>
        </w:rPr>
        <w:t>Споделено управление:</w:t>
      </w:r>
      <w:r>
        <w:t xml:space="preserve"> при този метод задачите по изпълнението на бюджета са делегирани на държавите членки. Около 80 % от разходите попадат в този режим и обхващат области като селскостопанските разходи и дейностите по структурните фондове.</w:t>
      </w:r>
    </w:p>
    <w:p w:rsidR="00F50689" w:rsidRDefault="005A36C4" w:rsidP="00F50689">
      <w:pPr>
        <w:pStyle w:val="HEADER5"/>
      </w:pPr>
      <w:r>
        <w:t>Различните финансови участници в Комисията</w:t>
      </w:r>
    </w:p>
    <w:p w:rsidR="00F50689" w:rsidRDefault="005A36C4" w:rsidP="00F50689">
      <w:pPr>
        <w:pStyle w:val="DGTextstand-alone"/>
      </w:pPr>
      <w:r>
        <w:rPr>
          <w:b/>
        </w:rPr>
        <w:t>Колегиумът от членовете на Комисията</w:t>
      </w:r>
      <w:r>
        <w:t xml:space="preserve"> носи колективна политическа отговорност, но на практика не упражнява самият той възложените му правомощия за изпълнението на бюджета. Всяка година той делегира тези задачи на публични служители, които са отговорни пред него и по отношение на които се прилагат разпоредбите на Финансовия регламент (ФР) и на Правилника за персонала (ПП). Въпросният персонал — по принцип генералните директори и началниците на службите — са известни като „оправомощени разпоредители с бюджетни кредити“, или ОРБК. Те на свой ред могат да делегират задачи по изпълнението на бюджета на „вторично оправомощени разпоредители с бюджетни кредити“.</w:t>
      </w:r>
    </w:p>
    <w:p w:rsidR="00F50689" w:rsidRDefault="005A36C4" w:rsidP="00F50689">
      <w:pPr>
        <w:pStyle w:val="DGTextstand-alone"/>
      </w:pPr>
      <w:r>
        <w:t xml:space="preserve">Отговорността на </w:t>
      </w:r>
      <w:r>
        <w:rPr>
          <w:b/>
        </w:rPr>
        <w:t>разпоредителите с бюджетни кредити</w:t>
      </w:r>
      <w:r>
        <w:t xml:space="preserve"> обхваща целия управленски процес — от определянето на това, какво трябва да се направи, за да бъдат постигнати определените от институцията цели на политиката, до управлението на извършваните дейности както от оперативна, така и от бюджетна гледна точка. Всеки разпоредител с бюджетни кредити трябва да изготвя годишен отчет за дейността (ГОД) за дейностите, за които отговаря, като в този отчет той докладва за резултатите по политиката и за основателната увереност, която може да има, че ресурсите, отпуснати за описаните в отчета му дейности, са използвани по предназначение и в съответствие с принципите на доброто финансово управление, както и че прилаганите процедури за контрол осигуряват необходимите гаранции за законосъобразността и редовността на съответните операции. Въз основа на член 66 от ФР Комисията предава на ЕП и Съвета обобщаващ доклад за отделните ГОД, с който Комисията поема цялостна политическа отговорност за управлението на бюджета на ЕС в съответствие с член 317 от ДФЕС. Този доклад и ГОД могат да бъдат намерени на следния адрес: http://ec.europa.eu/atwork/planning-and-preparing/synthesis-report/index_bg.htm.</w:t>
      </w:r>
    </w:p>
    <w:p w:rsidR="00F50689" w:rsidRDefault="005A36C4" w:rsidP="00F50689">
      <w:pPr>
        <w:pStyle w:val="DGTextstand-alone"/>
      </w:pPr>
      <w:r>
        <w:rPr>
          <w:b/>
        </w:rPr>
        <w:t>Счетоводителят</w:t>
      </w:r>
      <w:r>
        <w:t xml:space="preserve"> изпълнява платежните нареждания и нарежданията за събиране на вземания, изготвени от разпоредителите с бюджетни кредити, и отговаря за управлението на касата, за определянето на счетоводните правила и методи, за утвърждаването на счетоводните системи, за воденето на счетоводството и за съставянето на годишните отчети на институцията. Освен това счетоводителят трябва да подписва годишните отчети, като декларира, че те представят честно, във всички съществени аспекти, финансовото състояние, резултатите от дейността и паричните потоци. </w:t>
      </w:r>
    </w:p>
    <w:p w:rsidR="00F50689" w:rsidRDefault="005A36C4" w:rsidP="00F50689">
      <w:pPr>
        <w:pStyle w:val="HEADER5"/>
      </w:pPr>
      <w:r>
        <w:t>Поемане на задължение за разходване на бюджета на ЕС</w:t>
      </w:r>
    </w:p>
    <w:p w:rsidR="00F50689" w:rsidRDefault="005A36C4" w:rsidP="00F50689">
      <w:pPr>
        <w:pStyle w:val="DGTextstand-alone"/>
      </w:pPr>
      <w:r>
        <w:t xml:space="preserve">Преди да може да бъде поето правно задължение (например договор или споразумение за безвъзмездни средства) с трета страна, в годишния бюджет трябва да има бюджетен ред, с който се разрешава въпросната дейност. Трябва също по бюджетния ред да има достатъчно средства за покриване на разходите. Ако тези условия са изпълнени, необходимите средства трябва да бъдат резервирани в бюджета посредством бюджетно задължение, което се поема в счетоводната система, и едва тогава може да бъде поето правно задължение. От бюджета на ЕС могат да бъдат разходвани средства само ако разпоредителят с бюджетни кредити приеме бюджетно задължение. </w:t>
      </w:r>
    </w:p>
    <w:p w:rsidR="00F50689" w:rsidRDefault="005A36C4" w:rsidP="00F50689">
      <w:pPr>
        <w:pStyle w:val="DGTextstand-alone"/>
      </w:pPr>
      <w:r>
        <w:t xml:space="preserve">Когато бюджетното задължение бъде одобрено, то се регистрира в бюджетната счетоводна система и бюджетните кредити съответно се усвояват. Това обаче не се отразява на финансовите отчети (или общата книга), тъй като все още не е извършен разход. </w:t>
      </w:r>
    </w:p>
    <w:p w:rsidR="00F50689" w:rsidRDefault="005A36C4" w:rsidP="00F50689">
      <w:pPr>
        <w:pStyle w:val="HEADER5"/>
      </w:pPr>
      <w:r>
        <w:t>Извършване на плащане</w:t>
      </w:r>
    </w:p>
    <w:p w:rsidR="00F50689" w:rsidRDefault="005A36C4" w:rsidP="00F50689">
      <w:pPr>
        <w:pStyle w:val="DGTextstand-alone"/>
      </w:pPr>
      <w:r>
        <w:t>Комисията участва в SWIFT (Society for Worldwide Interbank Financial Telecommunication) и извършва над 2 милиона плащания годишно. Плащане не може да бъде извършено, без разпоредителят с бюджетни кредити, който се занимава с въпросната операция, да е одобрил бюджетно задължение.</w:t>
      </w:r>
    </w:p>
    <w:p w:rsidR="00F50689" w:rsidRDefault="005A36C4" w:rsidP="00F50689">
      <w:pPr>
        <w:pStyle w:val="DGTextstand-alone"/>
      </w:pPr>
      <w:r>
        <w:t>Предварителното финансиране е плащане, предназначено да осигури на бенефициера паричен аванс, т.е. налични средства. То може да се раздели на няколко плащания в продължение на период, определен в конкретното правно задължение. Ако бенефициерът не направи допустими разходи, той е длъжен да върне авансово предоставената сума на ЕС. Следователно предварителното финансиране не представлява окончателен разход, докато бъдат изпълнени съответните условия, поради което се записва като актив в счетоводния баланс на ЕС при извършването на първоначалното плащане.</w:t>
      </w:r>
    </w:p>
    <w:p w:rsidR="00F50689" w:rsidRDefault="005A36C4" w:rsidP="00F50689">
      <w:pPr>
        <w:pStyle w:val="DGTextstand-alone"/>
      </w:pPr>
      <w:r>
        <w:t>Съответният орган на ЕС получава декларации за разходи, с които се доказва, че предварителното финансиране е разходено от бенефициера в съответствие с правното задължение. Честотата, с която се получават тези декларации за разходи, се мени в зависимост от вида на финансираната дейност и от условията.</w:t>
      </w:r>
    </w:p>
    <w:p w:rsidR="00F50689" w:rsidRDefault="005A36C4" w:rsidP="00F50689">
      <w:pPr>
        <w:pStyle w:val="DGTextstand-alone"/>
      </w:pPr>
      <w:r>
        <w:t xml:space="preserve">Критериите за допустимост са определени в основния акт, в поканите за представяне на предложения, в други документи за бенефициерите на безвъзмездни средства и/или в договорните разпоредби на споразуменията за безвъзмездни средства или в решението за безвъзмездни средства. След извършването на анализ допустимите суми се приемат за разход и бенефициерът се уведомява за недопустимите суми. </w:t>
      </w:r>
    </w:p>
    <w:p w:rsidR="00F50689" w:rsidRDefault="005A36C4" w:rsidP="00F50689">
      <w:pPr>
        <w:pStyle w:val="DGTextstand-alone"/>
        <w:spacing w:after="480"/>
      </w:pPr>
      <w:r>
        <w:t>ФР и останалото приложимо законодателство, по-конкретно във връзка с политиките в областта на селското стопанство и сближаването, дават право разходите да се проверяват много години след извършването им. При откриване на грешки, нередности или измами се прилагат финансови корекции или събиране на средства (вж. бележка </w:t>
      </w:r>
      <w:r>
        <w:rPr>
          <w:b/>
        </w:rPr>
        <w:t>6</w:t>
      </w:r>
      <w:r>
        <w:t xml:space="preserve"> от бележките към финансовите отчети). </w:t>
      </w:r>
    </w:p>
    <w:p w:rsidR="00F50689" w:rsidRDefault="005A36C4" w:rsidP="00F50689">
      <w:pPr>
        <w:pStyle w:val="HEADER2Part4"/>
      </w:pPr>
      <w:r>
        <w:t>Финансово докладване и отчетност</w:t>
      </w:r>
    </w:p>
    <w:p w:rsidR="00F50689" w:rsidRDefault="005A36C4" w:rsidP="00F50689">
      <w:pPr>
        <w:pStyle w:val="DGTextstand-alone"/>
      </w:pPr>
      <w:r>
        <w:t>Консолидираните годишни отчети на ЕС съдържат финансова информация за дейностите на институциите, агенциите и другите органи на ЕС от бюджетна гледна точка и от гледна точка на счетоводната отчетност на базата на текущо начисляване. Тези отчети не съдържат годишните отчети на държавите членки.</w:t>
      </w:r>
    </w:p>
    <w:p w:rsidR="00F50689" w:rsidRDefault="005A36C4" w:rsidP="00F50689">
      <w:pPr>
        <w:pStyle w:val="DGTextstand-alone"/>
      </w:pPr>
      <w:r>
        <w:t>Годишните отчети на ЕС се състоят от две отделни, но свързани части:</w:t>
      </w:r>
    </w:p>
    <w:p w:rsidR="00F50689" w:rsidRDefault="005A36C4" w:rsidP="00F50689">
      <w:pPr>
        <w:pStyle w:val="DGTextstand-alone"/>
        <w:ind w:left="720"/>
      </w:pPr>
      <w:r>
        <w:t>а)</w:t>
      </w:r>
      <w:r>
        <w:tab/>
        <w:t>финансови отчети; и</w:t>
      </w:r>
    </w:p>
    <w:p w:rsidR="00F50689" w:rsidRDefault="005A36C4" w:rsidP="00F50689">
      <w:pPr>
        <w:pStyle w:val="DGTextstand-alone"/>
        <w:ind w:left="1440" w:hanging="720"/>
      </w:pPr>
      <w:r>
        <w:t>б)</w:t>
      </w:r>
      <w:r>
        <w:tab/>
        <w:t>отчети за изпълнението на бюджета, които съдържат подробен запис на изпълнението на бюджета.</w:t>
      </w:r>
    </w:p>
    <w:p w:rsidR="00F50689" w:rsidRDefault="005A36C4" w:rsidP="00F50689">
      <w:pPr>
        <w:pStyle w:val="DGTextstand-alone"/>
      </w:pPr>
      <w:r>
        <w:t xml:space="preserve">Счетоводителят на Комисията е този, който отговаря за изготвянето на финансовите отчети на ЕС и за гарантирането на това, че те представят честно, във всички съществени аспекти, финансовото състояние, резултатите от дейността и паричните потоци на ЕС. </w:t>
      </w:r>
    </w:p>
    <w:p w:rsidR="00F50689" w:rsidRPr="00DE311B" w:rsidRDefault="005A36C4" w:rsidP="00DE311B">
      <w:pPr>
        <w:pStyle w:val="DGTextstand-alone"/>
      </w:pPr>
      <w:r>
        <w:t>Освен горепосочените годишни отчети се изготвят и специални доклади за определени области, като например за бюджетното и финансовото управление, за финансовите инструменти, за предоставените гаранции и за финансовите корекции.</w:t>
      </w:r>
    </w:p>
    <w:p w:rsidR="00F50689" w:rsidRDefault="005A36C4" w:rsidP="00DE311B">
      <w:pPr>
        <w:pStyle w:val="DGTextstand-alone"/>
        <w:spacing w:after="120"/>
      </w:pPr>
      <w:r>
        <w:t>Докладване и отчетност в Комисията:</w:t>
      </w:r>
    </w:p>
    <w:p w:rsidR="00F50689" w:rsidRDefault="009936B2" w:rsidP="00F50689">
      <w:pPr>
        <w:pStyle w:val="Textstand-alone"/>
        <w:jc w:val="center"/>
      </w:pPr>
      <w:r>
        <w:rPr>
          <w:lang w:val="en-GB" w:eastAsia="en-GB" w:bidi="ar-SA"/>
        </w:rPr>
        <w:drawing>
          <wp:inline distT="0" distB="0" distL="0" distR="0" wp14:anchorId="379D7ADB" wp14:editId="2F7EF083">
            <wp:extent cx="2457450" cy="4686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58033" cy="4687412"/>
                    </a:xfrm>
                    <a:prstGeom prst="rect">
                      <a:avLst/>
                    </a:prstGeom>
                  </pic:spPr>
                </pic:pic>
              </a:graphicData>
            </a:graphic>
          </wp:inline>
        </w:drawing>
      </w:r>
    </w:p>
    <w:p w:rsidR="00F50689" w:rsidRDefault="005A36C4" w:rsidP="00DE311B">
      <w:pPr>
        <w:pStyle w:val="HEADER2Part4"/>
        <w:spacing w:before="240" w:after="240"/>
      </w:pPr>
      <w:r>
        <w:t>Одит и освобождаване от отговорност във връзка с изпълнението на бюджета</w:t>
      </w:r>
    </w:p>
    <w:p w:rsidR="00F50689" w:rsidRDefault="005A36C4" w:rsidP="00F50689">
      <w:pPr>
        <w:pStyle w:val="HEADER5"/>
      </w:pPr>
      <w:r>
        <w:t>Одит</w:t>
      </w:r>
    </w:p>
    <w:p w:rsidR="00F50689" w:rsidRDefault="005A36C4" w:rsidP="00F50689">
      <w:pPr>
        <w:pStyle w:val="DGTextstand-alone"/>
      </w:pPr>
      <w:r>
        <w:t>Годишните отчети на ЕС и управлението на ресурсите от страна на ЕС се одитират от Европейската сметна палата (Палатата) — външния одитор на ЕС, която в рамките на своята дейност изготвя за ЕП и Съвета:</w:t>
      </w:r>
    </w:p>
    <w:p w:rsidR="00F50689" w:rsidRDefault="005A36C4" w:rsidP="00F50689">
      <w:pPr>
        <w:pStyle w:val="DGTextstand-alone"/>
        <w:ind w:left="720" w:hanging="720"/>
      </w:pPr>
      <w:r>
        <w:t>1)</w:t>
      </w:r>
      <w:r>
        <w:tab/>
        <w:t>годишен доклад за дейностите, финансирани от общия бюджет;</w:t>
      </w:r>
    </w:p>
    <w:p w:rsidR="00F50689" w:rsidRDefault="005A36C4" w:rsidP="00F50689">
      <w:pPr>
        <w:pStyle w:val="DGTextstand-alone"/>
        <w:ind w:left="720" w:hanging="720"/>
      </w:pPr>
      <w:r>
        <w:t>2)</w:t>
      </w:r>
      <w:r>
        <w:tab/>
        <w:t>становище, основано на извършените от нея одити и представено в годишния доклад под формата на декларация за достоверност относно i) надеждността на отчетите и ii) законосъобразността и редовността на свързаните с отчетите операции, свързани както с приходите, събрани от данъчно задължени лица, така и с плащанията за крайните бенефициери; и</w:t>
      </w:r>
    </w:p>
    <w:p w:rsidR="00F50689" w:rsidRDefault="005A36C4" w:rsidP="00F50689">
      <w:pPr>
        <w:pStyle w:val="DGTextstand-alone"/>
      </w:pPr>
      <w:r>
        <w:t>3)</w:t>
      </w:r>
      <w:r>
        <w:tab/>
        <w:t>специални доклади с констатациите от одитите на определени области.</w:t>
      </w:r>
    </w:p>
    <w:p w:rsidR="00F50689" w:rsidRDefault="005A36C4" w:rsidP="00F50689">
      <w:pPr>
        <w:pStyle w:val="HEADER5"/>
      </w:pPr>
      <w:r>
        <w:t>Освобождаване от отговорност във връзка с изпълнението на бюджета</w:t>
      </w:r>
    </w:p>
    <w:p w:rsidR="00F50689" w:rsidRDefault="005A36C4" w:rsidP="00F50689">
      <w:pPr>
        <w:pStyle w:val="DGTextstand-alone"/>
      </w:pPr>
      <w:r>
        <w:t>Последната стъпка в бюджетния цикъл е освобождаването от отговорност във връзка с изпълнението на бюджета за дадена финансова година. В ЕС органът, който извършва това освобождаване от отговорност, е ЕП. Това означава, че след одита и приключването на годишните отчети Съветът трябва да отправи препоръка и след това ЕП да освободи Комисията и други органи на ЕС от отговорност във връзка с изпълнението на бюджета на ЕС за дадена финансова година. Това решение се основава на проверка на годишните отчети, на обобщаващия доклад на Комисията и годишния ѝ доклад за оценка, на годишния доклад, на одитното становище и специалните доклади на Сметната палата, както и на отговорите на Комисията на въпроси и на искания за допълнителна информация.</w:t>
      </w:r>
    </w:p>
    <w:p w:rsidR="00F50689" w:rsidRDefault="005A36C4" w:rsidP="00F50689">
      <w:pPr>
        <w:pStyle w:val="DGTextstand-alone"/>
      </w:pPr>
      <w:r>
        <w:t>Освобождаването от отговорност представлява политическият аспект на външния контрол на изпълнението на бюджета и е решението, с което ЕП, действащ по препоръка на Съвета, „освобождава“ Комисията (и други органи на ЕС) от отговорността ѝ във връзка с управлението на даден бюджет, като отбелязва края на съществуването на този бюджет. Процедурата по освобождаване от отговорност може да има три резултата: освобождаване от отговорност, отлагане на това освобождаване от отговорност и отказ да бъде предоставено освобождаването от отговорност. Неразделна част от ежегодната процедура по освобождаване от отговорност във връзка с изпълнението на бюджета в ЕП са изслушванията на комисарите, които отговарят на въпроси на членовете на комисията на ЕП по бюджетен контрол относно областите на политиката, за които комисарите отговарят. Окончателният доклад за освобождаването от отговорност във връзка с изпълнението на бюджета, съдържащ конкретни препоръки за предприемане на мерки от страна на Комисията, се приема на пленарно заседание. Препоръките на Съвета за освобождаване от отговорност във връзка с изпълнението на бюджета се приемат от Съвета по икономически и финансови въпроси (ECOFIN). Във връзка с доклада на ЕП за освобождаването от отговорност и препоръките на Съвета за освобождаване от отговорност се изготвя годишен доклад, в който Комисията очертава конкретните мерки, които е предприела, за да изпълни отправените препоръки.</w:t>
      </w:r>
    </w:p>
    <w:p w:rsidR="00F50689" w:rsidRDefault="00F50689" w:rsidP="00F50689">
      <w:pPr>
        <w:pStyle w:val="DGTextstand-alone"/>
        <w:spacing w:before="0" w:after="0"/>
      </w:pPr>
    </w:p>
    <w:p w:rsidR="00F50689" w:rsidRPr="00FE6EB7" w:rsidRDefault="005A36C4" w:rsidP="00F50689">
      <w:pPr>
        <w:pStyle w:val="HEADER1Part4"/>
      </w:pPr>
      <w:r>
        <w:t>Консолидирани финансови отчети на ЕС: финансово състояние през 2014 г.</w:t>
      </w:r>
    </w:p>
    <w:p w:rsidR="00F50689" w:rsidRDefault="005A36C4" w:rsidP="00F50689">
      <w:pPr>
        <w:pStyle w:val="HEADER2Part4"/>
      </w:pPr>
      <w:r>
        <w:t>Общи тенденции</w:t>
      </w:r>
    </w:p>
    <w:p w:rsidR="00F50689" w:rsidRDefault="005A36C4" w:rsidP="00F50689">
      <w:pPr>
        <w:pStyle w:val="HEADER5"/>
      </w:pPr>
      <w:r>
        <w:t>Приходи</w:t>
      </w:r>
    </w:p>
    <w:p w:rsidR="00F50689" w:rsidRDefault="005A36C4" w:rsidP="00F50689">
      <w:pPr>
        <w:pStyle w:val="DGTextstand-alone"/>
      </w:pPr>
      <w:r>
        <w:t>Петгодишна тенденция на приходите в милиони евро:</w:t>
      </w:r>
    </w:p>
    <w:p w:rsidR="00F50689" w:rsidRDefault="0007393B" w:rsidP="00F50689">
      <w:pPr>
        <w:pStyle w:val="Textstand-alone"/>
        <w:jc w:val="center"/>
      </w:pPr>
      <w:r>
        <w:rPr>
          <w:lang w:val="en-GB" w:eastAsia="en-GB" w:bidi="ar-SA"/>
        </w:rPr>
        <w:drawing>
          <wp:inline distT="0" distB="0" distL="0" distR="0" wp14:anchorId="33DD99F9" wp14:editId="5768AAC4">
            <wp:extent cx="4307881" cy="2628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14825" cy="2633138"/>
                    </a:xfrm>
                    <a:prstGeom prst="rect">
                      <a:avLst/>
                    </a:prstGeom>
                  </pic:spPr>
                </pic:pic>
              </a:graphicData>
            </a:graphic>
          </wp:inline>
        </w:drawing>
      </w:r>
    </w:p>
    <w:p w:rsidR="00F50689" w:rsidRPr="00D40A00" w:rsidRDefault="005A36C4" w:rsidP="00F50689">
      <w:pPr>
        <w:pStyle w:val="DGTextstand-alone"/>
      </w:pPr>
      <w:r>
        <w:t xml:space="preserve">През 2014 г. приходите от ресурса от БНД намаляха, докато приходите от другите собствени ресурси останаха на сходно равнище, а събирането на разходи (финансови корекции и събирания — вж. бележка </w:t>
      </w:r>
      <w:r>
        <w:rPr>
          <w:b/>
        </w:rPr>
        <w:t>3.5</w:t>
      </w:r>
      <w:r>
        <w:t xml:space="preserve"> от бележките към финансовите отчети) почти се удвои от 1,8 млрд. EUR на 3,4 млрд. EUR. Tова се дължи на напредналия етап на приключване на периода на програмиране за сближаването 2000—2006 г. и на свързаните с него направени оттегляния на недопустими разходи, както и на значителни по размер корекции, наложени от Комисията в областта на селскостопанската политика.</w:t>
      </w:r>
    </w:p>
    <w:p w:rsidR="00F50689" w:rsidRPr="00D40A00" w:rsidRDefault="005A36C4">
      <w:pPr>
        <w:pStyle w:val="HEADER5"/>
      </w:pPr>
      <w:r>
        <w:t>Разходи</w:t>
      </w:r>
    </w:p>
    <w:p w:rsidR="00F50689" w:rsidRDefault="005A36C4" w:rsidP="00F50689">
      <w:pPr>
        <w:pStyle w:val="DGTextstand-alone"/>
      </w:pPr>
      <w:r>
        <w:t>Основните разходни позиции са трансферни плащания в контекста на Европейския фонд за гарантиране на земеделието (ЕФГЗ), Европейския земеделски фонд за развитие на селските райони (ЕЗФРСР) и други инструменти за развитие на селските райони, Европейския фонд за регионално развитие (ЕФРР), Кохезионния фонд (КФ) и Европейския социален фонд (ЕСФ). През 2014 финансова година те представляват близо 70 % от общите разходи (113 468 млн. EUR).</w:t>
      </w:r>
    </w:p>
    <w:p w:rsidR="00F50689" w:rsidRDefault="005A36C4" w:rsidP="00F50689">
      <w:pPr>
        <w:pStyle w:val="DGTextstand-alone"/>
      </w:pPr>
      <w:r>
        <w:t>Разходите бяха като цяло на ниво, сходно с това от миналата година. За ЕФРР/Кохезионния фонд обаче се наблюдават намаления, които се дължат на факта, че разходите, признати през 2014 г., се отнасят само до периода на програмиране 2007—2013 г., докато за текущия период 2014—2020 г. все още не са отчетени разходи поради бавното започване на програмите (изпълнението от страна на държавите членки започна едва през 2015 г.).</w:t>
      </w:r>
    </w:p>
    <w:p w:rsidR="00F50689" w:rsidRDefault="005A36C4" w:rsidP="00F50689">
      <w:pPr>
        <w:pStyle w:val="DGTextstand-alone"/>
      </w:pPr>
      <w:r>
        <w:t>Освен това ЕС признава бъдещите задължения за плащане като разходи, които все още не са отразени в бюджетните сметки на касова основа. Нарасналите бъдещи задължения за плащане, посочени при задълженията в областта на земеделието и развитието на селските райони, и бъдещите задължения за плащане по отношение на пенсионните права, придобити от членовете на Комисията, членовете на ЕП и персонала, като цяло водят до по-високи разходи и до отрицателен финансов резултат (тези плащания ще бъдат финансирани от бъдещи бюджети и все още не са включени в приходите).</w:t>
      </w:r>
    </w:p>
    <w:p w:rsidR="00F50689" w:rsidRDefault="005A36C4" w:rsidP="00F50689">
      <w:pPr>
        <w:pStyle w:val="HEADER5"/>
      </w:pPr>
      <w:r>
        <w:t>Финансов резултат</w:t>
      </w:r>
    </w:p>
    <w:p w:rsidR="00F50689" w:rsidRPr="00DE311B" w:rsidRDefault="005A36C4" w:rsidP="00F50689">
      <w:pPr>
        <w:pStyle w:val="DGTextstand-alone"/>
        <w:rPr>
          <w:spacing w:val="4"/>
        </w:rPr>
      </w:pPr>
      <w:r w:rsidRPr="00DE311B">
        <w:rPr>
          <w:spacing w:val="4"/>
        </w:rPr>
        <w:t>Финансовият резултат (дефицит) за периода нарасна от 4 365 млн. EUR за 2013 г. на 11 280 млн. EUR за 2014 г. Основната причина за това увеличение е значителната по размер актюерска загуба (нето 9,2 млрд. EUR) във връзка със задължението, свързано с пенсиите и другите доходи на заети лица, която възникна вследствие на намаляването на лихвените проценти. Такива колебания трябва да се очакват поради международно прилаганите счетоводни правила и настоящата икономическа среда. Ако лихвените проценти се повишат, се очаква обратният ефект.</w:t>
      </w:r>
    </w:p>
    <w:p w:rsidR="00F50689" w:rsidRDefault="005A36C4" w:rsidP="00F50689">
      <w:pPr>
        <w:pStyle w:val="DGTextstand-alone"/>
      </w:pPr>
      <w:r>
        <w:t>Освен това, тъй като това е актюерска оценка на стойността на цялото задължение в даден момент (31 декември 2014 г.), която оценка се основава на различни предположения, валидни към този момент, тази загуба не показва реалните разходи за сметка на бюджета на ЕС, нито се отразява на сумите, които трябва да бъдат изплатени на пенсионерите от бюджета на ЕС през следващите години. Тези плащания вече са оценени в МФР за периода 2014—2020 г. и ще бъдат изпълнявани посредством годишния бюджетен процес.</w:t>
      </w:r>
    </w:p>
    <w:p w:rsidR="00F50689" w:rsidRDefault="005A36C4">
      <w:pPr>
        <w:pStyle w:val="HEADER5"/>
      </w:pPr>
      <w:r>
        <w:t>Активи</w:t>
      </w:r>
    </w:p>
    <w:p w:rsidR="00386B0F" w:rsidRPr="00DE311B" w:rsidRDefault="005A36C4" w:rsidP="00386B0F">
      <w:pPr>
        <w:pStyle w:val="DGTextstand-alone"/>
        <w:rPr>
          <w:spacing w:val="4"/>
        </w:rPr>
      </w:pPr>
      <w:r w:rsidRPr="00DE311B">
        <w:rPr>
          <w:spacing w:val="4"/>
        </w:rPr>
        <w:t>Най-съществените позиции от страната на активите на счетоводния баланс са финансовите активи (инвестиции, заеми, пари в брой) и сумите по предварително финансиране, които съставляват почти 85 % от активите на ЕС. Размерът на заемите остава стабилен на равнище около 60 млрд. EUR (вж. бележка </w:t>
      </w:r>
      <w:r w:rsidRPr="00DE311B">
        <w:rPr>
          <w:b/>
          <w:spacing w:val="4"/>
        </w:rPr>
        <w:t>4.3.2</w:t>
      </w:r>
      <w:r w:rsidRPr="00DE311B">
        <w:rPr>
          <w:spacing w:val="4"/>
        </w:rPr>
        <w:t xml:space="preserve"> по-долу), а сумата за финансовите инструменти, финансирани от бюджета на ЕС, се увеличи с почти 2 млрд. EUR (вж. бележка </w:t>
      </w:r>
      <w:r w:rsidRPr="00DE311B">
        <w:rPr>
          <w:b/>
          <w:spacing w:val="4"/>
        </w:rPr>
        <w:t>4.3.1</w:t>
      </w:r>
      <w:r w:rsidRPr="00DE311B">
        <w:rPr>
          <w:spacing w:val="4"/>
        </w:rPr>
        <w:t xml:space="preserve"> по-долу). От страната на активите, при имотите, машините и съоръженията са посочени активи на програмата „Коперник“ (1,5 млрд. EUR) и активи в процес на изграждане, предвидени за „Галилео“ (1,5 млрд. EUR).</w:t>
      </w:r>
    </w:p>
    <w:p w:rsidR="00F50689" w:rsidRPr="00EA1E2B" w:rsidRDefault="005A36C4" w:rsidP="00DE311B">
      <w:pPr>
        <w:pStyle w:val="DGTextstand-alone"/>
        <w:spacing w:after="360"/>
      </w:pPr>
      <w:r>
        <w:t>През последните години институциите на ЕС успяха да задържат парите и паричните еквиваленти към края на годината на ниско равнище. Високото парично салдо от 17,5 мл</w:t>
      </w:r>
      <w:r w:rsidR="009B2853">
        <w:t>рд</w:t>
      </w:r>
      <w:r>
        <w:t>. EUR към 31 декември 2014 г. е свързано с бюджетната процедура и се дължи на вноски собствени ресурси, свързани със салдата по ДДС и по БНД и предоставени от държавите членки през декември 2014 г. (вж. бележка </w:t>
      </w:r>
      <w:r>
        <w:rPr>
          <w:b/>
        </w:rPr>
        <w:t>2.8.1</w:t>
      </w:r>
      <w:r>
        <w:t xml:space="preserve"> от бележките към финансовите отчети).</w:t>
      </w:r>
    </w:p>
    <w:p w:rsidR="00F50689" w:rsidRDefault="005A36C4" w:rsidP="00DE311B">
      <w:pPr>
        <w:pStyle w:val="HEADER5"/>
        <w:spacing w:before="120"/>
      </w:pPr>
      <w:r>
        <w:t>Пари и парични еквиваленти в края на годината</w:t>
      </w:r>
    </w:p>
    <w:p w:rsidR="00F50689" w:rsidRDefault="005A36C4" w:rsidP="00F50689">
      <w:pPr>
        <w:pStyle w:val="Textstand-alone"/>
        <w:jc w:val="center"/>
      </w:pPr>
      <w:r>
        <w:rPr>
          <w:lang w:val="en-GB" w:eastAsia="en-GB" w:bidi="ar-SA"/>
        </w:rPr>
        <w:drawing>
          <wp:inline distT="0" distB="0" distL="0" distR="0" wp14:anchorId="656BFBB7" wp14:editId="7AA48580">
            <wp:extent cx="3943350" cy="250507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0689" w:rsidRPr="00DE311B" w:rsidRDefault="00F50689">
      <w:pPr>
        <w:rPr>
          <w:rFonts w:ascii="Verdana" w:hAnsi="Verdana"/>
          <w:b/>
          <w:color w:val="016794"/>
          <w:sz w:val="18"/>
          <w:szCs w:val="18"/>
          <w:lang w:val="en-GB"/>
        </w:rPr>
      </w:pPr>
    </w:p>
    <w:p w:rsidR="00F50689" w:rsidRDefault="005A36C4">
      <w:pPr>
        <w:pStyle w:val="HEADER5"/>
      </w:pPr>
      <w:r>
        <w:t>Счетоводен баланс на ЕС за 2014 г.: активи на стойност 163 млрд. EUR и пасиви на стойност 221 млрд. EUR</w:t>
      </w:r>
    </w:p>
    <w:p w:rsidR="00F1765A" w:rsidRDefault="00F1765A">
      <w:pPr>
        <w:pStyle w:val="HEADER5"/>
      </w:pPr>
      <w:r>
        <w:tab/>
      </w:r>
    </w:p>
    <w:p w:rsidR="00F1765A" w:rsidRDefault="00F1765A">
      <w:pPr>
        <w:pStyle w:val="HEADER5"/>
      </w:pPr>
      <w:r>
        <w:tab/>
      </w:r>
      <w:r>
        <w:tab/>
        <w:t>Активи</w:t>
      </w:r>
      <w:r>
        <w:tab/>
      </w:r>
      <w:r>
        <w:tab/>
      </w:r>
      <w:r>
        <w:tab/>
      </w:r>
      <w:r>
        <w:tab/>
      </w:r>
      <w:r>
        <w:tab/>
      </w:r>
      <w:r>
        <w:tab/>
        <w:t>Пасиви</w:t>
      </w:r>
    </w:p>
    <w:p w:rsidR="00F50689" w:rsidRDefault="005A36C4" w:rsidP="00F50689">
      <w:pPr>
        <w:pStyle w:val="Textstand-alone"/>
        <w:jc w:val="center"/>
      </w:pPr>
      <w:r>
        <w:t xml:space="preserve"> </w:t>
      </w:r>
      <w:r w:rsidR="009F5616">
        <w:rPr>
          <w:lang w:val="en-GB" w:eastAsia="en-GB" w:bidi="ar-SA"/>
        </w:rPr>
        <w:drawing>
          <wp:inline distT="0" distB="0" distL="0" distR="0" wp14:anchorId="14A28088" wp14:editId="39298CA4">
            <wp:extent cx="2837678" cy="27813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37678" cy="2781300"/>
                    </a:xfrm>
                    <a:prstGeom prst="rect">
                      <a:avLst/>
                    </a:prstGeom>
                  </pic:spPr>
                </pic:pic>
              </a:graphicData>
            </a:graphic>
          </wp:inline>
        </w:drawing>
      </w:r>
      <w:r>
        <w:t xml:space="preserve"> </w:t>
      </w:r>
      <w:r w:rsidR="009F5616">
        <w:rPr>
          <w:lang w:val="en-GB" w:eastAsia="en-GB" w:bidi="ar-SA"/>
        </w:rPr>
        <w:drawing>
          <wp:inline distT="0" distB="0" distL="0" distR="0" wp14:anchorId="0A054201" wp14:editId="06C1CC5A">
            <wp:extent cx="3057525" cy="27717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57731" cy="2771962"/>
                    </a:xfrm>
                    <a:prstGeom prst="rect">
                      <a:avLst/>
                    </a:prstGeom>
                  </pic:spPr>
                </pic:pic>
              </a:graphicData>
            </a:graphic>
          </wp:inline>
        </w:drawing>
      </w:r>
    </w:p>
    <w:p w:rsidR="00F50689" w:rsidRDefault="005A36C4">
      <w:pPr>
        <w:pStyle w:val="HEADER5"/>
      </w:pPr>
      <w:r>
        <w:t>Пасиви</w:t>
      </w:r>
    </w:p>
    <w:p w:rsidR="00F50689" w:rsidRDefault="005A36C4" w:rsidP="00F50689">
      <w:pPr>
        <w:pStyle w:val="DGTextstand-alone"/>
      </w:pPr>
      <w:r>
        <w:t>Пасивите се състоят предимно от четири основни позиции: задълженията, свързани с пенсиите и другите доходи на заети лица, финансовите пасиви, задълженията и начислените разходи. Най-голямата промяна в сравнение с 2013 г. е нарастването на задължението, свързано с пенсиите и другите доходи на заети лица, от 46,8 млрд. EUR през 2013 г. на 58,6 млрд. EUR през 2014 г., което се дължи предимно на значителния спад на лихвените проценти (вж. по-горе).</w:t>
      </w:r>
    </w:p>
    <w:p w:rsidR="00F50689" w:rsidRDefault="005A36C4" w:rsidP="00F50689">
      <w:pPr>
        <w:pStyle w:val="DGTextstand-alone"/>
      </w:pPr>
      <w:r>
        <w:t>Това, че пасивите надвишават активите, не означава, че институциите на ЕС са в затруднено финансово положение, а по-скоро, че някои задължения ще бъдат финансирани от бъдещи годишни бюджети. Много разходи са признати по правилата за счетоводна отчетност на базата на текущо начисляване през 2014 г., въпреки че може в действителност да бъдат платени през 2015 г. или по-късно и да бъдат финансирани от бъдещи бюджети. Най-значителните суми, които трябва да бъдат изтъкнати, са дейностите по линия на Европейския фонд за гарантиране на земеделието (ЕФГЗ) (платени през 2015 г.) и доходите на заети лица (които предстои да бъдат платени през следващите 30 и повече години).</w:t>
      </w:r>
    </w:p>
    <w:p w:rsidR="00F50689" w:rsidRDefault="005A36C4" w:rsidP="00F50689">
      <w:pPr>
        <w:pStyle w:val="HEADER2Part4"/>
      </w:pPr>
      <w:r>
        <w:t>Предварително финансиране</w:t>
      </w:r>
    </w:p>
    <w:p w:rsidR="00F50689" w:rsidRDefault="005A36C4" w:rsidP="00F50689">
      <w:pPr>
        <w:pStyle w:val="DGTextstand-alone"/>
      </w:pPr>
      <w:r>
        <w:t>Комисията прави всичко възможно, за да гарантира, че нивата на предварителното финансиране се поддържат на подходящо равнище. Трябва да се постигне баланс между извършването на достатъчно проверки и своевременното признаване на разходите. Следва да се отбележи, че равнището на предварителното финансиране се влияе значително от цикъла на МФР — например в началото на даден период на МФР може да се очакват големи авансови плащания към държавите членки в рамките на политиката на сближаване.</w:t>
      </w:r>
    </w:p>
    <w:p w:rsidR="00F50689" w:rsidRPr="00D368BD" w:rsidRDefault="005A36C4" w:rsidP="00D368BD">
      <w:pPr>
        <w:pStyle w:val="DGTextstand-alone"/>
        <w:spacing w:after="120"/>
      </w:pPr>
      <w:r>
        <w:t>Общият размер на предварителното финансиране (без другите авансови плащания към държавите членки) в счетоводния баланс на ЕС възлиза на 45,2 млрд. EUR, 99,8 % от които са свързани с дейностите на Комисията. Около 76 % от предварителното финансиране от Комисията се изпълняват при режим споделено управление, което означава, че изпълнението на бюджета се делегира на държавите членки (Комисията има надзорна функция).</w:t>
      </w:r>
    </w:p>
    <w:p w:rsidR="00F50689" w:rsidRDefault="005A36C4">
      <w:pPr>
        <w:pStyle w:val="HEADER5"/>
      </w:pPr>
      <w:r>
        <w:t>Предварително финансиране от Комисията по режими на управление</w:t>
      </w:r>
    </w:p>
    <w:p w:rsidR="00F50689" w:rsidRDefault="00B1413E" w:rsidP="00F50689">
      <w:pPr>
        <w:pStyle w:val="Textstand-alone"/>
        <w:jc w:val="center"/>
      </w:pPr>
      <w:r>
        <w:rPr>
          <w:lang w:val="en-GB" w:eastAsia="en-GB" w:bidi="ar-SA"/>
        </w:rPr>
        <w:drawing>
          <wp:inline distT="0" distB="0" distL="0" distR="0" wp14:anchorId="53C93DB6" wp14:editId="6A513E9D">
            <wp:extent cx="4105275" cy="24834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05275" cy="2483438"/>
                    </a:xfrm>
                    <a:prstGeom prst="rect">
                      <a:avLst/>
                    </a:prstGeom>
                  </pic:spPr>
                </pic:pic>
              </a:graphicData>
            </a:graphic>
          </wp:inline>
        </w:drawing>
      </w:r>
    </w:p>
    <w:p w:rsidR="00F50689" w:rsidRDefault="005A36C4" w:rsidP="00D368BD">
      <w:pPr>
        <w:pStyle w:val="DGTextstand-alone"/>
        <w:spacing w:before="120" w:after="120"/>
      </w:pPr>
      <w:r>
        <w:t>По-голямата част от разходите под режим споделено управление обхващат селскостопанските разходи и дейностите по линия на структурните фондове. Най-значителните суми предварително финансиране са свързани с Европейския фонд за регионално развитие (ЕФРР) и Кохезионния фонд (КФ), Европейския земеделски фонд за развитие на селските райони (ЕЗФРСР) и Европейския социален фонд (ЕСФ).</w:t>
      </w:r>
    </w:p>
    <w:p w:rsidR="00F50689" w:rsidRDefault="005A36C4">
      <w:pPr>
        <w:pStyle w:val="HEADER5"/>
      </w:pPr>
      <w:r>
        <w:t>Разходи под режим споделено управление по фондове</w:t>
      </w:r>
    </w:p>
    <w:p w:rsidR="00F50689" w:rsidRDefault="00B1413E" w:rsidP="00F50689">
      <w:pPr>
        <w:pStyle w:val="Textstand-alone"/>
        <w:jc w:val="center"/>
      </w:pPr>
      <w:r>
        <w:rPr>
          <w:lang w:val="en-GB" w:eastAsia="en-GB" w:bidi="ar-SA"/>
        </w:rPr>
        <w:drawing>
          <wp:inline distT="0" distB="0" distL="0" distR="0" wp14:anchorId="49DC0286" wp14:editId="1859A154">
            <wp:extent cx="4143375" cy="250470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43375" cy="2504704"/>
                    </a:xfrm>
                    <a:prstGeom prst="rect">
                      <a:avLst/>
                    </a:prstGeom>
                  </pic:spPr>
                </pic:pic>
              </a:graphicData>
            </a:graphic>
          </wp:inline>
        </w:drawing>
      </w:r>
    </w:p>
    <w:p w:rsidR="00F50689" w:rsidRDefault="005A36C4">
      <w:pPr>
        <w:rPr>
          <w:rFonts w:ascii="Verdana" w:hAnsi="Verdana"/>
          <w:b/>
          <w:noProof/>
          <w:color w:val="016794"/>
          <w:sz w:val="28"/>
          <w:szCs w:val="30"/>
        </w:rPr>
      </w:pPr>
      <w:r>
        <w:br w:type="page"/>
      </w:r>
    </w:p>
    <w:p w:rsidR="00F50689" w:rsidRDefault="005A36C4" w:rsidP="00F50689">
      <w:pPr>
        <w:pStyle w:val="HEADER2Part4"/>
      </w:pPr>
      <w:r>
        <w:t>Финансови инструменти</w:t>
      </w:r>
    </w:p>
    <w:p w:rsidR="00F50689" w:rsidRDefault="005A36C4" w:rsidP="00F50689">
      <w:pPr>
        <w:pStyle w:val="HEADER3Part4"/>
      </w:pPr>
      <w:r>
        <w:t>Финансови инструменти, финансирани от бюджета на ЕС при пряко и непряко управление</w:t>
      </w:r>
    </w:p>
    <w:p w:rsidR="00F50689" w:rsidRDefault="005A36C4" w:rsidP="00F50689">
      <w:pPr>
        <w:pStyle w:val="DGTextstand-alone"/>
      </w:pPr>
      <w:r>
        <w:t>Значението и обемът на финансовите инструменти за изпълнение на бюджета нарастват всяка следваща година. Основната идея зад този подход, за разлика от традиционния метод на изпълнение на бюджета чрез предоставяне на безвъзмездни средства и субсидии, е, че за всяко евро, похарчено от бюджета чрез финансови инструменти, крайният бенефициер получава над 1 EUR финансова подкрепа благодарение на лостовия ефект. Този интелигентен начин на усвояване на бюджета на ЕС има за цел да максимизира въздействието на наличните средства.</w:t>
      </w:r>
    </w:p>
    <w:p w:rsidR="00F50689" w:rsidRDefault="005A36C4">
      <w:pPr>
        <w:pStyle w:val="HEADER5"/>
      </w:pPr>
      <w:r>
        <w:t>Финансови активи, обявени за продажба, на финансовите инструменти, финансирани от бюджета на ЕС</w:t>
      </w:r>
    </w:p>
    <w:p w:rsidR="00F50689" w:rsidRDefault="005A36C4" w:rsidP="00F50689">
      <w:pPr>
        <w:pStyle w:val="Textstand-alone"/>
        <w:jc w:val="center"/>
      </w:pPr>
      <w:r>
        <w:rPr>
          <w:lang w:val="en-GB" w:eastAsia="en-GB" w:bidi="ar-SA"/>
        </w:rPr>
        <w:drawing>
          <wp:inline distT="0" distB="0" distL="0" distR="0" wp14:anchorId="418ED467" wp14:editId="1F7758CC">
            <wp:extent cx="4400550" cy="24765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50689" w:rsidRDefault="005A36C4" w:rsidP="006C2486">
      <w:pPr>
        <w:pStyle w:val="DGTextstand-alone"/>
        <w:spacing w:before="120" w:after="120"/>
      </w:pPr>
      <w:r>
        <w:t>Като цяло се използват три основни вида финансови инструменти:</w:t>
      </w:r>
    </w:p>
    <w:p w:rsidR="00F50689" w:rsidRDefault="005A36C4" w:rsidP="006C2486">
      <w:pPr>
        <w:pStyle w:val="DGTextstand-alone"/>
        <w:numPr>
          <w:ilvl w:val="1"/>
          <w:numId w:val="12"/>
        </w:numPr>
        <w:spacing w:before="120" w:after="120"/>
        <w:ind w:left="1434" w:hanging="357"/>
      </w:pPr>
      <w:r>
        <w:t>инструменти за собствен капитал;</w:t>
      </w:r>
    </w:p>
    <w:p w:rsidR="00F50689" w:rsidRDefault="005A36C4" w:rsidP="006C2486">
      <w:pPr>
        <w:pStyle w:val="DGTextstand-alone"/>
        <w:numPr>
          <w:ilvl w:val="1"/>
          <w:numId w:val="12"/>
        </w:numPr>
        <w:spacing w:before="120" w:after="120"/>
        <w:ind w:left="1434" w:hanging="357"/>
      </w:pPr>
      <w:r>
        <w:t>инструменти за заеми; и</w:t>
      </w:r>
    </w:p>
    <w:p w:rsidR="00F50689" w:rsidRDefault="005A36C4" w:rsidP="006C2486">
      <w:pPr>
        <w:pStyle w:val="DGTextstand-alone"/>
        <w:numPr>
          <w:ilvl w:val="1"/>
          <w:numId w:val="12"/>
        </w:numPr>
        <w:spacing w:before="120" w:after="120"/>
        <w:ind w:left="1434" w:hanging="357"/>
      </w:pPr>
      <w:r>
        <w:t>инструменти за гаранции.</w:t>
      </w:r>
    </w:p>
    <w:p w:rsidR="00F50689" w:rsidRDefault="005A36C4" w:rsidP="00F50689">
      <w:pPr>
        <w:pStyle w:val="DGTextstand-alone"/>
      </w:pPr>
      <w:r>
        <w:t>По-долу са предоставени подробности за по-важните инструменти:</w:t>
      </w:r>
    </w:p>
    <w:p w:rsidR="00F50689" w:rsidRDefault="005A36C4">
      <w:pPr>
        <w:pStyle w:val="HEADER5"/>
      </w:pPr>
      <w:r>
        <w:t>Гаранционен фонд за външни дейности (активи на стойност 1 996 млн. EUR)</w:t>
      </w:r>
    </w:p>
    <w:p w:rsidR="00F50689" w:rsidRDefault="005A36C4" w:rsidP="00F50689">
      <w:pPr>
        <w:pStyle w:val="DGTextstand-alone"/>
      </w:pPr>
      <w:r>
        <w:t xml:space="preserve">Гаранционният фонд за външни дейности обхваща заемите, гарантирани от ЕС в резултат на решение на Съвета, по-специално операциите на Европейската инвестиционна банка (ЕИБ) по отпускане на заеми извън ЕС и заемите в рамките на макрофинансовата помощ (МФП) и заемите от Евратом извън ЕС. Той представлява дългосрочен инструмент (нетекуща част: 1 489 млн. EUR), управляван от ЕИБ и предназначен за покриване на гарантираните от ЕС заеми, по които задълженията не се изпълняват. Фондът се финансира с плащания от общия бюджет на ЕС (с цел достигане на 9 % от капиталовата стойност на операциите), с постъпленията от лихви върху инвестициите, направени от активите на Фонда, и със сумите, събрани от некоректни длъжници, за които Фондът е трябвало да задейства своята гаранция. Всеки годишен излишък се възстановява под формата на приход за бюджета на ЕС. </w:t>
      </w:r>
    </w:p>
    <w:p w:rsidR="00F50689" w:rsidRDefault="005A36C4" w:rsidP="00F50689">
      <w:pPr>
        <w:pStyle w:val="DGTextstand-alone"/>
      </w:pPr>
      <w:r>
        <w:t>ЕС е задължен да включва гаранционен резерв за покриването на заемите, отпускани на трети държави. Този резерв е предназначен за покриване на нуждите на Гаранционния фонд и, при необходимост, задействаните гаранции, надвишаващи сумата, налична във Фонда, за да могат тези суми да бъдат покрити от бюджета. Този резерв съответства на целта от 9 % от неизплатените отпуснати заеми към края на годината.</w:t>
      </w:r>
    </w:p>
    <w:p w:rsidR="00A675FE" w:rsidRDefault="00A675FE">
      <w:pPr>
        <w:rPr>
          <w:rFonts w:ascii="Verdana" w:hAnsi="Verdana"/>
          <w:b/>
          <w:color w:val="016794"/>
          <w:sz w:val="18"/>
          <w:szCs w:val="18"/>
        </w:rPr>
      </w:pPr>
      <w:r>
        <w:br w:type="page"/>
      </w:r>
    </w:p>
    <w:p w:rsidR="00F50689" w:rsidRDefault="005A36C4">
      <w:pPr>
        <w:pStyle w:val="HEADER5"/>
      </w:pPr>
      <w:r>
        <w:t>Механизъм за финансиране с поделяне на риска (активи на стойност 961 млн. EUR)</w:t>
      </w:r>
    </w:p>
    <w:p w:rsidR="00F50689" w:rsidRDefault="005A36C4" w:rsidP="00F50689">
      <w:pPr>
        <w:pStyle w:val="DGTextstand-alone"/>
      </w:pPr>
      <w:r>
        <w:t xml:space="preserve">Механизмът за финансиране с поделяне на риска (МФПР) се управлява от ЕИБ и инвестиционният портфейл на Комисията се използва за осигуряване срещу финансовия риск при заемите и гаранциите, предоставени от ЕИБ на допустими проекти в областта на научните изследвания. За МФПР е предвиден общ бюджет на Комисията в размер на максимум 1 млрд. EUR, от които до 800 млн. EUR са от програмата „Сътрудничество“, а до 200 млн. EUR са от програмата „Капацитети“. ЕИБ се е ангажирала да осигури същата сума. В МФР за периода 2014—2020 г. не са предвидени допълнителни бюджетни средства за МФПР. Към 31 декември 2014 г. Комисията е внесла в МФПР, включително вноските на ЕАСТ и на трети държави, 856 млн. EUR. </w:t>
      </w:r>
      <w:r>
        <w:rPr>
          <w:color w:val="000000" w:themeColor="text1"/>
        </w:rPr>
        <w:t xml:space="preserve">През 2014 г. 375 млн. EUR от средствата, предоставени от ЕС за МФПР, бяха прехвърлени на дълговия инструмент по линия на „Хоризонт 2020“, който замени МФПР. </w:t>
      </w:r>
      <w:r>
        <w:t>Сумата, посочена като условен пасив (бележка </w:t>
      </w:r>
      <w:r>
        <w:rPr>
          <w:b/>
        </w:rPr>
        <w:t>5.2.1</w:t>
      </w:r>
      <w:r>
        <w:t xml:space="preserve"> от бележките към финансовите отчети), представлява очакваната максимална загуба към 31 декември 2014 г., която Комисията би претърпяла в случай на неизпълнение на задълженията по заемите или гаранциите, предоставени от ЕИБ в рамките на МФПР. Следва да се отбележи, че общият риск за Комисията е ограничен до размера на сумата, която тя предоставя за Механизма.</w:t>
      </w:r>
    </w:p>
    <w:p w:rsidR="00F50689" w:rsidRDefault="005A36C4">
      <w:pPr>
        <w:pStyle w:val="HEADER5"/>
      </w:pPr>
      <w:r>
        <w:t>„Хоризонт 2020“ (активи на стойност 643 млн. EUR)</w:t>
      </w:r>
    </w:p>
    <w:p w:rsidR="00F50689" w:rsidRDefault="005A36C4" w:rsidP="00F50689">
      <w:pPr>
        <w:pStyle w:val="DGTextstand-alone"/>
      </w:pPr>
      <w:r>
        <w:t>Програмата „Хоризонт 2020“ е нов капиталов инструмент в МФР за периода 2014—2020 г. Считана за средство за стимулиране на икономическия растеж и създаване на работни места, „Хоризонт 2020“ има политическата подкрепа на европейските лидери и на членовете на ЕП. Те постигнаха съгласие, че научните изследвания са инвестиция в бъдещето, и поради това ги поставиха в центъра на плана на ЕС за интелигентен, устойчив и приобщаващ растеж и за работни места. Като свързва научните изследвания и иновациите, „Хоризонт 2020“ помага за постигането на това с акцента, който поставя върху високите постижения в научната област, водещите позиции в промишлеността и преодоляването на обществените предизвикателства. Целта е Европа да постига наука на световно ниво, да премахва пречките пред иновациите и да улеснява сътрудничеството между публичния и частния сектор за постигането на иновации. „Хоризонт 2020“ се управлява от ЕИФ.</w:t>
      </w:r>
    </w:p>
    <w:p w:rsidR="00F50689" w:rsidRDefault="005A36C4">
      <w:pPr>
        <w:pStyle w:val="HEADER5"/>
      </w:pPr>
      <w:r>
        <w:t>ETF Start-up (схема за подкрепа на стартиращи</w:t>
      </w:r>
      <w:r w:rsidRPr="005F4D01">
        <w:t xml:space="preserve"> </w:t>
      </w:r>
      <w:r>
        <w:t>предприятия по Европейския механизъм за технологии) (активи на стойност 524 млн. EUR)</w:t>
      </w:r>
    </w:p>
    <w:p w:rsidR="00F50689" w:rsidRDefault="005A36C4" w:rsidP="00F50689">
      <w:pPr>
        <w:pStyle w:val="DGTextstand-alone"/>
      </w:pPr>
      <w:r>
        <w:t>Схемата за подкрепа на стартиращи предприятия по Европейския механизъм за технологии (ETF Start-up) обхваща Програмата за растеж и заетост, Многогодишната програма за предприятията и предприемачеството и Рамковата програма за конкурентоспособност и иновации, които се намират под попечителството на ЕИФ, и подпомага създаването на МСП и финансирането на новосъздадени МСП чрез инвестиране в подходящи специализирани фондове за рисков капитал.</w:t>
      </w:r>
    </w:p>
    <w:p w:rsidR="00F50689" w:rsidRDefault="005A36C4" w:rsidP="00F50689">
      <w:pPr>
        <w:pStyle w:val="HEADER5"/>
      </w:pPr>
      <w:r>
        <w:t>Инструмент за гарантиране на заемите по проекти, свързани с трансевропейските транспортни мрежи (активи на стойност 235 млн. EUR)</w:t>
      </w:r>
    </w:p>
    <w:p w:rsidR="00F50689" w:rsidRDefault="005A36C4" w:rsidP="00F50689">
      <w:pPr>
        <w:pStyle w:val="DGTextstand-alone"/>
      </w:pPr>
      <w:r>
        <w:t>Инструментът за гарантиране на заемите по проекти, свързани с трансевропейските транспортни мрежи (LGTT), предоставя гаранции с цел смекчаване на свързания с приходите риск през първите години на проектите. Конкретно гаранцията покрива изцяло стендбай кредитни линии, по които се теглят средства само когато паричните потоци на даден проект не достигат за обслужване на привилегирован дълг. Инструментът е съвместен финансов продукт на Комисията и ЕИБ. Капиталовата вноска в полза на инструмента LGTT за периода на финансиране 2007—2013 г. първоначално бе определена на 1 млрд. EUR, разделени поравно между Комисията и ЕИБ. С изменящия Регламент № 670/2012 бяха преразпределени 200 млн. EUR за инициативата за облигации за проекти и още 50 млн. EUR за финансирането с безвъзмездни средства, вследствие на което общият финансов принос на ЕС, все още наличен за инструмента, възлиза на 250 млн. EUR.</w:t>
      </w:r>
    </w:p>
    <w:p w:rsidR="00F50689" w:rsidRPr="00B70643" w:rsidRDefault="005A36C4" w:rsidP="00F50689">
      <w:pPr>
        <w:pStyle w:val="DGTextstand-alone"/>
      </w:pPr>
      <w:r>
        <w:t>Към 31 декември 2014 г. Комисията е предоставила 212 млн. EUR за LGTT. Сумата, призната като условен пасив (бележка </w:t>
      </w:r>
      <w:r>
        <w:rPr>
          <w:b/>
        </w:rPr>
        <w:t>5.2.1</w:t>
      </w:r>
      <w:r>
        <w:t xml:space="preserve"> от бележките към финансовите отчети), представлява очакваната максимална загуба към 31 декември 2014 г., която Комисията би претърпяла в случай на неизпълнение на задълженията по заемите, отпуснати от ЕИБ в рамките на дейностите по линия на LGTT. Следва да се отбележи, че общият риск за Комисията е ограничен до размера на сумата, която тя предоставя за инструмента.</w:t>
      </w:r>
    </w:p>
    <w:p w:rsidR="00F50689" w:rsidRDefault="005A36C4">
      <w:pPr>
        <w:rPr>
          <w:rFonts w:ascii="Verdana" w:hAnsi="Verdana"/>
          <w:noProof/>
          <w:sz w:val="18"/>
          <w:szCs w:val="18"/>
        </w:rPr>
      </w:pPr>
      <w:r>
        <w:br w:type="page"/>
      </w:r>
    </w:p>
    <w:p w:rsidR="00F50689" w:rsidRDefault="005A36C4">
      <w:pPr>
        <w:pStyle w:val="HEADER5"/>
      </w:pPr>
      <w:r>
        <w:t>Финансови инструменти (ФИ) по видове</w:t>
      </w:r>
    </w:p>
    <w:tbl>
      <w:tblPr>
        <w:tblW w:w="9762" w:type="dxa"/>
        <w:tblInd w:w="93" w:type="dxa"/>
        <w:tblLook w:val="04A0" w:firstRow="1" w:lastRow="0" w:firstColumn="1" w:lastColumn="0" w:noHBand="0" w:noVBand="1"/>
      </w:tblPr>
      <w:tblGrid>
        <w:gridCol w:w="5984"/>
        <w:gridCol w:w="938"/>
        <w:gridCol w:w="1163"/>
        <w:gridCol w:w="1677"/>
      </w:tblGrid>
      <w:tr w:rsidR="00E7728E" w:rsidTr="00B70643">
        <w:trPr>
          <w:trHeight w:val="300"/>
        </w:trPr>
        <w:tc>
          <w:tcPr>
            <w:tcW w:w="6019" w:type="dxa"/>
            <w:tcBorders>
              <w:top w:val="nil"/>
              <w:left w:val="nil"/>
              <w:bottom w:val="nil"/>
              <w:right w:val="nil"/>
            </w:tcBorders>
            <w:shd w:val="clear" w:color="auto" w:fill="auto"/>
            <w:noWrap/>
            <w:vAlign w:val="bottom"/>
            <w:hideMark/>
          </w:tcPr>
          <w:p w:rsidR="00F50689" w:rsidRPr="00AF0804" w:rsidRDefault="00F50689" w:rsidP="00F50689">
            <w:pPr>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F50689" w:rsidRPr="00AF0804" w:rsidRDefault="00F50689" w:rsidP="00F50689">
            <w:pPr>
              <w:rPr>
                <w:rFonts w:ascii="Calibri" w:hAnsi="Calibri"/>
                <w:color w:val="000000"/>
                <w:sz w:val="22"/>
                <w:szCs w:val="22"/>
              </w:rPr>
            </w:pPr>
          </w:p>
        </w:tc>
        <w:tc>
          <w:tcPr>
            <w:tcW w:w="1169" w:type="dxa"/>
            <w:tcBorders>
              <w:top w:val="nil"/>
              <w:left w:val="nil"/>
              <w:bottom w:val="nil"/>
              <w:right w:val="nil"/>
            </w:tcBorders>
            <w:shd w:val="clear" w:color="auto" w:fill="auto"/>
            <w:noWrap/>
            <w:vAlign w:val="bottom"/>
            <w:hideMark/>
          </w:tcPr>
          <w:p w:rsidR="00F50689" w:rsidRPr="00AF0804" w:rsidRDefault="00F50689" w:rsidP="00F50689">
            <w:pPr>
              <w:rPr>
                <w:rFonts w:ascii="Calibri" w:hAnsi="Calibri"/>
                <w:color w:val="000000"/>
                <w:sz w:val="22"/>
                <w:szCs w:val="22"/>
              </w:rPr>
            </w:pPr>
          </w:p>
        </w:tc>
        <w:tc>
          <w:tcPr>
            <w:tcW w:w="1632" w:type="dxa"/>
            <w:tcBorders>
              <w:top w:val="nil"/>
              <w:left w:val="nil"/>
              <w:bottom w:val="nil"/>
              <w:right w:val="nil"/>
            </w:tcBorders>
            <w:shd w:val="clear" w:color="auto" w:fill="auto"/>
            <w:noWrap/>
            <w:vAlign w:val="bottom"/>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млн. EUR</w:t>
            </w:r>
          </w:p>
        </w:tc>
      </w:tr>
      <w:tr w:rsidR="00E7728E" w:rsidTr="00B70643">
        <w:trPr>
          <w:trHeight w:val="300"/>
        </w:trPr>
        <w:tc>
          <w:tcPr>
            <w:tcW w:w="6019" w:type="dxa"/>
            <w:tcBorders>
              <w:top w:val="nil"/>
              <w:left w:val="nil"/>
              <w:bottom w:val="nil"/>
              <w:right w:val="nil"/>
            </w:tcBorders>
            <w:shd w:val="clear" w:color="000000" w:fill="366092"/>
            <w:vAlign w:val="center"/>
            <w:hideMark/>
          </w:tcPr>
          <w:p w:rsidR="00F50689" w:rsidRPr="00AF0804" w:rsidRDefault="00F50689" w:rsidP="00F50689">
            <w:pPr>
              <w:rPr>
                <w:rFonts w:ascii="Verdana" w:hAnsi="Verdana"/>
                <w:b/>
                <w:bCs/>
                <w:color w:val="FFFFFF"/>
                <w:sz w:val="18"/>
                <w:szCs w:val="18"/>
              </w:rPr>
            </w:pPr>
          </w:p>
        </w:tc>
        <w:tc>
          <w:tcPr>
            <w:tcW w:w="942" w:type="dxa"/>
            <w:tcBorders>
              <w:top w:val="nil"/>
              <w:left w:val="nil"/>
              <w:bottom w:val="nil"/>
              <w:right w:val="nil"/>
            </w:tcBorders>
            <w:shd w:val="clear" w:color="000000" w:fill="366092"/>
            <w:noWrap/>
            <w:vAlign w:val="center"/>
            <w:hideMark/>
          </w:tcPr>
          <w:p w:rsidR="00F50689" w:rsidRPr="00B70643" w:rsidRDefault="005A36C4" w:rsidP="00F50689">
            <w:pPr>
              <w:jc w:val="center"/>
              <w:rPr>
                <w:rFonts w:ascii="Verdana" w:hAnsi="Verdana"/>
                <w:b/>
                <w:bCs/>
                <w:color w:val="FFFFFF"/>
                <w:spacing w:val="-6"/>
                <w:sz w:val="18"/>
                <w:szCs w:val="18"/>
              </w:rPr>
            </w:pPr>
            <w:r w:rsidRPr="00B70643">
              <w:rPr>
                <w:rFonts w:ascii="Verdana" w:hAnsi="Verdana"/>
                <w:b/>
                <w:color w:val="FFFFFF"/>
                <w:spacing w:val="-6"/>
                <w:sz w:val="18"/>
              </w:rPr>
              <w:t>Общо активи</w:t>
            </w:r>
          </w:p>
        </w:tc>
        <w:tc>
          <w:tcPr>
            <w:tcW w:w="1169" w:type="dxa"/>
            <w:tcBorders>
              <w:top w:val="nil"/>
              <w:left w:val="nil"/>
              <w:bottom w:val="nil"/>
              <w:right w:val="nil"/>
            </w:tcBorders>
            <w:shd w:val="clear" w:color="000000" w:fill="366092"/>
            <w:noWrap/>
            <w:vAlign w:val="center"/>
            <w:hideMark/>
          </w:tcPr>
          <w:p w:rsidR="00F50689" w:rsidRPr="00AF0804" w:rsidRDefault="005A36C4" w:rsidP="00F50689">
            <w:pPr>
              <w:jc w:val="center"/>
              <w:rPr>
                <w:rFonts w:ascii="Verdana" w:hAnsi="Verdana"/>
                <w:b/>
                <w:bCs/>
                <w:color w:val="FFFFFF"/>
                <w:sz w:val="18"/>
                <w:szCs w:val="18"/>
              </w:rPr>
            </w:pPr>
            <w:r>
              <w:rPr>
                <w:rFonts w:ascii="Verdana" w:hAnsi="Verdana"/>
                <w:b/>
                <w:color w:val="FFFFFF"/>
                <w:sz w:val="18"/>
              </w:rPr>
              <w:t>Общо пасиви</w:t>
            </w:r>
          </w:p>
        </w:tc>
        <w:tc>
          <w:tcPr>
            <w:tcW w:w="1632" w:type="dxa"/>
            <w:tcBorders>
              <w:top w:val="nil"/>
              <w:left w:val="nil"/>
              <w:bottom w:val="nil"/>
              <w:right w:val="nil"/>
            </w:tcBorders>
            <w:shd w:val="clear" w:color="000000" w:fill="366092"/>
            <w:noWrap/>
            <w:vAlign w:val="center"/>
            <w:hideMark/>
          </w:tcPr>
          <w:p w:rsidR="00F50689" w:rsidRPr="00AF0804" w:rsidRDefault="005A36C4" w:rsidP="00F50689">
            <w:pPr>
              <w:jc w:val="center"/>
              <w:rPr>
                <w:rFonts w:ascii="Verdana" w:hAnsi="Verdana"/>
                <w:b/>
                <w:bCs/>
                <w:color w:val="FFFFFF"/>
                <w:sz w:val="18"/>
                <w:szCs w:val="18"/>
              </w:rPr>
            </w:pPr>
            <w:r>
              <w:rPr>
                <w:rFonts w:ascii="Verdana" w:hAnsi="Verdana"/>
                <w:b/>
                <w:color w:val="FFFFFF"/>
                <w:sz w:val="18"/>
              </w:rPr>
              <w:t>Предоставени гаранции</w:t>
            </w:r>
          </w:p>
        </w:tc>
      </w:tr>
      <w:tr w:rsidR="00E7728E" w:rsidTr="00B70643">
        <w:trPr>
          <w:trHeight w:val="300"/>
        </w:trPr>
        <w:tc>
          <w:tcPr>
            <w:tcW w:w="6019"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b/>
                <w:bCs/>
                <w:sz w:val="18"/>
                <w:szCs w:val="18"/>
              </w:rPr>
            </w:pPr>
            <w:r>
              <w:rPr>
                <w:rFonts w:ascii="Verdana" w:hAnsi="Verdana"/>
                <w:b/>
                <w:sz w:val="18"/>
              </w:rPr>
              <w:t>Инструменти за заеми/за собствен капитал/за техническа помощ:</w:t>
            </w:r>
          </w:p>
        </w:tc>
        <w:tc>
          <w:tcPr>
            <w:tcW w:w="942" w:type="dxa"/>
            <w:tcBorders>
              <w:top w:val="nil"/>
              <w:left w:val="nil"/>
              <w:bottom w:val="nil"/>
              <w:right w:val="nil"/>
            </w:tcBorders>
            <w:shd w:val="clear" w:color="auto" w:fill="auto"/>
            <w:vAlign w:val="center"/>
            <w:hideMark/>
          </w:tcPr>
          <w:p w:rsidR="00F50689" w:rsidRPr="00AF0804" w:rsidRDefault="00F50689" w:rsidP="00F50689">
            <w:pPr>
              <w:jc w:val="center"/>
              <w:rPr>
                <w:rFonts w:ascii="Verdana" w:hAnsi="Verdana"/>
                <w:b/>
                <w:bCs/>
                <w:color w:val="FFFFFF"/>
                <w:sz w:val="18"/>
                <w:szCs w:val="18"/>
              </w:rPr>
            </w:pPr>
          </w:p>
        </w:tc>
        <w:tc>
          <w:tcPr>
            <w:tcW w:w="1169" w:type="dxa"/>
            <w:tcBorders>
              <w:top w:val="nil"/>
              <w:left w:val="nil"/>
              <w:bottom w:val="nil"/>
              <w:right w:val="nil"/>
            </w:tcBorders>
            <w:shd w:val="clear" w:color="auto" w:fill="auto"/>
            <w:noWrap/>
            <w:vAlign w:val="center"/>
            <w:hideMark/>
          </w:tcPr>
          <w:p w:rsidR="00F50689" w:rsidRPr="00AF0804" w:rsidRDefault="00F50689" w:rsidP="00F50689">
            <w:pPr>
              <w:jc w:val="center"/>
              <w:rPr>
                <w:rFonts w:ascii="Verdana" w:hAnsi="Verdana"/>
                <w:b/>
                <w:bCs/>
                <w:color w:val="FFFFFF"/>
                <w:sz w:val="18"/>
                <w:szCs w:val="18"/>
              </w:rPr>
            </w:pPr>
          </w:p>
        </w:tc>
        <w:tc>
          <w:tcPr>
            <w:tcW w:w="1632" w:type="dxa"/>
            <w:tcBorders>
              <w:top w:val="nil"/>
              <w:left w:val="nil"/>
              <w:bottom w:val="nil"/>
              <w:right w:val="nil"/>
            </w:tcBorders>
            <w:shd w:val="clear" w:color="auto" w:fill="auto"/>
            <w:noWrap/>
            <w:vAlign w:val="center"/>
            <w:hideMark/>
          </w:tcPr>
          <w:p w:rsidR="00F50689" w:rsidRPr="00AF0804" w:rsidRDefault="00F50689" w:rsidP="00F50689">
            <w:pPr>
              <w:jc w:val="center"/>
              <w:rPr>
                <w:rFonts w:ascii="Verdana" w:hAnsi="Verdana"/>
                <w:b/>
                <w:bCs/>
                <w:color w:val="FFFFFF"/>
                <w:sz w:val="18"/>
                <w:szCs w:val="18"/>
              </w:rPr>
            </w:pPr>
          </w:p>
        </w:tc>
      </w:tr>
      <w:tr w:rsidR="00E7728E" w:rsidTr="00B70643">
        <w:trPr>
          <w:trHeight w:val="450"/>
        </w:trPr>
        <w:tc>
          <w:tcPr>
            <w:tcW w:w="6019"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MEDA — Инструмент за икономическо и финансово сътрудничество в рамките на Евро-средиземноморското партньорство</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290</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(3)</w:t>
            </w:r>
          </w:p>
        </w:tc>
        <w:tc>
          <w:tcPr>
            <w:tcW w:w="1632"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Европейски инструмент за съседство и партньорство (ЕИСП)</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167</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(7)</w:t>
            </w:r>
          </w:p>
        </w:tc>
        <w:tc>
          <w:tcPr>
            <w:tcW w:w="1632"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B70643">
        <w:trPr>
          <w:trHeight w:val="300"/>
        </w:trPr>
        <w:tc>
          <w:tcPr>
            <w:tcW w:w="6019"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 </w:t>
            </w:r>
          </w:p>
        </w:tc>
        <w:tc>
          <w:tcPr>
            <w:tcW w:w="942"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 xml:space="preserve"> 457</w:t>
            </w:r>
          </w:p>
        </w:tc>
        <w:tc>
          <w:tcPr>
            <w:tcW w:w="1169"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(9)</w:t>
            </w:r>
          </w:p>
        </w:tc>
        <w:tc>
          <w:tcPr>
            <w:tcW w:w="1632" w:type="dxa"/>
            <w:tcBorders>
              <w:top w:val="single" w:sz="4" w:space="0" w:color="auto"/>
              <w:left w:val="nil"/>
              <w:bottom w:val="single" w:sz="4" w:space="0" w:color="auto"/>
              <w:right w:val="nil"/>
            </w:tcBorders>
            <w:shd w:val="clear" w:color="auto" w:fill="auto"/>
            <w:noWrap/>
            <w:vAlign w:val="bottom"/>
            <w:hideMark/>
          </w:tcPr>
          <w:p w:rsidR="00F50689" w:rsidRPr="00AF0804" w:rsidRDefault="005A36C4" w:rsidP="00F50689">
            <w:pPr>
              <w:rPr>
                <w:rFonts w:ascii="Verdana" w:hAnsi="Verdana"/>
                <w:b/>
                <w:bCs/>
                <w:sz w:val="18"/>
                <w:szCs w:val="18"/>
              </w:rPr>
            </w:pPr>
            <w:r>
              <w:rPr>
                <w:rFonts w:ascii="Verdana" w:hAnsi="Verdana"/>
                <w:b/>
                <w:sz w:val="18"/>
              </w:rPr>
              <w:t> </w:t>
            </w:r>
          </w:p>
        </w:tc>
      </w:tr>
      <w:tr w:rsidR="00E7728E" w:rsidTr="00B70643">
        <w:trPr>
          <w:trHeight w:val="300"/>
        </w:trPr>
        <w:tc>
          <w:tcPr>
            <w:tcW w:w="6019" w:type="dxa"/>
            <w:tcBorders>
              <w:top w:val="nil"/>
              <w:left w:val="nil"/>
              <w:bottom w:val="single" w:sz="4" w:space="0" w:color="auto"/>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Инструменти за заеми: заеми за подкрепа на МСП</w:t>
            </w:r>
          </w:p>
        </w:tc>
        <w:tc>
          <w:tcPr>
            <w:tcW w:w="942" w:type="dxa"/>
            <w:tcBorders>
              <w:top w:val="nil"/>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 xml:space="preserve"> 19</w:t>
            </w:r>
          </w:p>
        </w:tc>
        <w:tc>
          <w:tcPr>
            <w:tcW w:w="1169" w:type="dxa"/>
            <w:tcBorders>
              <w:top w:val="nil"/>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w:t>
            </w:r>
          </w:p>
        </w:tc>
        <w:tc>
          <w:tcPr>
            <w:tcW w:w="1632" w:type="dxa"/>
            <w:tcBorders>
              <w:top w:val="nil"/>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 </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Инструменти за собствен капитал:</w:t>
            </w:r>
          </w:p>
        </w:tc>
        <w:tc>
          <w:tcPr>
            <w:tcW w:w="942"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169"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632"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b/>
                <w:bCs/>
                <w:color w:val="000000"/>
                <w:sz w:val="18"/>
                <w:szCs w:val="18"/>
              </w:rPr>
            </w:pPr>
          </w:p>
        </w:tc>
      </w:tr>
      <w:tr w:rsidR="00E7728E" w:rsidTr="00B70643">
        <w:trPr>
          <w:trHeight w:val="450"/>
        </w:trPr>
        <w:tc>
          <w:tcPr>
            <w:tcW w:w="6019"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Механизъм за висок растеж и иновации на МСП по Рамковата програма за конкурентоспособност и иновации</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323</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(0)</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COSME — Конкурентоспособност на предприятията и малките и средните предприятия</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31</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Европейски фонд за Югоизточна Европа (ЕФЮЕ)</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118</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450"/>
        </w:trPr>
        <w:tc>
          <w:tcPr>
            <w:tcW w:w="6019"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 xml:space="preserve">Фонд за разрастване на предприятията по Инструмента за развитие на предприятията и иновации за Западните Балкани </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10</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0</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450"/>
        </w:trPr>
        <w:tc>
          <w:tcPr>
            <w:tcW w:w="6019"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Фонд за иновации в предприятията (ФИП) по Инструмента за развитие на предприятията и иновации за Западните Балкани</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21</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0</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Схема за подкрепа на стартиращи предприятия по Европейския механизъм за технологии 1998 (ETF Start-up)</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19</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(0)</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Световен фонд за енергийна ефективност и възобновяема енергия (GEEREF)</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72</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Капиталов механизъм по многогодишната рамкова програма (МРП)</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183</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(0)</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Фонд Marguerite</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37</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450"/>
        </w:trPr>
        <w:tc>
          <w:tcPr>
            <w:tcW w:w="6019"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 xml:space="preserve">Европейски механизъм за микрофинансиране „Прогрес“ (ММП) за заетост и социално приобщаване </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60</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450"/>
        </w:trPr>
        <w:tc>
          <w:tcPr>
            <w:tcW w:w="6019"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SE4F — Фонд „Екология за растеж“ за региона на източните съседни държави</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52</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 xml:space="preserve">Европейски фонд за енергийна ефективност </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89</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Пилотни проекти за трансфер на технологии</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(0)</w:t>
            </w:r>
          </w:p>
        </w:tc>
        <w:tc>
          <w:tcPr>
            <w:tcW w:w="1632"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Инициатива за микрофинансиране за Фонда за азиатския дълг</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10</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SANAD — Фонд за БИСА за микро-, малките и средните предприятия</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9</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300"/>
        </w:trPr>
        <w:tc>
          <w:tcPr>
            <w:tcW w:w="6019"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 </w:t>
            </w:r>
          </w:p>
        </w:tc>
        <w:tc>
          <w:tcPr>
            <w:tcW w:w="942"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1 035</w:t>
            </w:r>
          </w:p>
        </w:tc>
        <w:tc>
          <w:tcPr>
            <w:tcW w:w="1169"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w:t>
            </w:r>
          </w:p>
        </w:tc>
        <w:tc>
          <w:tcPr>
            <w:tcW w:w="1632"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 </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Инструменти за гаранции:</w:t>
            </w:r>
          </w:p>
        </w:tc>
        <w:tc>
          <w:tcPr>
            <w:tcW w:w="942"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169"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632"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B70643">
        <w:trPr>
          <w:trHeight w:val="450"/>
        </w:trPr>
        <w:tc>
          <w:tcPr>
            <w:tcW w:w="6019"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Механизъм за гарантиране по отношение на МСП по Рамковата програма за конкурентоспособност и иновации (CIP SMEG)</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151</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(259)</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МГЗ по COSME — Конкурентоспособност на предприятията и МСП</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39</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(42)</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„Хоризонт 2020“ — Финансиране от ЕС за новатори</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478</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(11)</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(98)</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„Хоризонт 2020“ — Гаранция за МСП</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165</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(267)</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Инструмент за гарантиране на заемите по проекти, свързани с трансевропейските транспортни мрежи (LGTT)</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235</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(3)</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(209)</w:t>
            </w:r>
          </w:p>
        </w:tc>
      </w:tr>
      <w:tr w:rsidR="00E7728E" w:rsidTr="00B70643">
        <w:trPr>
          <w:trHeight w:val="450"/>
        </w:trPr>
        <w:tc>
          <w:tcPr>
            <w:tcW w:w="6019"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Механизъм за гарантиране по Инструмента за развитие на предприятията и иновации за Западните Балкани</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21</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(2)</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(10)</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Многогодишна програма (МП) за предприятията</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26</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(41)</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 xml:space="preserve">Инструмент за финансиране на природен капитал </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3</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Инструмент за облигации за проекти (ИОП)</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149</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(2)</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(138)</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Инструмент за частно финансиране за енергийна ефективност (PF4EE)</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6</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(0)</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Европейски мандат за микрофинансиране „Прогрес“ (PMF TA)</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13</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(9)</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Механизъм за финансиране с поделяне на риска (МФПР)</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961</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(32)</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(883)</w:t>
            </w:r>
          </w:p>
        </w:tc>
      </w:tr>
      <w:tr w:rsidR="00E7728E" w:rsidTr="00B70643">
        <w:trPr>
          <w:trHeight w:val="300"/>
        </w:trPr>
        <w:tc>
          <w:tcPr>
            <w:tcW w:w="6019"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Механизъм за гарантиране по отношение на МСП</w:t>
            </w:r>
          </w:p>
        </w:tc>
        <w:tc>
          <w:tcPr>
            <w:tcW w:w="94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60</w:t>
            </w:r>
          </w:p>
        </w:tc>
        <w:tc>
          <w:tcPr>
            <w:tcW w:w="1169"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(15)</w:t>
            </w:r>
          </w:p>
        </w:tc>
        <w:tc>
          <w:tcPr>
            <w:tcW w:w="1632"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B70643">
        <w:trPr>
          <w:trHeight w:val="360"/>
        </w:trPr>
        <w:tc>
          <w:tcPr>
            <w:tcW w:w="6019" w:type="dxa"/>
            <w:tcBorders>
              <w:top w:val="single" w:sz="4" w:space="0" w:color="auto"/>
              <w:left w:val="nil"/>
              <w:bottom w:val="nil"/>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 </w:t>
            </w:r>
          </w:p>
        </w:tc>
        <w:tc>
          <w:tcPr>
            <w:tcW w:w="942" w:type="dxa"/>
            <w:tcBorders>
              <w:top w:val="single" w:sz="4" w:space="0" w:color="auto"/>
              <w:left w:val="nil"/>
              <w:bottom w:val="nil"/>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2 309</w:t>
            </w:r>
          </w:p>
        </w:tc>
        <w:tc>
          <w:tcPr>
            <w:tcW w:w="1169" w:type="dxa"/>
            <w:tcBorders>
              <w:top w:val="single" w:sz="4" w:space="0" w:color="auto"/>
              <w:left w:val="nil"/>
              <w:bottom w:val="nil"/>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(376)</w:t>
            </w:r>
          </w:p>
        </w:tc>
        <w:tc>
          <w:tcPr>
            <w:tcW w:w="1632" w:type="dxa"/>
            <w:tcBorders>
              <w:top w:val="single" w:sz="4" w:space="0" w:color="auto"/>
              <w:left w:val="nil"/>
              <w:bottom w:val="nil"/>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(1 647)</w:t>
            </w:r>
          </w:p>
        </w:tc>
      </w:tr>
      <w:tr w:rsidR="00E7728E" w:rsidTr="00B70643">
        <w:trPr>
          <w:trHeight w:val="300"/>
        </w:trPr>
        <w:tc>
          <w:tcPr>
            <w:tcW w:w="6019" w:type="dxa"/>
            <w:tcBorders>
              <w:top w:val="nil"/>
              <w:left w:val="nil"/>
              <w:bottom w:val="nil"/>
              <w:right w:val="nil"/>
            </w:tcBorders>
            <w:shd w:val="clear" w:color="000000" w:fill="B8CCE4"/>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Общо</w:t>
            </w:r>
          </w:p>
        </w:tc>
        <w:tc>
          <w:tcPr>
            <w:tcW w:w="942"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3 820</w:t>
            </w:r>
          </w:p>
        </w:tc>
        <w:tc>
          <w:tcPr>
            <w:tcW w:w="1169"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(386)</w:t>
            </w:r>
          </w:p>
        </w:tc>
        <w:tc>
          <w:tcPr>
            <w:tcW w:w="1632"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(1 647)</w:t>
            </w:r>
          </w:p>
        </w:tc>
      </w:tr>
      <w:tr w:rsidR="00E7728E" w:rsidTr="00B70643">
        <w:trPr>
          <w:trHeight w:val="135"/>
        </w:trPr>
        <w:tc>
          <w:tcPr>
            <w:tcW w:w="6019"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c>
          <w:tcPr>
            <w:tcW w:w="942"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169"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632"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B70643">
        <w:trPr>
          <w:trHeight w:val="300"/>
        </w:trPr>
        <w:tc>
          <w:tcPr>
            <w:tcW w:w="6019" w:type="dxa"/>
            <w:tcBorders>
              <w:top w:val="nil"/>
              <w:left w:val="nil"/>
              <w:bottom w:val="nil"/>
              <w:right w:val="nil"/>
            </w:tcBorders>
            <w:shd w:val="clear" w:color="000000" w:fill="B8CCE4"/>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Гаранционен фонд за външни дейности</w:t>
            </w:r>
          </w:p>
        </w:tc>
        <w:tc>
          <w:tcPr>
            <w:tcW w:w="942"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1 996</w:t>
            </w:r>
          </w:p>
        </w:tc>
        <w:tc>
          <w:tcPr>
            <w:tcW w:w="1169"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(25)</w:t>
            </w:r>
          </w:p>
        </w:tc>
        <w:tc>
          <w:tcPr>
            <w:tcW w:w="1632"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(19 198)</w:t>
            </w:r>
          </w:p>
        </w:tc>
      </w:tr>
    </w:tbl>
    <w:p w:rsidR="00F50689" w:rsidRDefault="00F50689" w:rsidP="00F50689">
      <w:pPr>
        <w:pStyle w:val="HEADER5"/>
      </w:pPr>
    </w:p>
    <w:p w:rsidR="00F50689" w:rsidRDefault="005A36C4" w:rsidP="00F50689">
      <w:pPr>
        <w:pStyle w:val="HEADER3Part4"/>
      </w:pPr>
      <w:r>
        <w:t>Дейности по получаване и отпускане на заеми, управлявани от Комисията</w:t>
      </w:r>
    </w:p>
    <w:p w:rsidR="00F50689" w:rsidRDefault="005A36C4" w:rsidP="00F50689">
      <w:pPr>
        <w:pStyle w:val="DGTextstand-alone"/>
      </w:pPr>
      <w:r>
        <w:t>По силата на Договора за ЕС ЕС е оправомощен да приема операции по вземане на заеми с цел мобилизиране на финансовите ресурси, от които той се нуждае за изпълняване на специфични мандати. Като действа от името на ЕС, понастоящем Комисията управлява три основни програми — макрофинансовата помощ (МФП), помощта за платежния баланс (ПБ) и Европейския механизъм за финансово стабилизиране (ЕМФС), в рамките на които може да отпуска заеми и да ги финансира, като емитира дългови инструменти на капиталовите пазари или с помощта на финансови институции.</w:t>
      </w:r>
    </w:p>
    <w:p w:rsidR="00F50689" w:rsidRDefault="000B7C2B" w:rsidP="00F50689">
      <w:pPr>
        <w:pStyle w:val="Textstand-alone"/>
      </w:pPr>
      <w:r>
        <w:rPr>
          <w:lang w:val="en-GB" w:eastAsia="en-GB" w:bidi="ar-SA"/>
        </w:rPr>
        <w:drawing>
          <wp:inline distT="0" distB="0" distL="0" distR="0" wp14:anchorId="40965ABC" wp14:editId="6323A2DB">
            <wp:extent cx="4629150" cy="28098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29150" cy="2809875"/>
                    </a:xfrm>
                    <a:prstGeom prst="rect">
                      <a:avLst/>
                    </a:prstGeom>
                  </pic:spPr>
                </pic:pic>
              </a:graphicData>
            </a:graphic>
          </wp:inline>
        </w:drawing>
      </w:r>
    </w:p>
    <w:p w:rsidR="00F50689" w:rsidRDefault="005A36C4" w:rsidP="00F50689">
      <w:pPr>
        <w:pStyle w:val="DGTextstand-alone"/>
      </w:pPr>
      <w:r>
        <w:t xml:space="preserve">Дейностите на ЕС по получаване и отпускане на заеми не представляват бюджетни операции. Капиталът, необходим за финансиране на операциите на ЕС по отпускане на заеми в рамките на посочените по-горе програми, се събира на капиталовите пазари или от финансови институции. ЕС няма право да взема заеми, за да финансира обичайните си бюджетни разходи или бюджетен дефицит. Размерът на получените заеми варира от частни инвестиции на стойност до 500 млн. EUR до облигационни емисии с референтна стойност (поне 1 млрд. EUR). По принцип средствата се събират и след това се предоставят „бек-ту-бек“ на държавата бенефициер, т.е. със същия купон, срок и размер. Независимо от метода „бек-ту-бек“, обслужването на дълга по инструментите за финансиране е правно задължение на ЕС, който ще направи необходимото всички плащания да се извършват в пълен размер и в срок. Комисията е въвела процедури, за да гарантира изплащането на взетите назаем средства, дори в случай на неизпълнение на задълженията по отпуснатите заеми. За всяка програма за дадена държава решенията на ЕП, Съвета и Комисията определят общата отпусната сума, (максималния) брой части от заема, които трябва да се платят, и максималния (среден) срок на пакета от заеми. Впоследствие Комисията и държавата бенефициер се договарят относно параметрите на заема/финансирането, включително частите от заема и изплащането на траншове. Освен това всички части от заема освен първата зависят от спазването на строги условия, сходни с тези за помощите от Международния валутен фонд (МВФ), в контекста на съвместна финансова помощ от ЕС и МВФ, което е друг фактор, влияещ на момента на отпускане на средствата. Това означава, че моментът на емитиране и сроковете зависят от съответните дейности на ЕС по отпускане на заеми. Финансирането се извършва само в евро, а сроковете варират от 3 до 30 години. </w:t>
      </w:r>
    </w:p>
    <w:p w:rsidR="00F50689" w:rsidRPr="00426F0A" w:rsidRDefault="005A36C4" w:rsidP="00F50689">
      <w:pPr>
        <w:pStyle w:val="DGTextstand-alone"/>
        <w:rPr>
          <w:spacing w:val="-4"/>
        </w:rPr>
      </w:pPr>
      <w:r w:rsidRPr="00426F0A">
        <w:rPr>
          <w:spacing w:val="-4"/>
        </w:rPr>
        <w:t>Получените заеми на ЕС представляват преки и безусловни задължения на ЕС и се гарантират от 28-те държави членки. Заемите, взети с цел финансиране на заеми за държави извън ЕС, попадат в обхвата на Гаранционния фонд за външни дейности. Ако държава членка бенефициер не изпълни задълженията си по заем, ако е възможно, дългът се изплаща от средствата, с които разполага Комисията. Ако това не е възможно, Комисията взема необходимите средства от държавите членки. Съгласно законодателството на ЕС за собствените ресурси (член 12 от Регламент № 1150/2000 на Съвета) държавите — членки на ЕС, са правно задължени да осигуряват достатъчно средства за изпълняване на задълженията на ЕС. Поради това инвеститорите са изложени само на кредитния риск на ЕС, а не на този на бенефициера, на който са отпуснати финансираните заеми. Благодарение на отпускането на заеми „бек-ту-бек“ бюджетът на ЕС не поема никакъв лихвен или валутен риск.</w:t>
      </w:r>
    </w:p>
    <w:p w:rsidR="00F50689" w:rsidRDefault="005A36C4" w:rsidP="00F50689">
      <w:pPr>
        <w:pStyle w:val="HEADER5"/>
      </w:pPr>
      <w:r>
        <w:t>Платежен баланс</w:t>
      </w:r>
    </w:p>
    <w:p w:rsidR="00F50689" w:rsidRDefault="005A36C4" w:rsidP="00F50689">
      <w:pPr>
        <w:pStyle w:val="DGTextstand-alone"/>
        <w:spacing w:before="120" w:after="120"/>
      </w:pPr>
      <w:r>
        <w:t>Инструментът за ПБ, който е основан на политиката финансов инструмент, осигурява средносрочна финансова помощ за държавите — членки на ЕС. Благодарение на него могат да се отпускат заеми на държавите членки, които изпитват или са сериозно застрашени от трудности със своите платежни баланси или капиталови движения. Единствено държавите членки, които не са приели еврото, могат да се ползват от този инструмент. Помощта за ПБ за Латвия бе отпусната преди въвеждането на еврото на 1 януари 2014 г. Максималният размер на непогасените отпуснати заеми по инструмента е ограничен до 50 млрд. EUR. Получените заеми, свързани с тези заеми, отпуснати в подкрепа на ПБ, са гарантирани от бюджета на ЕС — затова към 31 декември 2014 г. бюджетът е изложен на максимален възможен риск на стойност 8,6 млрд. EUR по отношение на тези отпуснати заеми (сумата от 8,4 млрд. EUR по-долу е номиналната стойност).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rsidTr="00F50689">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rsidTr="00F50689">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Унгария</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Латвия</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Румъния</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Общо</w:t>
            </w:r>
          </w:p>
        </w:tc>
      </w:tr>
      <w:tr w:rsidR="00E7728E" w:rsidTr="00F50689">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Общо отпуснати заеми</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6 500</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3 100</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8 400</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18 000</w:t>
            </w:r>
          </w:p>
        </w:tc>
      </w:tr>
      <w:tr w:rsidR="00E7728E" w:rsidTr="00F50689">
        <w:tc>
          <w:tcPr>
            <w:tcW w:w="379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Преведени към 31.12.2013 г.</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5 500</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2 900</w:t>
            </w: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5 000</w:t>
            </w: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13 400</w:t>
            </w:r>
          </w:p>
        </w:tc>
      </w:tr>
      <w:tr w:rsidR="00E7728E" w:rsidTr="00F50689">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Преведени през 2014 г.</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rsidTr="00F50689">
        <w:tc>
          <w:tcPr>
            <w:tcW w:w="3794"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Преведени заеми към 31.12.2014 г.</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5 500</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2 900</w:t>
            </w:r>
          </w:p>
        </w:tc>
        <w:tc>
          <w:tcPr>
            <w:tcW w:w="141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5 000</w:t>
            </w:r>
          </w:p>
        </w:tc>
        <w:tc>
          <w:tcPr>
            <w:tcW w:w="155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13 400</w:t>
            </w:r>
          </w:p>
        </w:tc>
      </w:tr>
      <w:tr w:rsidR="00E7728E" w:rsidTr="00F50689">
        <w:tc>
          <w:tcPr>
            <w:tcW w:w="379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Погасени заеми към 31.12.2014 г.</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(4 000)</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(1 000)</w:t>
            </w: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(5 000)</w:t>
            </w:r>
          </w:p>
        </w:tc>
      </w:tr>
      <w:tr w:rsidR="00E7728E" w:rsidTr="00F50689">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Непогасена сума към 31.12.2014 г.</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1 500</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1 900</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5 000</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8 400</w:t>
            </w:r>
          </w:p>
        </w:tc>
      </w:tr>
    </w:tbl>
    <w:p w:rsidR="00F50689" w:rsidRDefault="005A36C4" w:rsidP="00F50689">
      <w:pPr>
        <w:pStyle w:val="DGTextstand-alone"/>
        <w:spacing w:before="120" w:after="120"/>
      </w:pPr>
      <w:r>
        <w:t>По-долу е дадена таблица с графика за изплащане на тези заеми.</w:t>
      </w:r>
    </w:p>
    <w:p w:rsidR="00F50689" w:rsidRPr="00426F0A" w:rsidRDefault="005A36C4" w:rsidP="00F50689">
      <w:pPr>
        <w:pStyle w:val="DGTextstand-alone"/>
        <w:rPr>
          <w:spacing w:val="-2"/>
        </w:rPr>
      </w:pPr>
      <w:r w:rsidRPr="00426F0A">
        <w:rPr>
          <w:spacing w:val="-2"/>
        </w:rPr>
        <w:t>Между ноември 2008 г. и май 2009 г. на Унгария, Латвия и Румъния бе отпусната финансова помощ на стойност 14,6 млрд. EUR, от които до средата на 2011 г. бяха преведени 13,4 млрд. EUR. Следва да бъде отбелязано, че програмата за подпомагане на ПБ за Унгария изтече през ноември 2010 г. (с неусвоени 1 млрд. EUR), като първите две погасявания от по 2 млрд. EUR през декември 2011 г. и през ноември 2014 г. бяха получени по график. Програмата за подпомагане на ПБ за Латвия изтече през януари 2012 г. (с неусвоени 200 млн. EUR), като първите две погасявания от 1 млрд. EUR през април 2014 г. и 1,2 млрд. EUR през януари 2015 г. също бяха получени в срок. Първата програма за подпомагане на ПБ за Румъния изтече през май 2012 г., като цялата отпусната сума (5 млрд. EUR) бе усвоена. Първото погасяване в размер на 1,5 млрд. EUR през януари 2015 г. бе получено по график.</w:t>
      </w:r>
    </w:p>
    <w:p w:rsidR="00F50689" w:rsidRDefault="005A36C4" w:rsidP="00F50689">
      <w:pPr>
        <w:pStyle w:val="DGTextstand-alone"/>
      </w:pPr>
      <w:r>
        <w:t>През февруари 2011 г. Румъния поиска последваща програма за превантивна финансова помощ (ПФП) в рамките на инструмента за ПБ за подпомагане на възобновяването на икономическия растеж. На 12 май 2011 г. Съветът реши да предостави на Румъния превантивна помощ (ПФП) от ЕС за ПБ в размер на максимум 1,4 млрд. EUR (Решение 2011/288/ЕС на Съвета), но тази помощ изтече в края на март 2013 г., без да бъде усвоена. След като Румъния отправи второ искане за ПФП, на 22 октомври 2013 г. Съветът реши да предостави нова ПФП от ЕС за ПБ в размер на максимум 2 млрд. EUR (Решение 2013/531/ЕС на Съвета), които ще могат да бъдат усвоени до 30 септември 2015 г. Ако задействането ѝ бъде поискано, тази финансова помощ ще бъде предоставена под формата на заем с максимален среден срок от осем години. Тъй като тази ПФП от 2 млрд. EUR е понастоящем единствената активна програма по линия на инструмента за ПБ, тя е единствената все още налична сума.</w:t>
      </w:r>
    </w:p>
    <w:p w:rsidR="00F50689" w:rsidRDefault="005A36C4" w:rsidP="00F50689">
      <w:pPr>
        <w:pStyle w:val="HEADER5"/>
      </w:pPr>
      <w:r>
        <w:t>Европейски механизъм за финансово стабилизиране</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1701"/>
        <w:gridCol w:w="1984"/>
        <w:gridCol w:w="1417"/>
      </w:tblGrid>
      <w:tr w:rsidR="00E7728E" w:rsidTr="00F50689">
        <w:tc>
          <w:tcPr>
            <w:tcW w:w="3828"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701"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984"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rsidTr="00F50689">
        <w:tc>
          <w:tcPr>
            <w:tcW w:w="382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70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Ирландия</w:t>
            </w:r>
          </w:p>
        </w:tc>
        <w:tc>
          <w:tcPr>
            <w:tcW w:w="198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Португалия</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Общо</w:t>
            </w:r>
          </w:p>
        </w:tc>
      </w:tr>
      <w:tr w:rsidR="00E7728E" w:rsidTr="00F50689">
        <w:tc>
          <w:tcPr>
            <w:tcW w:w="382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Общо отпуснати заеми</w:t>
            </w:r>
          </w:p>
        </w:tc>
        <w:tc>
          <w:tcPr>
            <w:tcW w:w="170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22 500</w:t>
            </w:r>
          </w:p>
        </w:tc>
        <w:tc>
          <w:tcPr>
            <w:tcW w:w="198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26 000</w:t>
            </w:r>
          </w:p>
        </w:tc>
        <w:tc>
          <w:tcPr>
            <w:tcW w:w="141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48 500</w:t>
            </w:r>
          </w:p>
        </w:tc>
      </w:tr>
      <w:tr w:rsidR="00E7728E" w:rsidTr="00F50689">
        <w:tc>
          <w:tcPr>
            <w:tcW w:w="382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Преведени към 31.12.2013 г.</w:t>
            </w:r>
          </w:p>
        </w:tc>
        <w:tc>
          <w:tcPr>
            <w:tcW w:w="170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21 700</w:t>
            </w:r>
          </w:p>
        </w:tc>
        <w:tc>
          <w:tcPr>
            <w:tcW w:w="198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22 100</w:t>
            </w:r>
          </w:p>
        </w:tc>
        <w:tc>
          <w:tcPr>
            <w:tcW w:w="141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43 800</w:t>
            </w:r>
          </w:p>
        </w:tc>
      </w:tr>
      <w:tr w:rsidR="00E7728E" w:rsidTr="00F50689">
        <w:tc>
          <w:tcPr>
            <w:tcW w:w="382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Преведени през 2014 г.</w:t>
            </w:r>
          </w:p>
        </w:tc>
        <w:tc>
          <w:tcPr>
            <w:tcW w:w="170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800</w:t>
            </w:r>
          </w:p>
        </w:tc>
        <w:tc>
          <w:tcPr>
            <w:tcW w:w="198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2 200</w:t>
            </w:r>
          </w:p>
        </w:tc>
        <w:tc>
          <w:tcPr>
            <w:tcW w:w="141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3 000</w:t>
            </w:r>
          </w:p>
        </w:tc>
      </w:tr>
      <w:tr w:rsidR="00E7728E" w:rsidTr="00F50689">
        <w:tc>
          <w:tcPr>
            <w:tcW w:w="382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Преведени заеми към 31.12.2014 г.</w:t>
            </w:r>
          </w:p>
        </w:tc>
        <w:tc>
          <w:tcPr>
            <w:tcW w:w="170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22 500</w:t>
            </w:r>
          </w:p>
        </w:tc>
        <w:tc>
          <w:tcPr>
            <w:tcW w:w="1984"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24 300</w:t>
            </w:r>
          </w:p>
        </w:tc>
        <w:tc>
          <w:tcPr>
            <w:tcW w:w="141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46 800</w:t>
            </w:r>
          </w:p>
        </w:tc>
      </w:tr>
      <w:tr w:rsidR="00E7728E" w:rsidTr="00F50689">
        <w:tc>
          <w:tcPr>
            <w:tcW w:w="382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Погасени заеми към 31.12.2014 г.</w:t>
            </w:r>
          </w:p>
        </w:tc>
        <w:tc>
          <w:tcPr>
            <w:tcW w:w="170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rsidTr="00F50689">
        <w:tc>
          <w:tcPr>
            <w:tcW w:w="382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Непогасени заеми към 31.12.2014 г.</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22 500</w:t>
            </w:r>
          </w:p>
        </w:tc>
        <w:tc>
          <w:tcPr>
            <w:tcW w:w="198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24 300</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46 800</w:t>
            </w:r>
          </w:p>
        </w:tc>
      </w:tr>
    </w:tbl>
    <w:p w:rsidR="00F50689" w:rsidRPr="00EA1E2B" w:rsidRDefault="005A36C4" w:rsidP="00426F0A">
      <w:pPr>
        <w:pStyle w:val="DGTextstand-alone"/>
        <w:spacing w:before="120" w:after="120"/>
      </w:pPr>
      <w:r>
        <w:t>По-долу е дадена таблица с графика за изплащане на тези заеми.</w:t>
      </w:r>
    </w:p>
    <w:p w:rsidR="00F50689" w:rsidRDefault="005A36C4" w:rsidP="00F50689">
      <w:pPr>
        <w:pStyle w:val="DGTextstand-alone"/>
      </w:pPr>
      <w:r>
        <w:t>На 11 май 2010 г. Съветът прие ЕМФС с цел запазване на финансовата стабилност в Европа (Регламент (ЕС) № 407/2010 на Съвета). Механизмът се основава на член 122, параграф 2 от ДФЕС и предоставя възможността да се оказва финансова помощ на държава членка, изпитваща трудности или сериозно застрашена от големи трудности, причинени от извънредни обстоятелства извън нейния контрол. Тази помощ може да бъде под формата на заем или кредитна линия. Комисията взема средства назаем на капиталовите пазари или от финансови институции от името на ЕС и предоставя назаем тези средства на държавата членка бенефициер. За всяка държава, която получава заем по ЕМФС, преди да се отпусне друга част от заема, на всяко тримесечие се прави оценка на изпълнението на свързаните с политиката условия за заема.</w:t>
      </w:r>
    </w:p>
    <w:p w:rsidR="00F50689" w:rsidRPr="00426F0A" w:rsidRDefault="005A36C4" w:rsidP="00F50689">
      <w:pPr>
        <w:pStyle w:val="DGTextstand-alone"/>
        <w:rPr>
          <w:spacing w:val="-6"/>
        </w:rPr>
      </w:pPr>
      <w:r w:rsidRPr="00426F0A">
        <w:rPr>
          <w:spacing w:val="-6"/>
        </w:rPr>
        <w:t>Съгласно заключенията на Съвета по икономическите и финансовите въпроси от 9 май 2010 г. механизмът не може да надвишава 60 млрд. EUR, но правното ограничение е посочено в член 2, параграф 2 от Регламент № 407/2010 на Съвета, който член ограничава непогасените отпуснати заеми или кредитните линии до наличния под тавана за собствените ресурси марж. Получените заеми, свързани със заеми, отпуснати в рамките на ЕМФС, са гарантирани от бюджета на ЕС — затова към 31 декември 2014 г. бюджетът е изложен на максимален възможен риск на стойност 47,5 млрд. EUR по отношение на тези отпуснати заеми (посочените по-горе 46,8 млрд. EUR са номиналната стойност). Тъй като средствата, взети назаем в рамките на ЕМФС, са гарантирани от бюджета на ЕС, ЕП наблюдава внимателно действията на Комисията по ЕМФС и упражнява контрол в контекста на бюджетната процедура и процедурата по освобождаване от отговорност във връзка с изпълнението на бюджета. Тъй като действието и на двете програми за ЕМФС изтече, в таблицата по-горе не са посочени налични средства.</w:t>
      </w:r>
    </w:p>
    <w:p w:rsidR="00F50689" w:rsidRDefault="005A36C4" w:rsidP="00F50689">
      <w:pPr>
        <w:pStyle w:val="DGTextstand-alone"/>
      </w:pPr>
      <w:r>
        <w:t>С решение за изпълнение през декември 2010 г. Съветът реши да бъде отпуснат заем на Ирландия в размер на максимум 22,5 млрд. EUR, а през май 2011 г. реши да бъде отпуснат заем на Португалия в размер на максимум 26 млрд. EUR. В първоначалните решения за изпълнение лихвеният процент беше фиксиран с марж, за да бъдат условията сходни на тези, при които се отпуска помощ по линия на МВФ. С приемането на решения за изпълнение № 682/2011 и 683/2011 на Съвета от 11 октомври 2011 г. Съветът премахна лихвения марж със задна дата и удължи максималния среден срок от 7,5 години на 12,5 години и срока на отделните траншове до 30 години. С приемането на решения за изпълнение № 313/2013 и 323/2013 на Съвета от 21 юни 2013 г. Съветът удължи допълнително максималния среден срок на заемите по ЕМФС за Ирландия и за Португалия със 7 години на 19,5 години. Удължението подобрява профила на погасяване на дълговете на двете държави и намалява нуждите им от рефинансиране през периода след програмата.</w:t>
      </w:r>
    </w:p>
    <w:p w:rsidR="00F50689" w:rsidRDefault="005A36C4" w:rsidP="00F50689">
      <w:pPr>
        <w:pStyle w:val="DGTextstand-alone"/>
      </w:pPr>
      <w:r>
        <w:t>Последните три части от заемите бяха преведени през 2014 г.: 0,8 млрд. EUR за Ирландия, 1,8 млрд. EUR за Португалия през март 2014 г. и накрая 0,4 млрд. EUR за Португалия през ноември 2014 г. Възлизаща на 1,7 млрд. EUR част от финансовата помощ, предоставена на Португалия, изтече, без да бъде поискана. Понастоящем няма налични суми по линия на ЕМФС.</w:t>
      </w:r>
    </w:p>
    <w:p w:rsidR="00F50689" w:rsidRDefault="005A36C4" w:rsidP="00426F0A">
      <w:pPr>
        <w:pStyle w:val="DGTextstand-alone"/>
        <w:spacing w:after="120"/>
      </w:pPr>
      <w:r>
        <w:t>Следната таблица съдържа преглед на планирания график за изплащане, в номинално изражение, на непогасените суми от заемите по ЕМФС и по ПБ (в мл</w:t>
      </w:r>
      <w:r w:rsidR="00425701">
        <w:t>рд</w:t>
      </w:r>
      <w:r>
        <w:t>. EUR) към датата на подписване на настоящите отчети: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109"/>
        <w:gridCol w:w="1110"/>
        <w:gridCol w:w="1110"/>
        <w:gridCol w:w="924"/>
        <w:gridCol w:w="992"/>
        <w:gridCol w:w="992"/>
        <w:gridCol w:w="176"/>
        <w:gridCol w:w="817"/>
        <w:gridCol w:w="1275"/>
      </w:tblGrid>
      <w:tr w:rsidR="00E7728E" w:rsidTr="00F50689">
        <w:tc>
          <w:tcPr>
            <w:tcW w:w="1242"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2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2268" w:type="dxa"/>
            <w:gridSpan w:val="3"/>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rPr>
            </w:pPr>
          </w:p>
        </w:tc>
      </w:tr>
      <w:tr w:rsidR="00E7728E" w:rsidTr="00F50689">
        <w:tc>
          <w:tcPr>
            <w:tcW w:w="12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Година</w:t>
            </w:r>
          </w:p>
        </w:tc>
        <w:tc>
          <w:tcPr>
            <w:tcW w:w="4253"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ПБ</w:t>
            </w:r>
          </w:p>
        </w:tc>
        <w:tc>
          <w:tcPr>
            <w:tcW w:w="2977"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ЕМФС</w:t>
            </w:r>
          </w:p>
        </w:tc>
        <w:tc>
          <w:tcPr>
            <w:tcW w:w="1275" w:type="dxa"/>
            <w:vMerge w:val="restart"/>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Общо</w:t>
            </w:r>
          </w:p>
        </w:tc>
      </w:tr>
      <w:tr w:rsidR="00E7728E" w:rsidTr="00426F0A">
        <w:tc>
          <w:tcPr>
            <w:tcW w:w="124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11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Унгария</w:t>
            </w:r>
          </w:p>
        </w:tc>
        <w:tc>
          <w:tcPr>
            <w:tcW w:w="111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Латвия</w:t>
            </w:r>
          </w:p>
        </w:tc>
        <w:tc>
          <w:tcPr>
            <w:tcW w:w="111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Румъния</w:t>
            </w:r>
          </w:p>
        </w:tc>
        <w:tc>
          <w:tcPr>
            <w:tcW w:w="92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Общо</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Ирландия</w:t>
            </w:r>
          </w:p>
        </w:tc>
        <w:tc>
          <w:tcPr>
            <w:tcW w:w="1168" w:type="dxa"/>
            <w:gridSpan w:val="2"/>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sidRPr="00426F0A">
              <w:rPr>
                <w:spacing w:val="-6"/>
              </w:rPr>
              <w:t>Португали</w:t>
            </w:r>
            <w:r>
              <w:t>я</w:t>
            </w:r>
          </w:p>
        </w:tc>
        <w:tc>
          <w:tcPr>
            <w:tcW w:w="81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Общо</w:t>
            </w:r>
          </w:p>
        </w:tc>
        <w:tc>
          <w:tcPr>
            <w:tcW w:w="1275" w:type="dxa"/>
            <w:vMerge/>
            <w:tcBorders>
              <w:top w:val="nil"/>
              <w:left w:val="nil"/>
              <w:bottom w:val="nil"/>
              <w:right w:val="nil"/>
            </w:tcBorders>
            <w:shd w:val="clear" w:color="auto" w:fill="3486A9"/>
            <w:tcMar>
              <w:top w:w="0" w:type="dxa"/>
              <w:left w:w="0" w:type="dxa"/>
              <w:bottom w:w="0" w:type="dxa"/>
              <w:right w:w="0" w:type="dxa"/>
            </w:tcMar>
          </w:tcPr>
          <w:p w:rsidR="00F50689" w:rsidRDefault="00F50689" w:rsidP="00F50689">
            <w:pPr>
              <w:pStyle w:val="Heading9pNormalRight01"/>
              <w:jc w:val="left"/>
              <w:rPr>
                <w:rFonts w:cs="Verdana"/>
              </w:rPr>
            </w:pP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2015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5,0</w:t>
            </w:r>
          </w:p>
        </w:tc>
        <w:tc>
          <w:tcPr>
            <w:tcW w:w="1168" w:type="dxa"/>
            <w:gridSpan w:val="2"/>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5,0</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2016 г.</w:t>
            </w:r>
          </w:p>
        </w:tc>
        <w:tc>
          <w:tcPr>
            <w:tcW w:w="110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68" w:type="dxa"/>
            <w:gridSpan w:val="2"/>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4,75</w:t>
            </w: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4,75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6,25</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2017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1,15</w:t>
            </w: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68" w:type="dxa"/>
            <w:gridSpan w:val="2"/>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1,15</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2018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1,35</w:t>
            </w: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3,9</w:t>
            </w:r>
          </w:p>
        </w:tc>
        <w:tc>
          <w:tcPr>
            <w:tcW w:w="1168" w:type="dxa"/>
            <w:gridSpan w:val="2"/>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0,6</w:t>
            </w: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5,85</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2019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0,5</w:t>
            </w: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w:t>
            </w: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68" w:type="dxa"/>
            <w:gridSpan w:val="2"/>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2021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c>
          <w:tcPr>
            <w:tcW w:w="1168" w:type="dxa"/>
            <w:gridSpan w:val="2"/>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6,75</w:t>
            </w: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9,75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9,75</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2022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68" w:type="dxa"/>
            <w:gridSpan w:val="2"/>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2,7</w:t>
            </w: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2,7</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2,7</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2024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0,8</w:t>
            </w:r>
          </w:p>
        </w:tc>
        <w:tc>
          <w:tcPr>
            <w:tcW w:w="1168" w:type="dxa"/>
            <w:gridSpan w:val="2"/>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1,8</w:t>
            </w: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2,6</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2,6</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2025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0,2</w:t>
            </w: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0,2</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68" w:type="dxa"/>
            <w:gridSpan w:val="2"/>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0,2</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2026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2,0</w:t>
            </w:r>
          </w:p>
        </w:tc>
        <w:tc>
          <w:tcPr>
            <w:tcW w:w="1168" w:type="dxa"/>
            <w:gridSpan w:val="2"/>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2,0</w:t>
            </w: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4,0</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2027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w:t>
            </w:r>
          </w:p>
        </w:tc>
        <w:tc>
          <w:tcPr>
            <w:tcW w:w="1168" w:type="dxa"/>
            <w:gridSpan w:val="2"/>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2,0</w:t>
            </w: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2028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2,3</w:t>
            </w:r>
          </w:p>
        </w:tc>
        <w:tc>
          <w:tcPr>
            <w:tcW w:w="1168" w:type="dxa"/>
            <w:gridSpan w:val="2"/>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2,3</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2,3</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2029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68" w:type="dxa"/>
            <w:gridSpan w:val="2"/>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0,4</w:t>
            </w: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0,4</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0,4</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2032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c>
          <w:tcPr>
            <w:tcW w:w="1168" w:type="dxa"/>
            <w:gridSpan w:val="2"/>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2038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68" w:type="dxa"/>
            <w:gridSpan w:val="2"/>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1,8</w:t>
            </w: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1,8</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1,8</w:t>
            </w:r>
          </w:p>
        </w:tc>
      </w:tr>
      <w:tr w:rsidR="00E7728E" w:rsidTr="00426F0A">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2042 г.</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c>
          <w:tcPr>
            <w:tcW w:w="1168" w:type="dxa"/>
            <w:gridSpan w:val="2"/>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c>
          <w:tcPr>
            <w:tcW w:w="8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r>
      <w:tr w:rsidR="00E7728E" w:rsidTr="00426F0A">
        <w:tc>
          <w:tcPr>
            <w:tcW w:w="12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11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1,5</w:t>
            </w:r>
          </w:p>
        </w:tc>
        <w:tc>
          <w:tcPr>
            <w:tcW w:w="111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0,7</w:t>
            </w:r>
          </w:p>
        </w:tc>
        <w:tc>
          <w:tcPr>
            <w:tcW w:w="111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3,5</w:t>
            </w:r>
          </w:p>
        </w:tc>
        <w:tc>
          <w:tcPr>
            <w:tcW w:w="92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5,7</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22,5</w:t>
            </w:r>
          </w:p>
        </w:tc>
        <w:tc>
          <w:tcPr>
            <w:tcW w:w="1168" w:type="dxa"/>
            <w:gridSpan w:val="2"/>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24,3</w:t>
            </w:r>
          </w:p>
        </w:tc>
        <w:tc>
          <w:tcPr>
            <w:tcW w:w="8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46,8</w:t>
            </w:r>
          </w:p>
        </w:tc>
        <w:tc>
          <w:tcPr>
            <w:tcW w:w="127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52,5</w:t>
            </w:r>
          </w:p>
        </w:tc>
      </w:tr>
    </w:tbl>
    <w:p w:rsidR="00F50689" w:rsidRDefault="00F50689" w:rsidP="00F50689">
      <w:pPr>
        <w:pStyle w:val="HEADER5"/>
      </w:pPr>
    </w:p>
    <w:p w:rsidR="00F50689" w:rsidRPr="00BB1B2B" w:rsidRDefault="005A36C4" w:rsidP="00F50689">
      <w:pPr>
        <w:pStyle w:val="HEADER5"/>
      </w:pPr>
      <w:r>
        <w:t xml:space="preserve">Макрофинансова помощ (МФП) </w:t>
      </w:r>
    </w:p>
    <w:p w:rsidR="00F50689" w:rsidRDefault="005A36C4" w:rsidP="00F50689">
      <w:pPr>
        <w:pStyle w:val="DGTextstand-alone"/>
      </w:pPr>
      <w:r>
        <w:t>МФП е основан на политиката финансов инструмент за необвързана и непредназначена за конкретна цел помощ за платежния баланс и/или бюджетна подкрепа за трети държави партньорки, разположени в географска близост до територията на ЕС. Тя се предоставя под формата на средно-/дългосрочни заеми или безвъзмездни средства или на подходяща комбинация от двете и обикновено допълва финансирането, осигурено в контекста на подкрепяна от МВФ програма за корекция и реформи. Тези заеми са гарантирани от Гаранционния фонд за външни дейности (вж. бележка </w:t>
      </w:r>
      <w:r>
        <w:rPr>
          <w:b/>
        </w:rPr>
        <w:t>2.4</w:t>
      </w:r>
      <w:r>
        <w:t xml:space="preserve"> от финансовите отчети).</w:t>
      </w:r>
    </w:p>
    <w:p w:rsidR="00F50689" w:rsidRDefault="005A36C4" w:rsidP="00F50689">
      <w:pPr>
        <w:pStyle w:val="HEADER3Part4"/>
      </w:pPr>
      <w:r>
        <w:t>Междуправителствени механизми за финансова стабилност извън рамките на Договора за ЕС: Европейски инструмент за финансова стабилност и Европейски механизъм за стабилност</w:t>
      </w:r>
    </w:p>
    <w:p w:rsidR="00F50689" w:rsidRDefault="005A36C4" w:rsidP="00F50689">
      <w:pPr>
        <w:pStyle w:val="DGTextstand-alone"/>
      </w:pPr>
      <w:r>
        <w:t xml:space="preserve">Европейският инструмент за финансова стабилност (ЕИФС) бе създаден от държавите членки, които са част от еврозоната, с мандат да защитава финансовата стабилност в Европа чрез предоставяне на финансова помощ на държавите членки от еврозоната. ЕИФС не е орган на ЕС, изцяло отделен е от отчетите на ЕС и не е консолидиран в тях. Той не се гарантира от бюджета на ЕС. Следователно той няма отражение върху отчетите на ЕС, освен чрез евентуалните приходи от санкции, описани по-долу. С влизането в сила на ЕМС (вж. по-долу), след 1 юли 2013 г. не е отпускана нова финансова помощ по ЕИФС. </w:t>
      </w:r>
    </w:p>
    <w:p w:rsidR="00F50689" w:rsidRDefault="005A36C4" w:rsidP="00F50689">
      <w:pPr>
        <w:pStyle w:val="DGTextstand-alone"/>
      </w:pPr>
      <w:r>
        <w:t>Комисията отговаря за договарянето на свързаните с политиката условия, които съпътстват финансовата помощ, и за проверката на това, дали тези условия се спазват. Регламент № 1173/2011 на Парламента и на Съвета позволява налагането на санкции под формата на глоби на държавите членки, чиято валута е еврото. Тези глоби (0,2% от БВП на държавата членка през предходната година) могат да бъдат прилагани, когато дадена държава членка не е предприела необходимите действия за коригиране на прекомерен бюджетен дефицит или когато статистическите данни са били манипулирани. Аналогично Регламент № 1174/2011 относно макроиконоическите дисбаланси предвижда възможност за налагане на годишна глоба на държава членка от еврозоната в размер на 0,1% от БВП, когато дадена държава членка не е предприела поисканите коригиращи мерки или в случай на представяне на незадоволителен коригиращ план за действие. Регламент № 1177/2011 актуализира Регламент № 1467/97 за [ускоряване] и изясняване на прилагането на процедурата при прекомерен дефицит. Този актуализиран регламент също предвижда възможност за налагане на глоби на държавите членки от еврозоната (в размер на 0,2% от БВП плюс променлив компонент). Глобите минават през бюджета на ЕС, след което се прехвърлят на ЕИФС. Това означава, че тези средства ще се посочват както като бюджетни приходи, така и като бюджетни разходи, и следователно няма да оказват влияние на общия бюджетен резултат. Аналогично те няма да се отразяват и на финансовия резултат, представен във финансовите отчети на ЕС.</w:t>
      </w:r>
    </w:p>
    <w:p w:rsidR="00F50689" w:rsidRDefault="005A36C4" w:rsidP="00F50689">
      <w:pPr>
        <w:pStyle w:val="DGTextstand-alone"/>
      </w:pPr>
      <w:r>
        <w:t xml:space="preserve">Европейският механизъм за стабилност (ЕМС) представлява междуправителствена организация, за която се прилага международното публично право извън рамките на Договора за ЕС. Договорът за ЕМС бе подписан от тогавашните 17 държави членки от еврозоната и ЕМС започна да функционира през октомври 2012 г. ЕМС пое задачите на ЕМФС и на ЕИФС, превръщайки се в единственият и постоянен механизъм за реагиране на новите искания за финансова помощ на държавите членки от еврозоната. Вследствие на това ЕИФС и ЕМФС вече няма да участват в нови програми за финансиране или да сключват нови споразумения за механизми за отпускане на заеми. Следва също да се отбележи, че бюджетът на ЕС няма да гарантира взетите заеми по ЕМС. Тъй като този механизъм има правосубектност и се финансира пряко от държавите членки от еврозоната, той не е орган на ЕС и не влияе нито на отчетите на ЕС, нито на бюджета на ЕС, освен чрез евентуалните приходи от санкции, описани по-долу. </w:t>
      </w:r>
    </w:p>
    <w:p w:rsidR="00F50689" w:rsidRDefault="007C0B3B" w:rsidP="00F50689">
      <w:pPr>
        <w:pStyle w:val="DGTextstand-alone"/>
        <w:spacing w:after="600"/>
      </w:pPr>
      <w:r>
        <w:t>Събраните глоби ще минават през бюджета на ЕС и ще бъдат прехвърляни на ЕМС, когато ЕИФС спре да функционира. Освен това Договорът за стабилност, координация и управление предвижда имуществени санкции за договарящите се страни, когато съответната държава членка не е предприела необходимите мерки за спиране на нарушение на критерия за дефицита. Наложените санкции (които не могат да надвишават 0,1% от БВП) ще се дължат на ЕМС, ако се налагат на държавите членки от еврозоната (поради което няма да имат отражение върху резултата от изпълнението на бюджета на ЕС, както при ЕИФС по-горе), или на бюджета на ЕС за държавите членки, които не са част от в еврозоната. В последния случай размерът на санкцията ще бъде приход за бюджета на ЕС и ще се отразява като такъв в отчетите на ЕС.</w:t>
      </w:r>
    </w:p>
    <w:p w:rsidR="00F50689" w:rsidRDefault="005A36C4" w:rsidP="00F50689">
      <w:pPr>
        <w:pStyle w:val="HEADER1Part4"/>
      </w:pPr>
      <w:r>
        <w:t>Икономически и финансов контекст на изпълнението на бюджета на ЕС</w:t>
      </w:r>
    </w:p>
    <w:p w:rsidR="00F50689" w:rsidRDefault="005A36C4">
      <w:pPr>
        <w:pStyle w:val="HEADER5"/>
      </w:pPr>
      <w:r>
        <w:t>Макроикономическа среда</w:t>
      </w:r>
    </w:p>
    <w:p w:rsidR="00F50689" w:rsidRDefault="005A36C4" w:rsidP="00F50689">
      <w:pPr>
        <w:pStyle w:val="DGTextstand-alone"/>
      </w:pPr>
      <w:r>
        <w:t>В контекста на кризата с държавния дълг икономическият растеж в държавите — членки на ЕС, е намалял от 2012 до 2013 г. и е нараснал от 2013 до 2014 г. Тази обща икономическа ситуация в държавите членки е отразена в приходите от собствени ресурси на ЕС, вследствие на което се наблюдава леко увеличение на приходите от традиционни собствени ресурси и от ДДС. Тъй като приходите от ресурса БНД са остатъчен компонент, който е пряко свързан с общото равнище на бюджетните кредити за плащания, приети от бюджетния орган (и тези бюджетни кредити са намалени от държавите членки в МФР за периода 2014—2020 г.), приходите от ресурса БНД намаляха през 2014 г.</w:t>
      </w:r>
    </w:p>
    <w:p w:rsidR="00F50689" w:rsidRDefault="005A36C4" w:rsidP="00F50689">
      <w:pPr>
        <w:pStyle w:val="DGTextstand-alone"/>
      </w:pPr>
      <w:r>
        <w:t>Укрепването на Пакта за стабилност и растеж в ЕС открива пътя към устойчиви публични финанси на съответните държави — членки на ЕС. Фискалният пакт е насочен към консолидиране на публичните финанси на държавите членки и ще им предостави възможност да увеличат своя БВП през идните години.</w:t>
      </w:r>
    </w:p>
    <w:p w:rsidR="00F50689" w:rsidRPr="00AF4755" w:rsidRDefault="005A36C4" w:rsidP="00AF4755">
      <w:pPr>
        <w:pStyle w:val="DGTextstand-alone"/>
        <w:spacing w:after="120"/>
      </w:pPr>
      <w:r>
        <w:t>Политиката на Европейската централна банка (ЕЦБ) да държи лихвените проценти на ниско равнище подпомага стабилизирането на икономиката на еврозоната. В рамките на своите правомощия ЕЦБ допринася за увеличаването на икономическия растеж в еврозоната.</w:t>
      </w:r>
    </w:p>
    <w:p w:rsidR="00F50689" w:rsidRDefault="005A36C4">
      <w:pPr>
        <w:pStyle w:val="HEADER5"/>
      </w:pPr>
      <w:r>
        <w:t>Брутен вътрешен продукт на ЕС 28 по пазарни цени</w:t>
      </w:r>
    </w:p>
    <w:p w:rsidR="00F50689" w:rsidRDefault="005A36C4" w:rsidP="00AF4755">
      <w:pPr>
        <w:pStyle w:val="Textstand-alone"/>
        <w:spacing w:after="120"/>
        <w:jc w:val="center"/>
      </w:pPr>
      <w:r>
        <w:rPr>
          <w:lang w:val="en-GB" w:eastAsia="en-GB" w:bidi="ar-SA"/>
        </w:rPr>
        <w:drawing>
          <wp:inline distT="0" distB="0" distL="0" distR="0" wp14:anchorId="692B8D1D" wp14:editId="46D17E68">
            <wp:extent cx="4200525" cy="24288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50689" w:rsidRDefault="005A36C4">
      <w:pPr>
        <w:pStyle w:val="HEADER5"/>
      </w:pPr>
      <w:r>
        <w:t xml:space="preserve">Приходи от БНД </w:t>
      </w:r>
    </w:p>
    <w:p w:rsidR="00F50689" w:rsidRDefault="005A36C4" w:rsidP="00F50689">
      <w:pPr>
        <w:pStyle w:val="Textstand-alone"/>
        <w:spacing w:after="480"/>
        <w:jc w:val="center"/>
      </w:pPr>
      <w:r>
        <w:rPr>
          <w:lang w:val="en-GB" w:eastAsia="en-GB" w:bidi="ar-SA"/>
        </w:rPr>
        <w:drawing>
          <wp:inline distT="0" distB="0" distL="0" distR="0" wp14:anchorId="6DEB32B2" wp14:editId="7304CB79">
            <wp:extent cx="4248150" cy="230505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50689" w:rsidRDefault="005A36C4">
      <w:pPr>
        <w:pStyle w:val="HEADER5"/>
      </w:pPr>
      <w:r>
        <w:t>Неплатени искания за плащане</w:t>
      </w:r>
    </w:p>
    <w:p w:rsidR="00F50689" w:rsidRDefault="005A36C4" w:rsidP="00F50689">
      <w:pPr>
        <w:pStyle w:val="DGTextstand-alone"/>
        <w:spacing w:before="120"/>
      </w:pPr>
      <w:r>
        <w:t>Поради макроикономическата среда в ЕС натискът върху националните бюджети на държавите членки води до натиск върху бюджетните кредити за плащания в бюджета на ЕС. Това явление има преки последици за исканията за плащане, получени от държавите членки и други бенефициери. Общият размер на неплатените искания за плащане в края на годината се е увеличил от 24,3 млрд. EUR за 2013 г. на 25,8 млрд. EUR за 2014 г. Въпреки че винаги ще има неплатени искания поради сумите, които се изпращат близо до края на годината, основната причина за изключително големите суми, констатирани през последните години, е недостигът на бюджетни кредити за плащания.</w:t>
      </w:r>
    </w:p>
    <w:p w:rsidR="00F50689" w:rsidRDefault="005A36C4" w:rsidP="00F50689">
      <w:pPr>
        <w:pStyle w:val="DGTextstand-alone"/>
      </w:pPr>
      <w:r>
        <w:t xml:space="preserve">Неплатените искания за плащане трябва да бъдат финансирани от бъдещи бюджети. По тази причина през май 2015 г. ЕП, Съветът и Комисията се договориха за план за плащанията, с помощта на който да бъде възстановена устойчивостта на бюджета на ЕС. За ЕС е от жизнено важно значение да бъдат обмислени дългосрочните нужди от бюджетни кредити за плащания, тъй като бюджетните кредити за плащания са тези, които се определят от бюджетния орган, и без тях не могат да се извършват плащания или парични преводи. След като по тях бъде постигнато съгласие, бюджетните кредити автоматично се превръщат в налични парични средства на ЕС посредством процеса на месечно събиране на собствени ресурси. </w:t>
      </w:r>
    </w:p>
    <w:p w:rsidR="00F50689" w:rsidRDefault="005A36C4" w:rsidP="00F50689">
      <w:pPr>
        <w:pStyle w:val="DGTextstand-alone"/>
      </w:pPr>
      <w:r>
        <w:t xml:space="preserve">В Комисията краткосрочното прогнозиране на паричните потоци се прави всяка седмица (понякога ежедневно), за да се гарантира, че задълженията за незабавно плащане на ЕС могат да бъдат изпълнени, като се спазват ограниченията за бюджетните кредити за плащания в бюджета. Тази краткосрочна прогноза е базата, използвана за изчисляване на размера на собствените ресурси, които трябва да бъдат изисквани всеки месец от държавите членки. На първия работен ден на всеки месец държавите членки трябва да внасят в сметките за собствените ресурси на Комисията една дванадесета част от общия размер на ресурса от ДДС и от БНД, записан в бюджета на Съюза. В зависимост от паричните наличности на Комисията, от държавите членки може да бъде поискано през първото тримесечие на годината да изтеглят напред с един или два месеца ресурсите на база ДДС и БНД. Тези авансово предоставени средства трябва да бъдат приспаднати от поканите за внасяне на средства през по-късните месеци, в зависимост от прогнозите за нуждите от парични средства. </w:t>
      </w:r>
    </w:p>
    <w:p w:rsidR="00F50689" w:rsidRPr="00E44E62" w:rsidRDefault="005A36C4" w:rsidP="00F50689">
      <w:pPr>
        <w:pStyle w:val="DGTextstand-alone"/>
      </w:pPr>
      <w:r>
        <w:t>В средносрочен и дългосрочен план Комисията следи подробно нуждите от плащания на ЕС в рамките на редовните си дейности. Например това е необходимо за подготвянето на предложенията на Комисията относно МФР, като част от годишното изготвяне на бюджета и при изготвянето на коригиращи бюджети. По време на етапа на преговорите по МФР използваните модели и допусканията, на които те се основават, се наблюдават редовно и при необходимост се актуализират. Резултатите от модела за симулация се използват в бюджетните преговори за определяне на тавана на плащанията в МФР.</w:t>
      </w:r>
    </w:p>
    <w:p w:rsidR="00AF4755" w:rsidRPr="00E44E62" w:rsidRDefault="00AF4755" w:rsidP="00AF4755">
      <w:pPr>
        <w:rPr>
          <w:rFonts w:ascii="Verdana" w:hAnsi="Verdana"/>
          <w:noProof/>
          <w:sz w:val="18"/>
          <w:szCs w:val="18"/>
        </w:rPr>
      </w:pPr>
      <w:r w:rsidRPr="00E44E62">
        <w:br w:type="page"/>
      </w:r>
    </w:p>
    <w:p w:rsidR="00F50689" w:rsidRDefault="005A36C4">
      <w:pPr>
        <w:pStyle w:val="HEADER5"/>
      </w:pPr>
      <w:r>
        <w:t>Развитие на бюджетните кредити за плащания и за поети задължения, RAL и натрупани неплатени искания за плащане в милиони евро</w:t>
      </w:r>
    </w:p>
    <w:p w:rsidR="00F50689" w:rsidRDefault="00F50689">
      <w:pPr>
        <w:pStyle w:val="HEADER5"/>
      </w:pPr>
    </w:p>
    <w:p w:rsidR="00F50689" w:rsidRDefault="000B7C2B" w:rsidP="00F50689">
      <w:pPr>
        <w:pStyle w:val="Textstand-alone"/>
      </w:pPr>
      <w:r>
        <w:rPr>
          <w:lang w:val="en-GB" w:eastAsia="en-GB" w:bidi="ar-SA"/>
        </w:rPr>
        <w:drawing>
          <wp:inline distT="0" distB="0" distL="0" distR="0" wp14:anchorId="19FEE80E" wp14:editId="631927BE">
            <wp:extent cx="5972810" cy="4264025"/>
            <wp:effectExtent l="0" t="0" r="889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4264025"/>
                    </a:xfrm>
                    <a:prstGeom prst="rect">
                      <a:avLst/>
                    </a:prstGeom>
                  </pic:spPr>
                </pic:pic>
              </a:graphicData>
            </a:graphic>
          </wp:inline>
        </w:drawing>
      </w:r>
    </w:p>
    <w:p w:rsidR="00F50689" w:rsidRDefault="005A36C4" w:rsidP="00F50689">
      <w:pPr>
        <w:pStyle w:val="Textstand-alone"/>
        <w:sectPr w:rsidR="00F50689" w:rsidSect="00F50689">
          <w:headerReference w:type="even" r:id="rId41"/>
          <w:headerReference w:type="default" r:id="rId42"/>
          <w:footerReference w:type="even" r:id="rId43"/>
          <w:footerReference w:type="default" r:id="rId44"/>
          <w:headerReference w:type="first" r:id="rId45"/>
          <w:footerReference w:type="first" r:id="rId46"/>
          <w:pgSz w:w="11907" w:h="16840"/>
          <w:pgMar w:top="1134" w:right="1134" w:bottom="1134" w:left="1134" w:header="709" w:footer="709" w:gutter="0"/>
          <w:cols w:space="708"/>
          <w:docGrid w:linePitch="360"/>
        </w:sectPr>
      </w:pPr>
      <w:r>
        <w:t xml:space="preserve"> </w:t>
      </w:r>
      <w:bookmarkEnd w:id="4"/>
    </w:p>
    <w:p w:rsidR="00F50689" w:rsidRPr="00DA3B33" w:rsidRDefault="005A36C4" w:rsidP="005F66D3">
      <w:pPr>
        <w:pStyle w:val="FIRSTCHAPTERPAGE"/>
      </w:pPr>
      <w:bookmarkStart w:id="7" w:name="_Toc431302339"/>
      <w:bookmarkStart w:id="8" w:name="_DMBM_2686"/>
      <w:r>
        <w:t>БЕЛЕЖКА, ПРИДРУЖАВАЩА КОНСОЛИДИРАНИТЕ ОТЧЕТИ</w:t>
      </w:r>
      <w:bookmarkEnd w:id="7"/>
    </w:p>
    <w:p w:rsidR="00F50689" w:rsidRPr="00DA3B33" w:rsidRDefault="00F50689" w:rsidP="00F50689">
      <w:pPr>
        <w:pStyle w:val="HEADERTITLE"/>
        <w:spacing w:after="0"/>
      </w:pPr>
    </w:p>
    <w:p w:rsidR="00F50689" w:rsidRDefault="005A36C4" w:rsidP="00F50689">
      <w:pPr>
        <w:pStyle w:val="Textstand-alone"/>
      </w:pPr>
      <w:r>
        <w:t>Консолидираните годишни отчети на Европейския съюз за 2014 г. са изготвени въз основа на информацията, представена от институциите и органите съгласно член 148, параграф 2 от Финансовия регламент, приложим за общия бюджет на Европейския съюз. С настоящото заявявам, че те бяха съставени в съответствие с дял IX от този Финансов регламент и със счетоводните принципи, правила и методи, посочени в бележките към финансовите отчети.</w:t>
      </w:r>
    </w:p>
    <w:p w:rsidR="00F50689" w:rsidRDefault="005A36C4" w:rsidP="00F50689">
      <w:pPr>
        <w:pStyle w:val="Textstand-alone"/>
      </w:pPr>
      <w:r>
        <w:t>От счетоводителите на тези институции и органи, които удостовериха нейната надеждност, получих цялата информация, необходима за изготвянето на отчетите, които показват активите и пасивите на Европейския съюз и изпълнението на бюджета.</w:t>
      </w:r>
    </w:p>
    <w:p w:rsidR="00F50689" w:rsidRDefault="005A36C4" w:rsidP="00F50689">
      <w:pPr>
        <w:pStyle w:val="Textstand-alone"/>
      </w:pPr>
      <w:r>
        <w:t>С настоящото удостоверявам, че въз основа на тази информация и на проверките, които прецених за необходими, за да подпиша отчетите на Европейската комисия, имам достатъчна увереност, че отчетите представят честно, във всички съществени аспекти, финансовото състояние, резултатите от дейността и паричните потоци на Европейския съюз.</w:t>
      </w:r>
    </w:p>
    <w:p w:rsidR="00F50689" w:rsidRDefault="00F50689" w:rsidP="00F50689">
      <w:pPr>
        <w:pStyle w:val="Textstand-alone"/>
      </w:pPr>
    </w:p>
    <w:p w:rsidR="00F50689" w:rsidRDefault="00F50689" w:rsidP="00F50689">
      <w:pPr>
        <w:pStyle w:val="Textstand-alone"/>
      </w:pPr>
    </w:p>
    <w:p w:rsidR="00F50689" w:rsidRDefault="001A62AA" w:rsidP="00F50689">
      <w:pPr>
        <w:pStyle w:val="SignatureRightItalic"/>
      </w:pPr>
      <w:r>
        <w:t>[подпис]</w:t>
      </w:r>
    </w:p>
    <w:p w:rsidR="00F50689" w:rsidRDefault="005A36C4" w:rsidP="00F50689">
      <w:pPr>
        <w:pStyle w:val="SignatureRight"/>
      </w:pPr>
      <w:r>
        <w:t>Manfred Kraff</w:t>
      </w:r>
    </w:p>
    <w:p w:rsidR="00F50689" w:rsidRDefault="005A36C4" w:rsidP="00F50689">
      <w:pPr>
        <w:pStyle w:val="SignatureRightBold"/>
      </w:pPr>
      <w:r>
        <w:t>Счетоводител на Комисията</w:t>
      </w:r>
    </w:p>
    <w:p w:rsidR="00F50689" w:rsidRDefault="001A472B" w:rsidP="00F50689">
      <w:pPr>
        <w:pStyle w:val="SignatureRightItalic0"/>
      </w:pPr>
      <w:r>
        <w:t>17 юли 2015 г.</w:t>
      </w:r>
    </w:p>
    <w:p w:rsidR="00F50689" w:rsidRPr="00C96E76" w:rsidRDefault="005A36C4" w:rsidP="00F50689">
      <w:pPr>
        <w:pStyle w:val="SignatureRightItalic0"/>
        <w:sectPr w:rsidR="00F50689" w:rsidRPr="00C96E76" w:rsidSect="00F50689">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r>
        <w:t xml:space="preserve"> </w:t>
      </w:r>
      <w:bookmarkEnd w:id="8"/>
    </w:p>
    <w:p w:rsidR="00F50689" w:rsidRPr="00012B40" w:rsidRDefault="005A36C4" w:rsidP="00F50689">
      <w:pPr>
        <w:pStyle w:val="FinancialYear"/>
      </w:pPr>
      <w:bookmarkStart w:id="9" w:name="_DMBM_2599"/>
      <w:r>
        <w:t>ЕВРОПЕЙСКИ СЪЮЗ</w:t>
      </w:r>
    </w:p>
    <w:p w:rsidR="00F50689" w:rsidRDefault="005A36C4" w:rsidP="00F50689">
      <w:pPr>
        <w:pStyle w:val="FinancialYear"/>
      </w:pPr>
      <w:r>
        <w:t>2014 ФИНАНСОВА ГОДИНА</w:t>
      </w: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5A36C4" w:rsidP="00F50689">
      <w:pPr>
        <w:pStyle w:val="FIRSTCHAPTERPAGE"/>
      </w:pPr>
      <w:bookmarkStart w:id="10" w:name="_Toc431302340"/>
      <w:r>
        <w:t>КОНСОЛИДИРАНИ ФИНАНСОВИ ОТЧЕТИ И ОБЯСНИТЕЛНИ БЕЛЕЖКИ</w:t>
      </w:r>
      <w:bookmarkEnd w:id="10"/>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5A36C4" w:rsidP="00F50689">
      <w:pPr>
        <w:pStyle w:val="TOPHEADERNOTE"/>
        <w:sectPr w:rsidR="00F50689" w:rsidSect="00F50689">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r>
        <w:t>Следва да се отбележи, че поради закръглянето на цифрите в милиони евро някои финансови данни в таблиците по-долу може да изглеждат грешни.</w:t>
      </w:r>
      <w:bookmarkEnd w:id="9"/>
    </w:p>
    <w:p w:rsidR="00F50689" w:rsidRDefault="005A36C4" w:rsidP="00F50689">
      <w:pPr>
        <w:pStyle w:val="HEADERTABLE"/>
      </w:pPr>
      <w:bookmarkStart w:id="11" w:name="_DMBM_2613"/>
      <w:r>
        <w:t>СЪДЪРЖАНИЕ</w:t>
      </w:r>
    </w:p>
    <w:p w:rsidR="00F50689" w:rsidRDefault="00F50689" w:rsidP="00F50689">
      <w:pPr>
        <w:pStyle w:val="HEADERTABLE"/>
      </w:pPr>
    </w:p>
    <w:p w:rsidR="00F50689" w:rsidRDefault="00F50689" w:rsidP="00F50689">
      <w:pPr>
        <w:pStyle w:val="HEADERTABLE"/>
      </w:pPr>
    </w:p>
    <w:p w:rsidR="00205192" w:rsidRDefault="00205192">
      <w:pPr>
        <w:pStyle w:val="TOC1"/>
        <w:rPr>
          <w:rFonts w:asciiTheme="minorHAnsi" w:eastAsiaTheme="minorEastAsia" w:hAnsiTheme="minorHAnsi" w:cstheme="minorBidi"/>
          <w:color w:val="auto"/>
          <w:szCs w:val="22"/>
          <w:lang w:val="en-GB" w:eastAsia="en-GB" w:bidi="ar-SA"/>
        </w:rPr>
      </w:pPr>
      <w:r>
        <w:rPr>
          <w:szCs w:val="24"/>
          <w:lang w:val="fr-BE"/>
        </w:rPr>
        <w:fldChar w:fldCharType="begin"/>
      </w:r>
      <w:r>
        <w:instrText xml:space="preserve"> TOC \h \z \t "FIRST CHAPTER_PAGE_1;1;HEADER 1_Part 2;2;HEADER_TITLE_1;1" </w:instrText>
      </w:r>
      <w:r>
        <w:rPr>
          <w:szCs w:val="24"/>
          <w:lang w:val="fr-BE"/>
        </w:rPr>
        <w:fldChar w:fldCharType="separate"/>
      </w:r>
      <w:hyperlink w:anchor="_Toc431304423" w:history="1">
        <w:r w:rsidRPr="000C2C78">
          <w:rPr>
            <w:rStyle w:val="Hyperlink"/>
          </w:rPr>
          <w:t>СЧЕТОВОДЕН БАЛАНС</w:t>
        </w:r>
        <w:r>
          <w:rPr>
            <w:webHidden/>
          </w:rPr>
          <w:tab/>
        </w:r>
        <w:r>
          <w:rPr>
            <w:webHidden/>
          </w:rPr>
          <w:fldChar w:fldCharType="begin"/>
        </w:r>
        <w:r>
          <w:rPr>
            <w:webHidden/>
          </w:rPr>
          <w:instrText xml:space="preserve"> PAGEREF _Toc431304423 \h </w:instrText>
        </w:r>
        <w:r>
          <w:rPr>
            <w:webHidden/>
          </w:rPr>
        </w:r>
        <w:r>
          <w:rPr>
            <w:webHidden/>
          </w:rPr>
          <w:fldChar w:fldCharType="separate"/>
        </w:r>
        <w:r w:rsidR="00803415">
          <w:rPr>
            <w:webHidden/>
          </w:rPr>
          <w:t>28</w:t>
        </w:r>
        <w:r>
          <w:rPr>
            <w:webHidden/>
          </w:rPr>
          <w:fldChar w:fldCharType="end"/>
        </w:r>
      </w:hyperlink>
    </w:p>
    <w:p w:rsidR="00205192" w:rsidRDefault="00B55B79">
      <w:pPr>
        <w:pStyle w:val="TOC1"/>
        <w:rPr>
          <w:rFonts w:asciiTheme="minorHAnsi" w:eastAsiaTheme="minorEastAsia" w:hAnsiTheme="minorHAnsi" w:cstheme="minorBidi"/>
          <w:color w:val="auto"/>
          <w:szCs w:val="22"/>
          <w:lang w:val="en-GB" w:eastAsia="en-GB" w:bidi="ar-SA"/>
        </w:rPr>
      </w:pPr>
      <w:hyperlink w:anchor="_Toc431304424" w:history="1">
        <w:r w:rsidR="00205192" w:rsidRPr="000C2C78">
          <w:rPr>
            <w:rStyle w:val="Hyperlink"/>
          </w:rPr>
          <w:t>ОТЧЕТ ЗА ФИНАНСОВИЯ РЕЗУЛТАТ</w:t>
        </w:r>
        <w:r w:rsidR="00205192">
          <w:rPr>
            <w:webHidden/>
          </w:rPr>
          <w:tab/>
        </w:r>
        <w:r w:rsidR="00205192">
          <w:rPr>
            <w:webHidden/>
          </w:rPr>
          <w:fldChar w:fldCharType="begin"/>
        </w:r>
        <w:r w:rsidR="00205192">
          <w:rPr>
            <w:webHidden/>
          </w:rPr>
          <w:instrText xml:space="preserve"> PAGEREF _Toc431304424 \h </w:instrText>
        </w:r>
        <w:r w:rsidR="00205192">
          <w:rPr>
            <w:webHidden/>
          </w:rPr>
        </w:r>
        <w:r w:rsidR="00205192">
          <w:rPr>
            <w:webHidden/>
          </w:rPr>
          <w:fldChar w:fldCharType="separate"/>
        </w:r>
        <w:r w:rsidR="00803415">
          <w:rPr>
            <w:webHidden/>
          </w:rPr>
          <w:t>29</w:t>
        </w:r>
        <w:r w:rsidR="00205192">
          <w:rPr>
            <w:webHidden/>
          </w:rPr>
          <w:fldChar w:fldCharType="end"/>
        </w:r>
      </w:hyperlink>
    </w:p>
    <w:p w:rsidR="00205192" w:rsidRDefault="00B55B79">
      <w:pPr>
        <w:pStyle w:val="TOC1"/>
        <w:rPr>
          <w:rFonts w:asciiTheme="minorHAnsi" w:eastAsiaTheme="minorEastAsia" w:hAnsiTheme="minorHAnsi" w:cstheme="minorBidi"/>
          <w:color w:val="auto"/>
          <w:szCs w:val="22"/>
          <w:lang w:val="en-GB" w:eastAsia="en-GB" w:bidi="ar-SA"/>
        </w:rPr>
      </w:pPr>
      <w:hyperlink w:anchor="_Toc431304425" w:history="1">
        <w:r w:rsidR="00205192" w:rsidRPr="000C2C78">
          <w:rPr>
            <w:rStyle w:val="Hyperlink"/>
          </w:rPr>
          <w:t>ОТЧЕТ ЗА ПАРИЧНИТЕ ПОТОЦИ</w:t>
        </w:r>
        <w:r w:rsidR="00205192">
          <w:rPr>
            <w:webHidden/>
          </w:rPr>
          <w:tab/>
        </w:r>
        <w:r w:rsidR="00205192">
          <w:rPr>
            <w:webHidden/>
          </w:rPr>
          <w:fldChar w:fldCharType="begin"/>
        </w:r>
        <w:r w:rsidR="00205192">
          <w:rPr>
            <w:webHidden/>
          </w:rPr>
          <w:instrText xml:space="preserve"> PAGEREF _Toc431304425 \h </w:instrText>
        </w:r>
        <w:r w:rsidR="00205192">
          <w:rPr>
            <w:webHidden/>
          </w:rPr>
        </w:r>
        <w:r w:rsidR="00205192">
          <w:rPr>
            <w:webHidden/>
          </w:rPr>
          <w:fldChar w:fldCharType="separate"/>
        </w:r>
        <w:r w:rsidR="00803415">
          <w:rPr>
            <w:webHidden/>
          </w:rPr>
          <w:t>30</w:t>
        </w:r>
        <w:r w:rsidR="00205192">
          <w:rPr>
            <w:webHidden/>
          </w:rPr>
          <w:fldChar w:fldCharType="end"/>
        </w:r>
      </w:hyperlink>
    </w:p>
    <w:p w:rsidR="00205192" w:rsidRDefault="00B55B79">
      <w:pPr>
        <w:pStyle w:val="TOC1"/>
        <w:rPr>
          <w:rFonts w:asciiTheme="minorHAnsi" w:eastAsiaTheme="minorEastAsia" w:hAnsiTheme="minorHAnsi" w:cstheme="minorBidi"/>
          <w:color w:val="auto"/>
          <w:szCs w:val="22"/>
          <w:lang w:val="en-GB" w:eastAsia="en-GB" w:bidi="ar-SA"/>
        </w:rPr>
      </w:pPr>
      <w:hyperlink w:anchor="_Toc431304426" w:history="1">
        <w:r w:rsidR="00205192" w:rsidRPr="000C2C78">
          <w:rPr>
            <w:rStyle w:val="Hyperlink"/>
          </w:rPr>
          <w:t>ОТЧЕТ ЗА ПРОМЕНИТЕ В НЕТНИТЕ АКТИВИ</w:t>
        </w:r>
        <w:r w:rsidR="00205192">
          <w:rPr>
            <w:webHidden/>
          </w:rPr>
          <w:tab/>
        </w:r>
        <w:r w:rsidR="00205192">
          <w:rPr>
            <w:webHidden/>
          </w:rPr>
          <w:fldChar w:fldCharType="begin"/>
        </w:r>
        <w:r w:rsidR="00205192">
          <w:rPr>
            <w:webHidden/>
          </w:rPr>
          <w:instrText xml:space="preserve"> PAGEREF _Toc431304426 \h </w:instrText>
        </w:r>
        <w:r w:rsidR="00205192">
          <w:rPr>
            <w:webHidden/>
          </w:rPr>
        </w:r>
        <w:r w:rsidR="00205192">
          <w:rPr>
            <w:webHidden/>
          </w:rPr>
          <w:fldChar w:fldCharType="separate"/>
        </w:r>
        <w:r w:rsidR="00803415">
          <w:rPr>
            <w:webHidden/>
          </w:rPr>
          <w:t>31</w:t>
        </w:r>
        <w:r w:rsidR="00205192">
          <w:rPr>
            <w:webHidden/>
          </w:rPr>
          <w:fldChar w:fldCharType="end"/>
        </w:r>
      </w:hyperlink>
    </w:p>
    <w:p w:rsidR="00205192" w:rsidRDefault="00B55B79">
      <w:pPr>
        <w:pStyle w:val="TOC1"/>
        <w:rPr>
          <w:rFonts w:asciiTheme="minorHAnsi" w:eastAsiaTheme="minorEastAsia" w:hAnsiTheme="minorHAnsi" w:cstheme="minorBidi"/>
          <w:color w:val="auto"/>
          <w:szCs w:val="22"/>
          <w:lang w:val="en-GB" w:eastAsia="en-GB" w:bidi="ar-SA"/>
        </w:rPr>
      </w:pPr>
      <w:hyperlink w:anchor="_Toc431304427" w:history="1">
        <w:r w:rsidR="00205192" w:rsidRPr="000C2C78">
          <w:rPr>
            <w:rStyle w:val="Hyperlink"/>
          </w:rPr>
          <w:t>БЕЛЕЖКИ КЪМ ФИНАНСОВИТЕ ОТЧЕТИ</w:t>
        </w:r>
        <w:r w:rsidR="00205192">
          <w:rPr>
            <w:webHidden/>
          </w:rPr>
          <w:tab/>
        </w:r>
        <w:r w:rsidR="00205192">
          <w:rPr>
            <w:webHidden/>
          </w:rPr>
          <w:fldChar w:fldCharType="begin"/>
        </w:r>
        <w:r w:rsidR="00205192">
          <w:rPr>
            <w:webHidden/>
          </w:rPr>
          <w:instrText xml:space="preserve"> PAGEREF _Toc431304427 \h </w:instrText>
        </w:r>
        <w:r w:rsidR="00205192">
          <w:rPr>
            <w:webHidden/>
          </w:rPr>
        </w:r>
        <w:r w:rsidR="00205192">
          <w:rPr>
            <w:webHidden/>
          </w:rPr>
          <w:fldChar w:fldCharType="separate"/>
        </w:r>
        <w:r w:rsidR="00803415">
          <w:rPr>
            <w:webHidden/>
          </w:rPr>
          <w:t>32</w:t>
        </w:r>
        <w:r w:rsidR="00205192">
          <w:rPr>
            <w:webHidden/>
          </w:rPr>
          <w:fldChar w:fldCharType="end"/>
        </w:r>
      </w:hyperlink>
    </w:p>
    <w:p w:rsidR="00205192" w:rsidRDefault="00B55B79">
      <w:pPr>
        <w:pStyle w:val="TOC2"/>
        <w:rPr>
          <w:rFonts w:asciiTheme="minorHAnsi" w:eastAsiaTheme="minorEastAsia" w:hAnsiTheme="minorHAnsi" w:cstheme="minorBidi"/>
          <w:color w:val="auto"/>
          <w:sz w:val="22"/>
          <w:lang w:val="en-GB" w:eastAsia="en-GB" w:bidi="ar-SA"/>
        </w:rPr>
      </w:pPr>
      <w:hyperlink w:anchor="_Toc431304428" w:history="1">
        <w:r w:rsidR="00205192" w:rsidRPr="000C2C78">
          <w:rPr>
            <w:rStyle w:val="Hyperlink"/>
          </w:rPr>
          <w:t>1.</w:t>
        </w:r>
        <w:r w:rsidR="00205192">
          <w:rPr>
            <w:rFonts w:asciiTheme="minorHAnsi" w:eastAsiaTheme="minorEastAsia" w:hAnsiTheme="minorHAnsi" w:cstheme="minorBidi"/>
            <w:color w:val="auto"/>
            <w:sz w:val="22"/>
            <w:lang w:val="en-GB" w:eastAsia="en-GB" w:bidi="ar-SA"/>
          </w:rPr>
          <w:tab/>
        </w:r>
        <w:r w:rsidR="00205192" w:rsidRPr="000C2C78">
          <w:rPr>
            <w:rStyle w:val="Hyperlink"/>
          </w:rPr>
          <w:t>ВАЖНИ СЧЕТОВОДНИ ПОЛИТИКИ</w:t>
        </w:r>
        <w:r w:rsidR="00205192">
          <w:rPr>
            <w:webHidden/>
          </w:rPr>
          <w:tab/>
        </w:r>
        <w:r w:rsidR="00205192">
          <w:rPr>
            <w:webHidden/>
          </w:rPr>
          <w:fldChar w:fldCharType="begin"/>
        </w:r>
        <w:r w:rsidR="00205192">
          <w:rPr>
            <w:webHidden/>
          </w:rPr>
          <w:instrText xml:space="preserve"> PAGEREF _Toc431304428 \h </w:instrText>
        </w:r>
        <w:r w:rsidR="00205192">
          <w:rPr>
            <w:webHidden/>
          </w:rPr>
        </w:r>
        <w:r w:rsidR="00205192">
          <w:rPr>
            <w:webHidden/>
          </w:rPr>
          <w:fldChar w:fldCharType="separate"/>
        </w:r>
        <w:r w:rsidR="00803415">
          <w:rPr>
            <w:webHidden/>
          </w:rPr>
          <w:t>33</w:t>
        </w:r>
        <w:r w:rsidR="00205192">
          <w:rPr>
            <w:webHidden/>
          </w:rPr>
          <w:fldChar w:fldCharType="end"/>
        </w:r>
      </w:hyperlink>
    </w:p>
    <w:p w:rsidR="00205192" w:rsidRDefault="00B55B79">
      <w:pPr>
        <w:pStyle w:val="TOC2"/>
        <w:rPr>
          <w:rFonts w:asciiTheme="minorHAnsi" w:eastAsiaTheme="minorEastAsia" w:hAnsiTheme="minorHAnsi" w:cstheme="minorBidi"/>
          <w:color w:val="auto"/>
          <w:sz w:val="22"/>
          <w:lang w:val="en-GB" w:eastAsia="en-GB" w:bidi="ar-SA"/>
        </w:rPr>
      </w:pPr>
      <w:hyperlink w:anchor="_Toc431304429" w:history="1">
        <w:r w:rsidR="00205192" w:rsidRPr="000C2C78">
          <w:rPr>
            <w:rStyle w:val="Hyperlink"/>
          </w:rPr>
          <w:t>2.</w:t>
        </w:r>
        <w:r w:rsidR="00205192">
          <w:rPr>
            <w:rFonts w:asciiTheme="minorHAnsi" w:eastAsiaTheme="minorEastAsia" w:hAnsiTheme="minorHAnsi" w:cstheme="minorBidi"/>
            <w:color w:val="auto"/>
            <w:sz w:val="22"/>
            <w:lang w:val="en-GB" w:eastAsia="en-GB" w:bidi="ar-SA"/>
          </w:rPr>
          <w:tab/>
        </w:r>
        <w:r w:rsidR="00205192" w:rsidRPr="000C2C78">
          <w:rPr>
            <w:rStyle w:val="Hyperlink"/>
          </w:rPr>
          <w:t>БЕЛЕЖКИ КЪМ СЧЕТОВОДНИЯ БАЛАНС</w:t>
        </w:r>
        <w:r w:rsidR="00205192">
          <w:rPr>
            <w:webHidden/>
          </w:rPr>
          <w:tab/>
        </w:r>
        <w:r w:rsidR="00205192">
          <w:rPr>
            <w:webHidden/>
          </w:rPr>
          <w:fldChar w:fldCharType="begin"/>
        </w:r>
        <w:r w:rsidR="00205192">
          <w:rPr>
            <w:webHidden/>
          </w:rPr>
          <w:instrText xml:space="preserve"> PAGEREF _Toc431304429 \h </w:instrText>
        </w:r>
        <w:r w:rsidR="00205192">
          <w:rPr>
            <w:webHidden/>
          </w:rPr>
        </w:r>
        <w:r w:rsidR="00205192">
          <w:rPr>
            <w:webHidden/>
          </w:rPr>
          <w:fldChar w:fldCharType="separate"/>
        </w:r>
        <w:r w:rsidR="00803415">
          <w:rPr>
            <w:webHidden/>
          </w:rPr>
          <w:t>46</w:t>
        </w:r>
        <w:r w:rsidR="00205192">
          <w:rPr>
            <w:webHidden/>
          </w:rPr>
          <w:fldChar w:fldCharType="end"/>
        </w:r>
      </w:hyperlink>
    </w:p>
    <w:p w:rsidR="00205192" w:rsidRDefault="00B55B79">
      <w:pPr>
        <w:pStyle w:val="TOC2"/>
        <w:rPr>
          <w:rFonts w:asciiTheme="minorHAnsi" w:eastAsiaTheme="minorEastAsia" w:hAnsiTheme="minorHAnsi" w:cstheme="minorBidi"/>
          <w:color w:val="auto"/>
          <w:sz w:val="22"/>
          <w:lang w:val="en-GB" w:eastAsia="en-GB" w:bidi="ar-SA"/>
        </w:rPr>
      </w:pPr>
      <w:hyperlink w:anchor="_Toc431304430" w:history="1">
        <w:r w:rsidR="00205192" w:rsidRPr="000C2C78">
          <w:rPr>
            <w:rStyle w:val="Hyperlink"/>
          </w:rPr>
          <w:t>3.</w:t>
        </w:r>
        <w:r w:rsidR="00205192">
          <w:rPr>
            <w:rFonts w:asciiTheme="minorHAnsi" w:eastAsiaTheme="minorEastAsia" w:hAnsiTheme="minorHAnsi" w:cstheme="minorBidi"/>
            <w:color w:val="auto"/>
            <w:sz w:val="22"/>
            <w:lang w:val="en-GB" w:eastAsia="en-GB" w:bidi="ar-SA"/>
          </w:rPr>
          <w:tab/>
        </w:r>
        <w:r w:rsidR="00205192" w:rsidRPr="000C2C78">
          <w:rPr>
            <w:rStyle w:val="Hyperlink"/>
          </w:rPr>
          <w:t>БЕЛЕЖКИ КЪМ ОТЧЕТА ЗА ФИНАНСОВИЯ РЕЗУЛТАТ</w:t>
        </w:r>
        <w:r w:rsidR="00205192">
          <w:rPr>
            <w:webHidden/>
          </w:rPr>
          <w:tab/>
        </w:r>
        <w:r w:rsidR="00205192">
          <w:rPr>
            <w:webHidden/>
          </w:rPr>
          <w:fldChar w:fldCharType="begin"/>
        </w:r>
        <w:r w:rsidR="00205192">
          <w:rPr>
            <w:webHidden/>
          </w:rPr>
          <w:instrText xml:space="preserve"> PAGEREF _Toc431304430 \h </w:instrText>
        </w:r>
        <w:r w:rsidR="00205192">
          <w:rPr>
            <w:webHidden/>
          </w:rPr>
        </w:r>
        <w:r w:rsidR="00205192">
          <w:rPr>
            <w:webHidden/>
          </w:rPr>
          <w:fldChar w:fldCharType="separate"/>
        </w:r>
        <w:r w:rsidR="00803415">
          <w:rPr>
            <w:webHidden/>
          </w:rPr>
          <w:t>65</w:t>
        </w:r>
        <w:r w:rsidR="00205192">
          <w:rPr>
            <w:webHidden/>
          </w:rPr>
          <w:fldChar w:fldCharType="end"/>
        </w:r>
      </w:hyperlink>
    </w:p>
    <w:p w:rsidR="00205192" w:rsidRDefault="00B55B79">
      <w:pPr>
        <w:pStyle w:val="TOC2"/>
        <w:rPr>
          <w:rFonts w:asciiTheme="minorHAnsi" w:eastAsiaTheme="minorEastAsia" w:hAnsiTheme="minorHAnsi" w:cstheme="minorBidi"/>
          <w:color w:val="auto"/>
          <w:sz w:val="22"/>
          <w:lang w:val="en-GB" w:eastAsia="en-GB" w:bidi="ar-SA"/>
        </w:rPr>
      </w:pPr>
      <w:hyperlink w:anchor="_Toc431304431" w:history="1">
        <w:r w:rsidR="00205192" w:rsidRPr="000C2C78">
          <w:rPr>
            <w:rStyle w:val="Hyperlink"/>
          </w:rPr>
          <w:t>4.</w:t>
        </w:r>
        <w:r w:rsidR="00205192">
          <w:rPr>
            <w:rFonts w:asciiTheme="minorHAnsi" w:eastAsiaTheme="minorEastAsia" w:hAnsiTheme="minorHAnsi" w:cstheme="minorBidi"/>
            <w:color w:val="auto"/>
            <w:sz w:val="22"/>
            <w:lang w:val="en-GB" w:eastAsia="en-GB" w:bidi="ar-SA"/>
          </w:rPr>
          <w:tab/>
        </w:r>
        <w:r w:rsidR="00205192" w:rsidRPr="000C2C78">
          <w:rPr>
            <w:rStyle w:val="Hyperlink"/>
          </w:rPr>
          <w:t>БЕЛЕЖКИ КЪМ ОТЧЕТА ЗА ПАРИЧНИТЕ ПОТОЦИ</w:t>
        </w:r>
        <w:r w:rsidR="00205192">
          <w:rPr>
            <w:webHidden/>
          </w:rPr>
          <w:tab/>
        </w:r>
        <w:r w:rsidR="00205192">
          <w:rPr>
            <w:webHidden/>
          </w:rPr>
          <w:fldChar w:fldCharType="begin"/>
        </w:r>
        <w:r w:rsidR="00205192">
          <w:rPr>
            <w:webHidden/>
          </w:rPr>
          <w:instrText xml:space="preserve"> PAGEREF _Toc431304431 \h </w:instrText>
        </w:r>
        <w:r w:rsidR="00205192">
          <w:rPr>
            <w:webHidden/>
          </w:rPr>
        </w:r>
        <w:r w:rsidR="00205192">
          <w:rPr>
            <w:webHidden/>
          </w:rPr>
          <w:fldChar w:fldCharType="separate"/>
        </w:r>
        <w:r w:rsidR="00803415">
          <w:rPr>
            <w:webHidden/>
          </w:rPr>
          <w:t>75</w:t>
        </w:r>
        <w:r w:rsidR="00205192">
          <w:rPr>
            <w:webHidden/>
          </w:rPr>
          <w:fldChar w:fldCharType="end"/>
        </w:r>
      </w:hyperlink>
    </w:p>
    <w:p w:rsidR="00205192" w:rsidRDefault="00B55B79">
      <w:pPr>
        <w:pStyle w:val="TOC2"/>
        <w:rPr>
          <w:rFonts w:asciiTheme="minorHAnsi" w:eastAsiaTheme="minorEastAsia" w:hAnsiTheme="minorHAnsi" w:cstheme="minorBidi"/>
          <w:color w:val="auto"/>
          <w:sz w:val="22"/>
          <w:lang w:val="en-GB" w:eastAsia="en-GB" w:bidi="ar-SA"/>
        </w:rPr>
      </w:pPr>
      <w:hyperlink w:anchor="_Toc431304432" w:history="1">
        <w:r w:rsidR="00205192" w:rsidRPr="000C2C78">
          <w:rPr>
            <w:rStyle w:val="Hyperlink"/>
          </w:rPr>
          <w:t>5.</w:t>
        </w:r>
        <w:r w:rsidR="00205192">
          <w:rPr>
            <w:rFonts w:asciiTheme="minorHAnsi" w:eastAsiaTheme="minorEastAsia" w:hAnsiTheme="minorHAnsi" w:cstheme="minorBidi"/>
            <w:color w:val="auto"/>
            <w:sz w:val="22"/>
            <w:lang w:val="en-GB" w:eastAsia="en-GB" w:bidi="ar-SA"/>
          </w:rPr>
          <w:tab/>
        </w:r>
        <w:r w:rsidR="00205192" w:rsidRPr="000C2C78">
          <w:rPr>
            <w:rStyle w:val="Hyperlink"/>
          </w:rPr>
          <w:t>УСЛОВНИ АКТИВИ И ПАСИВИ И ДРУГИ СЪЩЕСТВЕНИ ОПОВЕСТЕНИ ДАННИ</w:t>
        </w:r>
        <w:r w:rsidR="00205192">
          <w:rPr>
            <w:webHidden/>
          </w:rPr>
          <w:tab/>
        </w:r>
        <w:r w:rsidR="00205192">
          <w:rPr>
            <w:webHidden/>
          </w:rPr>
          <w:fldChar w:fldCharType="begin"/>
        </w:r>
        <w:r w:rsidR="00205192">
          <w:rPr>
            <w:webHidden/>
          </w:rPr>
          <w:instrText xml:space="preserve"> PAGEREF _Toc431304432 \h </w:instrText>
        </w:r>
        <w:r w:rsidR="00205192">
          <w:rPr>
            <w:webHidden/>
          </w:rPr>
        </w:r>
        <w:r w:rsidR="00205192">
          <w:rPr>
            <w:webHidden/>
          </w:rPr>
          <w:fldChar w:fldCharType="separate"/>
        </w:r>
        <w:r w:rsidR="00803415">
          <w:rPr>
            <w:webHidden/>
          </w:rPr>
          <w:t>76</w:t>
        </w:r>
        <w:r w:rsidR="00205192">
          <w:rPr>
            <w:webHidden/>
          </w:rPr>
          <w:fldChar w:fldCharType="end"/>
        </w:r>
      </w:hyperlink>
    </w:p>
    <w:p w:rsidR="00205192" w:rsidRDefault="00B55B79">
      <w:pPr>
        <w:pStyle w:val="TOC2"/>
        <w:rPr>
          <w:rFonts w:asciiTheme="minorHAnsi" w:eastAsiaTheme="minorEastAsia" w:hAnsiTheme="minorHAnsi" w:cstheme="minorBidi"/>
          <w:color w:val="auto"/>
          <w:sz w:val="22"/>
          <w:lang w:val="en-GB" w:eastAsia="en-GB" w:bidi="ar-SA"/>
        </w:rPr>
      </w:pPr>
      <w:hyperlink w:anchor="_Toc431304433" w:history="1">
        <w:r w:rsidR="00205192" w:rsidRPr="000C2C78">
          <w:rPr>
            <w:rStyle w:val="Hyperlink"/>
          </w:rPr>
          <w:t>6.</w:t>
        </w:r>
        <w:r w:rsidR="00205192">
          <w:rPr>
            <w:rFonts w:asciiTheme="minorHAnsi" w:eastAsiaTheme="minorEastAsia" w:hAnsiTheme="minorHAnsi" w:cstheme="minorBidi"/>
            <w:color w:val="auto"/>
            <w:sz w:val="22"/>
            <w:lang w:val="en-GB" w:eastAsia="en-GB" w:bidi="ar-SA"/>
          </w:rPr>
          <w:tab/>
        </w:r>
        <w:r w:rsidR="00205192" w:rsidRPr="000C2C78">
          <w:rPr>
            <w:rStyle w:val="Hyperlink"/>
          </w:rPr>
          <w:t>ЗАЩИТА НА БЮДЖЕТА НА ЕС</w:t>
        </w:r>
        <w:r w:rsidR="00205192">
          <w:rPr>
            <w:webHidden/>
          </w:rPr>
          <w:tab/>
        </w:r>
        <w:r w:rsidR="00205192">
          <w:rPr>
            <w:webHidden/>
          </w:rPr>
          <w:fldChar w:fldCharType="begin"/>
        </w:r>
        <w:r w:rsidR="00205192">
          <w:rPr>
            <w:webHidden/>
          </w:rPr>
          <w:instrText xml:space="preserve"> PAGEREF _Toc431304433 \h </w:instrText>
        </w:r>
        <w:r w:rsidR="00205192">
          <w:rPr>
            <w:webHidden/>
          </w:rPr>
        </w:r>
        <w:r w:rsidR="00205192">
          <w:rPr>
            <w:webHidden/>
          </w:rPr>
          <w:fldChar w:fldCharType="separate"/>
        </w:r>
        <w:r w:rsidR="00803415">
          <w:rPr>
            <w:webHidden/>
          </w:rPr>
          <w:t>79</w:t>
        </w:r>
        <w:r w:rsidR="00205192">
          <w:rPr>
            <w:webHidden/>
          </w:rPr>
          <w:fldChar w:fldCharType="end"/>
        </w:r>
      </w:hyperlink>
    </w:p>
    <w:p w:rsidR="00205192" w:rsidRDefault="00B55B79">
      <w:pPr>
        <w:pStyle w:val="TOC2"/>
        <w:rPr>
          <w:rFonts w:asciiTheme="minorHAnsi" w:eastAsiaTheme="minorEastAsia" w:hAnsiTheme="minorHAnsi" w:cstheme="minorBidi"/>
          <w:color w:val="auto"/>
          <w:sz w:val="22"/>
          <w:lang w:val="en-GB" w:eastAsia="en-GB" w:bidi="ar-SA"/>
        </w:rPr>
      </w:pPr>
      <w:hyperlink w:anchor="_Toc431304434" w:history="1">
        <w:r w:rsidR="00205192" w:rsidRPr="000C2C78">
          <w:rPr>
            <w:rStyle w:val="Hyperlink"/>
          </w:rPr>
          <w:t>7.</w:t>
        </w:r>
        <w:r w:rsidR="00205192">
          <w:rPr>
            <w:rFonts w:asciiTheme="minorHAnsi" w:eastAsiaTheme="minorEastAsia" w:hAnsiTheme="minorHAnsi" w:cstheme="minorBidi"/>
            <w:color w:val="auto"/>
            <w:sz w:val="22"/>
            <w:lang w:val="en-GB" w:eastAsia="en-GB" w:bidi="ar-SA"/>
          </w:rPr>
          <w:tab/>
        </w:r>
        <w:r w:rsidR="00205192" w:rsidRPr="000C2C78">
          <w:rPr>
            <w:rStyle w:val="Hyperlink"/>
          </w:rPr>
          <w:t>УПРАВЛЕНИЕ НА ФИНАНСОВИЯ РИСК</w:t>
        </w:r>
        <w:r w:rsidR="00205192">
          <w:rPr>
            <w:webHidden/>
          </w:rPr>
          <w:tab/>
        </w:r>
        <w:r w:rsidR="00205192">
          <w:rPr>
            <w:webHidden/>
          </w:rPr>
          <w:fldChar w:fldCharType="begin"/>
        </w:r>
        <w:r w:rsidR="00205192">
          <w:rPr>
            <w:webHidden/>
          </w:rPr>
          <w:instrText xml:space="preserve"> PAGEREF _Toc431304434 \h </w:instrText>
        </w:r>
        <w:r w:rsidR="00205192">
          <w:rPr>
            <w:webHidden/>
          </w:rPr>
        </w:r>
        <w:r w:rsidR="00205192">
          <w:rPr>
            <w:webHidden/>
          </w:rPr>
          <w:fldChar w:fldCharType="separate"/>
        </w:r>
        <w:r w:rsidR="00803415">
          <w:rPr>
            <w:webHidden/>
          </w:rPr>
          <w:t>86</w:t>
        </w:r>
        <w:r w:rsidR="00205192">
          <w:rPr>
            <w:webHidden/>
          </w:rPr>
          <w:fldChar w:fldCharType="end"/>
        </w:r>
      </w:hyperlink>
    </w:p>
    <w:p w:rsidR="00205192" w:rsidRDefault="00B55B79">
      <w:pPr>
        <w:pStyle w:val="TOC2"/>
        <w:rPr>
          <w:rFonts w:asciiTheme="minorHAnsi" w:eastAsiaTheme="minorEastAsia" w:hAnsiTheme="minorHAnsi" w:cstheme="minorBidi"/>
          <w:color w:val="auto"/>
          <w:sz w:val="22"/>
          <w:lang w:val="en-GB" w:eastAsia="en-GB" w:bidi="ar-SA"/>
        </w:rPr>
      </w:pPr>
      <w:hyperlink w:anchor="_Toc431304435" w:history="1">
        <w:r w:rsidR="00205192" w:rsidRPr="000C2C78">
          <w:rPr>
            <w:rStyle w:val="Hyperlink"/>
          </w:rPr>
          <w:t>8.</w:t>
        </w:r>
        <w:r w:rsidR="00205192">
          <w:rPr>
            <w:rFonts w:asciiTheme="minorHAnsi" w:eastAsiaTheme="minorEastAsia" w:hAnsiTheme="minorHAnsi" w:cstheme="minorBidi"/>
            <w:color w:val="auto"/>
            <w:sz w:val="22"/>
            <w:lang w:val="en-GB" w:eastAsia="en-GB" w:bidi="ar-SA"/>
          </w:rPr>
          <w:tab/>
        </w:r>
        <w:r w:rsidR="00205192" w:rsidRPr="000C2C78">
          <w:rPr>
            <w:rStyle w:val="Hyperlink"/>
          </w:rPr>
          <w:t>ОПОВЕСТЯВАНЕ НА СВЪРЗАНИ ЛИЦА</w:t>
        </w:r>
        <w:r w:rsidR="00205192">
          <w:rPr>
            <w:webHidden/>
          </w:rPr>
          <w:tab/>
        </w:r>
        <w:r w:rsidR="00205192">
          <w:rPr>
            <w:webHidden/>
          </w:rPr>
          <w:fldChar w:fldCharType="begin"/>
        </w:r>
        <w:r w:rsidR="00205192">
          <w:rPr>
            <w:webHidden/>
          </w:rPr>
          <w:instrText xml:space="preserve"> PAGEREF _Toc431304435 \h </w:instrText>
        </w:r>
        <w:r w:rsidR="00205192">
          <w:rPr>
            <w:webHidden/>
          </w:rPr>
        </w:r>
        <w:r w:rsidR="00205192">
          <w:rPr>
            <w:webHidden/>
          </w:rPr>
          <w:fldChar w:fldCharType="separate"/>
        </w:r>
        <w:r w:rsidR="00803415">
          <w:rPr>
            <w:webHidden/>
          </w:rPr>
          <w:t>98</w:t>
        </w:r>
        <w:r w:rsidR="00205192">
          <w:rPr>
            <w:webHidden/>
          </w:rPr>
          <w:fldChar w:fldCharType="end"/>
        </w:r>
      </w:hyperlink>
    </w:p>
    <w:p w:rsidR="00205192" w:rsidRDefault="00B55B79">
      <w:pPr>
        <w:pStyle w:val="TOC2"/>
        <w:rPr>
          <w:rFonts w:asciiTheme="minorHAnsi" w:eastAsiaTheme="minorEastAsia" w:hAnsiTheme="minorHAnsi" w:cstheme="minorBidi"/>
          <w:color w:val="auto"/>
          <w:sz w:val="22"/>
          <w:lang w:val="en-GB" w:eastAsia="en-GB" w:bidi="ar-SA"/>
        </w:rPr>
      </w:pPr>
      <w:hyperlink w:anchor="_Toc431304436" w:history="1">
        <w:r w:rsidR="00205192" w:rsidRPr="000C2C78">
          <w:rPr>
            <w:rStyle w:val="Hyperlink"/>
            <w:rFonts w:eastAsia="Calibri"/>
          </w:rPr>
          <w:t>9.</w:t>
        </w:r>
        <w:r w:rsidR="00205192">
          <w:rPr>
            <w:rFonts w:asciiTheme="minorHAnsi" w:eastAsiaTheme="minorEastAsia" w:hAnsiTheme="minorHAnsi" w:cstheme="minorBidi"/>
            <w:color w:val="auto"/>
            <w:sz w:val="22"/>
            <w:lang w:val="en-GB" w:eastAsia="en-GB" w:bidi="ar-SA"/>
          </w:rPr>
          <w:tab/>
        </w:r>
        <w:r w:rsidR="00205192" w:rsidRPr="000C2C78">
          <w:rPr>
            <w:rStyle w:val="Hyperlink"/>
          </w:rPr>
          <w:t>СЪБИТИЯ СЛЕД ДАТАТА НА СЧЕТОВОДНИЯ БАЛАНС</w:t>
        </w:r>
        <w:r w:rsidR="00205192">
          <w:rPr>
            <w:webHidden/>
          </w:rPr>
          <w:tab/>
        </w:r>
        <w:r w:rsidR="00205192">
          <w:rPr>
            <w:webHidden/>
          </w:rPr>
          <w:fldChar w:fldCharType="begin"/>
        </w:r>
        <w:r w:rsidR="00205192">
          <w:rPr>
            <w:webHidden/>
          </w:rPr>
          <w:instrText xml:space="preserve"> PAGEREF _Toc431304436 \h </w:instrText>
        </w:r>
        <w:r w:rsidR="00205192">
          <w:rPr>
            <w:webHidden/>
          </w:rPr>
        </w:r>
        <w:r w:rsidR="00205192">
          <w:rPr>
            <w:webHidden/>
          </w:rPr>
          <w:fldChar w:fldCharType="separate"/>
        </w:r>
        <w:r w:rsidR="00803415">
          <w:rPr>
            <w:webHidden/>
          </w:rPr>
          <w:t>100</w:t>
        </w:r>
        <w:r w:rsidR="00205192">
          <w:rPr>
            <w:webHidden/>
          </w:rPr>
          <w:fldChar w:fldCharType="end"/>
        </w:r>
      </w:hyperlink>
    </w:p>
    <w:p w:rsidR="00205192" w:rsidRDefault="00B55B79">
      <w:pPr>
        <w:pStyle w:val="TOC2"/>
        <w:rPr>
          <w:rFonts w:asciiTheme="minorHAnsi" w:eastAsiaTheme="minorEastAsia" w:hAnsiTheme="minorHAnsi" w:cstheme="minorBidi"/>
          <w:color w:val="auto"/>
          <w:sz w:val="22"/>
          <w:lang w:val="en-GB" w:eastAsia="en-GB" w:bidi="ar-SA"/>
        </w:rPr>
      </w:pPr>
      <w:hyperlink w:anchor="_Toc431304437" w:history="1">
        <w:r w:rsidR="00205192" w:rsidRPr="000C2C78">
          <w:rPr>
            <w:rStyle w:val="Hyperlink"/>
          </w:rPr>
          <w:t>10.</w:t>
        </w:r>
        <w:r w:rsidR="00205192">
          <w:rPr>
            <w:rFonts w:asciiTheme="minorHAnsi" w:eastAsiaTheme="minorEastAsia" w:hAnsiTheme="minorHAnsi" w:cstheme="minorBidi"/>
            <w:color w:val="auto"/>
            <w:sz w:val="22"/>
            <w:lang w:val="en-GB" w:eastAsia="en-GB" w:bidi="ar-SA"/>
          </w:rPr>
          <w:tab/>
        </w:r>
        <w:r w:rsidR="00205192" w:rsidRPr="000C2C78">
          <w:rPr>
            <w:rStyle w:val="Hyperlink"/>
          </w:rPr>
          <w:t>ОБХВАТ НА КОНСОЛИДАЦИЯТА</w:t>
        </w:r>
        <w:r w:rsidR="00205192">
          <w:rPr>
            <w:webHidden/>
          </w:rPr>
          <w:tab/>
        </w:r>
        <w:r w:rsidR="00205192">
          <w:rPr>
            <w:webHidden/>
          </w:rPr>
          <w:fldChar w:fldCharType="begin"/>
        </w:r>
        <w:r w:rsidR="00205192">
          <w:rPr>
            <w:webHidden/>
          </w:rPr>
          <w:instrText xml:space="preserve"> PAGEREF _Toc431304437 \h </w:instrText>
        </w:r>
        <w:r w:rsidR="00205192">
          <w:rPr>
            <w:webHidden/>
          </w:rPr>
        </w:r>
        <w:r w:rsidR="00205192">
          <w:rPr>
            <w:webHidden/>
          </w:rPr>
          <w:fldChar w:fldCharType="separate"/>
        </w:r>
        <w:r w:rsidR="00803415">
          <w:rPr>
            <w:webHidden/>
          </w:rPr>
          <w:t>101</w:t>
        </w:r>
        <w:r w:rsidR="00205192">
          <w:rPr>
            <w:webHidden/>
          </w:rPr>
          <w:fldChar w:fldCharType="end"/>
        </w:r>
      </w:hyperlink>
    </w:p>
    <w:p w:rsidR="0004057B" w:rsidRDefault="00205192" w:rsidP="00205192">
      <w:pPr>
        <w:pStyle w:val="TOC1"/>
        <w:rPr>
          <w:rFonts w:asciiTheme="minorHAnsi" w:eastAsiaTheme="minorEastAsia" w:hAnsiTheme="minorHAnsi" w:cstheme="minorBidi"/>
          <w:color w:val="auto"/>
          <w:szCs w:val="22"/>
        </w:rPr>
      </w:pPr>
      <w:r>
        <w:fldChar w:fldCharType="end"/>
      </w:r>
    </w:p>
    <w:p w:rsidR="00F50689" w:rsidRDefault="005A36C4" w:rsidP="00F50689">
      <w:pPr>
        <w:pStyle w:val="Textstand-alone"/>
        <w:sectPr w:rsidR="00F50689" w:rsidSect="00F50689">
          <w:headerReference w:type="even" r:id="rId59"/>
          <w:headerReference w:type="default" r:id="rId60"/>
          <w:footerReference w:type="even" r:id="rId61"/>
          <w:footerReference w:type="default" r:id="rId62"/>
          <w:headerReference w:type="first" r:id="rId63"/>
          <w:footerReference w:type="first" r:id="rId64"/>
          <w:pgSz w:w="11907" w:h="16840"/>
          <w:pgMar w:top="1134" w:right="1134" w:bottom="1134" w:left="1134" w:header="709" w:footer="709" w:gutter="0"/>
          <w:cols w:space="708"/>
          <w:docGrid w:linePitch="360"/>
        </w:sectPr>
      </w:pPr>
      <w:r>
        <w:t xml:space="preserve"> </w:t>
      </w:r>
      <w:bookmarkEnd w:id="11"/>
    </w:p>
    <w:p w:rsidR="00F50689" w:rsidRDefault="005A36C4" w:rsidP="00F50689">
      <w:pPr>
        <w:pStyle w:val="HEADERTITLE1"/>
        <w:spacing w:after="0"/>
      </w:pPr>
      <w:bookmarkStart w:id="12" w:name="_Toc431302341"/>
      <w:bookmarkStart w:id="13" w:name="_Toc431304423"/>
      <w:bookmarkStart w:id="14" w:name="_DMBM_2614"/>
      <w:r>
        <w:t>СЧЕТОВОДЕН БАЛАНС</w:t>
      </w:r>
      <w:bookmarkEnd w:id="12"/>
      <w:bookmarkEnd w:id="13"/>
    </w:p>
    <w:p w:rsidR="00F50689" w:rsidRDefault="005A36C4" w:rsidP="00F50689">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8"/>
        <w:gridCol w:w="1040"/>
        <w:gridCol w:w="1829"/>
        <w:gridCol w:w="1830"/>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8pItalicLeft"/>
              <w:rPr>
                <w:rFonts w:eastAsia="Verdana" w:cs="Verdana"/>
                <w:color w:val="FFFFFF"/>
              </w:rPr>
            </w:pPr>
            <w:bookmarkStart w:id="15" w:name="DOC_TBL00001_1_1"/>
            <w:bookmarkEnd w:id="15"/>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8pItalicRight025EUR"/>
              <w:rPr>
                <w:rFonts w:eastAsia="Verdana" w:cs="Verdana"/>
              </w:rPr>
            </w:pPr>
            <w:r>
              <w:t xml:space="preserve"> 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Pr="006A3072"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Pr="006A3072" w:rsidRDefault="005A36C4" w:rsidP="00F50689">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Pr="006A3072" w:rsidRDefault="005A36C4" w:rsidP="00F50689">
            <w:pPr>
              <w:pStyle w:val="Heading10pNormalRight025"/>
              <w:rPr>
                <w:rFonts w:eastAsia="Verdana" w:cs="Verdana"/>
              </w:rPr>
            </w:pPr>
            <w:r>
              <w:t>31.12.2014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Pr="006A3072" w:rsidRDefault="005A36C4" w:rsidP="00F50689">
            <w:pPr>
              <w:pStyle w:val="Heading10pNormalRight025"/>
              <w:rPr>
                <w:rFonts w:eastAsia="Verdana" w:cs="Verdana"/>
              </w:rPr>
            </w:pPr>
            <w:r>
              <w:t>31.12.2013 г.</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rPr>
            </w:pPr>
            <w:r>
              <w:t>НЕТЕКУЩИ АКТИВИ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Нематериални активи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282</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237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Имоти, машини и съоръжения</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7 937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6 104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Инвестиции, отчетени посредством метода на собствения капитал</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409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349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Финансови активи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56 438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59 844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Предварително финансиране</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18 358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38 072</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2,6</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1 198</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498</w:t>
            </w:r>
          </w:p>
        </w:tc>
      </w:tr>
      <w:tr w:rsidR="00E7728E">
        <w:trPr>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84 623</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105 104</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rPr>
            </w:pPr>
            <w:r>
              <w:t>ТЕКУЩИ АКТИВИ</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Финансови активи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11 811</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5 571</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Предварително финансиране</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34 237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21 367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2,6</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14 380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13 182</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Материални запаси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2,7</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128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128</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 xml:space="preserve">Пари и парични еквиваленти </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2,8</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17 545</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9 510</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78 101</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49 758</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rPr>
            </w:pPr>
            <w:r>
              <w:t>ОБЩО АКТИВИ</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162 724</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154 862</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rPr>
            </w:pP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rPr>
            </w:pP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rPr>
            </w:pPr>
            <w:r>
              <w:t>НЕТЕКУЩИ ПАСИВИ</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Пенсии и други доходи на заети лица</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2,9</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(58 616)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(46 818)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Провизии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2,10</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(1 537)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(1 323)</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Финансови пасиви</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2,11</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(51 851)</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(56 369)</w:t>
            </w:r>
          </w:p>
        </w:tc>
      </w:tr>
      <w:tr w:rsidR="00E7728E">
        <w:trPr>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(112 005)</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(104 510)</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rPr>
            </w:pPr>
            <w:r>
              <w:t>ТЕКУЩИ ПАСИВИ</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Провизии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2,10</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(745)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(545)</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Финансови пасиви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(8 828)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(3 163)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Задължения</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(43 180)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(36 213)</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Начислени разходи и приходи за бъдещи периоди</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2,13</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(55 973)</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(56 282)</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(108 726)</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(96 204)</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rPr>
            </w:pPr>
            <w:r>
              <w:t>ОБЩО ПАСИВИ</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(220 730)</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(200 714)</w:t>
            </w:r>
          </w:p>
        </w:tc>
      </w:tr>
      <w:tr w:rsidR="00E7728E">
        <w:trPr>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rPr>
            </w:pP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rPr>
            </w:pPr>
            <w:r>
              <w:t>НЕТНИ АКТИВИ</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(58 006)</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(45 852)</w:t>
            </w:r>
          </w:p>
        </w:tc>
      </w:tr>
      <w:tr w:rsidR="00E7728E">
        <w:trPr>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Резерви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4 435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4 073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Суми, които трябва да бъдат поискани от държавите членки*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(62 441)</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(49 925)</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rPr>
            </w:pPr>
            <w:r>
              <w:t>НЕТНИ АКТИВИ</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(58 006)</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(45 852)</w:t>
            </w:r>
          </w:p>
        </w:tc>
      </w:tr>
    </w:tbl>
    <w:p w:rsidR="00F50689" w:rsidRPr="00101459" w:rsidRDefault="005A36C4" w:rsidP="006868FC">
      <w:pPr>
        <w:pStyle w:val="Textstand-alone"/>
        <w:spacing w:before="60"/>
        <w:rPr>
          <w:i/>
          <w:sz w:val="14"/>
        </w:rPr>
      </w:pPr>
      <w:r>
        <w:rPr>
          <w:i/>
          <w:sz w:val="14"/>
        </w:rPr>
        <w:t>* На 17 декември 2014 г. Европейският парламент прие бюджет, който предвижда плащането на краткосрочните задължения на Съюза от собствените ресурси, които държавите членки ще съберат или които ще бъдат поискани от тях през 2015 г. Освен това съгласно член 83 от Правилника за персонала (Регламент № 259/68 на Съвета от 29 февруари 1968 г. съгласно неговото изменение) държавите членки съвместно гарантират пенсионните задължения.</w:t>
      </w:r>
    </w:p>
    <w:p w:rsidR="00F50689" w:rsidRPr="006A3072" w:rsidRDefault="005A36C4" w:rsidP="00F50689">
      <w:pPr>
        <w:pStyle w:val="Textstand-alone"/>
        <w:rPr>
          <w:i/>
        </w:rPr>
        <w:sectPr w:rsidR="00F50689" w:rsidRPr="006A3072" w:rsidSect="00F50689">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r>
        <w:rPr>
          <w:i/>
        </w:rPr>
        <w:t xml:space="preserve"> </w:t>
      </w:r>
      <w:bookmarkEnd w:id="14"/>
    </w:p>
    <w:p w:rsidR="00F50689" w:rsidRDefault="005A36C4" w:rsidP="00F50689">
      <w:pPr>
        <w:pStyle w:val="HEADERTITLE1"/>
        <w:spacing w:after="0"/>
      </w:pPr>
      <w:bookmarkStart w:id="16" w:name="_Toc431302342"/>
      <w:bookmarkStart w:id="17" w:name="_Toc431304424"/>
      <w:bookmarkStart w:id="18" w:name="_DMBM_2615"/>
      <w:r>
        <w:t>ОТЧЕТ ЗА ФИНАНСОВИЯ РЕЗУЛТАТ</w:t>
      </w:r>
      <w:bookmarkEnd w:id="16"/>
      <w:bookmarkEnd w:id="1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1040"/>
        <w:gridCol w:w="1674"/>
        <w:gridCol w:w="2473"/>
      </w:tblGrid>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Left"/>
              <w:rPr>
                <w:rFonts w:eastAsia="Verdana" w:cs="Verdana"/>
                <w:color w:val="FFFFFF"/>
              </w:rPr>
            </w:pPr>
            <w:r>
              <w:t xml:space="preserve"> </w:t>
            </w:r>
            <w:bookmarkStart w:id="19" w:name="DOC_TBL00002_1_1"/>
            <w:bookmarkEnd w:id="19"/>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rsidTr="006C6903">
        <w:trPr>
          <w:cantSplit/>
          <w:trHeight w:val="268"/>
        </w:trPr>
        <w:tc>
          <w:tcPr>
            <w:tcW w:w="456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104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Бележка</w:t>
            </w:r>
          </w:p>
        </w:tc>
        <w:tc>
          <w:tcPr>
            <w:tcW w:w="167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 г.</w:t>
            </w:r>
          </w:p>
        </w:tc>
        <w:tc>
          <w:tcPr>
            <w:tcW w:w="24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 г.     (прекласифицирани)*</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ПРИХОДИ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Приходи от операции без размяна</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Ресурси от БНД</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104 688</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110 194</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Традиционни собствени ресурси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3,2</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17 137</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15 467</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Ресурси от ДДС</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3,3</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17 462</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14 019</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Глоби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3,4</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2 297</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2 757</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Събиране на разходи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3,5</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3 418</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1 777</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Други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3,6</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5 623</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4 045</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b/>
                <w:i w:val="0"/>
              </w:rPr>
            </w:pPr>
            <w:r>
              <w:rPr>
                <w:b/>
                <w:i w:val="0"/>
              </w:rPr>
              <w:t>150 625</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b/>
                <w:i w:val="0"/>
              </w:rPr>
            </w:pPr>
            <w:r>
              <w:rPr>
                <w:b/>
                <w:i w:val="0"/>
              </w:rPr>
              <w:t>148 259</w:t>
            </w:r>
          </w:p>
        </w:tc>
      </w:tr>
      <w:tr w:rsidR="00E7728E" w:rsidTr="006C6903">
        <w:trPr>
          <w:cantSplit/>
          <w:trHeight w:val="124"/>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rPr>
            </w:pP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i w:val="0"/>
              </w:rPr>
            </w:pP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i w:val="0"/>
              </w:rPr>
            </w:pP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i w:val="0"/>
              </w:rPr>
            </w:pP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Приходи от операции с размяна</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Финансови приходи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3,7</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2 298</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1 991</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Други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3,8</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1 066</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1 443</w:t>
            </w:r>
          </w:p>
        </w:tc>
      </w:tr>
      <w:tr w:rsidR="00E7728E" w:rsidTr="006C6903">
        <w:trPr>
          <w:cantSplit/>
          <w:trHeight w:val="268"/>
        </w:trPr>
        <w:tc>
          <w:tcPr>
            <w:tcW w:w="4560"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1040"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F50689" w:rsidP="00F50689">
            <w:pPr>
              <w:pStyle w:val="Figures9pBoldRight025"/>
              <w:rPr>
                <w:rFonts w:eastAsia="Verdana" w:cs="Verdana"/>
              </w:rPr>
            </w:pPr>
          </w:p>
        </w:tc>
        <w:tc>
          <w:tcPr>
            <w:tcW w:w="1674"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3 364</w:t>
            </w:r>
          </w:p>
        </w:tc>
        <w:tc>
          <w:tcPr>
            <w:tcW w:w="2473"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3 434</w:t>
            </w:r>
          </w:p>
        </w:tc>
      </w:tr>
      <w:tr w:rsidR="00E7728E" w:rsidTr="006C6903">
        <w:trPr>
          <w:cantSplit/>
          <w:trHeight w:val="268"/>
        </w:trPr>
        <w:tc>
          <w:tcPr>
            <w:tcW w:w="4560"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F50689" w:rsidP="00F50689">
            <w:pPr>
              <w:pStyle w:val="Figures9pBoldRight025"/>
              <w:rPr>
                <w:rFonts w:eastAsia="Verdana" w:cs="Verdana"/>
              </w:rPr>
            </w:pPr>
          </w:p>
        </w:tc>
        <w:tc>
          <w:tcPr>
            <w:tcW w:w="1040"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i w:val="0"/>
              </w:rPr>
            </w:pPr>
          </w:p>
        </w:tc>
        <w:tc>
          <w:tcPr>
            <w:tcW w:w="167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153 989</w:t>
            </w:r>
          </w:p>
        </w:tc>
        <w:tc>
          <w:tcPr>
            <w:tcW w:w="247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151 693</w:t>
            </w:r>
          </w:p>
        </w:tc>
      </w:tr>
      <w:tr w:rsidR="00E7728E" w:rsidTr="006C6903">
        <w:trPr>
          <w:cantSplit/>
          <w:trHeight w:val="268"/>
        </w:trPr>
        <w:tc>
          <w:tcPr>
            <w:tcW w:w="4560"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РАЗХОДИ**</w:t>
            </w:r>
          </w:p>
        </w:tc>
        <w:tc>
          <w:tcPr>
            <w:tcW w:w="1040"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674"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2473"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Изпълнени от държавите членки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3,9</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rPr>
            </w:pP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rPr>
            </w:pP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ind w:left="200"/>
              <w:rPr>
                <w:rFonts w:eastAsia="Verdana" w:cs="Verdana"/>
              </w:rPr>
            </w:pPr>
            <w:r>
              <w:t>Европейски фонд за гарантиране на земеделието</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(44 465)</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(45 067)</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ind w:left="200"/>
              <w:rPr>
                <w:rFonts w:eastAsia="Verdana" w:cs="Verdana"/>
              </w:rPr>
            </w:pPr>
            <w:r>
              <w:t>Европейски земеделски фонд за развитие на селските райони и други инструменти за развитие на селските райони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Pr="007540AA" w:rsidRDefault="00F50689" w:rsidP="00F50689">
            <w:pPr>
              <w:pStyle w:val="Text9pItalicCentered"/>
              <w:rPr>
                <w:rFonts w:eastAsia="Verdana" w:cs="Verdana"/>
              </w:rPr>
            </w:pP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(14 046)</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(13 585)</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ind w:left="200"/>
              <w:rPr>
                <w:rFonts w:eastAsia="Verdana" w:cs="Verdana"/>
              </w:rPr>
            </w:pPr>
            <w:r>
              <w:t>Европейски фонд за регионално развитие и Кохезионен фонд</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Pr="007540AA" w:rsidRDefault="00F50689" w:rsidP="00F50689">
            <w:pPr>
              <w:pStyle w:val="Text9pItalicCentered"/>
              <w:rPr>
                <w:rFonts w:eastAsia="Verdana" w:cs="Verdana"/>
              </w:rPr>
            </w:pP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(43 345)</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(47 767)</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ind w:left="200"/>
              <w:rPr>
                <w:rFonts w:eastAsia="Verdana" w:cs="Verdana"/>
              </w:rPr>
            </w:pPr>
            <w:r>
              <w:t>Европейски социален фонд</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(12 651)</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(12 126)</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ind w:left="200"/>
              <w:rPr>
                <w:rFonts w:eastAsia="Verdana" w:cs="Verdana"/>
              </w:rPr>
            </w:pPr>
            <w:r>
              <w:t>Други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(2 307)</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(1 525)</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B82250">
            <w:pPr>
              <w:pStyle w:val="Text9pItalicLeft"/>
              <w:rPr>
                <w:rFonts w:eastAsia="Verdana" w:cs="Verdana"/>
              </w:rPr>
            </w:pPr>
            <w:r>
              <w:t>Изпълнени от Комисията и изпълнителните агенции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3,10</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(15 311)</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(12 519)</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rPr>
            </w:pPr>
            <w:r>
              <w:t>Изпълнени от други агенции и органи на ЕС</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3,11</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(1 025)</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(656)</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rPr>
            </w:pPr>
            <w:r>
              <w:t>Изпълнени от трети държави и международни организации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3,11</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(2 770)</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(2 465)</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Изпълнени от други субекти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3,11</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(1 799)</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(1 694)</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Разходи за персонал и за пенсии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3,12</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(9 662)</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(9 058)</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rPr>
            </w:pPr>
            <w:r>
              <w:t>Промени в актюерските предположения за доходите на заети лица</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3,13</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(9 170)</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(2 033)</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Финансови разходи</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3,14</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(2 926)</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(2 383)</w:t>
            </w:r>
          </w:p>
        </w:tc>
      </w:tr>
      <w:tr w:rsidR="00E7728E" w:rsidTr="006C6903">
        <w:trPr>
          <w:cantSplit/>
          <w:trHeight w:val="268"/>
        </w:trPr>
        <w:tc>
          <w:tcPr>
            <w:tcW w:w="4560"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rPr>
            </w:pPr>
            <w:r>
              <w:t>Дял от нетния дефицит на съвместни и асоциирани предприятия</w:t>
            </w:r>
          </w:p>
        </w:tc>
        <w:tc>
          <w:tcPr>
            <w:tcW w:w="104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3,15</w:t>
            </w:r>
          </w:p>
        </w:tc>
        <w:tc>
          <w:tcPr>
            <w:tcW w:w="16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(640)</w:t>
            </w:r>
          </w:p>
        </w:tc>
        <w:tc>
          <w:tcPr>
            <w:tcW w:w="24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(608)</w:t>
            </w:r>
          </w:p>
        </w:tc>
      </w:tr>
      <w:tr w:rsidR="00E7728E" w:rsidTr="006C6903">
        <w:trPr>
          <w:cantSplit/>
          <w:trHeight w:val="268"/>
        </w:trPr>
        <w:tc>
          <w:tcPr>
            <w:tcW w:w="4560"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Други разходи</w:t>
            </w:r>
          </w:p>
        </w:tc>
        <w:tc>
          <w:tcPr>
            <w:tcW w:w="1040"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3,16</w:t>
            </w:r>
          </w:p>
        </w:tc>
        <w:tc>
          <w:tcPr>
            <w:tcW w:w="1674"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(5 152)</w:t>
            </w:r>
          </w:p>
        </w:tc>
        <w:tc>
          <w:tcPr>
            <w:tcW w:w="2473"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(4 572)</w:t>
            </w:r>
          </w:p>
        </w:tc>
      </w:tr>
      <w:tr w:rsidR="00E7728E" w:rsidTr="006C6903">
        <w:trPr>
          <w:cantSplit/>
          <w:trHeight w:val="268"/>
        </w:trPr>
        <w:tc>
          <w:tcPr>
            <w:tcW w:w="4560"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Text9pBoldLeft"/>
              <w:rPr>
                <w:rFonts w:eastAsia="Verdana" w:cs="Verdana"/>
              </w:rPr>
            </w:pPr>
          </w:p>
        </w:tc>
        <w:tc>
          <w:tcPr>
            <w:tcW w:w="1040"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i w:val="0"/>
              </w:rPr>
            </w:pPr>
          </w:p>
        </w:tc>
        <w:tc>
          <w:tcPr>
            <w:tcW w:w="1674"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(165 269)</w:t>
            </w:r>
          </w:p>
        </w:tc>
        <w:tc>
          <w:tcPr>
            <w:tcW w:w="2473"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(156 058)</w:t>
            </w:r>
          </w:p>
        </w:tc>
      </w:tr>
      <w:tr w:rsidR="00E7728E" w:rsidTr="006C6903">
        <w:trPr>
          <w:cantSplit/>
          <w:trHeight w:val="268"/>
        </w:trPr>
        <w:tc>
          <w:tcPr>
            <w:tcW w:w="4560" w:type="dxa"/>
            <w:tcBorders>
              <w:top w:val="nil"/>
              <w:left w:val="nil"/>
              <w:bottom w:val="nil"/>
              <w:right w:val="nil"/>
            </w:tcBorders>
            <w:shd w:val="clear" w:color="auto" w:fill="CCE1EA"/>
            <w:tcMar>
              <w:top w:w="0" w:type="dxa"/>
              <w:left w:w="0" w:type="dxa"/>
              <w:bottom w:w="0" w:type="dxa"/>
              <w:right w:w="0" w:type="dxa"/>
            </w:tcMar>
          </w:tcPr>
          <w:p w:rsidR="00F50689" w:rsidRPr="007540AA" w:rsidRDefault="005A36C4" w:rsidP="00F50689">
            <w:pPr>
              <w:pStyle w:val="Text9pBoldLeft"/>
              <w:rPr>
                <w:rFonts w:eastAsia="Verdana" w:cs="Verdana"/>
              </w:rPr>
            </w:pPr>
            <w:r>
              <w:t>ФИНАНСОВ РЕЗУЛТАТ ЗА ГОДИНАТА</w:t>
            </w:r>
          </w:p>
        </w:tc>
        <w:tc>
          <w:tcPr>
            <w:tcW w:w="1040" w:type="dxa"/>
            <w:tcBorders>
              <w:top w:val="nil"/>
              <w:left w:val="nil"/>
              <w:bottom w:val="nil"/>
              <w:right w:val="nil"/>
            </w:tcBorders>
            <w:shd w:val="clear" w:color="auto" w:fill="CCE1EA"/>
            <w:tcMar>
              <w:top w:w="0" w:type="dxa"/>
              <w:left w:w="0" w:type="dxa"/>
              <w:bottom w:w="0" w:type="dxa"/>
              <w:right w:w="0" w:type="dxa"/>
            </w:tcMar>
          </w:tcPr>
          <w:p w:rsidR="00F50689" w:rsidRPr="007540AA" w:rsidRDefault="00F50689" w:rsidP="00F50689">
            <w:pPr>
              <w:pStyle w:val="Text9pItalicCentered"/>
              <w:rPr>
                <w:rFonts w:eastAsia="Verdana" w:cs="Verdana"/>
                <w:i w:val="0"/>
              </w:rPr>
            </w:pPr>
          </w:p>
        </w:tc>
        <w:tc>
          <w:tcPr>
            <w:tcW w:w="167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(11 280)</w:t>
            </w:r>
          </w:p>
        </w:tc>
        <w:tc>
          <w:tcPr>
            <w:tcW w:w="24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(4 365)</w:t>
            </w:r>
          </w:p>
        </w:tc>
      </w:tr>
    </w:tbl>
    <w:p w:rsidR="00F50689" w:rsidRDefault="00F50689" w:rsidP="00F50689">
      <w:pPr>
        <w:pStyle w:val="Textstand-alone"/>
      </w:pPr>
    </w:p>
    <w:p w:rsidR="00F50689" w:rsidRPr="00116387" w:rsidRDefault="005A36C4" w:rsidP="00F50689">
      <w:pPr>
        <w:pStyle w:val="Text9pItalicLeft3p"/>
      </w:pPr>
      <w:r>
        <w:t xml:space="preserve">* Допълнителна информация е предоставена в бележка </w:t>
      </w:r>
      <w:r>
        <w:rPr>
          <w:b/>
        </w:rPr>
        <w:t>3.18</w:t>
      </w:r>
      <w:r>
        <w:t>.</w:t>
      </w:r>
    </w:p>
    <w:p w:rsidR="00F50689" w:rsidRDefault="00F50689" w:rsidP="00F50689">
      <w:pPr>
        <w:pStyle w:val="Text9pItalicLeft3p"/>
      </w:pPr>
    </w:p>
    <w:p w:rsidR="00F50689" w:rsidRDefault="005A36C4" w:rsidP="00F50689">
      <w:pPr>
        <w:pStyle w:val="Text9pItalicLeft3p"/>
        <w:rPr>
          <w:b/>
        </w:rPr>
      </w:pPr>
      <w:r>
        <w:t xml:space="preserve">** </w:t>
      </w:r>
    </w:p>
    <w:p w:rsidR="00F50689" w:rsidRPr="00055E8D" w:rsidRDefault="005A36C4" w:rsidP="00F50689">
      <w:pPr>
        <w:pStyle w:val="Text9pItalicLeft3p"/>
        <w:rPr>
          <w:b/>
        </w:rPr>
      </w:pPr>
      <w:r>
        <w:t>Изпълнени от държавите членки: споделено управление</w:t>
      </w:r>
    </w:p>
    <w:p w:rsidR="00F50689" w:rsidRPr="00055E8D" w:rsidRDefault="005A36C4" w:rsidP="00F50689">
      <w:pPr>
        <w:pStyle w:val="Text9pItalicLeft3p"/>
        <w:rPr>
          <w:b/>
        </w:rPr>
      </w:pPr>
      <w:r>
        <w:t>Изпълнени от Комисията и изпълнителните агенции: пряко управление</w:t>
      </w:r>
    </w:p>
    <w:p w:rsidR="00F50689" w:rsidRDefault="005A36C4" w:rsidP="00F50689">
      <w:pPr>
        <w:pStyle w:val="Text9pItalicLeft3p"/>
      </w:pPr>
      <w:r>
        <w:t>Изпълнени от други агенции и органи на ЕС, трети държави, международни организации и други субекти: непряко управление.</w:t>
      </w:r>
    </w:p>
    <w:p w:rsidR="00F50689" w:rsidRDefault="00F50689" w:rsidP="00F50689">
      <w:pPr>
        <w:pStyle w:val="Text9pItalicLeft3p"/>
      </w:pPr>
    </w:p>
    <w:p w:rsidR="00F50689" w:rsidRPr="001C5771" w:rsidRDefault="005A36C4" w:rsidP="00F50689">
      <w:pPr>
        <w:pStyle w:val="Text9pItalicLeft3p"/>
        <w:sectPr w:rsidR="00F50689" w:rsidRPr="001C5771" w:rsidSect="00F50689">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r>
        <w:t xml:space="preserve"> </w:t>
      </w:r>
      <w:bookmarkEnd w:id="18"/>
    </w:p>
    <w:p w:rsidR="00F50689" w:rsidRDefault="005A36C4" w:rsidP="00F50689">
      <w:pPr>
        <w:pStyle w:val="HEADERTITLE1"/>
        <w:spacing w:after="0"/>
      </w:pPr>
      <w:bookmarkStart w:id="20" w:name="_Toc431302343"/>
      <w:bookmarkStart w:id="21" w:name="_Toc431304425"/>
      <w:bookmarkStart w:id="22" w:name="_DMBM_2616"/>
      <w:r>
        <w:t>ОТЧЕТ ЗА ПАРИЧНИТЕ ПОТОЦИ</w:t>
      </w:r>
      <w:bookmarkEnd w:id="20"/>
      <w:bookmarkEnd w:id="21"/>
    </w:p>
    <w:p w:rsidR="00F50689" w:rsidRDefault="005A36C4" w:rsidP="00F50689">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1040"/>
        <w:gridCol w:w="1804"/>
        <w:gridCol w:w="1805"/>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3" w:name="DOC_TBL00003_1_1"/>
            <w:bookmarkEnd w:id="23"/>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 г.</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Финансов резултат за годината</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(11 280)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(4 365)</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Оперативни дейности</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ItalicCentered"/>
              <w:rPr>
                <w:rFonts w:eastAsia="Times New Roman" w:cs="Verdana"/>
                <w:i w:val="0"/>
              </w:rPr>
            </w:pPr>
            <w:r>
              <w:rPr>
                <w:i w:val="0"/>
              </w:rPr>
              <w:t>4,2</w:t>
            </w: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Амортизация на дълготрайни финансови активи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61</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48</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Амортизация</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408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401</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(Увеличение)/намаление на заемите</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(1 298)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(Увеличение)/намаление на предварителното финансиране</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6 844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(1 695)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(Увеличение)/намаление на вземанията по операции с размяна и на средствата, подлежащи на събиране, по операции без размяна</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(1 898)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923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(Увеличение)/намаление на материалните запаси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Увеличение/(намаление) на задължението, свързано с пенсиите и доходите на заети лица</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11 798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4 315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Увеличение/(намаление) на провизиите</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414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(196)</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Увеличение/(намаление) на финансовите пасиви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1 146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(330)</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Увеличение/(намаление) на задълженията</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6 967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14 655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Увеличение/(намаление) на начислените разходи и приходите за бъдещи периоди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(12 154)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Бюджетен излишък от предходната година, взет като непаричен приход</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(1 005)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(1 023)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 непарични движения</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(50)</w:t>
            </w:r>
          </w:p>
        </w:tc>
      </w:tr>
      <w:tr w:rsidR="00E7728E">
        <w:trPr>
          <w:trHeight w:val="124"/>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Инвестиционни дейности</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ItalicCentered"/>
              <w:rPr>
                <w:rFonts w:eastAsia="Times New Roman" w:cs="Verdana"/>
                <w:i w:val="0"/>
              </w:rPr>
            </w:pPr>
            <w:r>
              <w:rPr>
                <w:i w:val="0"/>
              </w:rPr>
              <w:t>4,3</w:t>
            </w: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(Увеличение)/намаление на нематериалните активи и на имотите, машините и съоръженията </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(2 347)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(624)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(Увеличение)/намаление на инвестициите, отчетени посредством метода на собствения капитал</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(Увеличение)/намаление на финансовите активи, обявени за продажба</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(1 536)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(1 142)</w:t>
            </w:r>
          </w:p>
        </w:tc>
      </w:tr>
      <w:tr w:rsidR="00E7728E">
        <w:trPr>
          <w:trHeight w:val="124"/>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НЕТНИ ПАРИЧНИ ПОТОЦИ</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8 035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(1 164)</w:t>
            </w:r>
          </w:p>
        </w:tc>
      </w:tr>
      <w:tr w:rsidR="00E7728E">
        <w:trPr>
          <w:trHeight w:val="124"/>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Нетно увеличение/(намаление) на парите и паричните еквиваленти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8 035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(1 164)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Пари и парични еквиваленти в началото на годината</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2,8</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9 510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10 674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Пари и парични еквиваленти в края на годината</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2,8</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17 545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9 510</w:t>
            </w:r>
          </w:p>
        </w:tc>
      </w:tr>
      <w:bookmarkEnd w:id="22"/>
    </w:tbl>
    <w:p w:rsidR="00F50689" w:rsidRPr="00130838" w:rsidRDefault="00F50689" w:rsidP="00F50689">
      <w:pPr>
        <w:pStyle w:val="HEADERTITLE1"/>
        <w:sectPr w:rsidR="00F50689" w:rsidRPr="00130838" w:rsidSect="00F50689">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cols w:space="708"/>
          <w:docGrid w:linePitch="360"/>
        </w:sectPr>
      </w:pPr>
    </w:p>
    <w:p w:rsidR="00F50689" w:rsidRDefault="005A36C4" w:rsidP="00F50689">
      <w:pPr>
        <w:pStyle w:val="HEADERTITLE1"/>
        <w:spacing w:after="0"/>
      </w:pPr>
      <w:bookmarkStart w:id="24" w:name="_Toc431302344"/>
      <w:bookmarkStart w:id="25" w:name="_Toc431304426"/>
      <w:bookmarkStart w:id="26" w:name="_DMBM_2617"/>
      <w:r>
        <w:t>ОТЧЕТ ЗА ПРОМЕНИТЕ В НЕТНИТЕ АКТИВИ</w:t>
      </w:r>
      <w:bookmarkEnd w:id="24"/>
      <w:bookmarkEnd w:id="25"/>
    </w:p>
    <w:p w:rsidR="00F50689" w:rsidRDefault="005A36C4" w:rsidP="00F50689">
      <w:pPr>
        <w:pStyle w:val="HEADERTITLE1"/>
        <w:spacing w:after="0"/>
      </w:pPr>
      <w: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843"/>
        <w:gridCol w:w="1701"/>
        <w:gridCol w:w="1843"/>
        <w:gridCol w:w="1701"/>
        <w:gridCol w:w="1559"/>
      </w:tblGrid>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7" w:name="DOC_TBL00004_1_1"/>
            <w:bookmarkEnd w:id="27"/>
          </w:p>
        </w:tc>
        <w:tc>
          <w:tcPr>
            <w:tcW w:w="3544" w:type="dxa"/>
            <w:gridSpan w:val="2"/>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i w:val="0"/>
              </w:rPr>
            </w:pPr>
          </w:p>
        </w:tc>
        <w:tc>
          <w:tcPr>
            <w:tcW w:w="3544" w:type="dxa"/>
            <w:gridSpan w:val="2"/>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i w:val="0"/>
              </w:rPr>
            </w:pPr>
          </w:p>
        </w:tc>
        <w:tc>
          <w:tcPr>
            <w:tcW w:w="155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8pItalicRight025EUR"/>
              <w:rPr>
                <w:rFonts w:cs="Verdana"/>
              </w:rPr>
            </w:pPr>
            <w:r>
              <w:t>млн. EUR</w:t>
            </w:r>
          </w:p>
        </w:tc>
      </w:tr>
      <w:tr w:rsidR="00E7728E">
        <w:trPr>
          <w:cantSplit/>
        </w:trPr>
        <w:tc>
          <w:tcPr>
            <w:tcW w:w="592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354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Резерви (А)</w:t>
            </w:r>
          </w:p>
        </w:tc>
        <w:tc>
          <w:tcPr>
            <w:tcW w:w="354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Суми, които трябва да бъдат поискани от държавите членки (Б)</w:t>
            </w:r>
          </w:p>
        </w:tc>
        <w:tc>
          <w:tcPr>
            <w:tcW w:w="1559" w:type="dxa"/>
            <w:vMerge w:val="restart"/>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t>Нетни активи =(А)+(Б)</w:t>
            </w:r>
          </w:p>
        </w:tc>
      </w:tr>
      <w:tr w:rsidR="00E7728E">
        <w:trPr>
          <w:cantSplit/>
        </w:trPr>
        <w:tc>
          <w:tcPr>
            <w:tcW w:w="592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184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Резерв на справедливата стойност</w:t>
            </w:r>
          </w:p>
        </w:tc>
        <w:tc>
          <w:tcPr>
            <w:tcW w:w="17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Други резерви</w:t>
            </w:r>
          </w:p>
        </w:tc>
        <w:tc>
          <w:tcPr>
            <w:tcW w:w="184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Натрупан излишък/(дефицит)</w:t>
            </w:r>
          </w:p>
        </w:tc>
        <w:tc>
          <w:tcPr>
            <w:tcW w:w="17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Финансов резултат за годината</w:t>
            </w:r>
          </w:p>
        </w:tc>
        <w:tc>
          <w:tcPr>
            <w:tcW w:w="1559" w:type="dxa"/>
            <w:vMerge/>
            <w:tcBorders>
              <w:top w:val="nil"/>
              <w:left w:val="nil"/>
              <w:bottom w:val="nil"/>
              <w:right w:val="nil"/>
            </w:tcBorders>
            <w:shd w:val="clear" w:color="auto" w:fill="3486A9"/>
            <w:tcMar>
              <w:top w:w="0" w:type="dxa"/>
              <w:left w:w="0" w:type="dxa"/>
              <w:bottom w:w="0" w:type="dxa"/>
              <w:right w:w="0" w:type="dxa"/>
            </w:tcMar>
          </w:tcPr>
          <w:p w:rsidR="00F50689" w:rsidRDefault="00F50689" w:rsidP="00F50689">
            <w:pPr>
              <w:pStyle w:val="Heading9pNormalCentered"/>
              <w:rPr>
                <w:rFonts w:cs="Verdana"/>
              </w:rPr>
            </w:pPr>
          </w:p>
        </w:tc>
      </w:tr>
      <w:tr w:rsidR="00E7728E">
        <w:trPr>
          <w:cantSplit/>
        </w:trPr>
        <w:tc>
          <w:tcPr>
            <w:tcW w:w="59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САЛДО КЪМ 31.12.2012 г.</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150</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3 911</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(39 148)</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(5 329)</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(40 416)</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Движение на резерва на Гаранционния фонд</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(46)</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Движения на справедливата стойност</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(51)</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(51)</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Разпределение на финансовия резултат за 2012 г.</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(5 334)</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5 329</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Бюджетен резултат за 2012 г., предоставен на държавите членки</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(1 023)</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(1 023)</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A675FE">
            <w:pPr>
              <w:pStyle w:val="Text9pItalicLeft"/>
              <w:rPr>
                <w:rFonts w:cs="Verdana"/>
              </w:rPr>
            </w:pPr>
            <w:r>
              <w:t>Финансов резултат за годината</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(4 365)</w:t>
            </w:r>
          </w:p>
        </w:tc>
      </w:tr>
      <w:tr w:rsidR="00E7728E">
        <w:trPr>
          <w:cantSplit/>
        </w:trPr>
        <w:tc>
          <w:tcPr>
            <w:tcW w:w="59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САЛДО КЪМ 31.12.2013 г.</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99</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3 974</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(45 560)</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(4 365)</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(45 852)</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Движение на резерва на Гаранционния фонд</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(247)</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Движения на справедливата стойност</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139</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139</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Разпределение на финансовия резултат за 2013 г.</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(4 365)</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Бюджетен резултат за 2013 г., предоставен на държавите членки</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(1 005)</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(1 005)</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Финансов резултат за годината</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(11 280)</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(11 280)</w:t>
            </w:r>
          </w:p>
        </w:tc>
      </w:tr>
      <w:tr w:rsidR="00E7728E">
        <w:trPr>
          <w:cantSplit/>
        </w:trPr>
        <w:tc>
          <w:tcPr>
            <w:tcW w:w="59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САЛДО КЪМ 31.12.2014 г.</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238</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4 197</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(51 161)</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(11 280)</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(58 006)</w:t>
            </w:r>
          </w:p>
        </w:tc>
      </w:tr>
      <w:bookmarkEnd w:id="26"/>
    </w:tbl>
    <w:p w:rsidR="00F50689" w:rsidRDefault="00F50689" w:rsidP="00F50689">
      <w:pPr>
        <w:pStyle w:val="Textstand-alone"/>
        <w:sectPr w:rsidR="00F50689" w:rsidSect="00F50689">
          <w:headerReference w:type="even" r:id="rId83"/>
          <w:headerReference w:type="default" r:id="rId84"/>
          <w:footerReference w:type="even" r:id="rId85"/>
          <w:footerReference w:type="default" r:id="rId86"/>
          <w:headerReference w:type="first" r:id="rId87"/>
          <w:footerReference w:type="first" r:id="rId88"/>
          <w:pgSz w:w="16838" w:h="11906" w:orient="landscape"/>
          <w:pgMar w:top="1134" w:right="1134" w:bottom="1134" w:left="1134" w:header="708" w:footer="708" w:gutter="0"/>
          <w:cols w:space="708"/>
          <w:docGrid w:linePitch="360"/>
        </w:sectPr>
      </w:pPr>
    </w:p>
    <w:p w:rsidR="00F50689" w:rsidRDefault="00F50689" w:rsidP="00F50689">
      <w:pPr>
        <w:pStyle w:val="FIRSTCHAPTERPAGE1"/>
      </w:pPr>
      <w:bookmarkStart w:id="28" w:name="_DMBM_2600"/>
    </w:p>
    <w:p w:rsidR="00F50689" w:rsidRDefault="00F50689" w:rsidP="00F50689">
      <w:pPr>
        <w:pStyle w:val="FIRSTCHAPTERPAGE1"/>
      </w:pPr>
    </w:p>
    <w:p w:rsidR="00F50689" w:rsidRDefault="00F50689" w:rsidP="00F50689">
      <w:pPr>
        <w:pStyle w:val="FIRSTCHAPTERPAGE1"/>
      </w:pPr>
    </w:p>
    <w:p w:rsidR="00F50689" w:rsidRDefault="00F50689" w:rsidP="00F50689">
      <w:pPr>
        <w:pStyle w:val="FIRSTCHAPTERPAGE1"/>
      </w:pPr>
    </w:p>
    <w:p w:rsidR="00F50689" w:rsidRDefault="005A36C4" w:rsidP="00F50689">
      <w:pPr>
        <w:pStyle w:val="FIRSTCHAPTERPAGE1"/>
      </w:pPr>
      <w:bookmarkStart w:id="29" w:name="_Toc431302345"/>
      <w:bookmarkStart w:id="30" w:name="_Toc431304427"/>
      <w:r>
        <w:t>БЕЛЕЖКИ КЪМ ФИНАНСОВИТЕ ОТЧЕТИ</w:t>
      </w:r>
      <w:bookmarkEnd w:id="29"/>
      <w:bookmarkEnd w:id="30"/>
    </w:p>
    <w:p w:rsidR="00F50689" w:rsidRDefault="00F50689" w:rsidP="00F50689">
      <w:pPr>
        <w:pStyle w:val="FIRSTCHAPTERPAGE1"/>
      </w:pPr>
    </w:p>
    <w:p w:rsidR="00F50689" w:rsidRDefault="00F50689" w:rsidP="00F50689">
      <w:pPr>
        <w:pStyle w:val="FIRSTCHAPTERPAGE1"/>
      </w:pPr>
    </w:p>
    <w:p w:rsidR="00F50689" w:rsidRDefault="00F50689" w:rsidP="00F50689">
      <w:pPr>
        <w:pStyle w:val="FIRSTCHAPTERPAGE1"/>
      </w:pPr>
    </w:p>
    <w:p w:rsidR="00F50689" w:rsidRPr="00A5463E" w:rsidRDefault="005A36C4" w:rsidP="00F50689">
      <w:pPr>
        <w:pStyle w:val="FIRSTCHAPTERPAGE1"/>
        <w:sectPr w:rsidR="00F50689" w:rsidRPr="00A5463E" w:rsidSect="00F50689">
          <w:headerReference w:type="even" r:id="rId89"/>
          <w:headerReference w:type="default" r:id="rId90"/>
          <w:footerReference w:type="even" r:id="rId91"/>
          <w:footerReference w:type="default" r:id="rId92"/>
          <w:headerReference w:type="first" r:id="rId93"/>
          <w:footerReference w:type="first" r:id="rId94"/>
          <w:pgSz w:w="11906" w:h="16838"/>
          <w:pgMar w:top="1134" w:right="1134" w:bottom="1134" w:left="1134" w:header="709" w:footer="709" w:gutter="0"/>
          <w:cols w:space="708"/>
          <w:docGrid w:linePitch="360"/>
        </w:sectPr>
      </w:pPr>
      <w:r>
        <w:t xml:space="preserve"> </w:t>
      </w:r>
      <w:bookmarkEnd w:id="28"/>
    </w:p>
    <w:p w:rsidR="00F50689" w:rsidRDefault="005A36C4" w:rsidP="00F50689">
      <w:pPr>
        <w:pStyle w:val="HEADER1Part2"/>
        <w:spacing w:after="0"/>
      </w:pPr>
      <w:bookmarkStart w:id="31" w:name="_Toc431304428"/>
      <w:bookmarkStart w:id="32" w:name="_DMBM_3883"/>
      <w:r>
        <w:t>ВАЖНИ СЧЕТОВОДНИ ПОЛИТИКИ</w:t>
      </w:r>
      <w:bookmarkEnd w:id="31"/>
    </w:p>
    <w:p w:rsidR="00F50689" w:rsidRPr="00F9658A" w:rsidRDefault="005A36C4" w:rsidP="00F50689">
      <w:pPr>
        <w:pStyle w:val="Textstand-alone"/>
        <w:spacing w:before="0" w:after="0"/>
        <w:sectPr w:rsidR="00F50689" w:rsidRPr="00F9658A" w:rsidSect="00F50689">
          <w:headerReference w:type="even" r:id="rId95"/>
          <w:headerReference w:type="default" r:id="rId96"/>
          <w:footerReference w:type="even" r:id="rId97"/>
          <w:footerReference w:type="default" r:id="rId98"/>
          <w:headerReference w:type="first" r:id="rId99"/>
          <w:footerReference w:type="first" r:id="rId100"/>
          <w:pgSz w:w="11906" w:h="16838"/>
          <w:pgMar w:top="1134" w:right="1134" w:bottom="1134" w:left="1134" w:header="708" w:footer="708" w:gutter="0"/>
          <w:cols w:space="708"/>
          <w:docGrid w:linePitch="360"/>
        </w:sectPr>
      </w:pPr>
      <w:bookmarkStart w:id="33" w:name="DOC_TBL00002_1_1_0"/>
      <w:bookmarkStart w:id="34" w:name="DOC_TBL00001_1_1_0"/>
      <w:bookmarkEnd w:id="33"/>
      <w:bookmarkEnd w:id="34"/>
      <w:r>
        <w:t xml:space="preserve"> </w:t>
      </w:r>
      <w:bookmarkEnd w:id="32"/>
    </w:p>
    <w:p w:rsidR="00F50689" w:rsidRDefault="005A36C4" w:rsidP="006C6903">
      <w:pPr>
        <w:pStyle w:val="HEADER2Part2"/>
        <w:spacing w:before="240" w:after="240"/>
      </w:pPr>
      <w:bookmarkStart w:id="35" w:name="_DMBM_2601"/>
      <w:r>
        <w:t>ПРАВНО ОСНОВАНИЕ И ПРАВИЛА ЗА СЧЕТОВОДНА ОТЧЕТНОСТ</w:t>
      </w:r>
    </w:p>
    <w:p w:rsidR="00F50689" w:rsidRPr="0083395B" w:rsidRDefault="005A36C4" w:rsidP="00F50689">
      <w:pPr>
        <w:pStyle w:val="DGTextstand-alone"/>
      </w:pPr>
      <w:r>
        <w:t>Счетоводството на ЕС се води в съответствие с Регламент (ЕС, Евратом) № 966/2012 на Европейския парламент и на Съвета от 25 октомври 2012 г. относно финансовите правила, приложими за общия бюджет на Съюза, и за отмяна на Регламент (ЕО, Евратом) № 1605/2002 на Съвета (OВ L 298, 26.10.2012 г., стр. 1) (наричан по-нататък „Финансовият регламент“) и с Делегиран регламент (ЕС) № 1268/2012 на Комисията от 29 октомври 2012 г. (OВ L 362, 31.12.2012 г., стр. 1) относно подробните правила за прилагане на този Финансов регламент.</w:t>
      </w:r>
    </w:p>
    <w:p w:rsidR="00F50689" w:rsidRDefault="005A36C4" w:rsidP="00F50689">
      <w:pPr>
        <w:pStyle w:val="DGTextstand-alone"/>
      </w:pPr>
      <w:r>
        <w:t>В съответствие с член 143 от Финансовия регламент ЕС изготвя своите финансови отчети въз основа на правилата за счетоводна отчетност на базата на текущо начисляване, които се основават на международните счетоводни стандарти за публичния сектор (МССПС). Тези правила за счетоводна отчетност, приети от счетоводителя на Комисията, трябва да се прилагат от всички институции и органи на ЕС, които попадат в обхвата на консолидацията, за да бъде установен единен набор от правила за счетоводна отчетност, оценка и представяне на отчетите с цел хармонизиране на процеса на съставяне на финансовите отчети и консолидация. Счетоводството се води в евро въз основа на календарната година.</w:t>
      </w:r>
    </w:p>
    <w:p w:rsidR="00F50689" w:rsidRPr="00632B75" w:rsidRDefault="005A36C4" w:rsidP="006C6903">
      <w:pPr>
        <w:pStyle w:val="HEADER2Part2"/>
        <w:spacing w:before="240" w:after="240"/>
      </w:pPr>
      <w:r>
        <w:t>СЧЕТОВОДНИ ПРИНЦИПИ</w:t>
      </w:r>
    </w:p>
    <w:p w:rsidR="00F50689" w:rsidRDefault="005A36C4" w:rsidP="00F50689">
      <w:pPr>
        <w:pStyle w:val="DGTextstand-alone"/>
      </w:pPr>
      <w:r>
        <w:t xml:space="preserve">Целта на финансовите отчети е да се предостави информация за финансовото състояние, резултатите и паричните потоци на даден субект, която е полезна на широк кръг ползватели. За ЕС като публичноправен субект целите по-конкретно са да бъде предоставена информация, полезна при вземането на решения, и да бъде показана отчетността на субекта за ресурсите, които са му поверени. Настоящият документ е съставен с оглед на тези цели. </w:t>
      </w:r>
    </w:p>
    <w:p w:rsidR="00F50689" w:rsidRDefault="005A36C4" w:rsidP="00F50689">
      <w:pPr>
        <w:pStyle w:val="DGTextstand-alone"/>
      </w:pPr>
      <w:r>
        <w:t>Общите съображения (или счетоводни принципи), които трябва да бъдат съблюдавани при съставянето на финансовите отчети, са посочени в счетоводно правило 2 на ЕС и са същите като описаните в МССПС 1, а именно: честно представяне, текущо начисляване, действащо предприятие, последователно представяне, агрегиране, прихващане и сравнителна информация. Качествените характеристики на финансовото отчитане съгласно член 144 от Финансовия регламент са релевантност, надеждност, разбираемост и сравнимост.</w:t>
      </w:r>
    </w:p>
    <w:p w:rsidR="00F50689" w:rsidRDefault="005A36C4" w:rsidP="00F50689">
      <w:pPr>
        <w:pStyle w:val="DGTextstand-alone"/>
      </w:pPr>
      <w:r>
        <w:t>Изготвянето на финансовите отчети в съответствие с гореупоменатите правила и принципи налага ръководството да прави прогнозни оценки, които имат отражение върху отчетените суми за някои позиции в счетоводния баланс и в отчета за финансовия резултат, както и върху оповестените данни, свързани с финансовите инструменти и с условните активи и пасиви.</w:t>
      </w:r>
      <w:bookmarkStart w:id="36" w:name="_DMBM_242"/>
    </w:p>
    <w:p w:rsidR="00F50689" w:rsidRPr="00632B75" w:rsidRDefault="005A36C4" w:rsidP="006C6903">
      <w:pPr>
        <w:pStyle w:val="HEADER2Part2"/>
        <w:spacing w:before="240" w:after="240"/>
      </w:pPr>
      <w:r>
        <w:t>КОНСОЛИДАЦИЯ</w:t>
      </w:r>
    </w:p>
    <w:p w:rsidR="00F50689" w:rsidRPr="00190313" w:rsidRDefault="005A36C4" w:rsidP="00F50689">
      <w:pPr>
        <w:pStyle w:val="HEADER5"/>
      </w:pPr>
      <w:r>
        <w:t>ОБХВАТ НА КОНСОЛИДАЦИЯТА</w:t>
      </w:r>
    </w:p>
    <w:p w:rsidR="00F50689" w:rsidRPr="00190313" w:rsidRDefault="005A36C4" w:rsidP="00F50689">
      <w:pPr>
        <w:pStyle w:val="DGTextstand-alone"/>
      </w:pPr>
      <w:r>
        <w:t>Консолидираните финансови отчети на ЕС обхващат всички важни контролирани субекти (т.е. институциите (включително Комисията) и агенциите на ЕС), асоциирани предприятия и съвместни предприятия, които на брой са съответно 52 контролирани субекта, 7 съвместни предприятия и 1 асоциирано предприятие. Пълният списък на консолидираните субекти се съдържа в бележка </w:t>
      </w:r>
      <w:r>
        <w:rPr>
          <w:b/>
        </w:rPr>
        <w:t>10</w:t>
      </w:r>
      <w:r>
        <w:t xml:space="preserve"> от отчетите на ЕС. В сравнение с 2013 г. обхватът на консолидацията остава непроменен, като се отбелязва, че 1 асоциирано предприятие вече е прекласифицирано като съвместно предприятие, а след сливането на 2 други асоциирани предприятия полученото вследствие на това сливане предприятие е класифицирано като съвместно предприятие.</w:t>
      </w:r>
    </w:p>
    <w:p w:rsidR="00F50689" w:rsidRPr="00190313" w:rsidRDefault="005A36C4" w:rsidP="00F50689">
      <w:pPr>
        <w:pStyle w:val="HEADER5"/>
      </w:pPr>
      <w:r>
        <w:t>КОНТРОЛИРАНИ СУБЕКТИ</w:t>
      </w:r>
    </w:p>
    <w:p w:rsidR="00F50689" w:rsidRDefault="005A36C4" w:rsidP="00F50689">
      <w:pPr>
        <w:pStyle w:val="DGTextstand-alone"/>
      </w:pPr>
      <w:r>
        <w:t>Решението за включване на субект в обхвата на консолидацията се основава на концепцията за контрол. Контролирани субекти са всички субекти, чиито финансови и оперативни политики ЕС има, пряко или непряко, правомощието да управлява, така че да може да извлича полза от дейностите на тези субекти. Това правомощие трябва да е упражняемо в настоящия момент. Контролираните субекти се консолидират изцяло. Консолидирането започва на първата дата, на която има наличие на контрол, и приключва, когато такъв контрол вече не съществува.</w:t>
      </w:r>
    </w:p>
    <w:p w:rsidR="00F50689" w:rsidRDefault="005A36C4" w:rsidP="00F50689">
      <w:pPr>
        <w:pStyle w:val="DGTextstand-alone"/>
      </w:pPr>
      <w:r>
        <w:t>Най-често използваните показатели за контрол в рамките на ЕС са: създаване на субекта с учредителни договори или вторично законодателство, финансиране на субекта от общия бюджет, наличие на право на глас в ръководните органи, одит от Сметната палата и освобождаване от отговорност във връзка с изпълнението на бюджета от Европейския парламент. Ясно е, че трябва да се извърши индивидуална оценка на всеки субект, за да се прецени дали един или всички от изброените по-горе критерии са достатъчни, за да се породи контрол.</w:t>
      </w:r>
    </w:p>
    <w:p w:rsidR="00F50689" w:rsidRPr="006C6903" w:rsidRDefault="005A36C4" w:rsidP="00F50689">
      <w:pPr>
        <w:pStyle w:val="DGTextstand-alone"/>
        <w:rPr>
          <w:spacing w:val="-4"/>
        </w:rPr>
      </w:pPr>
      <w:r w:rsidRPr="006C6903">
        <w:rPr>
          <w:spacing w:val="-4"/>
        </w:rPr>
        <w:t xml:space="preserve">Съгласно този подход институциите (с изключение на Европейската централна банка — ЕЦБ) и агенциите (с изключение на агенциите от бившия 2-ри стълб) на ЕС се считат за намиращи се под изключителния контрол на ЕС и поради това попадат в обхвата на консолидирането. Освен това Европейската общност за въглища и стомана (EОВС) в ликвидация също се счита за контролиран субект. </w:t>
      </w:r>
    </w:p>
    <w:p w:rsidR="00F50689" w:rsidRDefault="005A36C4" w:rsidP="00F50689">
      <w:pPr>
        <w:pStyle w:val="DGTextstand-alone"/>
      </w:pPr>
      <w:r>
        <w:t>Всички съществени операции и салда между контролирани субекти на ЕС са изключени, докато нереализираните печалби и загуби от такива операции не са съществени и поради това не са изключени.</w:t>
      </w:r>
    </w:p>
    <w:p w:rsidR="00F50689" w:rsidRPr="00190313" w:rsidRDefault="005A36C4" w:rsidP="00F50689">
      <w:pPr>
        <w:pStyle w:val="HEADER5"/>
      </w:pPr>
      <w:r>
        <w:t>СЪВМЕСТНИ ПРЕДПРИЯТИЯ</w:t>
      </w:r>
    </w:p>
    <w:p w:rsidR="00F50689" w:rsidRDefault="005A36C4" w:rsidP="00F50689">
      <w:pPr>
        <w:pStyle w:val="DGTextstand-alone"/>
      </w:pPr>
      <w:r>
        <w:t>Съвместно предприятие е договорно споразумение, по силата на което ЕС и една или повече страни („съдружници“) се заемат със стопанска дейност, над която се упражнява съвместен контрол. Съвместен контрол е договорно уреденото споделяне на контрола, пряко или непряко, над дадена дейност, съдържаща потенциал за предоставяне на услуга. Участията в съвместни предприятия се отчитат по метода на собствения капитал (вж. точка </w:t>
      </w:r>
      <w:r>
        <w:rPr>
          <w:b/>
        </w:rPr>
        <w:t>1.5.4</w:t>
      </w:r>
      <w:r>
        <w:t xml:space="preserve"> по-долу).</w:t>
      </w:r>
    </w:p>
    <w:p w:rsidR="00F50689" w:rsidRPr="00190313" w:rsidRDefault="005A36C4" w:rsidP="00F50689">
      <w:pPr>
        <w:pStyle w:val="HEADER5"/>
      </w:pPr>
      <w:r>
        <w:t>АСОЦИИРАНИ ПРЕДПРИЯТИЯ</w:t>
      </w:r>
    </w:p>
    <w:p w:rsidR="00F50689" w:rsidRDefault="005A36C4" w:rsidP="00F50689">
      <w:pPr>
        <w:pStyle w:val="DGTextstand-alone"/>
      </w:pPr>
      <w:r>
        <w:t>Асоциирани предприятия са субектите, върху които ЕС има, пряко или непряко, значително влияние, но не и контрол. Приема се, че съществува значително влияние, ако ЕС държи пряко или непряко 20 % или повече от правата на глас. Участията в асоциирани предприятия се отчитат по метода на собствения капитал (вж. точка </w:t>
      </w:r>
      <w:r>
        <w:rPr>
          <w:b/>
        </w:rPr>
        <w:t>1.5.4</w:t>
      </w:r>
      <w:r>
        <w:t xml:space="preserve"> по-долу).</w:t>
      </w:r>
    </w:p>
    <w:p w:rsidR="00F50689" w:rsidRPr="00190313" w:rsidRDefault="005A36C4" w:rsidP="00F50689">
      <w:pPr>
        <w:pStyle w:val="HEADER5"/>
      </w:pPr>
      <w:r>
        <w:t>НЕКОНСОЛИДИРАНИ СУБЕКТИ, ЧИИТО СРЕДСТВА СЕ УПРАВЛЯВАТ ОТ КОМИСИЯТА</w:t>
      </w:r>
    </w:p>
    <w:p w:rsidR="00F50689" w:rsidRDefault="005A36C4" w:rsidP="00F50689">
      <w:pPr>
        <w:pStyle w:val="DGTextstand-alone"/>
      </w:pPr>
      <w:r>
        <w:t>Средствата на здравноосигурителната схема за служителите на ЕС, на Европейския фонд за развитие и на Гаранционния фонд за участниците се управляват от Комисията от тяхно име, но тъй като тези субекти не се контролират от ЕС, те не се консолидират в неговите финансови отчети.</w:t>
      </w:r>
    </w:p>
    <w:bookmarkEnd w:id="36"/>
    <w:p w:rsidR="00F50689" w:rsidRDefault="005A36C4" w:rsidP="00F50689">
      <w:pPr>
        <w:pStyle w:val="HEADER2Part2"/>
        <w:spacing w:before="0" w:after="0"/>
      </w:pPr>
      <w:r>
        <w:t>БАЗА ЗА ИЗГОТВЯНЕТО</w:t>
      </w:r>
      <w:bookmarkStart w:id="37" w:name="_DMBM_1142"/>
    </w:p>
    <w:p w:rsidR="00F50689" w:rsidRPr="00B34731" w:rsidRDefault="005A36C4" w:rsidP="006C6903">
      <w:pPr>
        <w:pStyle w:val="HEADER3Part2"/>
        <w:spacing w:after="240"/>
      </w:pPr>
      <w:r>
        <w:t>Валута и база за конвертиране</w:t>
      </w:r>
      <w:bookmarkEnd w:id="37"/>
    </w:p>
    <w:p w:rsidR="00F50689" w:rsidRPr="00190313" w:rsidRDefault="005A36C4" w:rsidP="00F50689">
      <w:pPr>
        <w:pStyle w:val="HEADER5"/>
      </w:pPr>
      <w:r>
        <w:t>Работна и отчетна валута</w:t>
      </w:r>
    </w:p>
    <w:p w:rsidR="00F50689" w:rsidRDefault="005A36C4" w:rsidP="00F50689">
      <w:pPr>
        <w:pStyle w:val="DGTextstand-alone"/>
      </w:pPr>
      <w:r>
        <w:t>Финансовите отчети са представени в милиони евро — работната и отчетна валута на ЕС.</w:t>
      </w:r>
    </w:p>
    <w:p w:rsidR="00F50689" w:rsidRPr="00190313" w:rsidRDefault="005A36C4" w:rsidP="00F50689">
      <w:pPr>
        <w:pStyle w:val="HEADER5"/>
      </w:pPr>
      <w:r>
        <w:t>Операции и салда</w:t>
      </w:r>
    </w:p>
    <w:p w:rsidR="00F50689" w:rsidRPr="006C6903" w:rsidRDefault="005A36C4" w:rsidP="00F50689">
      <w:pPr>
        <w:pStyle w:val="DGTextstand-alone"/>
        <w:rPr>
          <w:spacing w:val="-6"/>
        </w:rPr>
      </w:pPr>
      <w:r w:rsidRPr="006C6903">
        <w:rPr>
          <w:spacing w:val="-6"/>
        </w:rPr>
        <w:t>Операциите в чуждестранна валута се конвертират в евро, като се използва обменният курс, преобладаващ към датaтa на операциите. Печалбите и загубите от курсови разлики, произтичащи от уреждането на операции в чуждестранна валута и от конвертирането на паричните активи и пасиви в чуждестранна валута по обменния курс в края на годината, се признават в отчета за финансовия резултат.</w:t>
      </w:r>
    </w:p>
    <w:p w:rsidR="00F50689" w:rsidRDefault="005A36C4" w:rsidP="00F50689">
      <w:pPr>
        <w:pStyle w:val="DGTextstand-alone"/>
      </w:pPr>
      <w:r>
        <w:t>Различни методи за конвертиране се прилагат за имотите, машините и съоръженията и за нематериалните активи, които запазват стойността си в евро при курса, който се е прилагал към датата, на която са закупени.</w:t>
      </w:r>
    </w:p>
    <w:p w:rsidR="00F50689" w:rsidRDefault="005A36C4" w:rsidP="00F50689">
      <w:pPr>
        <w:pStyle w:val="DGTextstand-alone"/>
      </w:pPr>
      <w:r>
        <w:t>Салдата в края на годината на паричните активи и пасиви в чуждестранна валута се конвертират в евро въз основа на обменния курс, прилаган на 31 декември:</w:t>
      </w:r>
    </w:p>
    <w:p w:rsidR="00B82250" w:rsidRDefault="00B82250">
      <w:pPr>
        <w:rPr>
          <w:rFonts w:ascii="Verdana" w:hAnsi="Verdana"/>
          <w:b/>
          <w:color w:val="016794"/>
          <w:sz w:val="18"/>
          <w:szCs w:val="18"/>
        </w:rPr>
      </w:pPr>
      <w:r>
        <w:br w:type="page"/>
      </w:r>
    </w:p>
    <w:p w:rsidR="00F50689" w:rsidRPr="00190313" w:rsidRDefault="005A36C4" w:rsidP="00B82250">
      <w:pPr>
        <w:pStyle w:val="HEADER5"/>
        <w:spacing w:after="120"/>
      </w:pPr>
      <w:r>
        <w:t>Обменни курсове спрямо еврото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rsidR="00E7728E">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Left"/>
              <w:rPr>
                <w:rFonts w:eastAsia="Verdana" w:cs="Verdana"/>
              </w:rPr>
            </w:pPr>
            <w:bookmarkStart w:id="38" w:name="DOC_TBL00005_1_1"/>
            <w:bookmarkEnd w:id="38"/>
            <w:r>
              <w:t>Валута</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rPr>
            </w:pPr>
            <w:r>
              <w:t>31.12.2014 г.</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rPr>
            </w:pPr>
            <w:r>
              <w:t>31.12.2013 г.</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rPr>
            </w:pPr>
            <w:r>
              <w:t>Валута</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rPr>
            </w:pPr>
            <w:r>
              <w:t>31.12.2014 г.</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rPr>
            </w:pPr>
            <w:r>
              <w:t>31.12.2013 г.</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LTL</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3,4528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3,4528</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27,7350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27,4270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4,2732</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4,1543</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7,4453</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7,4593</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4,4828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4,4710</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0,7789</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0,8337</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9,3930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8,8591</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7,6580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7,6265</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1,2024</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1,2276</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HUF</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315,5400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297,0400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145,2300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144,7200</w:t>
            </w:r>
          </w:p>
        </w:tc>
      </w:tr>
      <w:tr w:rsidR="00E7728E" w:rsidTr="00F50689">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LVL</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0,7028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USD</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1,2141</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1,3791</w:t>
            </w:r>
          </w:p>
        </w:tc>
      </w:tr>
      <w:tr w:rsidR="00E7728E">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Text9pBoldLeft025"/>
              <w:ind w:left="0"/>
              <w:rPr>
                <w:rFonts w:eastAsia="Verdana" w:cs="Verdana"/>
              </w:rPr>
            </w:pP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BoldRight025"/>
              <w:rPr>
                <w:rFonts w:eastAsia="Verdana" w:cs="Verdana"/>
              </w:rPr>
            </w:pP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ItalicRight025"/>
              <w:rPr>
                <w:rFonts w:eastAsia="Verdana" w:cs="Verdana"/>
              </w:rPr>
            </w:pP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BoldRight025"/>
              <w:rPr>
                <w:rFonts w:eastAsia="Verdana" w:cs="Verdana"/>
              </w:rPr>
            </w:pP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BoldRight025"/>
              <w:rPr>
                <w:rFonts w:eastAsia="Verdana" w:cs="Verdana"/>
              </w:rPr>
            </w:pP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ItalicRight025"/>
              <w:rPr>
                <w:rFonts w:eastAsia="Verdana" w:cs="Verdana"/>
              </w:rPr>
            </w:pPr>
          </w:p>
        </w:tc>
      </w:tr>
    </w:tbl>
    <w:p w:rsidR="00F50689" w:rsidRDefault="005A36C4" w:rsidP="00F50689">
      <w:pPr>
        <w:pStyle w:val="DGTextstand-alone"/>
      </w:pPr>
      <w:r>
        <w:t>Промените в справедливата стойност на паричните финансови инструменти в чуждестранна валута, класифицирани като обявени за продажба, които са свързани с разлика от конвертиране, се признават в отчета за финансовия резултат. Разликите от конвертиране за непаричните финансови активи и пасиви, държани по справедлива стойност чрез отчета за финансовия резултат, се признават в този отчет. Разликите от конвертиране за непаричните финансови инструменти, класифицирани като обявени за продажба, се включват в резерва на справедливата стойност.</w:t>
      </w:r>
    </w:p>
    <w:p w:rsidR="00F50689" w:rsidRPr="00B34731" w:rsidRDefault="005A36C4" w:rsidP="00F50689">
      <w:pPr>
        <w:pStyle w:val="HEADER3Part2"/>
      </w:pPr>
      <w:r>
        <w:t>Използване на приблизителни оценки</w:t>
      </w:r>
    </w:p>
    <w:p w:rsidR="00F50689" w:rsidRDefault="005A36C4" w:rsidP="00F50689">
      <w:pPr>
        <w:pStyle w:val="DGTextstand-alone"/>
      </w:pPr>
      <w:r>
        <w:t>В съответствие с МССПС и общоприетите счетоводни принципи финансовите отчети по необходимост включват суми, основани на приблизителни оценки и предположения на ръководителите, основаващи се на най-надеждната налична информация. Съществените приблизителни оценки включват, без да са ограничени до това, сумите за задълженията, свързани с доходите на заети лица, провизиите, финансовия риск, свързан с материалните запаси и вземанията, начислените приходи и разходи, условните активи и пасиви, степента на обезценка на нематериалните активи и на имотите, машините и съоръженията и сумите, оповестени в бележките във връзка с финансовите инструменти. Действителните резултати могат да се различават от тези приблизителни оценки. Промените в приблизителните оценки се отразяват през периода, през който станат известни.</w:t>
      </w:r>
    </w:p>
    <w:p w:rsidR="00F50689" w:rsidRDefault="005A36C4" w:rsidP="00F50689">
      <w:pPr>
        <w:pStyle w:val="HEADER2Part2"/>
      </w:pPr>
      <w:bookmarkStart w:id="39" w:name="_DMBM_220"/>
      <w:r>
        <w:t>СЧЕТОВОДЕН БАЛАНС</w:t>
      </w:r>
      <w:bookmarkEnd w:id="39"/>
    </w:p>
    <w:p w:rsidR="00F50689" w:rsidRPr="00B34731" w:rsidRDefault="005A36C4" w:rsidP="00F50689">
      <w:pPr>
        <w:pStyle w:val="HEADER3Part2"/>
      </w:pPr>
      <w:r>
        <w:t>Нематериални активи</w:t>
      </w:r>
    </w:p>
    <w:p w:rsidR="00F50689" w:rsidRDefault="005A36C4" w:rsidP="00F50689">
      <w:pPr>
        <w:pStyle w:val="DGTextstand-alone"/>
      </w:pPr>
      <w:r>
        <w:t>Придобитите лицензи за компютърен софтуер се посочват по историческа стойност минус натрупаната амортизация и загубите от обезценка. Активите се амортизират по линейния метод през очаквания си полезен живот. Очакваният полезен живот на нематериалните активи зависи от специфичния им икономически живот или от правния им живот, който се определя от споразумение. Вътрешно разработените нематериални активи се капитализират, когато съответните критерии на правилата за счетоводна отчетност на ЕС бъдат изпълнени, и са свързани единствено с етапа на разработка на актива. Капитализируемите разходи включват всички разходи, които могат директно да се припишат и които са необходими за създаването, производството и подготвянето на актива за работа по предвидения от ръководството начин. Разходите, свързани с научноизследователски дейности, некапитализируемите разходи по разработката и разходите за поддръжка се признават като разходи в момента на възникването си.</w:t>
      </w:r>
      <w:r>
        <w:tab/>
      </w:r>
    </w:p>
    <w:p w:rsidR="00F50689" w:rsidRPr="00B34731" w:rsidRDefault="005A36C4" w:rsidP="00F50689">
      <w:pPr>
        <w:pStyle w:val="HEADER3Part2"/>
      </w:pPr>
      <w:bookmarkStart w:id="40" w:name="_DMBM_1156"/>
      <w:r>
        <w:t>Имоти, машини и съоръжения</w:t>
      </w:r>
    </w:p>
    <w:p w:rsidR="00F50689" w:rsidRDefault="005A36C4" w:rsidP="00F50689">
      <w:pPr>
        <w:pStyle w:val="DGTextstand-alone"/>
      </w:pPr>
      <w:r>
        <w:t>Всички имоти, машини и съоръжения се посочват по историческа стойност минус натрупаната амортизация и загубите от обезценка. Историческата стойност включва разходите, които могат директно да се припишат на придобиването, създаването или прехвърлянето на актива.</w:t>
      </w:r>
    </w:p>
    <w:p w:rsidR="00F50689" w:rsidRDefault="005A36C4" w:rsidP="00F50689">
      <w:pPr>
        <w:pStyle w:val="DGTextstand-alone"/>
      </w:pPr>
      <w:r>
        <w:t>Последващите разходи се включват в балансовата стойност на актива или се признават като отделен актив, както е уместно, единствено когато е вероятно бъдещите икономически ползи или потенциалът за предоставяне на услуга, свързани с актива, да са по посока на ЕС и стойността на актива може да бъде надеждно оценена. Разходите за ремонт и поддръжка се включват в отчета за финансовия резултат през финансовия период, през който са били извършени.</w:t>
      </w:r>
    </w:p>
    <w:p w:rsidR="00F50689" w:rsidRDefault="005A36C4" w:rsidP="00F50689">
      <w:pPr>
        <w:pStyle w:val="DGTextstand-alone"/>
      </w:pPr>
      <w:r>
        <w:t>Земята и произведенията на изкуството не се амортизират, тъй като се счита, че имат безкраен полезен живот. Активите в процес на изграждане не се амортизират, тъй като тези активи все още не са на разположение за употреба. Амортизацията на другите активи се изчислява чрез линейния метод, за да бъде разпределена тяхната стойност минус остатъчната им стойност през очаквания им полезен живот, както следва: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E7728E">
        <w:tc>
          <w:tcPr>
            <w:tcW w:w="5778" w:type="dxa"/>
            <w:tcBorders>
              <w:top w:val="nil"/>
              <w:left w:val="nil"/>
              <w:bottom w:val="single" w:sz="4" w:space="0" w:color="016794"/>
              <w:right w:val="nil"/>
            </w:tcBorders>
            <w:shd w:val="clear" w:color="auto" w:fill="016794"/>
            <w:tcMar>
              <w:top w:w="0" w:type="dxa"/>
              <w:left w:w="0" w:type="dxa"/>
              <w:bottom w:w="0" w:type="dxa"/>
              <w:right w:w="0" w:type="dxa"/>
            </w:tcMar>
          </w:tcPr>
          <w:p w:rsidR="00F50689" w:rsidRDefault="005A36C4" w:rsidP="00F50689">
            <w:pPr>
              <w:pStyle w:val="Heading10pNormalLeft"/>
              <w:rPr>
                <w:rFonts w:eastAsia="Verdana" w:cs="Verdana"/>
              </w:rPr>
            </w:pPr>
            <w:bookmarkStart w:id="41" w:name="DOC_TBL00006_1_1"/>
            <w:bookmarkEnd w:id="41"/>
            <w:r>
              <w:t>Вид актив</w:t>
            </w:r>
          </w:p>
        </w:tc>
        <w:tc>
          <w:tcPr>
            <w:tcW w:w="3969" w:type="dxa"/>
            <w:tcBorders>
              <w:top w:val="nil"/>
              <w:left w:val="nil"/>
              <w:bottom w:val="single" w:sz="4" w:space="0" w:color="016794"/>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Норма на линейна амортизация</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Сгради</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от 4 % до 10 %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Машини и съоръжения</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от 10 % до 25 %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Обзавеждане и превозни средства</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от 10 % до 25 %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Неподвижни елементи и инсталации</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от 10 % до 33 %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Компютърен хардуер</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от 25 % до 33 %</w:t>
            </w:r>
          </w:p>
        </w:tc>
      </w:tr>
      <w:tr w:rsidR="00E7728E" w:rsidTr="00F50689">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Други</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от 10 % до 33 %</w:t>
            </w:r>
          </w:p>
        </w:tc>
      </w:tr>
      <w:tr w:rsidR="00E7728E">
        <w:tc>
          <w:tcPr>
            <w:tcW w:w="5778"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rPr>
            </w:pPr>
          </w:p>
        </w:tc>
        <w:tc>
          <w:tcPr>
            <w:tcW w:w="3969"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Centered"/>
              <w:rPr>
                <w:rFonts w:eastAsia="Verdana" w:cs="Verdana"/>
              </w:rPr>
            </w:pPr>
          </w:p>
        </w:tc>
      </w:tr>
    </w:tbl>
    <w:p w:rsidR="00F50689" w:rsidRDefault="005A36C4" w:rsidP="00F50689">
      <w:pPr>
        <w:pStyle w:val="DGTextstand-alone"/>
      </w:pPr>
      <w:r>
        <w:t>Печалбите и загубите от намаленията на активи се определят чрез сравняване на приходите минус разходите по продажбата с балансовата стойност на актива, от който институцията се освобождава, и се включват в отчета за финансовия резултат.</w:t>
      </w:r>
    </w:p>
    <w:bookmarkEnd w:id="40"/>
    <w:p w:rsidR="00F50689" w:rsidRPr="00190313" w:rsidRDefault="005A36C4" w:rsidP="00F50689">
      <w:pPr>
        <w:pStyle w:val="HEADER5"/>
      </w:pPr>
      <w:r>
        <w:t>Лизинг</w:t>
      </w:r>
    </w:p>
    <w:p w:rsidR="00F50689" w:rsidRDefault="005A36C4" w:rsidP="00F50689">
      <w:pPr>
        <w:pStyle w:val="DGTextstand-alone"/>
      </w:pPr>
      <w:r>
        <w:t>Лизингът на материални активи, при който ЕС носи по същество всички рискове и ползи от собствеността, се класифицира като финансов лизинг. Финансовият лизинг се капитализира в началото на лизинга по по-ниската от следните две стойности — справедливата стойност на наетия актив и сегашната стойност на минималните лизингови плащания. Всяко лизингово плащане се разпределя между пасива и финансовите разходи така, че да бъде постигната постоянна лихва върху оставащото финансово салдо. Наемните задължения, без включени финансови разходи, се включват във финансовите пасиви (нетекущи и текущи). Лихвеният елемент от финансовата стойност се отнася като разход в отчета за финансовия резултат през лизинговия период така, че да бъде получен постоянен периодичен лихвен процент за оставащото салдо по пасива за всеки период. Държаните чрез финансов лизинг активи се амортизират през по-краткия от следните периоди — полезния живот на активите и срока на лизинговия договор.</w:t>
      </w:r>
    </w:p>
    <w:p w:rsidR="00F50689" w:rsidRDefault="005A36C4" w:rsidP="00F50689">
      <w:pPr>
        <w:pStyle w:val="DGTextstand-alone"/>
      </w:pPr>
      <w:r>
        <w:t>Лизингът, при който наемодателят запазва значителна част от рисковете и ползите, произтичащи от собствеността, се класифицира като оперативен лизинг. Плащанията, направени по оперативни лизинги, се отнaсят като разход в отчета за финансовия резултат по линейния метод през срока на лизинга.</w:t>
      </w:r>
    </w:p>
    <w:p w:rsidR="00F50689" w:rsidRPr="00B34731" w:rsidRDefault="005A36C4" w:rsidP="00F50689">
      <w:pPr>
        <w:pStyle w:val="HEADER3Part2"/>
      </w:pPr>
      <w:bookmarkStart w:id="42" w:name="_DMBM_1158"/>
      <w:r>
        <w:t>Обезценка на нефинансови активи</w:t>
      </w:r>
    </w:p>
    <w:p w:rsidR="00F50689" w:rsidRDefault="005A36C4" w:rsidP="00F50689">
      <w:pPr>
        <w:pStyle w:val="DGTextstand-alone"/>
      </w:pPr>
      <w:r>
        <w:t>Активите, имащи безкраен полезен живот, не подлежат на амортизация и се проверяват всяка година за обезценка. Активите, подлежащи на амортизация, се проверяват за обезценка, когато събития или промени в обстоятелствата покажат, че балансовата им стойност може да не е възстановима. Загуба от обезценка се признава за сумата, с която балансовата стойност на актива надвишава възстановимата му стойност (на ползване). Възстановимата стойност (на ползване) е по-високата от следните две стойности — справедливата стойност на актива, намалена с разходите по продажбата му, и стойността му в употреба.</w:t>
      </w:r>
    </w:p>
    <w:p w:rsidR="00F50689" w:rsidRDefault="005A36C4" w:rsidP="00F50689">
      <w:pPr>
        <w:pStyle w:val="DGTextstand-alone"/>
      </w:pPr>
      <w:r>
        <w:t>Остатъчната стойност и полезният живот на нематериалните активи и на имотите, машините и съоръженията се преразглеждат и ако е необходимо, се коригират поне веднъж годишно. Балансовата стойност на даден актив се намалява веднага до неговата възстановима стойност (на ползване), ако балансовата стойност на актива е по-голяма от приблизителната му възстановима стойност (на ползване). Ако основанията за обезценки, признати през предходни години, вече не са валидни, загубите от обезценка съответно се сторнират.</w:t>
      </w:r>
    </w:p>
    <w:bookmarkEnd w:id="42"/>
    <w:p w:rsidR="00F50689" w:rsidRPr="00B34731" w:rsidRDefault="005A36C4" w:rsidP="00F50689">
      <w:pPr>
        <w:pStyle w:val="HEADER3Part2"/>
      </w:pPr>
      <w:r>
        <w:t>Инвестиции, отчетени посредством метода на собствения капитал</w:t>
      </w:r>
    </w:p>
    <w:p w:rsidR="00F50689" w:rsidRPr="00190313" w:rsidRDefault="005A36C4" w:rsidP="00F50689">
      <w:pPr>
        <w:pStyle w:val="HEADER5"/>
      </w:pPr>
      <w:r>
        <w:t>Участия в асоциирани предприятия и в съвместни предприятия</w:t>
      </w:r>
    </w:p>
    <w:p w:rsidR="00F50689" w:rsidRDefault="005A36C4" w:rsidP="00F50689">
      <w:pPr>
        <w:pStyle w:val="DGTextstand-alone"/>
      </w:pPr>
      <w:r>
        <w:t>Участията в асоциирани и в съвместни предприятия се отчитат по метода на собствения капитал, като първоначално се признават по себестойност. Делът на ЕС от резултатите на асоциираните и съвместните му предприятия се признава в отчета за финансовия резултат, а делът му от движенията на резервите се признава в резервите. Първоначалният разход заедно с всички движения (допълнителни вноски, дял от финансовите резултати и от движенията на резервите, обезценки и дивиденти) образуват счетоводната стойност на асоциираното или съвместното предприятие във финансовите отчети към датата на счетоводния баланс. Разпределенията, получени от дадено асоциирано или съвместно предприятие, намаляват балансовата стойност на актива.</w:t>
      </w:r>
    </w:p>
    <w:p w:rsidR="00F50689" w:rsidRDefault="005A36C4" w:rsidP="00F50689">
      <w:pPr>
        <w:pStyle w:val="DGTextstand-alone"/>
      </w:pPr>
      <w:r>
        <w:t xml:space="preserve">Ако делът на ЕС от дефицита на съвместно предприятие е равен на дела му в съвместното предприятие или превишава този дял, ЕС спира да признава дела си от следващите загуби („непризнати загуби“). Непризнатият дял от загубите е резултатът от техническо счетоводно действие, необходимо при използването на метода на собствения капитал. Тези непризнати загуби не представляват загуби за ЕС и се дължат на факта, че признаването на разходи обикновено се извършва преди увеличението на капитала за вноската в натура на съдружниците, различни от ЕС. </w:t>
      </w:r>
    </w:p>
    <w:p w:rsidR="00F50689" w:rsidRDefault="005A36C4" w:rsidP="00F50689">
      <w:pPr>
        <w:pStyle w:val="DGTextstand-alone"/>
      </w:pPr>
      <w:r>
        <w:t>Нереализираните печалби и загуби от операции между ЕС и неговите асоциирани или съвместни предприятия не са съществени и поради това не са изключени. Счетоводните политики на асоциираните или съвместните предприятия могат да се различават от тези, приети от ЕС за подобни операции и събития при сходни обстоятелства.</w:t>
      </w:r>
    </w:p>
    <w:p w:rsidR="00F50689" w:rsidRDefault="005A36C4" w:rsidP="00F50689">
      <w:pPr>
        <w:pStyle w:val="DGTextstand-alone"/>
      </w:pPr>
      <w:r>
        <w:t>Ако има признаци за обезценка, трябва да се направи намаление до по-ниската възстановима стойност. Възстановимата стойност се определя съгласно описаното в точка </w:t>
      </w:r>
      <w:r>
        <w:rPr>
          <w:b/>
        </w:rPr>
        <w:t>1.5.3</w:t>
      </w:r>
      <w:r>
        <w:t>. Ако след време причината за обезценката спре да бъде валидна, загубата от обезценка се сторнира до балансовата стойност, която щеше да бъде определена, ако не беше призната загуба от обезценка.</w:t>
      </w:r>
    </w:p>
    <w:p w:rsidR="00F50689" w:rsidRDefault="005A36C4" w:rsidP="00F50689">
      <w:pPr>
        <w:pStyle w:val="DGTextstand-alone"/>
      </w:pPr>
      <w:r>
        <w:t>В случаите, когато ЕС държи 20 % или повече от фонд за инвестиционен капитал, той не се стреми да упражнява значително влияние. Поради това тези фондове се третират като финансови инструменти и се категоризират като финансови активи, обявени за продажба.</w:t>
      </w:r>
    </w:p>
    <w:p w:rsidR="00F50689" w:rsidRPr="00B34731" w:rsidRDefault="005A36C4" w:rsidP="00F50689">
      <w:pPr>
        <w:pStyle w:val="HEADER3Part2"/>
      </w:pPr>
      <w:bookmarkStart w:id="43" w:name="_DMBM_1160"/>
      <w:r>
        <w:t>Финансови активи</w:t>
      </w:r>
    </w:p>
    <w:p w:rsidR="00F50689" w:rsidRPr="00190313" w:rsidRDefault="005A36C4" w:rsidP="00F50689">
      <w:pPr>
        <w:pStyle w:val="HEADER5"/>
      </w:pPr>
      <w:r>
        <w:t>Класификация</w:t>
      </w:r>
    </w:p>
    <w:p w:rsidR="00F50689" w:rsidRDefault="005A36C4" w:rsidP="00F50689">
      <w:pPr>
        <w:pStyle w:val="DGTextstand-alone"/>
      </w:pPr>
      <w:r>
        <w:t>ЕС класифицира своите финансови активи в следните категории: финансови активи по справедлива стойност чрез отчета за финансовия резултат; заеми и вземания; инвестиции, държани до падеж; и финансови активи, обявени за продажба. Класификацията на финансовите инструменти се определя при първоначалното им признаване и се преоценява към датата на всеки счетоводен баланс.</w:t>
      </w:r>
    </w:p>
    <w:p w:rsidR="00F50689" w:rsidRPr="0002508E" w:rsidRDefault="005A36C4" w:rsidP="00F50689">
      <w:pPr>
        <w:pStyle w:val="TextSubtitlenumberingRCItalic"/>
      </w:pPr>
      <w:r>
        <w:t>Финансови активи по справедлива стойност чрез отчета за финансовия резултат</w:t>
      </w:r>
    </w:p>
    <w:p w:rsidR="00F50689" w:rsidRDefault="005A36C4" w:rsidP="00F50689">
      <w:pPr>
        <w:pStyle w:val="DGTextstand-alone"/>
      </w:pPr>
      <w:r>
        <w:t>Финансов актив се класифицира в тази категория, ако е придобит основно с цел продажба в краткосрочен план или ако е посочен като такъв от ЕС. Деривативите също попадат в тази категория. Активите в тази категория се класифицират като текущи активи, ако се очаква да бъдат реализирани в срок от 12 месеца от датата на счетоводния баланс. През тази финансова година ЕС не държа финансови активи в тази категория.</w:t>
      </w:r>
    </w:p>
    <w:p w:rsidR="00F50689" w:rsidRDefault="005A36C4" w:rsidP="00F50689">
      <w:pPr>
        <w:pStyle w:val="TextSubtitlenumberingRCItalic"/>
      </w:pPr>
      <w:r>
        <w:t>Заеми и вземания</w:t>
      </w:r>
    </w:p>
    <w:p w:rsidR="00F50689" w:rsidRDefault="005A36C4" w:rsidP="00F50689">
      <w:pPr>
        <w:pStyle w:val="DGTextstand-alone"/>
      </w:pPr>
      <w:r>
        <w:t>Заемите и вземанията са недеривативни финансови активи с фиксирани или определими плащания, които не се котират на активен пазар. Те възникват, когато ЕС предоставя пари, стоки или услуги пряко на длъжник, без да има намерение да търгува с вземането. Те се включват в нетекущите активи, освен когато падежът настъпва в срок от 12 месеца след датата на счетоводния баланс, дори и падежът на целия заем да настъпва над 12 месеца след датата на счетоводния баланс.</w:t>
      </w:r>
    </w:p>
    <w:p w:rsidR="00F50689" w:rsidRDefault="005A36C4" w:rsidP="00F50689">
      <w:pPr>
        <w:pStyle w:val="TextSubtitlenumberingRCItalic"/>
      </w:pPr>
      <w:r>
        <w:t>Инвестиции, държани до падеж</w:t>
      </w:r>
    </w:p>
    <w:p w:rsidR="00F50689" w:rsidRDefault="005A36C4" w:rsidP="00F50689">
      <w:pPr>
        <w:pStyle w:val="DGTextstand-alone"/>
      </w:pPr>
      <w:r>
        <w:t xml:space="preserve">Инвестициите, държани до падеж, представляват недеривативни финансови активи с фиксирани или определими плащания и фиксиран падеж, които ЕС има категоричното намерение и възможност да държи до падеж. През тази финансова година ЕС не държа инвестиции в тази категория. </w:t>
      </w:r>
    </w:p>
    <w:p w:rsidR="00F50689" w:rsidRPr="00D12634" w:rsidRDefault="005A36C4" w:rsidP="00F50689">
      <w:pPr>
        <w:pStyle w:val="TextSubtitlenumberingRCItalic"/>
      </w:pPr>
      <w:r>
        <w:t>Финансови активи, обявени за продажба</w:t>
      </w:r>
    </w:p>
    <w:p w:rsidR="00F50689" w:rsidRDefault="005A36C4" w:rsidP="00F50689">
      <w:pPr>
        <w:pStyle w:val="DGTextstand-alone"/>
      </w:pPr>
      <w:r>
        <w:t>Обявените за продажба финансови активи са недеривативни инструменти, които или се посочват в тази категория, или не се класифицират в никоя от другите категории. Те се класифицират или като текущи, или като нетекущи активи в зависимост от срока, в който ЕС очаква да се освободи от тях и който обикновено е оставащият до настъпването на падежа срок към датата на счетоводния баланс. Инвестициите в неконсолидирани субекти и другите капиталови инвестиции (напр. операциите с рисков капитал), които не са отчетени по метода на собствения капитал, също се класифицират като финансови активи, обявени за продажба.</w:t>
      </w:r>
    </w:p>
    <w:p w:rsidR="00F50689" w:rsidRPr="00190313" w:rsidRDefault="005A36C4" w:rsidP="00F50689">
      <w:pPr>
        <w:pStyle w:val="HEADER5"/>
      </w:pPr>
      <w:r>
        <w:t>Първоначално признаване и оценяване</w:t>
      </w:r>
    </w:p>
    <w:p w:rsidR="00F50689" w:rsidRDefault="005A36C4" w:rsidP="00F50689">
      <w:pPr>
        <w:pStyle w:val="DGTextstand-alone"/>
      </w:pPr>
      <w:r>
        <w:t>Покупките и продажбите на финансови активи по справедлива стойност чрез отчета за финансовия резултат, държани до падеж и обявени за продажба, се признават на датата на търгуване — датата, на която ЕС поема задължение да закупи или продаде актива. Заемите се признават, когато паричните средства бъдат отпуснати на заемополучателите. Финансовите инструменти първоначално се признават по справедлива стойност. Трансакционните разходи за всички финансови активи, които не са отчетени по справедлива стойност чрез отчета за финансовия резултат, се добавят към справедливата стойност при първоначалното признаване. Финансовите активи, отчетени по справедлива стойност чрез отчета за финансовия резултат, първоначално се признават по справедлива стойност, а трансакционните разходи се вписват като разход в отчета за финансовия резултат.</w:t>
      </w:r>
    </w:p>
    <w:p w:rsidR="00F50689" w:rsidRDefault="005A36C4" w:rsidP="00F50689">
      <w:pPr>
        <w:pStyle w:val="DGTextstand-alone"/>
      </w:pPr>
      <w:r>
        <w:t>Справедливата стойност на даден финансов актив при първоначалното признаване обикновено е цената на операцията (т.е. справедливата стойност на полученото възнаграждение). Въпреки това, когато бъде отпуснат дългосрочен безлихвен заем или дългосрочен заем, чиято лихва е под пазарните условия, неговата справедлива стойност може да бъде оценена като сегашната стойност на всички бъдещи парични постъпления, дисконтирани посредством преобладаващия пазарен лихвен процент за подобен инструмент с подобен кредитен рейтинг.</w:t>
      </w:r>
    </w:p>
    <w:p w:rsidR="00F50689" w:rsidRDefault="005A36C4" w:rsidP="00F50689">
      <w:pPr>
        <w:pStyle w:val="DGTextstand-alone"/>
      </w:pPr>
      <w:r>
        <w:t>Отпуснатите заеми се оценяват по номиналната им стойност, която се счита за справедливата стойност на заема. Обяснението за това е следното:</w:t>
      </w:r>
    </w:p>
    <w:p w:rsidR="00F50689" w:rsidRDefault="005A36C4" w:rsidP="00F50689">
      <w:pPr>
        <w:pStyle w:val="Textstand-alonebulletpointJustified"/>
      </w:pPr>
      <w:r>
        <w:t>„Пазарната среда“ за отпускане на заеми от ЕС е много специфична и различна от капиталовия пазар, използван за емитиране на корпоративни или държавни облигации. Тъй като заемодателите на тези пазари имат възможността да избират алтернативни инвестиции, вероятността за тази възможност се отчита в пазарните цени. Тази възможност за алтернативни инвестиции обаче не съществува за ЕС, който няма право да инвестира пари на капиталовите пазари. Той само взема средства назаем с цел отпускане на заеми при същия лихвен процент. Това означава, че за взетите назаем суми ЕС не разполага с алтернативен вариант за отпускане на заеми или за инвестиране. Ето защо не съществува алтернативен разход и следователно не съществува база за сравнение с пазарните проценти. Всъщност самата операция на ЕС по отпускане на заем представлява пазарът. По същество, тъй като алтернативният разход „вариант“ не важи, пазарната цена не отразява справедливо същността на операциите на ЕС по отпускане на заеми. Поради това не е подходящо справедливата стойност на отпускането на заеми от страна на ЕС да се определя с упоменаване на корпоративни или държавни облигации.</w:t>
      </w:r>
    </w:p>
    <w:p w:rsidR="00F50689" w:rsidRDefault="00F50689" w:rsidP="00F50689">
      <w:pPr>
        <w:pStyle w:val="Textstand-alonebulletpointJustified"/>
        <w:numPr>
          <w:ilvl w:val="0"/>
          <w:numId w:val="0"/>
        </w:numPr>
        <w:ind w:left="720"/>
      </w:pPr>
    </w:p>
    <w:p w:rsidR="00F50689" w:rsidRDefault="005A36C4" w:rsidP="00F50689">
      <w:pPr>
        <w:pStyle w:val="Textstand-alonebulletpointJustified"/>
      </w:pPr>
      <w:r>
        <w:t>Освен това, тъй като няма активен пазар или подобни операции, с които да се направи сравнение, лихвеният процент, който ЕС трябва да използва за определяне на справедливата стойност на своите операции по отпускане на заеми в рамките на Европейския механизъм за финансова стабилност (ЕМФС), за подпомагане на платежния баланс (ПБ) и други такива заеми, следва да бъде дължимият лихвен процент.</w:t>
      </w:r>
    </w:p>
    <w:p w:rsidR="00F50689" w:rsidRDefault="00F50689" w:rsidP="00F50689">
      <w:pPr>
        <w:pStyle w:val="Textstand-alonebulletpointJustified"/>
        <w:numPr>
          <w:ilvl w:val="0"/>
          <w:numId w:val="0"/>
        </w:numPr>
        <w:ind w:left="1080"/>
      </w:pPr>
    </w:p>
    <w:p w:rsidR="00F50689" w:rsidRDefault="005A36C4" w:rsidP="00F50689">
      <w:pPr>
        <w:pStyle w:val="Textstand-alonebulletpointJustified"/>
      </w:pPr>
      <w:r>
        <w:t>Освен това за тези заеми има компенсиращи ефекти между отпуснатите и получените заеми поради техния реципрочен характер („бек-ту-бек“). Поради това ефективната лихва за отпуснатия заем е равна на ефективната лихва за свързаните с него получени заеми. Трансакционните разходи, направени от ЕС и след това начислени на бенефициера на заема, се признават направо в отчета за финансовия резултат.</w:t>
      </w:r>
    </w:p>
    <w:p w:rsidR="00F50689" w:rsidRDefault="005A36C4" w:rsidP="00F50689">
      <w:pPr>
        <w:pStyle w:val="DGTextstand-alone"/>
      </w:pPr>
      <w:r>
        <w:t>Финансовите инструменти се отписват, когато правата за получаване на парични потоци от инвестициите са изтекли или са били прехвърлени и ЕС по същество е прехвърлил всички рискове и ползи от собствеността.</w:t>
      </w:r>
    </w:p>
    <w:p w:rsidR="00F50689" w:rsidRPr="00190313" w:rsidRDefault="005A36C4" w:rsidP="00116387">
      <w:pPr>
        <w:pStyle w:val="HEADER5"/>
        <w:spacing w:after="120"/>
      </w:pPr>
      <w:r>
        <w:t>Последващо оценяване</w:t>
      </w:r>
    </w:p>
    <w:p w:rsidR="00F50689" w:rsidRDefault="005A36C4" w:rsidP="00F50689">
      <w:pPr>
        <w:pStyle w:val="Textstand-alonenumberingRCIndentJustified"/>
        <w:jc w:val="both"/>
      </w:pPr>
      <w:r>
        <w:t>Финансовите активи, отчетени по справедлива стойност чрез отчета за финансовия резултат, впоследствие се отчитат по справедлива стойност. Печалбите и загубите, възникващи от промени в справедливата стойност на категорията „финансови инструменти по справедлива стойност чрез отчета за финансовия резултат“, се включват в отчета за финансовия резултат през периода, в който възникват.</w:t>
      </w:r>
    </w:p>
    <w:p w:rsidR="00F50689" w:rsidRDefault="005A36C4" w:rsidP="00F50689">
      <w:pPr>
        <w:pStyle w:val="Textstand-alonenumberingRCIndentJustified"/>
        <w:jc w:val="both"/>
      </w:pPr>
      <w:r>
        <w:t>Заемите и вземанията и инвестициите, държани до падеж, се отчитат по амортизирана стойност чрез метода на ефективната лихва. В случай на заеми, отпуснати от заемни средства, същата ефективна лихва се прилага както за отпуснатите, така и за получените заеми, тъй като тези отпуснати заеми имат характеристиките на операции от вида „бек-ту-бек“ (back-to-back) и разликите между условията за отпускане и получаване на заем и между сумите не са съществени. Трансакционните разходи, направени от ЕС и след това начислени на бенефициера на заема, се признават направо в отчета за финансовия резултат.</w:t>
      </w:r>
    </w:p>
    <w:p w:rsidR="00F50689" w:rsidRDefault="005A36C4" w:rsidP="00F50689">
      <w:pPr>
        <w:pStyle w:val="Textstand-alonenumberingRCIndentJustified"/>
      </w:pPr>
      <w:r>
        <w:t>Инвестиции, държани до падеж — понастоящем ЕС не държи инвестиции, държани до падеж.</w:t>
      </w:r>
    </w:p>
    <w:p w:rsidR="00F50689" w:rsidRDefault="005A36C4" w:rsidP="00F50689">
      <w:pPr>
        <w:pStyle w:val="Textstand-alonenumberingRCIndentJustified"/>
        <w:jc w:val="both"/>
      </w:pPr>
      <w:r>
        <w:t>Финансовите активи, обявени за продажба, впоследствие се отчитат по справедлива стойност. Печалбите и загубите, възникващи от промени в справедливата стойност на финансовите активи, обявени за продажба, се признават в резерва на справедливата стойност. Когато активи, класифицирани като финансови активи, обявени за продажба, бъдат отписани или се обезценят, кумулативните корекции на справедливата стойност, които преди са били признати в резерва на справедливата стойност, се признават в отчета за финансовия резултат. Лихвата по финансовите активи, обявени за продажба, изчислена по метода на ефективната лихва, се признава в отчета за финансовия резултат. Дивидентите от капиталови инструменти, обявени за продажба, се признават, когато бъде установено правото на ЕС да получи плащането.</w:t>
      </w:r>
    </w:p>
    <w:p w:rsidR="00F50689" w:rsidRDefault="005A36C4" w:rsidP="00F50689">
      <w:pPr>
        <w:pStyle w:val="DGTextstand-alone"/>
      </w:pPr>
      <w:r>
        <w:t xml:space="preserve">Справедливата стойност на инвестициите, котирани на активни пазари, се основава на текущите цени „купува“. Ако пазарът за даден финансов актив не е активен (и за нерегистрирани на борсата ценни книжа), ЕС определя справедлива стойност с помощта на техники за оценяване. Те включват използването на скорошни операции между несвързани страни, отнасяне към други инструменти, които по същество са същите, анализ на дисконтирания паричен поток, модели на ценообразуване на опции и други техники за оценяване, обикновено използвани от участниците на пазара. </w:t>
      </w:r>
    </w:p>
    <w:p w:rsidR="00F50689" w:rsidRDefault="005A36C4" w:rsidP="00F50689">
      <w:pPr>
        <w:pStyle w:val="DGTextstand-alone"/>
      </w:pPr>
      <w:r>
        <w:t>Когато справедливата стойност на инвестициите в капиталови инструменти, които нямат посочена пазарна цена на активен пазар, не може да бъде оценена по надежден начин, тези инвестиции се оценяват по себестойност минус загубите от обезценка.</w:t>
      </w:r>
    </w:p>
    <w:p w:rsidR="00F50689" w:rsidRDefault="00F50689" w:rsidP="00F50689">
      <w:pPr>
        <w:pStyle w:val="DGTextstand-alone"/>
      </w:pPr>
    </w:p>
    <w:p w:rsidR="00F50689" w:rsidRPr="00190313" w:rsidRDefault="005A36C4" w:rsidP="00F50689">
      <w:pPr>
        <w:pStyle w:val="HEADER5"/>
      </w:pPr>
      <w:r>
        <w:t>Обезценка на финансови активи</w:t>
      </w:r>
    </w:p>
    <w:p w:rsidR="00F50689" w:rsidRDefault="005A36C4" w:rsidP="00F50689">
      <w:pPr>
        <w:pStyle w:val="DGTextstand-alone"/>
      </w:pPr>
      <w:r>
        <w:t>Към датата на всеки счетоводен баланс ЕС преценява дали има обективни доказателства, че даден финансов актив се е обезценил. Финансов актив се е обезценил и са настъпили загуби от обезценка, ако и само тогава, когато съществува обективно доказателство за обезценка в резултат на едно или повече събития, настъпили след първоначалното признаване на актива, и това събитие (или събития), което води до загуба, има измеримо по надежден начин въздействие върху очакваните бъдещи парични потоци по финансовия актив.</w:t>
      </w:r>
    </w:p>
    <w:p w:rsidR="00F50689" w:rsidRDefault="006C6903" w:rsidP="006C6903">
      <w:pPr>
        <w:pStyle w:val="TextSubtitleItalicnumberinglettera"/>
        <w:numPr>
          <w:ilvl w:val="0"/>
          <w:numId w:val="0"/>
        </w:numPr>
      </w:pPr>
      <w:r>
        <w:t>а)</w:t>
      </w:r>
      <w:r>
        <w:tab/>
      </w:r>
      <w:r w:rsidR="005A36C4">
        <w:t>Активи, отчетени по амортизирана стойност</w:t>
      </w:r>
    </w:p>
    <w:p w:rsidR="00F50689" w:rsidRDefault="005A36C4" w:rsidP="00F50689">
      <w:pPr>
        <w:pStyle w:val="DGTextstand-alone"/>
      </w:pPr>
      <w:r>
        <w:t>Ако има обективно доказателство, че е възникнала загуба от обезценка по заеми и вземания или по инвестиции, държани до падеж, които са отчетени по амортизирана стойност, размерът на загубата се оценява като разликата между балансовата стойност на актива и сегашната стойност на очакваните бъдещи парични потоци (като се изключват бъдещите кредитни загуби, които не са възникнали), дисконтирани по първоначалния ефективен лихвен процент на финансовия актив. Балансовата стойност на актива се намалява и стойността на загубата се признава в отчета за финансовия резултат. Ако заем или инвестиция, държана до падеж, има променлив лихвен процент, дисконтовият процент за оценяване на всяка загуба от обезценка е текущият ефективен лихвен процент, определен съгласно договора. Изчисляването на сегашната стойност на очакваните бъдещи парични потоци по обезпечен финансов актив отразява паричните потоци, които могат да произтекат от конфискацията, минус разходите по придобиването и продажбата на обезпечението, без значение дали конфискацията е вероятна или не. Ако в следващ период размерът на загубата от обезценка намалее и намалението може обективно да бъде свързано със събитие, настъпило след като обезценката е била призната, признатата преди това загуба от обезценка се сторнира чрез отчета за финансовия резултат.</w:t>
      </w:r>
    </w:p>
    <w:p w:rsidR="00F50689" w:rsidRDefault="006C6903" w:rsidP="006C6903">
      <w:pPr>
        <w:pStyle w:val="TextSubtitleItalicnumberinglettera"/>
        <w:numPr>
          <w:ilvl w:val="0"/>
          <w:numId w:val="0"/>
        </w:numPr>
      </w:pPr>
      <w:r>
        <w:t>б)</w:t>
      </w:r>
      <w:r>
        <w:tab/>
      </w:r>
      <w:r w:rsidR="005A36C4">
        <w:t>Активи, отчетени по справедлива стойност</w:t>
      </w:r>
    </w:p>
    <w:p w:rsidR="00F50689" w:rsidRDefault="005A36C4" w:rsidP="00F50689">
      <w:pPr>
        <w:pStyle w:val="DGTextstand-alone"/>
      </w:pPr>
      <w:r>
        <w:t>В случай на капиталови инвестиции, класифицирани като финансови активи, обявени за продажба, при определяне на това дали ценните книжа са се обезценили се взема предвид значителният или постоянен (продължителен) спад в справедливата стойност на ценната книга под нейната себестойност. Ако съществува такова доказателство за финансови активи, обявени за продажба, кумулативната загуба — оценявана като разликата между цената на придобиване и текущата справедлива стойност, минус загубите от обезценка по този финансов актив, вече признати в отчета за финансовия резултат — се отстранява от резервите и се признава в отчета за финансовия резултат. Признатите в отчета за финансовия резултат загуби от обезценка на капиталовите инструменти не се сторнират чрез отчета за финансовия резултат. Ако през следващ период справедливата стойност на дългов инструмент, класифициран като финансов актив, обявен за продажба, нарасне и нарастването може обективно да бъде свързано със събитие, настъпило след признаването на загубата от обезценка, загубата от обезценка се сторнира чрез отчета за финансовия резултат.</w:t>
      </w:r>
      <w:bookmarkEnd w:id="43"/>
    </w:p>
    <w:p w:rsidR="00F50689" w:rsidRPr="00190313" w:rsidRDefault="005A36C4" w:rsidP="00F50689">
      <w:pPr>
        <w:pStyle w:val="HEADER5"/>
      </w:pPr>
      <w:r>
        <w:t>Инвестиции във фондове за рисков капитал</w:t>
      </w:r>
    </w:p>
    <w:p w:rsidR="00F50689" w:rsidRDefault="005A36C4" w:rsidP="00F50689">
      <w:pPr>
        <w:pStyle w:val="DGTextstand-alone"/>
      </w:pPr>
      <w:r>
        <w:t>Инвестициите във фондове за рисков капитал се класифицират като финансови активи, обявени за продажба, и в съответствие с това се отчитат по справедлива стойност, като печалбите и загубите, възникващи от промени в справедливата стойност (включително разликите от конвертиране), се признават в резерва на справедливата стойност. Тъй като нямат посочена пазарна цена на активен пазар, инвестициите във фондове за рисков капитал се оценяват ред по ред по по-ниската от следните две стойности — себестойността или нетната стойност на актива, която може да се припише. Нереализираните печалби, произтичащи от оценяването на справедливата стойност, се признават чрез резервите, а нереализираните загуби се оценяват за обезценка, за да се установи дали се признават като загуби от обезценка в отчета за финансовия резултат или като промени в резерва на справедливата стойност.</w:t>
      </w:r>
    </w:p>
    <w:p w:rsidR="00F50689" w:rsidRPr="00B34731" w:rsidRDefault="005A36C4" w:rsidP="00F50689">
      <w:pPr>
        <w:pStyle w:val="HEADER3Part2"/>
      </w:pPr>
      <w:r>
        <w:t>Материални запаси</w:t>
      </w:r>
    </w:p>
    <w:p w:rsidR="00B82250" w:rsidRPr="009137BE" w:rsidRDefault="005A36C4" w:rsidP="009137BE">
      <w:pPr>
        <w:pStyle w:val="DGTextstand-alone"/>
      </w:pPr>
      <w:r>
        <w:t>Материалните запаси се посочват по по-ниската от следните две стойности — себестойността и нетната реализируема стойност. Себестойността се определя посредством метода първа входяща, първа изходяща (FIFO). Себестойността на завършените стоки и на започнатата работа включва суровините, прекия труд, другите разходи, които могат директно да им се припишат, и свързаните с производството режийни разходи (въз основа на обичайния работен капацитет). Нетната реализируема стойност е очакваната продажна цена в нормалния ход на дейността минус разходите по завършване и продажба. Когато материалните запаси са държани за дистрибуция без разход или при номинален разход, те се оценяват по по-ниската от следните две стойности — себестойността и текущата възстановителна стойност. Текущата възстановителна стойност е разходът, който ЕС би направил, за да придобие актива на отчетната дата.</w:t>
      </w:r>
      <w:bookmarkStart w:id="44" w:name="_DMBM_1162"/>
    </w:p>
    <w:p w:rsidR="00F50689" w:rsidRPr="00B34731" w:rsidRDefault="005A36C4" w:rsidP="00F50689">
      <w:pPr>
        <w:pStyle w:val="HEADER3Part2"/>
      </w:pPr>
      <w:r>
        <w:t>Суми по предварително финансиране</w:t>
      </w:r>
    </w:p>
    <w:p w:rsidR="00F50689" w:rsidRDefault="005A36C4" w:rsidP="00F50689">
      <w:pPr>
        <w:pStyle w:val="DGTextstand-alone"/>
      </w:pPr>
      <w:r>
        <w:t>Предварителното финансиране е плащане, предназначено да осигури на бенефициера паричен аванс, т.е. налични средства. То може да се раздели на няколко плащания в продължение на период, определен в конкретното споразумение за предварително финансиране. Наличните средства, или авансът, се връщат или се използват за целта, за която са осигурени, през периода, определен в споразумението. Ако бенефициерът не направи допустими разходи, той е длъжен да върне авансово предоставената сума на ЕС. Сумата по предварителното финансиране може да бъде намалена (изцяло или частично) с приемането на допустимите разходи (които се признават като разход) и върнатите суми.</w:t>
      </w:r>
    </w:p>
    <w:p w:rsidR="00F50689" w:rsidRDefault="005A36C4" w:rsidP="00F50689">
      <w:pPr>
        <w:pStyle w:val="DGTextstand-alone"/>
      </w:pPr>
      <w:r>
        <w:t>В края на годината неприключените суми по предварително финансиране се оценяват по първоначално платената(ите) сума(и), от която(ито) се изваждат: върнатите суми, отчетените като разход допустими суми, очакваните допустими суми, които все още не са обработени в края на годината, и намаленията на стойността.</w:t>
      </w:r>
    </w:p>
    <w:p w:rsidR="00F50689" w:rsidRDefault="005A36C4" w:rsidP="00F50689">
      <w:pPr>
        <w:pStyle w:val="DGTextstand-alone"/>
      </w:pPr>
      <w:r>
        <w:t>Сумите, определени във Финансовия регламент като финансови инструменти под режим споделено управление, от счетоводна гледна точка се класифицират като суми по предварително финансиране. Тези суми по предварително финансиране се оценяват по първоначалните суми, изплатени на държавите членки, от които са извадени очакваните използвани суми.</w:t>
      </w:r>
    </w:p>
    <w:p w:rsidR="00F50689" w:rsidRDefault="005A36C4" w:rsidP="00F50689">
      <w:pPr>
        <w:pStyle w:val="DGTextstand-alone"/>
      </w:pPr>
      <w:r>
        <w:t>Лихвата по предварителното финансиране се признава в момента на начисляването ѝ в съответствие с разпоредбите на съответното споразумение. В края на годината се прави приблизителна оценка на начислените приходи от лихви въз основа на най-надеждната информация и тази оценка се включва в счетоводния баланс.</w:t>
      </w:r>
    </w:p>
    <w:bookmarkEnd w:id="44"/>
    <w:p w:rsidR="00F50689" w:rsidRPr="00B34731" w:rsidRDefault="005A36C4" w:rsidP="009137BE">
      <w:pPr>
        <w:pStyle w:val="HEADER3Part2"/>
      </w:pPr>
      <w:r>
        <w:t>Вземания по операции с размяна и средства, подлежащи на събиране, по операции без размяна</w:t>
      </w:r>
    </w:p>
    <w:p w:rsidR="00F50689" w:rsidRDefault="005A36C4" w:rsidP="00F50689">
      <w:pPr>
        <w:pStyle w:val="DGTextstand-alone"/>
      </w:pPr>
      <w:r>
        <w:t>Тъй като счетоводните правила на ЕС изискват отделно представяне на операциите с размяна и операциите без размяна за целите на изготвянето на отчетите, вземанията се дефинират като произтичащи от операции с размяна, а средствата, подлежащи на събиране, се дефинират като произтичащи от операции без размяна, които не са следствие от договор (суверенни средства, подлежащи на събиране).</w:t>
      </w:r>
    </w:p>
    <w:p w:rsidR="00F50689" w:rsidRDefault="005A36C4" w:rsidP="00F50689">
      <w:pPr>
        <w:pStyle w:val="DGTextstand-alone"/>
      </w:pPr>
      <w:r>
        <w:t>Вземанията от операции с размяна отговарят на определението за финансови инструменти и поради това се класифицират като заеми и вземания и се оценяват по съответния начин (вж. точка </w:t>
      </w:r>
      <w:r>
        <w:rPr>
          <w:b/>
        </w:rPr>
        <w:t>1.5.5</w:t>
      </w:r>
      <w:r>
        <w:t xml:space="preserve"> по-горе). Оповестените данни в бележките за финансовите инструменти във връзка с вземанията от операции с размяна включват начислените приходи и разходите за бъдещи периоди от операции с размяна, тъй като те не са съществени.</w:t>
      </w:r>
    </w:p>
    <w:p w:rsidR="00F50689" w:rsidRDefault="005A36C4" w:rsidP="00F50689">
      <w:pPr>
        <w:pStyle w:val="DGTextstand-alone"/>
      </w:pPr>
      <w:r>
        <w:t>Средствата, подлежащи на събиране, от операции без размяна се отчитат по първоначална стойност (коригирана с лихвите и глобите) минус намалението за обезценка. Намаление за обезценка на средствата, подлежащи на събиране, от операции без размяна се установява, когато има обективно доказателство, че ЕС няма да може да събере всички дължими суми в съответствие с първоначалните срокове, предвидени за средствата, подлежащи на събиране, от операции без размяна. Размерът на намалението е разликата между балансовата стойност на актива и възстановимата стойност. Стойността на намалението се признава в отчета за финансовия резултат. Прави се и общо намаление, въз основа на опит от миналото, за неизпълнените нареждания за събиране на вземания, които не подлежат на специфично намаление. Вж. бележка </w:t>
      </w:r>
      <w:r>
        <w:rPr>
          <w:b/>
        </w:rPr>
        <w:t>1.5.14</w:t>
      </w:r>
      <w:r>
        <w:t xml:space="preserve"> по-долу относно третирането на начислените приходи в края на годината. Сумите, посочени и оповестени като средства, подлежащи на събиране, от операции без размяна, не са финансови инструменти, тъй като не са следствие от договор. При все това, когато е целесъобразно, в бележките към финансовите отчети средствата, подлежащи на събиране, от операции без размяна са оповестени заедно с вземанията от операции с размяна.</w:t>
      </w:r>
    </w:p>
    <w:p w:rsidR="00F50689" w:rsidRPr="00B34731" w:rsidRDefault="005A36C4" w:rsidP="00F50689">
      <w:pPr>
        <w:pStyle w:val="HEADER3Part2"/>
      </w:pPr>
      <w:bookmarkStart w:id="45" w:name="_DMBM_1164"/>
      <w:r>
        <w:t>Пари и парични еквиваленти</w:t>
      </w:r>
    </w:p>
    <w:p w:rsidR="00F50689" w:rsidRDefault="005A36C4" w:rsidP="00F50689">
      <w:pPr>
        <w:pStyle w:val="DGTextstand-alone"/>
      </w:pPr>
      <w:r>
        <w:t>Парите и паричните еквиваленти са финансови инструменти и се класифицират като финансови активи, обявени за продажба. Те включват парите в брой, депозитите по разплащателни сметки в банки и другите краткосрочни високоликвидни инвестиции с първоначален срок от три месеца или по-малко.</w:t>
      </w:r>
    </w:p>
    <w:bookmarkEnd w:id="45"/>
    <w:p w:rsidR="00F50689" w:rsidRPr="00B34731" w:rsidRDefault="005A36C4" w:rsidP="009137BE">
      <w:pPr>
        <w:pStyle w:val="HEADER3Part2"/>
      </w:pPr>
      <w:r>
        <w:t>Пенсии и други доходи на заети лица</w:t>
      </w:r>
    </w:p>
    <w:p w:rsidR="00F50689" w:rsidRPr="00190313" w:rsidRDefault="005A36C4" w:rsidP="00F50689">
      <w:pPr>
        <w:pStyle w:val="HEADER5"/>
      </w:pPr>
      <w:r>
        <w:t>Пенсионни задължения</w:t>
      </w:r>
    </w:p>
    <w:p w:rsidR="00F50689" w:rsidRDefault="005A36C4" w:rsidP="00F50689">
      <w:pPr>
        <w:pStyle w:val="DGTextstand-alone"/>
      </w:pPr>
      <w:r w:rsidRPr="009137BE">
        <w:rPr>
          <w:spacing w:val="2"/>
        </w:rPr>
        <w:t>ЕС управлява пенсионни планове за дефинирани доходи. Докато персоналът участва с вноски от своята заплата за събирането на една трета от очакваната стойност на тези доходи, задължението не се финансира. Задължението, признато в счетоводния баланс по отношение на пенсионните планове за дефинирани доходи, е сегашната стойност на задължението за изплащане на дефинирани доходи към датата на счетоводния баланс. Задължението за изплащане на дефинирани доходи се изчислява от актюери, като се използва кредитният метод на прогнозираните единици. Сегашната стойност на задължението за изплащане на дефинирани доходи се определя чрез дисконтиране на очакваните бъдещи изходящи парични потоци, като се използват лихвени проценти на държавни облигации във валутата, в която ще се изплащат доходите, и които имат падежни срокове, приблизително отговарящи на сроковете на съответното пенсионно задължение</w:t>
      </w:r>
      <w:r>
        <w:t>.</w:t>
      </w:r>
    </w:p>
    <w:p w:rsidR="00F50689" w:rsidRDefault="005A36C4" w:rsidP="009137BE">
      <w:pPr>
        <w:pStyle w:val="DGTextstand-alone"/>
        <w:spacing w:after="360"/>
      </w:pPr>
      <w:r>
        <w:t>Актюерските печалби и загуби, възникващи от корекции, свързани с опита, и от промени в актюерските предположения, се признават веднага в отчета за финансовия резултат. Разходите за предишен стаж се признават веднага в отчета за финансовия резултат, освен ако промените в пенсионния план са с условието служителите да останат на служба за определен период от време (правопораждащия период). В този случай разходите за предишен стаж се амортизират по линейния метод през правопораждащия период.</w:t>
      </w:r>
    </w:p>
    <w:p w:rsidR="009137BE" w:rsidRDefault="009137BE">
      <w:pPr>
        <w:rPr>
          <w:rFonts w:ascii="Verdana" w:hAnsi="Verdana"/>
          <w:noProof/>
          <w:sz w:val="18"/>
          <w:szCs w:val="18"/>
        </w:rPr>
      </w:pPr>
      <w:r>
        <w:br w:type="page"/>
      </w:r>
    </w:p>
    <w:p w:rsidR="009137BE" w:rsidRDefault="009137BE" w:rsidP="009137BE">
      <w:pPr>
        <w:pStyle w:val="DGTextstand-alone"/>
        <w:spacing w:after="360"/>
      </w:pPr>
    </w:p>
    <w:p w:rsidR="00F50689" w:rsidRPr="00190313" w:rsidRDefault="005A36C4" w:rsidP="009137BE">
      <w:pPr>
        <w:pStyle w:val="HEADER5"/>
        <w:spacing w:before="120"/>
      </w:pPr>
      <w:bookmarkStart w:id="46" w:name="_DMBM_1974"/>
      <w:r>
        <w:t>Обезщетения за болест след напускане на работа</w:t>
      </w:r>
    </w:p>
    <w:p w:rsidR="00F50689" w:rsidRDefault="005A36C4" w:rsidP="00F50689">
      <w:pPr>
        <w:pStyle w:val="DGTextstand-alone"/>
      </w:pPr>
      <w:r>
        <w:t>ЕС предоставя обезщетения при болест на своите служители чрез възстановяване на медицинските разходи. Създаден е отделен фонд за извършване на свързаната с това ежедневна дейност. От системата се ползват както настоящите служители, така и пенсионерите, вдовците и ползвателите на техните права. Доходите, отпускани на „неактивните лица“ (пенсионери, сираци и т.н.), се класифицират като „Доходи на заети лица след напускане на работа“. Поради естеството на тези доходи е необходимо извършването на актюерско изчисление. Задължението в счетоводния баланс се определя на база, подобна на тази за пенсионните задължения (вж. по-горе).</w:t>
      </w:r>
    </w:p>
    <w:bookmarkEnd w:id="46"/>
    <w:p w:rsidR="00F50689" w:rsidRPr="00B34731" w:rsidRDefault="005A36C4" w:rsidP="00F50689">
      <w:pPr>
        <w:pStyle w:val="HEADER3Part2"/>
      </w:pPr>
      <w:r>
        <w:t>Провизии</w:t>
      </w:r>
    </w:p>
    <w:p w:rsidR="00F50689" w:rsidRDefault="005A36C4" w:rsidP="00F50689">
      <w:pPr>
        <w:pStyle w:val="DGTextstand-alone"/>
      </w:pPr>
      <w:r>
        <w:t>Провизиите се признават, когато ЕС има настоящо правно или конструктивно задължение към трети страни в резултат на минали събития, когато е по-вероятно да е необходим изходящ поток от ресурси за уреждане на задължението и когато сумата може да бъде надеждно оценена. Провизии не се признават за бъдещи оперативни загуби. Размерът на провизията е най-точната оценка на разходите, които се очаква да бъдат необходими за уреждане на сегашното задължение към отчетната дата. Когато провизията включва голям брой позиции, задължението се оценява, като бъдат претеглени всички възможни резултати чрез свързаните с тях вероятности (метод на очакваната стойност).</w:t>
      </w:r>
    </w:p>
    <w:p w:rsidR="00F50689" w:rsidRPr="00B34731" w:rsidRDefault="005A36C4" w:rsidP="00F50689">
      <w:pPr>
        <w:pStyle w:val="HEADER3Part2"/>
      </w:pPr>
      <w:bookmarkStart w:id="47" w:name="_DMBM_1167"/>
      <w:r>
        <w:t>Финансови пасиви</w:t>
      </w:r>
    </w:p>
    <w:p w:rsidR="00F50689" w:rsidRDefault="005A36C4" w:rsidP="00F50689">
      <w:pPr>
        <w:pStyle w:val="DGTextstand-alone"/>
      </w:pPr>
      <w:r>
        <w:t xml:space="preserve">Финансовите пасиви се класифицират като финансови пасиви по справедлива стойност чрез отчета за финансовия резултат или като финансови пасиви, отчетени по амортизирана стойност. Получените заеми се състоят от заеми от кредитни институции и дългове, удостоверени със сертификати. Те се признават първоначално по справедлива стойност, която представлява постъпленията от тяхното отпускане (справедливата стойност на полученото възнаграждение) без направените трансакционни разходи, а впоследствие се отчитат по амортизирана стойност, като се използва методът на ефективната лихва. Всяка разлика между постъпленията, от които са извадени трансакционните разходи, и погасителната стойност се признава в отчета за финансовия резултат през срока на получените заеми, като се използва методът на ефективната лихва. </w:t>
      </w:r>
    </w:p>
    <w:p w:rsidR="00F50689" w:rsidRDefault="005A36C4" w:rsidP="00F50689">
      <w:pPr>
        <w:pStyle w:val="DGTextstand-alone"/>
      </w:pPr>
      <w:r>
        <w:t>Финансовите пасиви се класифицират като нетекущи пасиви, освен когато падежът настъпва по-малко от 12 месеца след датата на счетоводния баланс. В случай на заеми, отпуснати от заемни средства, методът на ефективната лихва не може да се прилага за отпуснатите заеми и за получените заеми по съображения за същественост. Трансакционните разходи, направени от ЕС и след това начислени на бенефициера на заема, се признават направо в отчета за финансовия резултат.</w:t>
      </w:r>
    </w:p>
    <w:p w:rsidR="00F50689" w:rsidRDefault="005A36C4" w:rsidP="00F50689">
      <w:pPr>
        <w:pStyle w:val="DGTextstand-alone"/>
      </w:pPr>
      <w:r>
        <w:t>Финансовите пасиви, категоризирани по справедлива стойност чрез отчета за финансовия резултат, включват деривативите, когато справедливата им стойност е отрицателна. Те следват същата счетоводна обработка като финансовите активи по справедлива стойност чрез отчета за финансовия резултат (вж. бележка </w:t>
      </w:r>
      <w:r>
        <w:rPr>
          <w:b/>
        </w:rPr>
        <w:t>1.5.5</w:t>
      </w:r>
      <w:r>
        <w:t>). През тази финансова година ЕС не държа финансови пасиви в тази категория.</w:t>
      </w:r>
      <w:bookmarkEnd w:id="47"/>
    </w:p>
    <w:p w:rsidR="00F50689" w:rsidRPr="00B34731" w:rsidRDefault="005A36C4" w:rsidP="00F50689">
      <w:pPr>
        <w:pStyle w:val="HEADER3Part2"/>
      </w:pPr>
      <w:r>
        <w:t>Задължения</w:t>
      </w:r>
    </w:p>
    <w:p w:rsidR="00F50689" w:rsidRDefault="005A36C4" w:rsidP="00F50689">
      <w:pPr>
        <w:pStyle w:val="DGTextstand-alone"/>
      </w:pPr>
      <w:r>
        <w:t>Значителна част от задълженията на ЕС не са свързани с операции с размяна като закупуването на стоки или услуги — те са декларации за направени разходи от бенефициерите на безвъзмездни средства или на друго финансиране от ЕС (операции без размяна), по които плащането не е извършено. Те се записват като задължения в размер на исканата сума при получаване на декларацията за разходи. След проверка и приемане на допустимите разходи задълженията се оценяват по приетата и допустима стойност.</w:t>
      </w:r>
    </w:p>
    <w:p w:rsidR="00F50689" w:rsidRDefault="005A36C4" w:rsidP="00F50689">
      <w:pPr>
        <w:pStyle w:val="DGTextstand-alone"/>
      </w:pPr>
      <w:r>
        <w:t>Задълженията, възникващи от закупуването на стоки и услуги, се признават при получаването на фактурата за първоначалната сума и съответните разходи се вписват в сметките, когато доставките или услугите бъдат извършени и приети от ЕС.</w:t>
      </w:r>
      <w:bookmarkStart w:id="48" w:name="_DMBM_1169"/>
    </w:p>
    <w:p w:rsidR="00F50689" w:rsidRPr="00B34731" w:rsidRDefault="005A36C4" w:rsidP="00F50689">
      <w:pPr>
        <w:pStyle w:val="HEADER3Part2"/>
      </w:pPr>
      <w:r>
        <w:t>Начислени приходи и разходи и приходи и разходи за бъдещи периоди</w:t>
      </w:r>
    </w:p>
    <w:p w:rsidR="00F50689" w:rsidRDefault="005A36C4" w:rsidP="00F50689">
      <w:pPr>
        <w:pStyle w:val="DGTextstand-alone"/>
      </w:pPr>
      <w:r>
        <w:t>Операциите и събитията се признават във финансовите отчети през периода, за който се отнасят. В края на годината, ако все още не е издадена фактура, но услугата е предоставена, доставките са извършени от ЕС или съществува договорно споразумение (напр. чрез позоваване на договор), във финансовите отчети се признава начислен приход. Освен това в края на годината, ако е издадена фактура, но услугите все още не са предоставени или стоките не са доставени, приходът се отсрочва и признава през следващия отчетен период.</w:t>
      </w:r>
    </w:p>
    <w:p w:rsidR="00F50689" w:rsidRDefault="005A36C4" w:rsidP="00F50689">
      <w:pPr>
        <w:pStyle w:val="DGTextstand-alone"/>
      </w:pPr>
      <w:r>
        <w:t>Разходите също се отчитат през периода, за който се отнасят. В края на отчетния период начислените разходи се признават въз основа на очакван размер на задължението за прехвърляне за периода. Изчисляването на начислените разходи се прави в съответствие с подробни оперативни и практически насоки, издадени от Комисията и насочени към гарантиране на това, че финансовите отчети дават вярна представа за икономическите и другите явления, които се предполага, че представляват.</w:t>
      </w:r>
    </w:p>
    <w:bookmarkEnd w:id="48"/>
    <w:p w:rsidR="00F50689" w:rsidRDefault="005A36C4" w:rsidP="00F50689">
      <w:pPr>
        <w:pStyle w:val="HEADER2Part2"/>
      </w:pPr>
      <w:r>
        <w:t>ОТЧЕТ ЗА ФИНАНСОВИЯ РЕЗУЛТАТ</w:t>
      </w:r>
    </w:p>
    <w:p w:rsidR="00F50689" w:rsidRPr="00B34731" w:rsidRDefault="005A36C4" w:rsidP="00F50689">
      <w:pPr>
        <w:pStyle w:val="HEADER3Part2"/>
      </w:pPr>
      <w:bookmarkStart w:id="49" w:name="_DMBM_1180"/>
      <w:r>
        <w:t>Приходи</w:t>
      </w:r>
    </w:p>
    <w:p w:rsidR="00F50689" w:rsidRPr="00190313" w:rsidRDefault="005A36C4" w:rsidP="00F50689">
      <w:pPr>
        <w:pStyle w:val="HEADER5"/>
      </w:pPr>
      <w:r>
        <w:t>ПРИХОДИ ОТ ОПЕРАЦИИ БЕЗ РАЗМЯНА</w:t>
      </w:r>
    </w:p>
    <w:p w:rsidR="00F50689" w:rsidRDefault="005A36C4" w:rsidP="00F50689">
      <w:pPr>
        <w:pStyle w:val="DGTextstand-alone"/>
      </w:pPr>
      <w:r>
        <w:t>По-голямата част от приходите на ЕС са от операции без размяна:</w:t>
      </w:r>
    </w:p>
    <w:p w:rsidR="00F50689" w:rsidRPr="007C0DE0" w:rsidRDefault="005A36C4" w:rsidP="00F50689">
      <w:pPr>
        <w:pStyle w:val="HEADER5"/>
      </w:pPr>
      <w:r>
        <w:t>Ресурси на база БНД и ресурси от ДДС</w:t>
      </w:r>
    </w:p>
    <w:p w:rsidR="00F50689" w:rsidRDefault="005A36C4" w:rsidP="00F50689">
      <w:pPr>
        <w:pStyle w:val="DGTextstand-alone"/>
      </w:pPr>
      <w:r>
        <w:t>Приходите се признават за периода, за който Комисията изпрати покана за внасяне на средства до държавите членки, с която изисква те да внесат своята вноска. Те се оценяват по своя „поискан размер“. Тъй като ресурсите от ДДС и от БНД се основават на приблизителни оценки на данните за съответната бюджетна година, те могат да бъдат променяни при настъпването на промени до публикуването на окончателните данни от държавите членки. Резултатът от промяна на приблизителна оценка се включва при определянето на нетния излишък или дефицит за периода, през който е настъпила промяната.</w:t>
      </w:r>
    </w:p>
    <w:p w:rsidR="00F50689" w:rsidRPr="007C0DE0" w:rsidRDefault="005A36C4" w:rsidP="00F50689">
      <w:pPr>
        <w:pStyle w:val="HEADER5"/>
      </w:pPr>
      <w:r>
        <w:t>Традиционни собствени ресурси</w:t>
      </w:r>
    </w:p>
    <w:p w:rsidR="00F50689" w:rsidRDefault="005A36C4" w:rsidP="00F50689">
      <w:pPr>
        <w:pStyle w:val="DGTextstand-alone"/>
      </w:pPr>
      <w:r>
        <w:t>Средствата, подлежащи на събиране, от операции без размяна и свързаните с тях приходи се признават, когато бъдат получени изпратените от държавите членки съответни месечни отчети „A“ (включително събраните мита и дължимите суми, които са обезпечени и не са оспорени). Към отчетната дата събраните от държавите членки приходи за периода, които все още не са платени на Комисията, се оценяват и признават като начислени приходи. Тримесечните отчети „Б“ (включително митата, които не са събрани и не са обезпечени, както и обезпечените суми, които са оспорени от длъжника), получени от държавите членки, се признават като приход, като от тях се изваждат разходите по събирането, на които държавите имат право. Освен това се признава намаление на стойността в размер на очакваните несъбрани суми.</w:t>
      </w:r>
    </w:p>
    <w:p w:rsidR="00F50689" w:rsidRPr="007C0DE0" w:rsidRDefault="005A36C4" w:rsidP="00F50689">
      <w:pPr>
        <w:pStyle w:val="HEADER5"/>
      </w:pPr>
      <w:r>
        <w:t>Глоби</w:t>
      </w:r>
    </w:p>
    <w:p w:rsidR="00F50689" w:rsidRDefault="005A36C4" w:rsidP="00F50689">
      <w:pPr>
        <w:pStyle w:val="DGTextstand-alone"/>
      </w:pPr>
      <w:r>
        <w:t>Приходите от глоби се признават, когато решението на ЕС за налагане на глоба бъде взето и адресатът бъде официално уведомен за него. Ако има съмнения по отношение на платежоспособността на предприятието, се признава намаление на стойността на вземането. След решението за налагане на глоба длъжниците разполагат с два месеца от датата на уведомлението:</w:t>
      </w:r>
    </w:p>
    <w:p w:rsidR="00F50689" w:rsidRDefault="005A36C4" w:rsidP="00F50689">
      <w:pPr>
        <w:pStyle w:val="Textstand-alonebulletpointJustified"/>
      </w:pPr>
      <w:r>
        <w:t>или да приемат решението, в който случай те трябва да платят глобата в посочения срок и сумата се събира от ЕС окончателно;</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 xml:space="preserve">или да не приемат решението, в който случай го обжалват в съответствие със законодателството на ЕС. </w:t>
      </w:r>
    </w:p>
    <w:p w:rsidR="00F50689" w:rsidRDefault="005A36C4" w:rsidP="00F50689">
      <w:pPr>
        <w:pStyle w:val="DGTextstand-alone"/>
      </w:pPr>
      <w:r>
        <w:t>При все това, дори и решението да бъде обжалвано, главницата на глобата трябва да бъде платена в определения тримесечен срок, тъй като обжалването няма суспензивно действие (член 278 от Договора за ЕС), или, при определени обстоятелства и със съгласието на счетоводителя на Комисията, вместо това може да бъде представена банкова гаранция за сумата.</w:t>
      </w:r>
    </w:p>
    <w:p w:rsidR="00F50689" w:rsidRDefault="005A36C4" w:rsidP="00F50689">
      <w:pPr>
        <w:pStyle w:val="DGTextstand-alone"/>
      </w:pPr>
      <w:r>
        <w:t>Ако предприятието обжалва решението и вече е платило глобата условно, сумата се записва като условeн пасив. Въпреки това, тъй като обжалването на решение на ЕС от адресата няма суспензивно действие, получените парични средства се използват за изчистване на подлежащата на събиране сума. Ако вместо плащане бъде получена гаранция, глобата остава като сума, която подлежи на събиране. Ако изглежда вероятно, че Общият съд може да не се произнесе в полза на ЕС, се признава провизия за покриване на този риск. Ако вместо това е предоставена гаранция, сумата, която подлежи на събиране, се намалява в необходимата степен. Натрупаната лихва, получена от Комисията по банковите сметки, в които се депозират получаваните плащания, се признава като приход и всеки условен пасив се увеличава в съответната степен.</w:t>
      </w:r>
    </w:p>
    <w:p w:rsidR="00F50689" w:rsidRDefault="005A36C4" w:rsidP="00F50689">
      <w:pPr>
        <w:pStyle w:val="DGTextstand-alone"/>
      </w:pPr>
      <w:r>
        <w:t>От 2010 г. всички условно платени глоби се управляват от Комисията в специално създаден за целта фонд (BUFI) и се инвестират във финансови инструменти, категоризирани като финансови инструменти, обявени за продажба.</w:t>
      </w:r>
    </w:p>
    <w:p w:rsidR="00F50689" w:rsidRPr="00190313" w:rsidRDefault="005A36C4" w:rsidP="00F50689">
      <w:pPr>
        <w:pStyle w:val="HEADER5"/>
      </w:pPr>
      <w:r>
        <w:t>ПРИХОДИ ОТ ОПЕРАЦИИ С РАЗМЯНА</w:t>
      </w:r>
    </w:p>
    <w:p w:rsidR="00F50689" w:rsidRDefault="005A36C4" w:rsidP="00F50689">
      <w:pPr>
        <w:pStyle w:val="DGTextstand-alone"/>
      </w:pPr>
      <w:r>
        <w:t>Приходите от продажбата на стоки и услуги се признават, когато значителните рискове и ползи от собствеността върху стоките се прехвърлят на купувача. Приходите, свързани със сделка, включваща предоставянето на услуги, се признават в зависимост от етапа на завършеност на сделката към отчетната дата.</w:t>
      </w:r>
    </w:p>
    <w:p w:rsidR="00F50689" w:rsidRPr="00623E3E" w:rsidRDefault="005A36C4" w:rsidP="00F50689">
      <w:pPr>
        <w:pStyle w:val="HEADER5"/>
      </w:pPr>
      <w:r>
        <w:t>Приходи и разходи от лихви</w:t>
      </w:r>
    </w:p>
    <w:p w:rsidR="00F50689" w:rsidRDefault="005A36C4" w:rsidP="00F50689">
      <w:pPr>
        <w:pStyle w:val="DGTextstand-alone"/>
      </w:pPr>
      <w:r>
        <w:t>Приходите и разходите от лихви се признават в отчета за финансовия резултат посредством метода на ефективната лихва. Това е метод за изчисляване на амортизираната стойност на финансов актив или пасив и за разпределяне на лихвените приходи или разходи през съответния период. При изчисляване на ефективния лихвен процент ЕС оценява приблизително паричните потоци, като взема предвид всички договорни условия на финансовия инструмент (например възможностите за предплащане), но не взема предвид бъдещите кредитни загуби. Изчислението включва всички такси и пунктове, платени или получени между страните по договора, които са неразделна част от ефективния лихвен процент, от трансакционните разходи и от всички други премии или намаления.</w:t>
      </w:r>
    </w:p>
    <w:p w:rsidR="00F50689" w:rsidRDefault="005A36C4" w:rsidP="00F50689">
      <w:pPr>
        <w:pStyle w:val="DGTextstand-alone"/>
      </w:pPr>
      <w:r>
        <w:t>Когато даден финансов актив или група от подобни финансови активи бъдат намалени в резултат на загуба от обезценка, приходите от лихви се признават посредством лихвения процент, използван за дисконтиране на бъдещите парични потоци за целите на оценяването на загубата от обезценка.</w:t>
      </w:r>
    </w:p>
    <w:p w:rsidR="00F50689" w:rsidRPr="00623E3E" w:rsidRDefault="005A36C4" w:rsidP="00F50689">
      <w:pPr>
        <w:pStyle w:val="HEADER5"/>
      </w:pPr>
      <w:r>
        <w:t>Приходи от дивиденти</w:t>
      </w:r>
    </w:p>
    <w:p w:rsidR="00F50689" w:rsidRPr="009137BE" w:rsidRDefault="005A36C4" w:rsidP="00F50689">
      <w:pPr>
        <w:pStyle w:val="DGTextstand-alone"/>
        <w:rPr>
          <w:spacing w:val="-4"/>
        </w:rPr>
      </w:pPr>
      <w:r w:rsidRPr="009137BE">
        <w:rPr>
          <w:spacing w:val="-4"/>
        </w:rPr>
        <w:t>Приходите от дивиденти се признават, когато бъде установено правото за получаване на плащането.</w:t>
      </w:r>
    </w:p>
    <w:bookmarkEnd w:id="49"/>
    <w:p w:rsidR="00F50689" w:rsidRPr="00B34731" w:rsidRDefault="005A36C4" w:rsidP="009137BE">
      <w:pPr>
        <w:pStyle w:val="HEADER3Part2"/>
        <w:spacing w:before="240" w:after="240"/>
      </w:pPr>
      <w:r>
        <w:t>Разходи</w:t>
      </w:r>
    </w:p>
    <w:p w:rsidR="00F50689" w:rsidRDefault="005A36C4" w:rsidP="00F50689">
      <w:pPr>
        <w:pStyle w:val="DGTextstand-alone"/>
      </w:pPr>
      <w:r>
        <w:t>Разходите от операции без размяна представляват основната част от разходите на ЕС. Те се отнасят до трансферите към бенефициери и могат да бъдат три вида: вземания, трансфери по споразумения и дискреционни безвъзмездни средства, вноски и дарения.</w:t>
      </w:r>
    </w:p>
    <w:p w:rsidR="00F50689" w:rsidRDefault="005A36C4" w:rsidP="00F50689">
      <w:pPr>
        <w:pStyle w:val="DGTextstand-alone"/>
      </w:pPr>
      <w:r>
        <w:t>Трансферите се признават като разходи през периода, през който са настъпили събитията, пораждащи трансфера, при условие че естеството на трансфера се допуска от нормативната уредба (Финансовия регламент, Правилника за персонала или друг регламент) или е подписано споразумение, разрешаващо трансфера; бенефициерът е изпълнил всички критерии за допустимост; и може да бъде направена разумна оценка на сумата.</w:t>
      </w:r>
    </w:p>
    <w:p w:rsidR="00F50689" w:rsidRDefault="005A36C4" w:rsidP="00F50689">
      <w:pPr>
        <w:pStyle w:val="DGTextstand-alone"/>
      </w:pPr>
      <w:r>
        <w:t>Когато бъде получено искане за плащане или декларация за направени разходи, които изпълняват критериите за признаване, те се признават като разход в размер на допустимата сума. В края на годината направените допустими разходи, които се дължат на бенефициерите, но които все още не са съобщени, се оценяват и записват като начислени разходи.</w:t>
      </w:r>
    </w:p>
    <w:p w:rsidR="00F50689" w:rsidRPr="009137BE" w:rsidRDefault="005A36C4" w:rsidP="00F50689">
      <w:pPr>
        <w:pStyle w:val="DGTextstand-alone"/>
        <w:rPr>
          <w:spacing w:val="-4"/>
        </w:rPr>
      </w:pPr>
      <w:r w:rsidRPr="009137BE">
        <w:rPr>
          <w:spacing w:val="-4"/>
        </w:rPr>
        <w:t xml:space="preserve">Разходите от операции с размяна, възникващи от закупуването на стоки и услуги, се признават, когато доставките бъдат извършени и приети от ЕС. Те се оценяват по първоначална фактурна стойност. </w:t>
      </w:r>
    </w:p>
    <w:p w:rsidR="00B82250" w:rsidRDefault="00B82250">
      <w:pPr>
        <w:rPr>
          <w:rFonts w:ascii="Verdana" w:hAnsi="Verdana"/>
          <w:b/>
          <w:color w:val="016794"/>
          <w:sz w:val="28"/>
          <w:szCs w:val="28"/>
        </w:rPr>
      </w:pPr>
      <w:bookmarkStart w:id="50" w:name="_DMBM_244"/>
      <w:r>
        <w:br w:type="page"/>
      </w:r>
    </w:p>
    <w:p w:rsidR="00F50689" w:rsidRPr="00632B75" w:rsidRDefault="005A36C4" w:rsidP="00F50689">
      <w:pPr>
        <w:pStyle w:val="HEADER2Part2"/>
      </w:pPr>
      <w:r>
        <w:t>УСЛОВНИ АКТИВИ И ПАСИВИ</w:t>
      </w:r>
    </w:p>
    <w:p w:rsidR="00F50689" w:rsidRPr="00B34731" w:rsidRDefault="005A36C4" w:rsidP="00F50689">
      <w:pPr>
        <w:pStyle w:val="HEADER3Part2"/>
      </w:pPr>
      <w:r>
        <w:t>Условни активи</w:t>
      </w:r>
    </w:p>
    <w:p w:rsidR="00F50689" w:rsidRDefault="005A36C4" w:rsidP="00F50689">
      <w:pPr>
        <w:pStyle w:val="DGTextstand-alone"/>
      </w:pPr>
      <w:r>
        <w:t>Условен актив е възможен актив, който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ЕС. Условен актив се оповестява, когато е вероятна появата на входящ поток от икономически ползи или на потенциал за предоставяне на услуга.</w:t>
      </w:r>
    </w:p>
    <w:p w:rsidR="00F50689" w:rsidRPr="00B34731" w:rsidRDefault="005A36C4" w:rsidP="00F50689">
      <w:pPr>
        <w:pStyle w:val="HEADER3Part2"/>
      </w:pPr>
      <w:r>
        <w:t>Условни пасиви</w:t>
      </w:r>
    </w:p>
    <w:p w:rsidR="00F50689" w:rsidRDefault="005A36C4" w:rsidP="00F50689">
      <w:pPr>
        <w:pStyle w:val="DGTextstand-alone"/>
        <w:spacing w:after="0"/>
      </w:pPr>
      <w:r>
        <w:t>Условен пасив е възможно задължение, което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ЕС; или сегашно задължение, което възниква от минали събития, но не е признато, тъй като: не е вероятно да бъде необходим изходящ поток от ресурси, съдържащи икономически ползи или потенциал за предоставяне на услуга, за уреждане на задължението или в редките случаи, когато размерът на задължението не може да бъде оценен достатъчно надеждно.</w:t>
      </w:r>
      <w:bookmarkEnd w:id="50"/>
    </w:p>
    <w:p w:rsidR="00F50689" w:rsidRPr="00F9658A" w:rsidRDefault="005A36C4" w:rsidP="00F50689">
      <w:pPr>
        <w:pStyle w:val="DGTextstand-alone"/>
        <w:spacing w:before="0" w:after="0"/>
        <w:sectPr w:rsidR="00F50689" w:rsidRPr="00F9658A" w:rsidSect="00F50689">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134" w:right="1134" w:bottom="1134" w:left="1134" w:header="709" w:footer="709" w:gutter="0"/>
          <w:cols w:space="708"/>
          <w:docGrid w:linePitch="360"/>
        </w:sectPr>
      </w:pPr>
      <w:r>
        <w:t xml:space="preserve"> </w:t>
      </w:r>
      <w:bookmarkEnd w:id="35"/>
    </w:p>
    <w:p w:rsidR="00F50689" w:rsidRDefault="005A36C4" w:rsidP="00F50689">
      <w:pPr>
        <w:pStyle w:val="HEADER1Part2"/>
        <w:spacing w:after="0"/>
      </w:pPr>
      <w:bookmarkStart w:id="51" w:name="_Toc431304429"/>
      <w:bookmarkStart w:id="52" w:name="_DMBM_2602"/>
      <w:r>
        <w:t>БЕЛЕЖКИ КЪМ СЧЕТОВОДНИЯ БАЛАНС</w:t>
      </w:r>
      <w:bookmarkEnd w:id="51"/>
    </w:p>
    <w:p w:rsidR="00F50689" w:rsidRPr="002F4182" w:rsidRDefault="005A36C4" w:rsidP="00F50689">
      <w:pPr>
        <w:pStyle w:val="Textstand-alone"/>
        <w:spacing w:before="0"/>
        <w:sectPr w:rsidR="00F50689" w:rsidRPr="002F4182" w:rsidSect="00F50689">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9" w:footer="709" w:gutter="0"/>
          <w:cols w:space="708"/>
          <w:docGrid w:linePitch="360"/>
        </w:sectPr>
      </w:pPr>
      <w:r>
        <w:t xml:space="preserve"> </w:t>
      </w:r>
      <w:bookmarkEnd w:id="52"/>
    </w:p>
    <w:p w:rsidR="00F50689" w:rsidRDefault="005A36C4" w:rsidP="00F50689">
      <w:pPr>
        <w:pStyle w:val="HEADERTABLE"/>
        <w:spacing w:after="0"/>
      </w:pPr>
      <w:bookmarkStart w:id="53" w:name="_DMBM_2622"/>
      <w:r>
        <w:t>АКТИВИ</w:t>
      </w:r>
    </w:p>
    <w:p w:rsidR="00F50689" w:rsidRPr="00E9094D" w:rsidRDefault="005A36C4" w:rsidP="00F50689">
      <w:pPr>
        <w:pStyle w:val="Textstand-alone"/>
        <w:spacing w:before="0" w:after="0"/>
        <w:sectPr w:rsidR="00F50689" w:rsidRPr="00E9094D" w:rsidSect="00F50689">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134" w:right="1134" w:bottom="1134" w:left="1134" w:header="709" w:footer="709" w:gutter="0"/>
          <w:cols w:space="708"/>
          <w:docGrid w:linePitch="360"/>
        </w:sectPr>
      </w:pPr>
      <w:r>
        <w:t xml:space="preserve"> </w:t>
      </w:r>
      <w:bookmarkEnd w:id="53"/>
    </w:p>
    <w:p w:rsidR="00F50689" w:rsidRDefault="005A36C4" w:rsidP="00F50689">
      <w:pPr>
        <w:pStyle w:val="HEADER2Part2"/>
        <w:spacing w:before="0" w:after="0"/>
      </w:pPr>
      <w:bookmarkStart w:id="54" w:name="_DMBM_2623"/>
      <w:r>
        <w:t>НЕМАТЕРИАЛНИ АКТИВИ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E7728E">
        <w:tc>
          <w:tcPr>
            <w:tcW w:w="762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55" w:name="DOC_TBL00007_1_1"/>
            <w:bookmarkEnd w:id="55"/>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 xml:space="preserve">млн. EUR </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Брутна балансова стойност към 31.12.2013 г.</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474</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Новопридобити активи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104</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Намаления на активи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Трансфер между категориите активи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r>
      <w:tr w:rsidR="00E7728E">
        <w:tc>
          <w:tcPr>
            <w:tcW w:w="762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 промени</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r>
      <w:tr w:rsidR="00E7728E">
        <w:tc>
          <w:tcPr>
            <w:tcW w:w="762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Брутна балансова стойност към 31.12.2014 г.</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 xml:space="preserve"> 577</w:t>
            </w:r>
          </w:p>
        </w:tc>
      </w:tr>
      <w:tr w:rsidR="00E7728E">
        <w:tc>
          <w:tcPr>
            <w:tcW w:w="762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Натрупана амортизация към 31.12.2013 г.</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(236)</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Амортизационен разход за годината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(61)</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Намаления на активи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Трансфер между категориите активи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r>
      <w:tr w:rsidR="00E7728E">
        <w:tc>
          <w:tcPr>
            <w:tcW w:w="762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 промени</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w:t>
            </w:r>
          </w:p>
        </w:tc>
      </w:tr>
      <w:tr w:rsidR="00E7728E">
        <w:tc>
          <w:tcPr>
            <w:tcW w:w="762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Натрупана амортизация към 31.12.2014 г.</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 xml:space="preserve"> (295)</w:t>
            </w:r>
          </w:p>
        </w:tc>
      </w:tr>
      <w:tr w:rsidR="00E7728E">
        <w:tc>
          <w:tcPr>
            <w:tcW w:w="762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Нетна балансова стойност към 31.12.2014 г.</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282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Нетна балансова стойност към 31.12.2013 г.</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237</w:t>
            </w:r>
          </w:p>
        </w:tc>
      </w:tr>
    </w:tbl>
    <w:p w:rsidR="00F50689" w:rsidRPr="00BE4A62" w:rsidRDefault="005A36C4" w:rsidP="00F50689">
      <w:pPr>
        <w:pStyle w:val="Textstand-alone"/>
        <w:spacing w:after="0"/>
      </w:pPr>
      <w:r>
        <w:t>Сумите по-горе се отнасят предимно до компютърния софтуер.</w:t>
      </w:r>
    </w:p>
    <w:p w:rsidR="00F50689" w:rsidRPr="002B5C07" w:rsidRDefault="005A36C4" w:rsidP="00F50689">
      <w:pPr>
        <w:pStyle w:val="Textstand-alone"/>
        <w:spacing w:before="0" w:after="0"/>
        <w:rPr>
          <w:i/>
        </w:rPr>
        <w:sectPr w:rsidR="00F50689" w:rsidRPr="002B5C07" w:rsidSect="00F50689">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134" w:right="1134" w:bottom="1134" w:left="1134" w:header="709" w:footer="709" w:gutter="0"/>
          <w:cols w:space="708"/>
          <w:docGrid w:linePitch="360"/>
        </w:sectPr>
      </w:pPr>
      <w:r>
        <w:rPr>
          <w:i/>
        </w:rPr>
        <w:t xml:space="preserve"> </w:t>
      </w:r>
      <w:bookmarkEnd w:id="54"/>
    </w:p>
    <w:p w:rsidR="00F50689" w:rsidRDefault="005A36C4" w:rsidP="00F50689">
      <w:pPr>
        <w:pStyle w:val="HEADER2Part2"/>
        <w:spacing w:before="0" w:after="0"/>
      </w:pPr>
      <w:bookmarkStart w:id="56" w:name="_DMBM_2624"/>
      <w:r>
        <w:t>ИМОТИ, МАШИНИ И СЪОРЪЖЕНИЯ</w:t>
      </w:r>
    </w:p>
    <w:p w:rsidR="00F50689" w:rsidRDefault="005A36C4" w:rsidP="00F50689">
      <w:pPr>
        <w:pStyle w:val="Textstand-alone"/>
        <w:rPr>
          <w:rFonts w:cs="Arial"/>
          <w:noProof w:val="0"/>
        </w:rPr>
      </w:pPr>
      <w:r>
        <w:t xml:space="preserve">Увеличението на имотите, машините и съоръженията се дължи основно на факта, че след подписването през 2014 г. на споразумението за делегиране на „Коперник“ с Европейската космическа агенция (ЕКА) активи на стойност 1 525 млн. EUR на програмата „Коперник“ (бившата програма ГМОСС) бяха прехвърлени от ЕКА на Комисията. В съответствие с приетия през 2014 г. Регламент за „Коперник“ ЕС пое отговорността за програмата „Коперник“, поради което трябва да признае активите в счетоводния си баланс. 297 млн. EUR, свързани със спътника Sentinel 1А, са признати като активи в позицията за машините и съоръженията, а 1 228 млн. EUR, свързани с другите спътници, които понастоящем са в процес на изграждане, са признати като активи в процес на изграждане. „Коперник“ е европейската програма за наблюдение на Земята. Тя се състои от космически компонент, включващ шест серии от спътници и инструменти за наблюдение на Земята, компонент </w:t>
      </w:r>
      <w:r>
        <w:rPr>
          <w:i/>
        </w:rPr>
        <w:t>in situ</w:t>
      </w:r>
      <w:r>
        <w:t xml:space="preserve"> (съставен от множество сензори, намиращи се на земята, в морето и във въздуха) и компонент за услуги. Програмата „Коперник“ ще предоставя следните услуги: мониторинг на атмосферата, мониторинг на изменението на климата, мониторинг на земната повърхност, мониторинг на морската среда и управление на извънредни ситуации и приложения за сигурност.</w:t>
      </w:r>
    </w:p>
    <w:p w:rsidR="00F50689" w:rsidRDefault="005A36C4" w:rsidP="00F50689">
      <w:pPr>
        <w:pStyle w:val="Textstand-alone"/>
        <w:spacing w:after="0"/>
      </w:pPr>
      <w:r>
        <w:t xml:space="preserve">Освен това включени като активи в процес на изграждане към 31 декември </w:t>
      </w:r>
      <w:bookmarkStart w:id="57" w:name="BIP_SEL001"/>
      <w:r>
        <w:t>2014 г.</w:t>
      </w:r>
      <w:bookmarkEnd w:id="57"/>
      <w:r>
        <w:t xml:space="preserve"> са и 1 478 млн. EUR (</w:t>
      </w:r>
      <w:bookmarkStart w:id="58" w:name="BIP_SEL003"/>
      <w:r>
        <w:t>2013 г.</w:t>
      </w:r>
      <w:bookmarkEnd w:id="58"/>
      <w:r>
        <w:t>: 1 041 млн. EUR) активи, свързани с проекта „Галилео“ — глобалната навигационна спътникова система (ГНСС) на ЕС, която се изгражда с помощта на ЕКА. През периода като разход е призната сума на стойност 17 млн. EUR некапитализируеми разходи за развойна дейност.</w:t>
      </w:r>
    </w:p>
    <w:p w:rsidR="00F50689" w:rsidRPr="0064073A" w:rsidRDefault="005A36C4" w:rsidP="00F50689">
      <w:pPr>
        <w:pStyle w:val="DGTextstand-alone"/>
        <w:spacing w:before="0"/>
        <w:sectPr w:rsidR="00F50689" w:rsidRPr="0064073A" w:rsidSect="00F50689">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9" w:footer="709" w:gutter="0"/>
          <w:cols w:space="708"/>
          <w:docGrid w:linePitch="360"/>
        </w:sectPr>
      </w:pPr>
      <w:bookmarkStart w:id="59" w:name="DOC_TBL00001_1_1_1"/>
      <w:bookmarkEnd w:id="59"/>
      <w:r>
        <w:t xml:space="preserve"> </w:t>
      </w:r>
      <w:bookmarkEnd w:id="56"/>
    </w:p>
    <w:p w:rsidR="00F50689" w:rsidRDefault="005A36C4" w:rsidP="00F50689">
      <w:pPr>
        <w:pStyle w:val="HEADERTABLE"/>
      </w:pPr>
      <w:bookmarkStart w:id="60" w:name="_DMBM_3505"/>
      <w:r>
        <w:t>Имоти, машини и съоръжения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045"/>
        <w:gridCol w:w="1329"/>
        <w:gridCol w:w="1329"/>
        <w:gridCol w:w="1329"/>
        <w:gridCol w:w="1329"/>
        <w:gridCol w:w="1152"/>
        <w:gridCol w:w="1417"/>
        <w:gridCol w:w="1418"/>
      </w:tblGrid>
      <w:tr w:rsidR="00E7728E">
        <w:tc>
          <w:tcPr>
            <w:tcW w:w="421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rPr>
            </w:pPr>
            <w:bookmarkStart w:id="61" w:name="DOC_TBL00008_1_1"/>
            <w:bookmarkEnd w:id="61"/>
          </w:p>
        </w:tc>
        <w:tc>
          <w:tcPr>
            <w:tcW w:w="1045"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5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421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04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Земя и сгради</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Машини и съоръжения</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Обзавеждане и превозни средства</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Компютърен хардуер</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Други</w:t>
            </w:r>
          </w:p>
        </w:tc>
        <w:tc>
          <w:tcPr>
            <w:tcW w:w="115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Финансови лизинги</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 xml:space="preserve"> Активи в процес на изграждане</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A675FE">
            <w:pPr>
              <w:pStyle w:val="Heading9pNormalCentered"/>
              <w:rPr>
                <w:rFonts w:cs="Verdana"/>
              </w:rPr>
            </w:pPr>
            <w:r>
              <w:t>Общо</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Брутна балансова стойност към 31.12.2013 г.</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4 660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608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233</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596</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248</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2 692</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1 599</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10 635</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Новопридобити активи</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342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31</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1 779</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2 267</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Намаления на активи</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(164)</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Трансфер между категориите активи</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(195)</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 промени</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r>
      <w:tr w:rsidR="00E7728E">
        <w:tc>
          <w:tcPr>
            <w:tcW w:w="421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Брутна балансова стойност към 31.12.2014 г.</w:t>
            </w:r>
          </w:p>
        </w:tc>
        <w:tc>
          <w:tcPr>
            <w:tcW w:w="10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4 768</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990</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242</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623</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261</w:t>
            </w:r>
          </w:p>
        </w:tc>
        <w:tc>
          <w:tcPr>
            <w:tcW w:w="11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2 693</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3 176</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12 754</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Натрупана амортизация към 31.12.2013 г.</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(2 399)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(461)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(166)</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(863)</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(4 531)</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Амортизационен разход за годината</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(153)</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(65)</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(25)</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(95)</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(429)</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Отменена амортизация</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Намаления на активи</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128</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Трансфер между категориите активи</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 промени</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r>
      <w:tr w:rsidR="00E7728E">
        <w:tc>
          <w:tcPr>
            <w:tcW w:w="421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Натрупана амортизация към 31.12.2014 г.</w:t>
            </w:r>
          </w:p>
        </w:tc>
        <w:tc>
          <w:tcPr>
            <w:tcW w:w="10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(2 549)</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(477)</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(168)</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(501)</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(173)</w:t>
            </w:r>
          </w:p>
        </w:tc>
        <w:tc>
          <w:tcPr>
            <w:tcW w:w="11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(950)</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(4 817)</w:t>
            </w:r>
          </w:p>
        </w:tc>
      </w:tr>
      <w:tr w:rsidR="00E7728E">
        <w:tc>
          <w:tcPr>
            <w:tcW w:w="4219"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104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5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421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НЕТНА БАЛАНСОВА СТОЙНОСТ КЪМ 31.12.2014 г.</w:t>
            </w:r>
          </w:p>
        </w:tc>
        <w:tc>
          <w:tcPr>
            <w:tcW w:w="10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2 219</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513</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74</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122</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89</w:t>
            </w:r>
          </w:p>
        </w:tc>
        <w:tc>
          <w:tcPr>
            <w:tcW w:w="11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1 743</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3 176</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7 937</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НЕТНА БАЛАНСОВА СТОЙНОСТ КЪМ 31.12.2013 г.</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2 261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65</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83</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1 829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1 599</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6 104</w:t>
            </w:r>
          </w:p>
        </w:tc>
      </w:tr>
    </w:tbl>
    <w:p w:rsidR="00F50689" w:rsidRPr="00EB6B2F" w:rsidRDefault="005A36C4" w:rsidP="00F50689">
      <w:pPr>
        <w:pStyle w:val="HEADERTABLE"/>
        <w:sectPr w:rsidR="00F50689" w:rsidRPr="00EB6B2F" w:rsidSect="00F50689">
          <w:headerReference w:type="even" r:id="rId131"/>
          <w:headerReference w:type="default" r:id="rId132"/>
          <w:footerReference w:type="even" r:id="rId133"/>
          <w:footerReference w:type="default" r:id="rId134"/>
          <w:headerReference w:type="first" r:id="rId135"/>
          <w:footerReference w:type="first" r:id="rId136"/>
          <w:pgSz w:w="16838" w:h="11906" w:orient="landscape"/>
          <w:pgMar w:top="1134" w:right="1134" w:bottom="1134" w:left="1134" w:header="708" w:footer="708" w:gutter="0"/>
          <w:cols w:space="708"/>
          <w:docGrid w:linePitch="360"/>
        </w:sectPr>
      </w:pPr>
      <w:r>
        <w:t xml:space="preserve"> </w:t>
      </w:r>
      <w:bookmarkEnd w:id="60"/>
    </w:p>
    <w:p w:rsidR="00F50689" w:rsidRDefault="005A36C4" w:rsidP="00F50689">
      <w:pPr>
        <w:pStyle w:val="HEADER2Part2"/>
        <w:spacing w:after="0"/>
      </w:pPr>
      <w:bookmarkStart w:id="62" w:name="_DMBM_2625"/>
      <w:r>
        <w:t>ИНВЕСТИЦИИ, ОТЧЕТЕНИ ПОСРЕДСТВОМ МЕТОДА НА СОБСТВЕНИЯ КАПИТАЛ</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1040"/>
        <w:gridCol w:w="1830"/>
        <w:gridCol w:w="1831"/>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63" w:name="DOC_TBL00009_1_1"/>
            <w:bookmarkEnd w:id="63"/>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31.12.2013 г.</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Участия в съвместни предприятия</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2.3.1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Участия в асоциирани предприятия</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2.3.2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409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349</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409</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349</w:t>
            </w:r>
          </w:p>
        </w:tc>
      </w:tr>
    </w:tbl>
    <w:p w:rsidR="00F50689" w:rsidRPr="00AC6FC1" w:rsidRDefault="005A36C4" w:rsidP="00F50689">
      <w:pPr>
        <w:pStyle w:val="DGTextstand-alone"/>
        <w:rPr>
          <w:spacing w:val="-6"/>
        </w:rPr>
      </w:pPr>
      <w:r w:rsidRPr="00AC6FC1">
        <w:rPr>
          <w:spacing w:val="-6"/>
        </w:rPr>
        <w:t xml:space="preserve">Участията в съвместни и асоциирани предприятия се отчитат посредством метода на собствения капитал. </w:t>
      </w:r>
    </w:p>
    <w:p w:rsidR="00F50689" w:rsidRDefault="005A36C4" w:rsidP="00F50689">
      <w:pPr>
        <w:pStyle w:val="HEADER3Part2"/>
        <w:spacing w:after="0"/>
      </w:pPr>
      <w:r>
        <w:t>Участия в съвместни предприятия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900"/>
        <w:gridCol w:w="900"/>
        <w:gridCol w:w="900"/>
        <w:gridCol w:w="900"/>
        <w:gridCol w:w="900"/>
        <w:gridCol w:w="900"/>
        <w:gridCol w:w="900"/>
        <w:gridCol w:w="999"/>
      </w:tblGrid>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Left"/>
              <w:rPr>
                <w:rFonts w:eastAsia="Verdana" w:cs="Verdana"/>
                <w:color w:val="FFFFFF"/>
              </w:rPr>
            </w:pPr>
            <w:bookmarkStart w:id="64" w:name="DOC_TBL00010_1_1"/>
            <w:bookmarkEnd w:id="64"/>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1899" w:type="dxa"/>
            <w:gridSpan w:val="2"/>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8pItalicRight025EUR"/>
              <w:rPr>
                <w:rFonts w:eastAsia="Verdana" w:cs="Verdana"/>
              </w:rPr>
            </w:pPr>
            <w:r>
              <w:t>млн. EUR</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Pr="00A00043" w:rsidRDefault="00F50689" w:rsidP="00F50689">
            <w:pPr>
              <w:pStyle w:val="Heading7pNormalRight01"/>
              <w:rPr>
                <w:rFonts w:eastAsia="Verdana" w:cs="Verdana"/>
              </w:rPr>
            </w:pP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СПГ</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SESAR</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ITER</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„Чисто небе“</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ИИЛ</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ECSEL</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ГКВ</w:t>
            </w:r>
          </w:p>
        </w:tc>
        <w:tc>
          <w:tcPr>
            <w:tcW w:w="999"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Общо</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rPr>
            </w:pPr>
            <w:r>
              <w:t>Участия към 31.12.2013 г.</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rPr>
            </w:pPr>
            <w:r>
              <w:t>Вноски</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95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118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166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75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69</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647</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rPr>
            </w:pPr>
            <w:r>
              <w:t>Дял от нетния резултат</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(95)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(118)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(166)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(75)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(69)</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(647)</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rPr>
            </w:pPr>
            <w:r>
              <w:t>Други капиталови движения</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B82250">
            <w:pPr>
              <w:pStyle w:val="Figures7pItalicRight025"/>
              <w:rPr>
                <w:rFonts w:eastAsia="Verdana" w:cs="Verdana"/>
              </w:rPr>
            </w:pPr>
            <w:r>
              <w:t xml:space="preserve"> 0</w:t>
            </w: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Text7pBoldLeft"/>
              <w:rPr>
                <w:rFonts w:eastAsia="Verdana" w:cs="Verdana"/>
              </w:rPr>
            </w:pPr>
            <w:r>
              <w:t>Участия към 31.12.2014 г.</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99"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B82250">
            <w:pPr>
              <w:pStyle w:val="Figures7pBoldRight025"/>
              <w:rPr>
                <w:rFonts w:eastAsia="Verdana" w:cs="Verdana"/>
              </w:rPr>
            </w:pPr>
            <w:r>
              <w:t xml:space="preserve"> 0</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rPr>
            </w:pPr>
            <w:r>
              <w:t>Непризнат дял от загубите*</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(230)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(36)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(99)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(73)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(40)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(116)</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(594)</w:t>
            </w:r>
          </w:p>
        </w:tc>
      </w:tr>
    </w:tbl>
    <w:p w:rsidR="00F50689" w:rsidRPr="00101459" w:rsidRDefault="005A36C4" w:rsidP="00101459">
      <w:pPr>
        <w:pStyle w:val="DGTextstand-alone"/>
        <w:spacing w:before="60"/>
        <w:rPr>
          <w:i/>
          <w:sz w:val="14"/>
        </w:rPr>
      </w:pPr>
      <w:r>
        <w:rPr>
          <w:i/>
          <w:sz w:val="14"/>
        </w:rPr>
        <w:t>* За подробно обяснение на непризнатите загуби вж. бележка</w:t>
      </w:r>
      <w:r>
        <w:rPr>
          <w:b/>
          <w:i/>
          <w:sz w:val="14"/>
        </w:rPr>
        <w:t xml:space="preserve"> 1.5.4.</w:t>
      </w:r>
    </w:p>
    <w:p w:rsidR="00F50689" w:rsidRDefault="005A36C4" w:rsidP="00F50689">
      <w:pPr>
        <w:pStyle w:val="DGTextstand-alone"/>
      </w:pPr>
      <w:r>
        <w:t>Следните балансови стойности могат да се припишат на Комисията въз основа на процента на нейното участие: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65" w:name="DOC_TBL00011_1_1"/>
            <w:bookmarkEnd w:id="65"/>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31.12.2013 г.</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Нетекущи активи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250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198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Текущи активи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178</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Нетекущи пасиви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Текущи пасиви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(813)</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(394)</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Приходи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Разходи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(666)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(412)</w:t>
            </w:r>
          </w:p>
        </w:tc>
      </w:tr>
    </w:tbl>
    <w:p w:rsidR="00F50689" w:rsidRDefault="005A36C4" w:rsidP="00F50689">
      <w:pPr>
        <w:pStyle w:val="DGTextstand-alone"/>
        <w:spacing w:before="0"/>
      </w:pPr>
      <w:r>
        <w:t xml:space="preserve"> </w:t>
      </w:r>
    </w:p>
    <w:p w:rsidR="00F50689" w:rsidRDefault="005A36C4" w:rsidP="00F50689">
      <w:pPr>
        <w:pStyle w:val="HEADER5"/>
      </w:pPr>
      <w:r>
        <w:t>СЪВМЕСТНО ПРЕДПРИЯТИЕ „ГАЛИЛЕО“ В ЛИКВИДАЦИЯ</w:t>
      </w:r>
    </w:p>
    <w:p w:rsidR="00F50689" w:rsidRDefault="005A36C4" w:rsidP="00F50689">
      <w:pPr>
        <w:pStyle w:val="DGTextstand-alone"/>
      </w:pPr>
      <w:r>
        <w:t xml:space="preserve">Съвместното предприятие „Галилео“ (СПГ) мина в ликвидация в края на 2006 г. и този процес все още не е приключил. През 2014 г. субектът не е развивал дейност и продължава да е в ликвидация. </w:t>
      </w:r>
    </w:p>
    <w:p w:rsidR="00F50689" w:rsidRDefault="005A36C4" w:rsidP="00F50689">
      <w:pPr>
        <w:pStyle w:val="HEADER5"/>
      </w:pPr>
      <w:r>
        <w:t>СЪВМЕСТНО ПРЕДПРИЯТИЕ SESAR</w:t>
      </w:r>
    </w:p>
    <w:p w:rsidR="00F50689" w:rsidRDefault="005A36C4" w:rsidP="00F50689">
      <w:pPr>
        <w:pStyle w:val="DGTextstand-alone"/>
      </w:pPr>
      <w:r>
        <w:t>Към 31 декември 2014 г. Комисията притежава 43,53 % от SESAR.</w:t>
      </w:r>
    </w:p>
    <w:p w:rsidR="00F50689" w:rsidRDefault="005A36C4" w:rsidP="00F50689">
      <w:pPr>
        <w:pStyle w:val="HEADER5"/>
      </w:pPr>
      <w:r>
        <w:t>МЕЖДУНАРОДНА ОРГАНИЗАЦИЯ ПО ТЕРМОЯДРЕНА ЕНЕРГИЯ ITER (ITER)</w:t>
      </w:r>
    </w:p>
    <w:p w:rsidR="00F50689" w:rsidRDefault="005A36C4" w:rsidP="00F50689">
      <w:pPr>
        <w:pStyle w:val="DGTextstand-alone"/>
      </w:pPr>
      <w:r>
        <w:t xml:space="preserve">Вноската на ЕС (Евратом) за Международната организация ITER се предоставя чрез Агенцията за термоядрен синтез за енергия и включва и вноските на държавите членки и на Швейцария. Общият размер на вноската юридически се разглежда като вноска на Евратом в полза на ITER, тъй като държавите членки и Швейцария нямат дялово участие в ITER. Тъй като от правна гледна точка ЕС притежава участието в съвместното предприятие „Международна организация ITER“, ЕС трябва да признае участието в своите отчети. Към 31 декември 2014 г. Комисията притежава 40,61 % от ITER. </w:t>
      </w:r>
    </w:p>
    <w:p w:rsidR="00F50689" w:rsidRDefault="005A36C4" w:rsidP="00F50689">
      <w:pPr>
        <w:pStyle w:val="HEADER5"/>
      </w:pPr>
      <w:r>
        <w:t>Съвместни технологични инициативи</w:t>
      </w:r>
    </w:p>
    <w:p w:rsidR="00F50689" w:rsidRPr="00AC6FC1" w:rsidRDefault="005A36C4" w:rsidP="00F50689">
      <w:pPr>
        <w:pStyle w:val="DGTextstand-alone"/>
        <w:rPr>
          <w:spacing w:val="-2"/>
        </w:rPr>
      </w:pPr>
      <w:r w:rsidRPr="00AC6FC1">
        <w:rPr>
          <w:spacing w:val="-2"/>
        </w:rPr>
        <w:t>Публично-частните партньорства (ПЧП) под формата на съвместни технологични инициативи (СТИ), които бяха осъществени посредством съвместни предприятия по смисъла на член 187 от Договора, са създадени с цел изпълняване на целите на програмата от Лисабон за растеж и работни места. Съвместното предприятие (СП) „Чисто небе“, СП ИИЛ, СП ECSEL (сливане на предишните СП ARTEMIS и ENIAC) и СП ГКВ са ПЧП, създадени под формата на СТИ. Капиталовото участие в края на годината е, както следва: 61,39 % от „Чисто небе“, 80,47 % от ИИЛ, 95,47 % от ECSEL и 70,85 % от ГКВ.</w:t>
      </w:r>
    </w:p>
    <w:p w:rsidR="00823FE4" w:rsidRDefault="00823FE4">
      <w:pPr>
        <w:rPr>
          <w:rFonts w:ascii="Verdana" w:hAnsi="Verdana"/>
          <w:color w:val="016794"/>
          <w:sz w:val="20"/>
          <w:szCs w:val="20"/>
        </w:rPr>
      </w:pPr>
      <w:r>
        <w:br w:type="page"/>
      </w:r>
    </w:p>
    <w:p w:rsidR="00F50689" w:rsidRDefault="005A36C4" w:rsidP="00F50689">
      <w:pPr>
        <w:pStyle w:val="HEADER3Part2"/>
      </w:pPr>
      <w:r>
        <w:t>Участия в асоциирани предприятия</w:t>
      </w:r>
    </w:p>
    <w:p w:rsidR="00F50689" w:rsidRDefault="005A36C4" w:rsidP="00B82250">
      <w:pPr>
        <w:pStyle w:val="HEADER5"/>
        <w:spacing w:after="120"/>
      </w:pPr>
      <w:r>
        <w:t>Европейски инвестиционен фонд</w:t>
      </w:r>
    </w:p>
    <w:p w:rsidR="00F50689" w:rsidRDefault="005A36C4" w:rsidP="00F50689">
      <w:pPr>
        <w:pStyle w:val="DGTextstand-alone"/>
        <w:spacing w:before="0" w:after="0"/>
      </w:pPr>
      <w:r>
        <w:t>Участието на Комисията в Европейския инвестиционен фонд (ЕИФ) се третира като асоциирано предприятие, като се използва методът на собствения капитал. ЕИФ е финансовата институция на ЕС, специализирана в предоставянето на рисков капитал и гаранции на МСП.</w:t>
      </w:r>
    </w:p>
    <w:p w:rsidR="00F50689" w:rsidRDefault="00F50689" w:rsidP="00F50689">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66" w:name="DOC_TBL00012_1_1"/>
            <w:bookmarkEnd w:id="66"/>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ЕИФ</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A675FE">
            <w:pPr>
              <w:pStyle w:val="Text9pItalicLeft"/>
              <w:rPr>
                <w:rFonts w:eastAsia="Verdana" w:cs="Verdana"/>
              </w:rPr>
            </w:pPr>
            <w:r>
              <w:t>Участие към 31.12.2013 г.</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349</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A675FE">
            <w:pPr>
              <w:pStyle w:val="Text9pItalicLeft"/>
              <w:rPr>
                <w:rFonts w:eastAsia="Verdana" w:cs="Verdana"/>
              </w:rPr>
            </w:pPr>
            <w:r>
              <w:t>Вноски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38</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Дял от нетния резултат</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7</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Други капиталови движения</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15</w:t>
            </w: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A675FE">
            <w:pPr>
              <w:pStyle w:val="Text9pBoldLeft"/>
              <w:rPr>
                <w:rFonts w:eastAsia="Verdana" w:cs="Verdana"/>
              </w:rPr>
            </w:pPr>
            <w:r>
              <w:t>Участие към 31.12.2014 г.</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409</w:t>
            </w:r>
          </w:p>
        </w:tc>
      </w:tr>
    </w:tbl>
    <w:p w:rsidR="00F50689" w:rsidRDefault="005A36C4" w:rsidP="00F50689">
      <w:pPr>
        <w:pStyle w:val="DGTextstand-alone"/>
      </w:pPr>
      <w:r>
        <w:t>Следните балансови стойности могат да се припишат на Комисията въз основа на процента на нейното участие: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67" w:name="DOC_TBL00013_1_1"/>
            <w:bookmarkEnd w:id="67"/>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31.12.2013 г.</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Активи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497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499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Пасиви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(87)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(240)</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Приходи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38</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Излишък/(дефицит)</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(221)</w:t>
            </w:r>
          </w:p>
        </w:tc>
      </w:tr>
    </w:tbl>
    <w:p w:rsidR="00F50689" w:rsidRDefault="00F50689" w:rsidP="00F50689">
      <w:pPr>
        <w:pStyle w:val="DGTextstand-alone"/>
        <w:spacing w:before="0"/>
      </w:pPr>
    </w:p>
    <w:p w:rsidR="00F50689" w:rsidRDefault="005A36C4" w:rsidP="00F50689">
      <w:pPr>
        <w:pStyle w:val="DGTextstand-alone"/>
      </w:pPr>
      <w:r>
        <w:t>Комисията е внесла 20 % от капиталовото си участие (остатъкът не е поискан), които съответстват на 809 млн. EUR.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rsidTr="00F50689">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68" w:name="DOC_TBL00014_1_1"/>
            <w:bookmarkEnd w:id="68"/>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rsidTr="00F50689">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Общ размер на капитала на ЕИФ</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Участие на Комисията</w:t>
            </w:r>
          </w:p>
        </w:tc>
      </w:tr>
      <w:tr w:rsidR="00E7728E" w:rsidTr="00F50689">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Общо акционерен капитал</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4 161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1 011</w:t>
            </w:r>
          </w:p>
        </w:tc>
      </w:tr>
      <w:tr w:rsidR="00E7728E" w:rsidTr="00F50689">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Внесен</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(832)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(202)</w:t>
            </w:r>
          </w:p>
        </w:tc>
      </w:tr>
      <w:tr w:rsidR="00E7728E" w:rsidTr="00F50689">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Непоискан</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3 329</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809</w:t>
            </w:r>
          </w:p>
        </w:tc>
      </w:tr>
    </w:tbl>
    <w:p w:rsidR="00F50689" w:rsidRPr="00F3531D" w:rsidRDefault="005A36C4" w:rsidP="00F50689">
      <w:pPr>
        <w:pStyle w:val="DGTextstand-alone"/>
        <w:spacing w:before="0"/>
        <w:sectPr w:rsidR="00F50689" w:rsidRPr="00F3531D" w:rsidSect="00F50689">
          <w:headerReference w:type="even" r:id="rId137"/>
          <w:headerReference w:type="default" r:id="rId138"/>
          <w:footerReference w:type="even" r:id="rId139"/>
          <w:footerReference w:type="default" r:id="rId140"/>
          <w:headerReference w:type="first" r:id="rId141"/>
          <w:footerReference w:type="first" r:id="rId142"/>
          <w:pgSz w:w="11906" w:h="16838"/>
          <w:pgMar w:top="1134" w:right="1134" w:bottom="1134" w:left="1134" w:header="709" w:footer="709" w:gutter="0"/>
          <w:cols w:space="708"/>
          <w:docGrid w:linePitch="360"/>
        </w:sectPr>
      </w:pPr>
      <w:r>
        <w:t xml:space="preserve"> </w:t>
      </w:r>
      <w:bookmarkEnd w:id="62"/>
    </w:p>
    <w:p w:rsidR="00F50689" w:rsidRPr="00F54103" w:rsidRDefault="005A36C4" w:rsidP="00F50689">
      <w:pPr>
        <w:pStyle w:val="HEADER2Part2"/>
      </w:pPr>
      <w:bookmarkStart w:id="69" w:name="_DMBM_2626"/>
      <w:r>
        <w:t>ФИНАНСОВИ АКТИВИ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6"/>
        <w:gridCol w:w="1040"/>
        <w:gridCol w:w="1830"/>
        <w:gridCol w:w="1831"/>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0" w:name="DOC_TBL00015_1_1"/>
            <w:bookmarkEnd w:id="70"/>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Нетекущи финансови активи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Финансови активи, обявени за продажба</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2.4.1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6 550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5 497</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Заеми</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2.4.2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49 888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54 347</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Общо</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56 438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59 844</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Текущи финансови активи</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Финансови активи, обявени за продажба</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2.4.1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2 856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2 373</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Заеми</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2.4.2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8 955</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3 198</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Общо</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11 811</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5 571</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68 249</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65 415</w:t>
            </w:r>
          </w:p>
        </w:tc>
      </w:tr>
    </w:tbl>
    <w:p w:rsidR="00F50689" w:rsidRDefault="00F50689" w:rsidP="00F50689">
      <w:pPr>
        <w:pStyle w:val="DGTextstand-alone"/>
      </w:pPr>
    </w:p>
    <w:p w:rsidR="00F50689" w:rsidRDefault="00F50689" w:rsidP="00F50689">
      <w:pPr>
        <w:pStyle w:val="DGTextstand-alone"/>
      </w:pPr>
    </w:p>
    <w:p w:rsidR="00F50689" w:rsidRDefault="00F50689" w:rsidP="00F50689">
      <w:pPr>
        <w:pStyle w:val="DGTextstand-alone"/>
      </w:pPr>
    </w:p>
    <w:p w:rsidR="00F50689" w:rsidRDefault="00F50689" w:rsidP="00F50689">
      <w:pPr>
        <w:pStyle w:val="DGTextstand-alone"/>
      </w:pPr>
    </w:p>
    <w:p w:rsidR="00F50689" w:rsidRDefault="005A36C4" w:rsidP="00F50689">
      <w:pPr>
        <w:pStyle w:val="HEADER3Part2"/>
        <w:spacing w:after="0"/>
      </w:pPr>
      <w:r>
        <w:t>Финансови активи, обявени за продажба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1" w:name="DOC_TBL00016_1_1"/>
            <w:bookmarkEnd w:id="71"/>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Инвестиции в BUFI</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3 068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1 910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Гаранционен фонд за външни дейности*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1 825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1 773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ЕОВС в ликвидация</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1 699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1 696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Механизъм за финансиране с поделяне на риска (МФПР)</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842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1 197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„Хоризонт 2020“</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514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ETF Start-up (схема за подкрепа на стартиращи предприятия по Европейския механизъм за технологии)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Европейска банка за възстановяване и развитие (ЕБВР)</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Инструмент за гарантиране на заемите по проекти, свързани с трансевропейските транспортни мрежи (LGTT)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Операции с рисков капитал</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Инициатива за облигации за проекти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фонд за Югоизточна Европа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117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116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 финансови активи, обявени за продажба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298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339</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9 406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7 870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Нетекущи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6 550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5 497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Текущи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2 856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2 373</w:t>
            </w:r>
          </w:p>
        </w:tc>
      </w:tr>
    </w:tbl>
    <w:p w:rsidR="00F50689" w:rsidRPr="00101459" w:rsidRDefault="005A36C4" w:rsidP="00101459">
      <w:pPr>
        <w:pStyle w:val="Textstand-alone"/>
        <w:tabs>
          <w:tab w:val="left" w:pos="284"/>
        </w:tabs>
        <w:spacing w:before="60"/>
        <w:ind w:left="284" w:hanging="284"/>
        <w:rPr>
          <w:i/>
          <w:sz w:val="14"/>
        </w:rPr>
      </w:pPr>
      <w:r>
        <w:rPr>
          <w:i/>
          <w:sz w:val="14"/>
        </w:rPr>
        <w:t>*</w:t>
      </w:r>
      <w:r>
        <w:tab/>
      </w:r>
      <w:r>
        <w:rPr>
          <w:i/>
          <w:sz w:val="14"/>
        </w:rPr>
        <w:t>Гаранционният фонд за външни дейности държи облигации по ЕМФС (20 млн. EUR), емитирани от Комисията, поради което те са изключени. Тъй като той е дългосрочен инструмент, съществува значителна нетекуща част на финансовите активи, обявени за продажба, която възлиза на 1 489 млн. EUR.</w:t>
      </w:r>
    </w:p>
    <w:p w:rsidR="00F50689" w:rsidRDefault="005A36C4" w:rsidP="00F50689">
      <w:pPr>
        <w:pStyle w:val="Textstand-alone"/>
      </w:pPr>
      <w:r>
        <w:t>ЕС държи финансови активи, обявени за продажба, главно под формата на гаранционни инструменти и капиталови инструменти. Увеличението спрямо 2013 г. се дължи предимно на над 2 млрд. EUR нови глоби, наложени през 2014 г. и инвестирани във фонда BUFI, минус неприключените случаи, свързани с глоби, които бяха уредени през 2014 г. Освен това изпълнението на програмата „Хоризонт 2020“, която е осмият етап на рамковите програми за научни изследвания и технологично развитие (8РП), започна през 2014 г. и активите на програмата в края на годината възлизаха на над половин милиард евро.</w:t>
      </w:r>
    </w:p>
    <w:p w:rsidR="00F50689" w:rsidRDefault="005A36C4" w:rsidP="00F50689">
      <w:pPr>
        <w:pStyle w:val="Textstand-alone"/>
        <w:spacing w:after="0"/>
      </w:pPr>
      <w:r>
        <w:t>Йерархия на справедливата стойност на финансовите активи, обявени за продажба: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2" w:name="DOC_TBL00017_1_1"/>
            <w:bookmarkEnd w:id="72"/>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Ниво 1: котирани цени на активни пазари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8 183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6 669</w:t>
            </w:r>
          </w:p>
        </w:tc>
      </w:tr>
      <w:tr w:rsidR="00E7728E">
        <w:tc>
          <w:tcPr>
            <w:tcW w:w="5637" w:type="dxa"/>
            <w:tcBorders>
              <w:top w:val="nil"/>
              <w:left w:val="nil"/>
              <w:bottom w:val="nil"/>
              <w:right w:val="nil"/>
            </w:tcBorders>
            <w:tcMar>
              <w:top w:w="0" w:type="dxa"/>
              <w:left w:w="0" w:type="dxa"/>
              <w:bottom w:w="0" w:type="dxa"/>
              <w:right w:w="0" w:type="dxa"/>
            </w:tcMar>
          </w:tcPr>
          <w:p w:rsidR="00F50689" w:rsidRPr="00AC6FC1" w:rsidRDefault="005A36C4" w:rsidP="00F50689">
            <w:pPr>
              <w:pStyle w:val="Text9pItalicLeft"/>
              <w:rPr>
                <w:rFonts w:cs="Verdana"/>
                <w:spacing w:val="-4"/>
              </w:rPr>
            </w:pPr>
            <w:r w:rsidRPr="00AC6FC1">
              <w:rPr>
                <w:spacing w:val="-4"/>
              </w:rPr>
              <w:t>Ниво 2: наблюдаеми елементи, различни от котираните цени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Ниво 3: техники за оценяване, при които елементите не са наблюдаеми пазарни данни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1 147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1 126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9 406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7 870</w:t>
            </w:r>
          </w:p>
        </w:tc>
      </w:tr>
    </w:tbl>
    <w:p w:rsidR="00F50689" w:rsidRDefault="005A36C4" w:rsidP="00F50689">
      <w:pPr>
        <w:pStyle w:val="Textstand-alone"/>
      </w:pPr>
      <w:r>
        <w:t>През периода нямаше трансфери между горепосочените оценки на справедливата стойност.</w:t>
      </w:r>
    </w:p>
    <w:p w:rsidR="00F50689" w:rsidRDefault="005A36C4" w:rsidP="00F50689">
      <w:pPr>
        <w:pStyle w:val="Textstand-alone"/>
        <w:spacing w:after="0"/>
      </w:pPr>
      <w:r>
        <w:t>Равняване на финансовите активи, оценени с помощта на техники за оценяване, използващи елементи, които не се основават на наблюдаеми пазарни данни (ниво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E7728E">
        <w:tc>
          <w:tcPr>
            <w:tcW w:w="762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3" w:name="DOC_TBL00018_1_1"/>
            <w:bookmarkEnd w:id="73"/>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Начално салдо към 31.12.2013 г.</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1 126</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Покупки и продажби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(57)</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Печалби или загуби за периода, признати в излишъка или дефицита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Печалби или загуби, признати в нетните активи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81</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Трансфери към ниво 3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Трансфери от ниво 3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Крайно салдо към 31.12.2014 г.</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1 147</w:t>
            </w:r>
          </w:p>
        </w:tc>
      </w:tr>
    </w:tbl>
    <w:p w:rsidR="00F50689" w:rsidRDefault="005A36C4" w:rsidP="00F50689">
      <w:pPr>
        <w:pStyle w:val="Textstand-alone"/>
        <w:spacing w:before="0"/>
      </w:pPr>
      <w:r>
        <w:t xml:space="preserve"> </w:t>
      </w:r>
    </w:p>
    <w:p w:rsidR="00F50689" w:rsidRDefault="005A36C4" w:rsidP="00F50689">
      <w:pPr>
        <w:pStyle w:val="HEADER5"/>
      </w:pPr>
      <w:r>
        <w:t>Европейска банка за възстановяване и развитие</w:t>
      </w:r>
    </w:p>
    <w:p w:rsidR="00F50689" w:rsidRDefault="005A36C4" w:rsidP="00F50689">
      <w:pPr>
        <w:pStyle w:val="Textstand-alone"/>
        <w:spacing w:after="0"/>
      </w:pPr>
      <w:r>
        <w:t>Тъй като акциите на Европейската банка за възстановяване и развитие (ЕБВР) не се котират на никоя фондова борса и предвид на договорните ограничения, включени в учредителния акт на ЕБВР, свързани, освен с друго, с продажбата на дялови участия, ограничени до цената на придобиване и разрешени единствено за съществуващите акционери, акционерният дял на Комисията се оценява по себестойност минус намалението за обезценка.</w:t>
      </w:r>
    </w:p>
    <w:p w:rsidR="00823FE4" w:rsidRDefault="00823FE4">
      <w:pPr>
        <w:rPr>
          <w:rFonts w:ascii="Verdana" w:hAnsi="Verdana"/>
          <w:noProof/>
          <w:sz w:val="18"/>
          <w:szCs w:val="18"/>
        </w:rPr>
      </w:pPr>
      <w:r>
        <w:br w:type="page"/>
      </w:r>
    </w:p>
    <w:p w:rsidR="00A675FE" w:rsidRDefault="00A675FE" w:rsidP="00F50689">
      <w:pPr>
        <w:pStyle w:val="Textstand-alone"/>
        <w:spacing w:after="0"/>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4" w:name="DOC_TBL00019_1_1"/>
            <w:bookmarkEnd w:id="74"/>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Общ размер на капитала на ЕБВР</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Участие на Комисията</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Общо акционерен капитал</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29 674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900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Внесен</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(6 202)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(188)</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Непоискан</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23 472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712</w:t>
            </w:r>
          </w:p>
        </w:tc>
      </w:tr>
    </w:tbl>
    <w:p w:rsidR="00F50689" w:rsidRDefault="005A36C4" w:rsidP="00F50689">
      <w:pPr>
        <w:pStyle w:val="Textstand-alone"/>
        <w:spacing w:before="0"/>
      </w:pPr>
      <w:r>
        <w:t xml:space="preserve"> </w:t>
      </w:r>
    </w:p>
    <w:p w:rsidR="00F50689" w:rsidRDefault="005A36C4" w:rsidP="00F50689">
      <w:pPr>
        <w:pStyle w:val="HEADER3Part2"/>
        <w:spacing w:before="0" w:after="0"/>
      </w:pPr>
      <w:r>
        <w:t>Заеми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5" w:name="DOC_TBL00020_1_1"/>
            <w:bookmarkEnd w:id="75"/>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Нетекущи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49 888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54 347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Текущи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8 955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3 198</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58 843</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57 545</w:t>
            </w:r>
          </w:p>
        </w:tc>
      </w:tr>
    </w:tbl>
    <w:p w:rsidR="00F50689" w:rsidRDefault="005A36C4" w:rsidP="00F50689">
      <w:pPr>
        <w:pStyle w:val="Textstand-alone"/>
      </w:pPr>
      <w:r>
        <w:t xml:space="preserve">Тази позиция включва заемите, отпуснати от заемни средства (58 509 млн. EUR), както и заемите, отпуснати от бюджета, т.е. заемите със специални условия и жилищните кредити от ЕОВС в ликвидация (139 млн. EUR). Включени са също краткосрочните депозити (195 млн. EUR), които се категоризират като отпуснати заеми. </w:t>
      </w:r>
    </w:p>
    <w:p w:rsidR="00F50689" w:rsidRDefault="005A36C4" w:rsidP="00F50689">
      <w:pPr>
        <w:pStyle w:val="HEADER5"/>
      </w:pPr>
      <w:r>
        <w:t>Заеми, отпуснати от заемни средства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077"/>
        <w:gridCol w:w="1077"/>
        <w:gridCol w:w="1078"/>
        <w:gridCol w:w="1077"/>
        <w:gridCol w:w="1078"/>
        <w:gridCol w:w="1417"/>
      </w:tblGrid>
      <w:tr w:rsidR="00E7728E">
        <w:trPr>
          <w:cantSplit/>
        </w:trPr>
        <w:tc>
          <w:tcPr>
            <w:tcW w:w="2943"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6" w:name="DOC_TBL00021_1_1"/>
            <w:bookmarkEnd w:id="76"/>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cantSplit/>
          <w:trHeight w:val="247"/>
        </w:trPr>
        <w:tc>
          <w:tcPr>
            <w:tcW w:w="294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МФП</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Евратом</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ПБ</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ЕМФС</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ЕОВС в ликвидация</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Общо</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Общо към 31.12.2013 г.</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569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387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11 623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44 468</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57 258</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Нови заеми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1 360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4 360</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Възстановени суми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(3 135)</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Курсови разлики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Промени в балансовата стойност</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Обезценка</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cantSplit/>
          <w:trHeight w:val="247"/>
        </w:trPr>
        <w:tc>
          <w:tcPr>
            <w:tcW w:w="29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към 31.12.2014 г.</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1 842</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349</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8 590</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47 507</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221</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58 509</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Нетекущи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1 762</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299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5 700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41 800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49 772</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Текущи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2 890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5 707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8 737</w:t>
            </w:r>
          </w:p>
        </w:tc>
      </w:tr>
    </w:tbl>
    <w:p w:rsidR="00F50689" w:rsidRDefault="005A36C4" w:rsidP="00F50689">
      <w:pPr>
        <w:pStyle w:val="Textstand-alone"/>
      </w:pPr>
      <w:r>
        <w:t xml:space="preserve">Текущото/нетекущото представяне на отпуснатите заеми в счетоводния баланс на Комисията (напр. ЕМФС, ПБ, Евратом, МФП) бе подобрено — от идеята да се гледа само крайният падеж на заема бе преминато на идеята да се гледат дължимите погасявания към края на годината. За заемите от Евратом са получени гаранции от трети страни на стойност 349 млн. EUR (2013 г.: 387 млн. EUR). Към 31.12.2014 г. на Украйна бяха предоставени 250 млн. EUR във връзка със споразумение за заем по линия на МФП, но тези средства все още не са изплатени. </w:t>
      </w:r>
    </w:p>
    <w:p w:rsidR="00B82250" w:rsidRPr="00873DBC" w:rsidRDefault="00B82250" w:rsidP="00F50689">
      <w:pPr>
        <w:pStyle w:val="Textstand-alone"/>
      </w:pPr>
    </w:p>
    <w:p w:rsidR="00F50689" w:rsidRPr="00B754EF" w:rsidRDefault="005A36C4" w:rsidP="00A675FE">
      <w:pPr>
        <w:pStyle w:val="HEADER5"/>
        <w:spacing w:after="120"/>
      </w:pPr>
      <w:r>
        <w:t>Ефективни лихвени проценти за заемите (изразени като лихвен диапазон)</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2977"/>
        <w:gridCol w:w="2093"/>
      </w:tblGrid>
      <w:tr w:rsidR="00E7728E" w:rsidTr="00A675FE">
        <w:tc>
          <w:tcPr>
            <w:tcW w:w="467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bookmarkStart w:id="77" w:name="DOC_TBL00022_1_1"/>
            <w:bookmarkEnd w:id="77"/>
          </w:p>
        </w:tc>
        <w:tc>
          <w:tcPr>
            <w:tcW w:w="29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20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rsidTr="00A675FE">
        <w:tc>
          <w:tcPr>
            <w:tcW w:w="467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Макрофинансова помощ (МФП)</w:t>
            </w:r>
          </w:p>
        </w:tc>
        <w:tc>
          <w:tcPr>
            <w:tcW w:w="297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0,181 %—4,54 %</w:t>
            </w:r>
          </w:p>
        </w:tc>
        <w:tc>
          <w:tcPr>
            <w:tcW w:w="209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0,27 %—4,54 %</w:t>
            </w:r>
          </w:p>
        </w:tc>
      </w:tr>
      <w:tr w:rsidR="00E7728E" w:rsidTr="00A675FE">
        <w:tc>
          <w:tcPr>
            <w:tcW w:w="467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Евратом</w:t>
            </w:r>
          </w:p>
        </w:tc>
        <w:tc>
          <w:tcPr>
            <w:tcW w:w="29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0,26 %—5,76 %</w:t>
            </w:r>
          </w:p>
        </w:tc>
        <w:tc>
          <w:tcPr>
            <w:tcW w:w="209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0,34 %—5,76 %</w:t>
            </w:r>
          </w:p>
        </w:tc>
      </w:tr>
      <w:tr w:rsidR="00E7728E" w:rsidTr="00A675FE">
        <w:tc>
          <w:tcPr>
            <w:tcW w:w="467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Платежен баланс (ПБ)</w:t>
            </w:r>
          </w:p>
        </w:tc>
        <w:tc>
          <w:tcPr>
            <w:tcW w:w="29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2,375 %—3,625 %</w:t>
            </w:r>
          </w:p>
        </w:tc>
        <w:tc>
          <w:tcPr>
            <w:tcW w:w="209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2,375 %—3,625 %</w:t>
            </w:r>
          </w:p>
        </w:tc>
      </w:tr>
      <w:tr w:rsidR="00E7728E" w:rsidTr="00A675FE">
        <w:tc>
          <w:tcPr>
            <w:tcW w:w="467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Европейски механизъм за финансово стабилизиране (ЕМФС)</w:t>
            </w:r>
          </w:p>
        </w:tc>
        <w:tc>
          <w:tcPr>
            <w:tcW w:w="29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1,875 %—3,750 %</w:t>
            </w:r>
          </w:p>
        </w:tc>
        <w:tc>
          <w:tcPr>
            <w:tcW w:w="209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2,375 %—3,750 %</w:t>
            </w:r>
          </w:p>
        </w:tc>
      </w:tr>
      <w:tr w:rsidR="00E7728E" w:rsidTr="00A675FE">
        <w:tc>
          <w:tcPr>
            <w:tcW w:w="4678" w:type="dxa"/>
            <w:tcBorders>
              <w:top w:val="single" w:sz="4" w:space="0" w:color="016794"/>
              <w:left w:val="nil"/>
              <w:bottom w:val="nil"/>
              <w:right w:val="nil"/>
            </w:tcBorders>
            <w:tcMar>
              <w:top w:w="0" w:type="dxa"/>
              <w:left w:w="0" w:type="dxa"/>
              <w:bottom w:w="0" w:type="dxa"/>
              <w:right w:w="0" w:type="dxa"/>
            </w:tcMar>
          </w:tcPr>
          <w:p w:rsidR="00F50689" w:rsidRDefault="005A36C4" w:rsidP="00116387">
            <w:pPr>
              <w:pStyle w:val="Text9pItalicLeft"/>
              <w:rPr>
                <w:rFonts w:cs="Verdana"/>
              </w:rPr>
            </w:pPr>
            <w:r>
              <w:t>ЕОВС в ликвидация</w:t>
            </w:r>
          </w:p>
        </w:tc>
        <w:tc>
          <w:tcPr>
            <w:tcW w:w="297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5,2354 %—5,8103 %</w:t>
            </w:r>
          </w:p>
        </w:tc>
        <w:tc>
          <w:tcPr>
            <w:tcW w:w="209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5,2354 %—5,8103 %</w:t>
            </w:r>
          </w:p>
        </w:tc>
      </w:tr>
    </w:tbl>
    <w:p w:rsidR="00F50689" w:rsidRPr="00045485" w:rsidRDefault="005A36C4" w:rsidP="00F50689">
      <w:pPr>
        <w:pStyle w:val="Textstand-alone"/>
        <w:spacing w:before="0"/>
        <w:sectPr w:rsidR="00F50689" w:rsidRPr="00045485" w:rsidSect="00F50689">
          <w:headerReference w:type="even" r:id="rId143"/>
          <w:headerReference w:type="default" r:id="rId144"/>
          <w:footerReference w:type="even" r:id="rId145"/>
          <w:footerReference w:type="default" r:id="rId146"/>
          <w:headerReference w:type="first" r:id="rId147"/>
          <w:footerReference w:type="first" r:id="rId148"/>
          <w:type w:val="continuous"/>
          <w:pgSz w:w="11906" w:h="16838"/>
          <w:pgMar w:top="1134" w:right="1134" w:bottom="1134" w:left="1134" w:header="709" w:footer="709" w:gutter="0"/>
          <w:cols w:space="708"/>
          <w:docGrid w:linePitch="360"/>
        </w:sectPr>
      </w:pPr>
      <w:r>
        <w:t xml:space="preserve"> </w:t>
      </w:r>
      <w:bookmarkEnd w:id="69"/>
    </w:p>
    <w:p w:rsidR="00F50689" w:rsidRPr="001007FE" w:rsidRDefault="005A36C4" w:rsidP="00F50689">
      <w:pPr>
        <w:pStyle w:val="HEADER2Part2"/>
      </w:pPr>
      <w:bookmarkStart w:id="78" w:name="_DMBM_2627"/>
      <w:r>
        <w:t>ПРЕДВАРИТЕЛНО ФИНАНСИРАНЕ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1040"/>
        <w:gridCol w:w="1829"/>
        <w:gridCol w:w="1830"/>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9" w:name="DOC_TBL00023_1_1"/>
            <w:bookmarkEnd w:id="79"/>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Нетекущо предварително финансиране</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Предварително финансиране</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2.5.1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15 980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34 819</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 средства, предоставени авансово на държавите членки</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2.5.2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2 378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3 253</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Общо</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18 358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38 072</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Текущо предварително финансиране</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Предварително финансиране</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2.5.1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29 222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16 403</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 средства, предоставени авансово на държавите членки</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2.5.2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5 015</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4 963</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Общо</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34 237</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21 367</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52 595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59 439</w:t>
            </w:r>
          </w:p>
        </w:tc>
      </w:tr>
    </w:tbl>
    <w:p w:rsidR="00F50689" w:rsidRDefault="005A36C4" w:rsidP="00F50689">
      <w:pPr>
        <w:pStyle w:val="Textstand-alone"/>
        <w:spacing w:after="0"/>
      </w:pPr>
      <w:r>
        <w:t>Предварителното финансиране съставлява голяма част от общите активи на ЕС, поради което редовно му се отделя подобаващо внимание. Следва да се отбележи, че нивото на сумите по предварително финансиране за различните програми трябва да е достатъчно за осигуряване на наличните средства, необходими на бенефициера, за да започне проекта, като същевременно се защитават финансовите интереси на ЕС и се вземат под внимание правните и оперативните ограничения и ограниченията, свързани с разходната ефективност. Комисията отдели нужното внимание на всички тези елементи с цел подобряване на действията, които се предприемат във връзка с предварителното финансиране.</w:t>
      </w:r>
    </w:p>
    <w:p w:rsidR="00F50689" w:rsidRDefault="005A36C4" w:rsidP="00F50689">
      <w:pPr>
        <w:pStyle w:val="HEADER3Part2"/>
      </w:pPr>
      <w:r>
        <w:t>Предварително финансиране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077"/>
        <w:gridCol w:w="1077"/>
        <w:gridCol w:w="1248"/>
        <w:gridCol w:w="993"/>
        <w:gridCol w:w="1134"/>
        <w:gridCol w:w="1275"/>
      </w:tblGrid>
      <w:tr w:rsidR="00E7728E">
        <w:tc>
          <w:tcPr>
            <w:tcW w:w="2943"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0" w:name="DOC_TBL00024_1_1"/>
            <w:bookmarkEnd w:id="80"/>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4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247"/>
        </w:trPr>
        <w:tc>
          <w:tcPr>
            <w:tcW w:w="294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Брутна сума</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Изчистени в края на годината</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Нетна сума към 31.12.2014 г.</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Брутна сума</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Изчистени в края на годината</w:t>
            </w:r>
          </w:p>
        </w:tc>
        <w:tc>
          <w:tcPr>
            <w:tcW w:w="127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Нетна сума към 31.12.2013 г.</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Споделено управление</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ЕЗФРСР и други инструменти за развитие на селските райони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5 644</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(2 115)</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3 529</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6 359</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(1 032)</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5 327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ЕФРР и КФ</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24 934</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(2 182)</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22 752</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25 701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(2 164)</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23 537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EСФ</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6 884</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(953)</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5 931</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6 857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(492)</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6 365</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Други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4 626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(2 535)</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2 091</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4 191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(2 054)</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2 137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Пряко управление</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 xml:space="preserve">Извършено от: </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Комисията</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13 173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(10 215)</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2 958</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14 841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(9 459)</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5 382</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Изпълнителните агенции на ЕС</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9 079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(6 618)</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2 461</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8 558</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(5 108)</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3 450</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Непряко управление</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Извършено от:</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Други агенции и органи на ЕС</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548</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(98)</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 xml:space="preserve"> 450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412</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391</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Трети държави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1 981</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(1 169)</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 xml:space="preserve"> 812</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1 678</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(782)</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896</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Международни организации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6 236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(3 476)</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2 760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4 172</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(2 460)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1 712</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Други субекти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4 370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(2 910)</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1 460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5 503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(3 478)</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2 025</w:t>
            </w:r>
          </w:p>
        </w:tc>
      </w:tr>
      <w:tr w:rsidR="00E7728E">
        <w:trPr>
          <w:trHeight w:val="247"/>
        </w:trPr>
        <w:tc>
          <w:tcPr>
            <w:tcW w:w="29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77 474</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(32 273)</w:t>
            </w:r>
          </w:p>
        </w:tc>
        <w:tc>
          <w:tcPr>
            <w:tcW w:w="1248" w:type="dxa"/>
            <w:tcBorders>
              <w:top w:val="nil"/>
              <w:left w:val="nil"/>
              <w:bottom w:val="nil"/>
              <w:right w:val="single" w:sz="4" w:space="0" w:color="016794"/>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45 202</w:t>
            </w:r>
          </w:p>
        </w:tc>
        <w:tc>
          <w:tcPr>
            <w:tcW w:w="993" w:type="dxa"/>
            <w:tcBorders>
              <w:top w:val="nil"/>
              <w:left w:val="single" w:sz="4" w:space="0" w:color="016794"/>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78 272</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(27 050)</w:t>
            </w:r>
          </w:p>
        </w:tc>
        <w:tc>
          <w:tcPr>
            <w:tcW w:w="127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51 222</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Нетекущи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15 980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15 980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34 819</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34 819</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Текущи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61 495</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(32 273)</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29 222</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43 453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(27 050)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16 403</w:t>
            </w:r>
          </w:p>
        </w:tc>
      </w:tr>
    </w:tbl>
    <w:p w:rsidR="00F50689" w:rsidRDefault="005A36C4" w:rsidP="00F50689">
      <w:pPr>
        <w:pStyle w:val="Textstand-alone"/>
        <w:spacing w:before="0" w:after="0"/>
      </w:pPr>
      <w:r>
        <w:t xml:space="preserve"> </w:t>
      </w:r>
    </w:p>
    <w:p w:rsidR="00F50689" w:rsidRPr="00A675FE" w:rsidRDefault="005A36C4" w:rsidP="00F50689">
      <w:pPr>
        <w:pStyle w:val="Textstand-alone"/>
      </w:pPr>
      <w:r>
        <w:t xml:space="preserve">Намаляването на общия размер на предварителното финансиране, отбелязано при споделеното управление и при прякото управление, се приписва предимно на приключването на периода на програмиране 2007—2013 г. и на постепенното започване на програмите за периода 2014—2020 г. Предварителното финансиране за старите програми намалява поради приемането на разходи, докато за новия период на програмиране са изплатени по-ниски по размер авансови средства. </w:t>
      </w:r>
    </w:p>
    <w:p w:rsidR="00F50689" w:rsidRPr="00A675FE" w:rsidRDefault="005A36C4" w:rsidP="00F50689">
      <w:pPr>
        <w:pStyle w:val="Textstand-alone"/>
      </w:pPr>
      <w:r>
        <w:t>Що се отнася до структурните фондове, този преход между периодите на програмиране също обяснява движението между текущи и нетекущи салда. Новото предварително финансиране, изплатено по отношение на периода на програмиране 2014—2020 г., по принцип се отчита като нетекущо. Тези авансови средства все още са неголеми по размер (поради късното приемане на новите програми). Периодът на програмиране 2007—2013 г. е в заключителната си фаза, поради което повече суми стават дължими в срок от дванадесет месеца.</w:t>
      </w:r>
    </w:p>
    <w:p w:rsidR="00F50689" w:rsidRPr="00A675FE" w:rsidRDefault="005A36C4" w:rsidP="00F50689">
      <w:pPr>
        <w:pStyle w:val="HEADER5"/>
      </w:pPr>
      <w:r>
        <w:t>Гаранции, получени по отношение на предварително финансиране</w:t>
      </w:r>
    </w:p>
    <w:p w:rsidR="00F50689" w:rsidRPr="00A675FE" w:rsidRDefault="005A36C4" w:rsidP="00F50689">
      <w:pPr>
        <w:pStyle w:val="Textstand-alone"/>
      </w:pPr>
      <w:r>
        <w:t>Това са гаранции, които Комисията изисква в някои случаи от бенефициерите, които не са държави членки, при извършване на авансови плащания (предварително финансиране). За този вид гаранция се оповестяват две стойности: „номиналната“ и „текущата“ стойност. При номиналната стойност пораждащото събитие е свързано със съществуването на гаранцията. При текущата стойност пораждащото събитие за гаранцията е плащането на предварителното финансиране и/или последващите изчиствания. Към 31 декември 2014 г. номиналната стойност на гаранциите, получени във връзка с предварително финансиране, възлиза на 957 млн. EUR, докато текущата стойност на тези гаранции е 605 млн. EUR (2013 г.: съответно 1 124 млн. EUR и 887 млн. EUR).</w:t>
      </w:r>
    </w:p>
    <w:p w:rsidR="00F50689" w:rsidRPr="00A675FE" w:rsidRDefault="005A36C4" w:rsidP="00F50689">
      <w:pPr>
        <w:jc w:val="both"/>
        <w:rPr>
          <w:rFonts w:ascii="Verdana" w:hAnsi="Verdana"/>
          <w:sz w:val="18"/>
          <w:szCs w:val="18"/>
        </w:rPr>
      </w:pPr>
      <w:r>
        <w:rPr>
          <w:rFonts w:ascii="Verdana" w:hAnsi="Verdana"/>
          <w:sz w:val="18"/>
        </w:rPr>
        <w:t>Някои суми предварително финансиране, платени по 7-та рамкова програма за научни изследвания и технологично развитие (7РП) и по програмата „Хоризонт 2020“, успешно се покриват от Гаранционен фонд за участниците (ГФУ).</w:t>
      </w:r>
      <w:r>
        <w:rPr>
          <w:sz w:val="18"/>
        </w:rPr>
        <w:t xml:space="preserve"> </w:t>
      </w:r>
      <w:r>
        <w:rPr>
          <w:rFonts w:ascii="Verdana" w:hAnsi="Verdana"/>
          <w:sz w:val="18"/>
        </w:rPr>
        <w:t xml:space="preserve">ГФУ е инструмент от взаимна полза, създаден с цел покриване на рисковете, свързани с неплащането на суми от страна на бенефициерите в хода на изпълнението на непреките дейности по линия на 7РП и „Хоризонт 2020“. Всички участници в непреки дейности, които получават безвъзмездни средства от ЕС, внасят 5 % от общата вноска в капитала на ГФУ. </w:t>
      </w:r>
    </w:p>
    <w:p w:rsidR="00F50689" w:rsidRPr="00A675FE" w:rsidRDefault="005A36C4" w:rsidP="00F50689">
      <w:pPr>
        <w:jc w:val="both"/>
        <w:rPr>
          <w:rFonts w:ascii="Verdana" w:hAnsi="Verdana"/>
          <w:sz w:val="18"/>
          <w:szCs w:val="18"/>
        </w:rPr>
      </w:pPr>
      <w:r>
        <w:rPr>
          <w:rFonts w:ascii="Verdana" w:hAnsi="Verdana"/>
          <w:sz w:val="18"/>
        </w:rPr>
        <w:t xml:space="preserve">Към 31 декември 2014 г. сумите по предварително финансиране, покрити от ГФУ, възлизат на общо 1,8 млрд. EUR (2013 г.: 4,5 млрд. EUR). Намаляването е свързано с факта, че 2014 г. бе последната година за подписване на проекти по линия на 7РП, като за новите проекти бяха налични по-малко средства. ЕС (представляван от Комисията) действа като изпълнител за участниците в ГФУ, но Фондът се притежава от участниците. </w:t>
      </w:r>
    </w:p>
    <w:p w:rsidR="00F50689" w:rsidRPr="00A675FE" w:rsidRDefault="005A36C4" w:rsidP="00F50689">
      <w:pPr>
        <w:pStyle w:val="Textstand-alone"/>
        <w:spacing w:after="0"/>
      </w:pPr>
      <w:r>
        <w:t>Към края на годината ГФУ има активи на обща стойност 1 640 млн. EUR (2013 г.: 1 658 млн. EUR). Активите на ГФУ включват също финансовите активи, които се управляват от генерална дирекция „Икономически и финансови въпроси“. Тъй като ГФУ е отделен субект, активите му не се консолидират в годишните отчети на ЕС.</w:t>
      </w:r>
    </w:p>
    <w:p w:rsidR="00F50689" w:rsidRPr="00A675FE" w:rsidRDefault="005A36C4" w:rsidP="00F50689">
      <w:pPr>
        <w:pStyle w:val="HEADER3Part2"/>
      </w:pPr>
      <w:r>
        <w:t>Други средства, предоставени авансово на държавите членки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F50689" w:rsidP="00F50689">
            <w:pPr>
              <w:pStyle w:val="Text8pItalicLeft"/>
              <w:rPr>
                <w:rFonts w:cs="Verdana"/>
                <w:color w:val="FFFFFF"/>
              </w:rPr>
            </w:pPr>
            <w:bookmarkStart w:id="81" w:name="DOC_TBL00025_1_1"/>
            <w:bookmarkEnd w:id="81"/>
          </w:p>
        </w:tc>
        <w:tc>
          <w:tcPr>
            <w:tcW w:w="2126" w:type="dxa"/>
            <w:tcBorders>
              <w:top w:val="nil"/>
              <w:left w:val="nil"/>
              <w:bottom w:val="nil"/>
              <w:right w:val="nil"/>
            </w:tcBorders>
            <w:tcMar>
              <w:top w:w="0" w:type="dxa"/>
              <w:left w:w="0" w:type="dxa"/>
              <w:bottom w:w="0" w:type="dxa"/>
              <w:right w:w="0" w:type="dxa"/>
            </w:tcMar>
          </w:tcPr>
          <w:p w:rsidR="00F50689" w:rsidRPr="00A675FE"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8pItalicRight025EUR"/>
              <w:rPr>
                <w:rFonts w:cs="Verdana"/>
              </w:rPr>
            </w:pPr>
            <w:r>
              <w:t>млн. EUR</w:t>
            </w:r>
          </w:p>
        </w:tc>
      </w:tr>
      <w:tr w:rsidR="00E7728E" w:rsidRPr="00A675FE">
        <w:tc>
          <w:tcPr>
            <w:tcW w:w="5637" w:type="dxa"/>
            <w:tcBorders>
              <w:top w:val="nil"/>
              <w:left w:val="nil"/>
              <w:bottom w:val="nil"/>
              <w:right w:val="nil"/>
            </w:tcBorders>
            <w:shd w:val="clear" w:color="auto" w:fill="016794"/>
            <w:tcMar>
              <w:top w:w="0" w:type="dxa"/>
              <w:left w:w="0" w:type="dxa"/>
              <w:bottom w:w="0" w:type="dxa"/>
              <w:right w:w="0" w:type="dxa"/>
            </w:tcMar>
          </w:tcPr>
          <w:p w:rsidR="00F50689" w:rsidRPr="00A675FE"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A675FE"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A675FE" w:rsidRDefault="005A36C4" w:rsidP="00F50689">
            <w:pPr>
              <w:pStyle w:val="Heading10pNormalRight025"/>
              <w:rPr>
                <w:rFonts w:cs="Verdana"/>
              </w:rPr>
            </w:pPr>
            <w:r>
              <w:t>31.12.2013 г.</w:t>
            </w:r>
          </w:p>
        </w:tc>
      </w:tr>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9pBoldLeft"/>
              <w:rPr>
                <w:rFonts w:cs="Verdana"/>
              </w:rPr>
            </w:pPr>
            <w:r>
              <w:t>Авансови средства, отпуснати на държавите членки, за финансовите инструменти под режим споделено управление</w:t>
            </w:r>
          </w:p>
        </w:tc>
        <w:tc>
          <w:tcPr>
            <w:tcW w:w="2126" w:type="dxa"/>
            <w:tcBorders>
              <w:top w:val="nil"/>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r>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9pItalicLeft"/>
              <w:rPr>
                <w:rFonts w:cs="Verdana"/>
              </w:rPr>
            </w:pPr>
            <w:r>
              <w:t>Нетекущи</w:t>
            </w:r>
          </w:p>
        </w:tc>
        <w:tc>
          <w:tcPr>
            <w:tcW w:w="2126"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t>2 090</w:t>
            </w:r>
          </w:p>
        </w:tc>
        <w:tc>
          <w:tcPr>
            <w:tcW w:w="1985"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t>2 118</w:t>
            </w:r>
          </w:p>
        </w:tc>
      </w:tr>
      <w:tr w:rsidR="00E7728E" w:rsidRPr="00A675FE">
        <w:tc>
          <w:tcPr>
            <w:tcW w:w="5637"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Text9pItalicLeft"/>
              <w:rPr>
                <w:rFonts w:cs="Verdana"/>
              </w:rPr>
            </w:pPr>
            <w:r>
              <w:t>Текущи</w:t>
            </w:r>
          </w:p>
        </w:tc>
        <w:tc>
          <w:tcPr>
            <w:tcW w:w="2126"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t>1 733</w:t>
            </w:r>
          </w:p>
        </w:tc>
        <w:tc>
          <w:tcPr>
            <w:tcW w:w="1985"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t>2 118</w:t>
            </w:r>
          </w:p>
        </w:tc>
      </w:tr>
      <w:tr w:rsidR="00E7728E" w:rsidRPr="00A675F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Text9pItalicLeft"/>
              <w:rPr>
                <w:rFonts w:cs="Verdana"/>
              </w:rPr>
            </w:pPr>
            <w:r>
              <w:t>Общо</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Pr>
                <w:i w:val="0"/>
              </w:rPr>
              <w:t>3 823</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Pr>
                <w:i w:val="0"/>
              </w:rPr>
              <w:t>4 236</w:t>
            </w:r>
          </w:p>
        </w:tc>
      </w:tr>
      <w:tr w:rsidR="00E7728E" w:rsidRPr="00A675FE">
        <w:tc>
          <w:tcPr>
            <w:tcW w:w="5637"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Text9pBoldLeft"/>
              <w:rPr>
                <w:rFonts w:cs="Verdana"/>
              </w:rPr>
            </w:pPr>
            <w:r>
              <w:t>Схеми за помощ</w:t>
            </w:r>
          </w:p>
        </w:tc>
        <w:tc>
          <w:tcPr>
            <w:tcW w:w="2126" w:type="dxa"/>
            <w:tcBorders>
              <w:top w:val="single" w:sz="4" w:space="0" w:color="016794"/>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c>
          <w:tcPr>
            <w:tcW w:w="1985" w:type="dxa"/>
            <w:tcBorders>
              <w:top w:val="single" w:sz="4" w:space="0" w:color="016794"/>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r>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9pItalicLeft"/>
              <w:rPr>
                <w:rFonts w:cs="Verdana"/>
              </w:rPr>
            </w:pPr>
            <w:r>
              <w:t>Нетекущи</w:t>
            </w:r>
          </w:p>
        </w:tc>
        <w:tc>
          <w:tcPr>
            <w:tcW w:w="2126"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t xml:space="preserve"> 288</w:t>
            </w:r>
          </w:p>
        </w:tc>
        <w:tc>
          <w:tcPr>
            <w:tcW w:w="1985"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t>1 135</w:t>
            </w:r>
          </w:p>
        </w:tc>
      </w:tr>
      <w:tr w:rsidR="00E7728E" w:rsidRPr="00A675FE">
        <w:tc>
          <w:tcPr>
            <w:tcW w:w="5637"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Text9pItalicLeft"/>
              <w:rPr>
                <w:rFonts w:cs="Verdana"/>
              </w:rPr>
            </w:pPr>
            <w:r>
              <w:t>Текущи</w:t>
            </w:r>
          </w:p>
        </w:tc>
        <w:tc>
          <w:tcPr>
            <w:tcW w:w="2126"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t>3 282</w:t>
            </w:r>
          </w:p>
        </w:tc>
        <w:tc>
          <w:tcPr>
            <w:tcW w:w="1985"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t>2 845</w:t>
            </w:r>
          </w:p>
        </w:tc>
      </w:tr>
      <w:tr w:rsidR="00E7728E" w:rsidRPr="00A675FE">
        <w:tc>
          <w:tcPr>
            <w:tcW w:w="5637"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Text9pItalicLeft"/>
              <w:rPr>
                <w:rFonts w:cs="Verdana"/>
              </w:rPr>
            </w:pPr>
            <w:r>
              <w:t>Общо</w:t>
            </w:r>
          </w:p>
        </w:tc>
        <w:tc>
          <w:tcPr>
            <w:tcW w:w="2126"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Pr>
                <w:i w:val="0"/>
              </w:rPr>
              <w:t>3 570</w:t>
            </w:r>
          </w:p>
        </w:tc>
        <w:tc>
          <w:tcPr>
            <w:tcW w:w="1985"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Pr>
                <w:i w:val="0"/>
              </w:rPr>
              <w:t>3 981</w:t>
            </w:r>
          </w:p>
        </w:tc>
      </w:tr>
      <w:tr w:rsidR="00E7728E" w:rsidRPr="00A675FE">
        <w:tc>
          <w:tcPr>
            <w:tcW w:w="5637" w:type="dxa"/>
            <w:tcBorders>
              <w:top w:val="nil"/>
              <w:left w:val="nil"/>
              <w:bottom w:val="nil"/>
              <w:right w:val="nil"/>
            </w:tcBorders>
            <w:shd w:val="clear" w:color="auto" w:fill="CCE1EA"/>
            <w:tcMar>
              <w:top w:w="0" w:type="dxa"/>
              <w:left w:w="0" w:type="dxa"/>
              <w:bottom w:w="0" w:type="dxa"/>
              <w:right w:w="0" w:type="dxa"/>
            </w:tcMar>
          </w:tcPr>
          <w:p w:rsidR="00F50689" w:rsidRPr="00A675FE"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A675FE" w:rsidRDefault="005A36C4" w:rsidP="00F50689">
            <w:pPr>
              <w:pStyle w:val="Figures9pBoldRight025"/>
              <w:rPr>
                <w:rFonts w:cs="Verdana"/>
              </w:rPr>
            </w:pPr>
            <w:r>
              <w:t>7 393</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A675FE" w:rsidRDefault="005A36C4" w:rsidP="00F50689">
            <w:pPr>
              <w:pStyle w:val="Figures9pBoldRight025"/>
              <w:rPr>
                <w:rFonts w:cs="Verdana"/>
              </w:rPr>
            </w:pPr>
            <w:r>
              <w:t>8 216</w:t>
            </w:r>
          </w:p>
        </w:tc>
      </w:tr>
    </w:tbl>
    <w:p w:rsidR="00F50689" w:rsidRDefault="005A36C4" w:rsidP="00F50689">
      <w:pPr>
        <w:pStyle w:val="Textstand-alone"/>
      </w:pPr>
      <w:r>
        <w:t>В рамките на програмите по структурните фондове за периода 2007—2013 г., а също и по линия на Европейския земеделски фонд за развитие на селските райони могат да се извършват авансови плащания от бюджета на ЕС към държавите членки, за да се отпуснат средства за финансовите инструменти (под формата на отпуснати заеми, капиталови инвестиции или гаранции), създадени и управлявани под отговорността на държавите членки (т.е. под режим споделено управление). Средствата, които не са усвоени от тези инструменти към края на годината, са собственост на ЕС (както при цялото предварително финансиране) и поради това се третират като актив в счетоводния баланс на ЕС. При все това обаче основните правни актове не задължават държавите членки да представят периодични доклади на Комисията относно усвояването на тези аванси и в някои случаи държавите членки дори не трябва да ги посочват изрично в декларациите за разходи, изпращани на Комисията. Информацията, която държавите членки съобщават относно неусвоените към края на 2014 г. суми, не е налична достатъчно рано, за да бъде включена в настоящите отчети. Поради това и въз основа на получената от държавите членки информация за неусвоените към 31 декември 2013 г. средства и за извършените през 2014 г. парични преводи, в края на годината се прави приблизителна оценка на стойността на този актив. Освен това тази оценка вече се основава на удължаване на срока за прилагане на тези инструменти от 31 декември 2015 г. до 31 март 2017 г. Общият размер на оставащите средства по тези инструменти към края на годината се оценява въз основа на допускането, че средствата ще бъдат усвоени изцяло и равномерно през оставащия период на действие. В края на този период Комисията ще разгледа реалното усвояване на средствата и ще отрази в отчетите сумите, които не са били усвоени.</w:t>
      </w:r>
    </w:p>
    <w:p w:rsidR="00F50689" w:rsidRDefault="005A36C4" w:rsidP="00F50689">
      <w:pPr>
        <w:pStyle w:val="Textstand-alone"/>
      </w:pPr>
      <w:r>
        <w:t>Общият размер на средствата, които държавите членки са поискали от Комисията за тези инструменти, бе 10 904 млн. EUR, от които към края на годината неплатени останаха 1 088 млн. EUR. През 2014 г. няма платени суми, свързани с периода на програмиране 2014—2020 г.</w:t>
      </w:r>
    </w:p>
    <w:p w:rsidR="00F50689" w:rsidRDefault="005A36C4" w:rsidP="00F50689">
      <w:pPr>
        <w:pStyle w:val="Textstand-alone"/>
        <w:spacing w:after="0"/>
      </w:pPr>
      <w:r>
        <w:t>Подобно на посоченото по-горе, изплатените от държавите членки аванси за различни схеми за помощ (държавна помощ, пазарни мерки на ЕФГЗ), които не са усвоени към края на годината, се записват като активи в счетоводния баланс на Комисията. Комисията е оценила стойността на тези авансови средства въз основа на предоставената от държавите членки информация. Получените суми са включени в подпозициите за схемите за помощ по-горе.</w:t>
      </w:r>
    </w:p>
    <w:p w:rsidR="00F50689" w:rsidRPr="00BC5A0F" w:rsidRDefault="005A36C4" w:rsidP="00F50689">
      <w:pPr>
        <w:pStyle w:val="Textstand-alone"/>
        <w:spacing w:before="0"/>
        <w:sectPr w:rsidR="00F50689" w:rsidRPr="00BC5A0F" w:rsidSect="00F50689">
          <w:headerReference w:type="even" r:id="rId149"/>
          <w:headerReference w:type="default" r:id="rId150"/>
          <w:footerReference w:type="even" r:id="rId151"/>
          <w:footerReference w:type="default" r:id="rId152"/>
          <w:headerReference w:type="first" r:id="rId153"/>
          <w:footerReference w:type="first" r:id="rId154"/>
          <w:pgSz w:w="11906" w:h="16838"/>
          <w:pgMar w:top="1134" w:right="1134" w:bottom="1134" w:left="1134" w:header="709" w:footer="709" w:gutter="0"/>
          <w:cols w:space="708"/>
          <w:docGrid w:linePitch="360"/>
        </w:sectPr>
      </w:pPr>
      <w:r>
        <w:t xml:space="preserve"> </w:t>
      </w:r>
      <w:bookmarkEnd w:id="78"/>
    </w:p>
    <w:p w:rsidR="00F50689" w:rsidRPr="00AB6C89" w:rsidRDefault="005A36C4" w:rsidP="00AC6FC1">
      <w:pPr>
        <w:pStyle w:val="HEADER2Part2"/>
        <w:spacing w:before="240" w:after="0"/>
      </w:pPr>
      <w:bookmarkStart w:id="82" w:name="_DMBM_2628"/>
      <w:r>
        <w:t>ВЗЕМАНИЯ ПО ОПЕРАЦИИ С РАЗМЯНА И СРЕДСТВА, ПОДЛЕЖАЩИ НА СЪБИРАНЕ, ПО ОПЕРАЦИИ БЕЗ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6"/>
        <w:gridCol w:w="1040"/>
        <w:gridCol w:w="1830"/>
        <w:gridCol w:w="1831"/>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3" w:name="DOC_TBL00026_1_1"/>
            <w:bookmarkEnd w:id="83"/>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Нетекущи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Средства, подлежащи на събиране, от операции без размяна</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1 158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478</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Вземания от операции с размяна</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40</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Общо</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1 198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 xml:space="preserve"> 498</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Текущи</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Средства, подлежащи на събиране, от операции без размяна</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13 828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12 478</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Вземания от операции с размяна</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551</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704</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Общо</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14 380</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13 182</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15 578</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13 680</w:t>
            </w:r>
          </w:p>
        </w:tc>
      </w:tr>
    </w:tbl>
    <w:p w:rsidR="00F50689" w:rsidRPr="007A13F2" w:rsidRDefault="005A36C4" w:rsidP="00AC6FC1">
      <w:pPr>
        <w:pStyle w:val="HEADER3Part2"/>
        <w:spacing w:before="120" w:after="0"/>
      </w:pPr>
      <w:r>
        <w:t>Средства, подлежащи на събиране, от операции без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6"/>
        <w:gridCol w:w="1040"/>
        <w:gridCol w:w="1830"/>
        <w:gridCol w:w="1831"/>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4" w:name="DOC_TBL00027_1_1"/>
            <w:bookmarkEnd w:id="84"/>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Нетекущи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Държави членки</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478</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Начислени приходи и разходи за бъдещи периоди</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2.6.1.3</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853</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Общо</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1 158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 xml:space="preserve"> 478</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Текущи</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Държави членки</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10 679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5 574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Глоби</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2.6.1.2</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2 270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4 071</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Начислени приходи и разходи за бъдещи периоди</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2.6.1.3</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832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2 741</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 средства, подлежащи на събиране</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48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92</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Общо</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13 828</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12 478</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14 987</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12 957</w:t>
            </w:r>
          </w:p>
        </w:tc>
      </w:tr>
    </w:tbl>
    <w:p w:rsidR="00F50689" w:rsidRDefault="005A36C4">
      <w:pPr>
        <w:rPr>
          <w:rFonts w:ascii="Verdana" w:hAnsi="Verdana"/>
          <w:color w:val="016794"/>
          <w:sz w:val="18"/>
          <w:szCs w:val="18"/>
        </w:rPr>
      </w:pPr>
      <w:r>
        <w:br w:type="page"/>
      </w:r>
    </w:p>
    <w:p w:rsidR="00F50689" w:rsidRPr="007A13F2" w:rsidRDefault="005A36C4" w:rsidP="0083781B">
      <w:pPr>
        <w:pStyle w:val="HEADER4Part2"/>
        <w:spacing w:before="120" w:after="0"/>
      </w:pPr>
      <w:r>
        <w:t>Средства, подлежащи на събиране от държавите членки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5" w:name="DOC_TBL00028_1_1"/>
            <w:bookmarkEnd w:id="85"/>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Установени в сметка „А“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2 789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Установени в отделната сметка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1 617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1 228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Собствени ресурси за получаване</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5 413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3 054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Обезценка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(1 144)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(743)</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6</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Средства, подлежащи на събиране, в областта на собствените ресурси</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8 686</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3 592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фонд за гарантиране на земеделието (ЕФГЗ)</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2 250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2 294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земеделски фонд за развитие на селските райони (ЕЗФРСР)</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Временен инструмент за развитие на селските райони (ВИРСР)</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45</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Специална предприсъединителна програма за развитие на земеделието и селските райони (САПАРД)</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155</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Обезценка</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(840)</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(819)</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Средства, подлежащи на събиране, в областта на ЕФГЗ и на развитието на селските райони</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1 655</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1 757</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Очаквано събиране на предварително финансиране</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437</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542</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Платен и подлежащ на събиране ДДС</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44</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68</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Други средства, подлежащи на събиране от държавите членки</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 xml:space="preserve"> 161</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 xml:space="preserve"> 94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10 984</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6 053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Нетекущи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Текущи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10 679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5 574</w:t>
            </w:r>
          </w:p>
        </w:tc>
      </w:tr>
    </w:tbl>
    <w:p w:rsidR="00F50689" w:rsidRDefault="005A36C4" w:rsidP="0083781B">
      <w:pPr>
        <w:pStyle w:val="Textstand-alone"/>
        <w:spacing w:before="120" w:after="120"/>
      </w:pPr>
      <w:r>
        <w:t>Нетекущите суми, които държавите членки дължат, са свързани с неизпълнени решения за уравняване с оглед на съответствието за Европейския фонд за гарантиране на земеделието (ЕФГЗ) и Европейския земеделски фонд за развитие на селските райони (ЕЗФРСР), които трябва да бъдат изплатени на годишни траншове и/или с отсрочване.</w:t>
      </w:r>
    </w:p>
    <w:p w:rsidR="00F50689" w:rsidRPr="00F47CA4" w:rsidRDefault="005A36C4" w:rsidP="0083781B">
      <w:pPr>
        <w:pStyle w:val="Textstand-alone"/>
        <w:spacing w:before="120" w:after="120"/>
        <w:rPr>
          <w:b/>
        </w:rPr>
      </w:pPr>
      <w:r>
        <w:rPr>
          <w:b/>
        </w:rPr>
        <w:t>Средства, подлежащи на събиране, в областта на собствените ресурси</w:t>
      </w:r>
    </w:p>
    <w:p w:rsidR="00F50689" w:rsidRDefault="005A36C4" w:rsidP="0083781B">
      <w:pPr>
        <w:pStyle w:val="Textstand-alone"/>
        <w:spacing w:after="120"/>
      </w:pPr>
      <w:r>
        <w:t>Значителното увеличение на средствата, подлежащи на събиране, установени в сметка „А“, се обяснява с мита и налози върху захарта на стойност 2 756 млн. EUR за ноември и декември, които бяха признати като начислени приходи през предходни години.</w:t>
      </w:r>
    </w:p>
    <w:p w:rsidR="00F50689" w:rsidRDefault="005A36C4" w:rsidP="0083781B">
      <w:pPr>
        <w:pStyle w:val="Textstand-alone"/>
        <w:spacing w:after="120"/>
      </w:pPr>
      <w:r>
        <w:t>Размерът на собствените ресурси, които следва да бъдат получени, е свързан с коригиращи бюджети 2—7/2014, приети на 17 декември 2014 г. Съгласно член 10 от Регламент № 1150/2000 на Съвета от 22 май 2000 г. (ОВ L 130, 31.5.2000 г., стр. 1) вписванията, съответстващи на корекциите на вноските собствени ресурси, бяха извършени на първия работен ден на месец февруари 2015 г. Корекциите на националните вноски на база ДДС и БНД на държавите членки в бюджета на ЕС се извършват всяка година на първия работен ден на месец декември. Корекцията през 2014 г. включи големи промени в БНД за годините назад до 2002 г. По тази причина корекцията беше безпрецедентна по размер, възлизайки на 9,5 млрд. EUR общо за всички държави — членки на ЕС.</w:t>
      </w:r>
    </w:p>
    <w:p w:rsidR="00F50689" w:rsidRDefault="005A36C4" w:rsidP="00F50689">
      <w:pPr>
        <w:pStyle w:val="Textstand-alone"/>
      </w:pPr>
      <w:r>
        <w:t>За да се реагира на тази извънредна ситуация, на 18 декември 2014 г. Съветът прие предложение на Комисията, което позволява на държавите членки да отсрочват плащането, без да се начисляват лихви и при строги условия, до 1 септември 2015 г. В съответствие с това 6 държави членки избраха да платят своите корекции през 2015 г. Отсроченото плащане възлиза на 5,4 млрд. EUR, както е включено в таблицата по-горе.</w:t>
      </w:r>
    </w:p>
    <w:p w:rsidR="00F50689" w:rsidRPr="0083781B" w:rsidRDefault="005A36C4" w:rsidP="0083781B">
      <w:pPr>
        <w:pStyle w:val="Textstand-alone"/>
        <w:spacing w:after="120"/>
        <w:rPr>
          <w:b/>
          <w:spacing w:val="-6"/>
        </w:rPr>
      </w:pPr>
      <w:r w:rsidRPr="0083781B">
        <w:rPr>
          <w:b/>
          <w:spacing w:val="-6"/>
        </w:rPr>
        <w:t>Средства, подлежащи на събиране, в областта на ЕФГЗ и на развитието на селските райони</w:t>
      </w:r>
    </w:p>
    <w:p w:rsidR="00F50689" w:rsidRDefault="005A36C4" w:rsidP="00F50689">
      <w:pPr>
        <w:pStyle w:val="Textstand-alone"/>
      </w:pPr>
      <w:r>
        <w:t xml:space="preserve">Тази позиция включва предимно сумите, които държавите членки дължат към 31 декември, декларирани и сертифицирани от тях към 15 октомври. Направена е приблизителна оценка на средствата, подлежащи на събиране, които възникват след това деклариране до 31 декември. Комисията оценява също размера на намаление за сумите, дължими от бенефициерите, които е малко вероятно да бъдат събрани. Фактът, че се прави такава корекция, не означава, че Комисията се отказва от събирането на тези суми в бъдеще. В корекцията е включено и отчисление от 20 %, което съответства на средствата, които държавите членки могат да задържат за покриване на административните </w:t>
      </w:r>
      <w:r w:rsidR="0083781B">
        <w:t>си разходи.</w:t>
      </w:r>
    </w:p>
    <w:p w:rsidR="004F7F0A" w:rsidRDefault="004F7F0A">
      <w:pPr>
        <w:rPr>
          <w:rFonts w:ascii="Verdana" w:hAnsi="Verdana"/>
          <w:color w:val="016794"/>
          <w:sz w:val="18"/>
          <w:szCs w:val="18"/>
        </w:rPr>
      </w:pPr>
      <w:r>
        <w:br w:type="page"/>
      </w:r>
    </w:p>
    <w:p w:rsidR="00F50689" w:rsidRPr="007A13F2" w:rsidRDefault="005A36C4" w:rsidP="00F50689">
      <w:pPr>
        <w:pStyle w:val="HEADER4Part2"/>
      </w:pPr>
      <w:r>
        <w:t>Глоби</w:t>
      </w:r>
    </w:p>
    <w:p w:rsidR="00F50689" w:rsidRPr="000C68CF" w:rsidRDefault="005A36C4" w:rsidP="00F50689">
      <w:pPr>
        <w:pStyle w:val="Textstand-alone"/>
        <w:rPr>
          <w:color w:val="000000" w:themeColor="text1"/>
        </w:rPr>
      </w:pPr>
      <w:r>
        <w:t>Тази позиция се отнася до сумите, които трябва да бъдат събрани във връзка с глоби, наложени от Комисията, в размер на 2 424 млн. EUR (2013 г.: 4 310 млн. EUR) минус намаление от 155 млн. EUR (2013 г.: 239 млн. EUR). За неплатените към края на годината глоби са получени гаранции на обща стойност 1 916 млн. EUR (2013 г.: 3 244 млн. EUR). Следва да бъде отбелязано, че 183 млн. EUR от тези вземания бяха дължими след 31 декември 2014 г.</w:t>
      </w:r>
    </w:p>
    <w:p w:rsidR="00F50689" w:rsidRDefault="005A36C4" w:rsidP="00F50689">
      <w:pPr>
        <w:pStyle w:val="Textstand-alone"/>
      </w:pPr>
      <w:r>
        <w:rPr>
          <w:color w:val="000000" w:themeColor="text1"/>
        </w:rPr>
        <w:t xml:space="preserve">Намалението на салдото на неокончателните глоби към края на годината се дължи на факта, че глоби на обща стойност 4,1 млрд. EUR станаха окончателни и поради това бяха прехвърлени в бюджета през 2014 г. </w:t>
      </w:r>
    </w:p>
    <w:p w:rsidR="00F50689" w:rsidRPr="007A13F2" w:rsidRDefault="005A36C4" w:rsidP="00FF6CE7">
      <w:pPr>
        <w:pStyle w:val="HEADER4Part2"/>
      </w:pPr>
      <w:r>
        <w:t>Начислени приходи и разходи за бъдещи периоди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6" w:name="DOC_TBL00029_1_1"/>
            <w:bookmarkEnd w:id="86"/>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Начислени приходи от собствени ресурси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2 424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Кохезионен фонд и фондове за земеделието и развитието на селските райони: финансови корекции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1 502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 начислени приходи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Обезценка на начислените приходи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Разходи за бъдещи периоди, свързани с операции без размяна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85</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1 686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2 741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Нетекущи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853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Текущи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832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2 741</w:t>
            </w:r>
          </w:p>
        </w:tc>
      </w:tr>
    </w:tbl>
    <w:p w:rsidR="00F50689" w:rsidRDefault="005A36C4" w:rsidP="00F50689">
      <w:pPr>
        <w:pStyle w:val="Textstand-alone"/>
      </w:pPr>
      <w:r>
        <w:t>Следва да се отбележи, че начислените приходи от собствени ресурси (предимно мита от ноември и декември) вече се оповестяват като текущи средства, подлежащи на събиране.</w:t>
      </w:r>
    </w:p>
    <w:p w:rsidR="00F50689" w:rsidRPr="007A13F2" w:rsidRDefault="005A36C4" w:rsidP="00F50689">
      <w:pPr>
        <w:pStyle w:val="HEADER3Part2"/>
      </w:pPr>
      <w:r>
        <w:t>Вземания от операции с размяна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7" w:name="DOC_TBL00030_1_1"/>
            <w:bookmarkEnd w:id="87"/>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Нетекущи</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 вземания</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40</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Text9pNormalLeft"/>
              <w:rPr>
                <w:rFonts w:cs="Verdana"/>
                <w:i/>
              </w:rPr>
            </w:pPr>
            <w:r>
              <w:rPr>
                <w:i/>
              </w:rPr>
              <w:t>Общо</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40</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20</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Текущи</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Клиенти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381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Обезценка на вземанията от клиенти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Разходи за бъдещи периоди, свързани с операции с размяна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352</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224</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71</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Text9pNormalLeft"/>
              <w:rPr>
                <w:rFonts w:cs="Verdana"/>
                <w:i/>
              </w:rPr>
            </w:pPr>
            <w:r>
              <w:rPr>
                <w:i/>
              </w:rPr>
              <w:t>Общо</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551</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704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591</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724</w:t>
            </w:r>
          </w:p>
        </w:tc>
      </w:tr>
    </w:tbl>
    <w:p w:rsidR="00F50689" w:rsidRDefault="005A36C4" w:rsidP="00F50689">
      <w:pPr>
        <w:pStyle w:val="Textstand-alone"/>
        <w:spacing w:before="0" w:after="0"/>
        <w:sectPr w:rsidR="00F50689" w:rsidSect="00F50689">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r>
        <w:t xml:space="preserve"> </w:t>
      </w:r>
      <w:bookmarkEnd w:id="82"/>
    </w:p>
    <w:p w:rsidR="00F50689" w:rsidRDefault="005A36C4" w:rsidP="00F50689">
      <w:pPr>
        <w:pStyle w:val="HEADER2Part2"/>
        <w:spacing w:after="0"/>
      </w:pPr>
      <w:bookmarkStart w:id="88" w:name="_DMBM_2629"/>
      <w:r>
        <w:t>МАТЕРИАЛНИ ЗАПАСИ</w:t>
      </w:r>
    </w:p>
    <w:p w:rsidR="00F50689" w:rsidRPr="00F404F5" w:rsidRDefault="005A36C4" w:rsidP="00F50689">
      <w:pPr>
        <w:pStyle w:val="DGTextstand-alone"/>
        <w:spacing w:before="0"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89" w:name="DOC_TBL00031_1_1"/>
            <w:bookmarkEnd w:id="89"/>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31.12.2013 г.</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Научни материали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81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Други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47</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128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128</w:t>
            </w:r>
          </w:p>
        </w:tc>
      </w:tr>
    </w:tbl>
    <w:p w:rsidR="00F50689" w:rsidRPr="0018243A" w:rsidRDefault="005A36C4" w:rsidP="00F50689">
      <w:pPr>
        <w:pStyle w:val="Textstand-alone"/>
        <w:spacing w:before="0" w:after="0"/>
        <w:sectPr w:rsidR="00F50689" w:rsidRPr="0018243A" w:rsidSect="00F50689">
          <w:headerReference w:type="even" r:id="rId161"/>
          <w:headerReference w:type="default" r:id="rId162"/>
          <w:footerReference w:type="even" r:id="rId163"/>
          <w:footerReference w:type="default" r:id="rId164"/>
          <w:headerReference w:type="first" r:id="rId165"/>
          <w:footerReference w:type="first" r:id="rId166"/>
          <w:type w:val="continuous"/>
          <w:pgSz w:w="11906" w:h="16838"/>
          <w:pgMar w:top="1134" w:right="1134" w:bottom="1134" w:left="1134" w:header="709" w:footer="709" w:gutter="0"/>
          <w:cols w:space="708"/>
          <w:docGrid w:linePitch="360"/>
        </w:sectPr>
      </w:pPr>
      <w:r>
        <w:t xml:space="preserve"> </w:t>
      </w:r>
      <w:bookmarkEnd w:id="88"/>
    </w:p>
    <w:p w:rsidR="00F50689" w:rsidRPr="00624F4F" w:rsidRDefault="005A36C4" w:rsidP="00F50689">
      <w:pPr>
        <w:pStyle w:val="HEADER2Part2"/>
      </w:pPr>
      <w:bookmarkStart w:id="90" w:name="_DMBM_2630"/>
      <w:r>
        <w:t>ПАРИ И ПАРИЧНИ ЕКВИВАЛЕНТИ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9"/>
        <w:gridCol w:w="1040"/>
        <w:gridCol w:w="1829"/>
        <w:gridCol w:w="1829"/>
      </w:tblGrid>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1" w:name="DOC_TBL00032_1_1"/>
            <w:bookmarkEnd w:id="91"/>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cantSplit/>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Сметки към министерствата на финансите и в централните банки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11 840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2 505</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Текущи сметки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168</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Сметки за авансови средства</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Трансфери (парични средства в движение)</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r>
      <w:tr w:rsidR="00E7728E">
        <w:trPr>
          <w:cantSplit/>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 срочни депозити</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28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29</w:t>
            </w:r>
          </w:p>
        </w:tc>
      </w:tr>
      <w:tr w:rsidR="00E7728E">
        <w:trPr>
          <w:cantSplit/>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B82250">
            <w:pPr>
              <w:pStyle w:val="Text9pBoldLeft"/>
              <w:rPr>
                <w:rFonts w:cs="Verdana"/>
              </w:rPr>
            </w:pPr>
            <w:r>
              <w:t>Банкови сметки за изпълнението на бюджета и други срочни депозити</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2.8.1</w:t>
            </w: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12 174</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2 705</w:t>
            </w:r>
          </w:p>
        </w:tc>
      </w:tr>
      <w:tr w:rsidR="00E7728E">
        <w:trPr>
          <w:cantSplit/>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Парични средства, предназначени за финансови инструменти</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2.8.2</w:t>
            </w: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1 275</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1 406</w:t>
            </w:r>
          </w:p>
        </w:tc>
      </w:tr>
      <w:tr w:rsidR="00E7728E">
        <w:trPr>
          <w:cantSplit/>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Парични средства от глоби</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2.8.3</w:t>
            </w: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2 738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4 165</w:t>
            </w:r>
          </w:p>
        </w:tc>
      </w:tr>
      <w:tr w:rsidR="00E7728E" w:rsidRPr="0083781B">
        <w:trPr>
          <w:cantSplit/>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Pr="0083781B" w:rsidRDefault="005A36C4" w:rsidP="00B82250">
            <w:pPr>
              <w:pStyle w:val="Text9pBoldLeft"/>
              <w:rPr>
                <w:rFonts w:cs="Verdana"/>
              </w:rPr>
            </w:pPr>
            <w:r w:rsidRPr="0083781B">
              <w:t>Парични средства, свързани с други институции, агенции и органи</w:t>
            </w:r>
          </w:p>
        </w:tc>
        <w:tc>
          <w:tcPr>
            <w:tcW w:w="851" w:type="dxa"/>
            <w:tcBorders>
              <w:top w:val="single" w:sz="4" w:space="0" w:color="016794"/>
              <w:left w:val="nil"/>
              <w:bottom w:val="nil"/>
              <w:right w:val="nil"/>
            </w:tcBorders>
            <w:tcMar>
              <w:top w:w="0" w:type="dxa"/>
              <w:left w:w="0" w:type="dxa"/>
              <w:bottom w:w="0" w:type="dxa"/>
              <w:right w:w="0" w:type="dxa"/>
            </w:tcMar>
          </w:tcPr>
          <w:p w:rsidR="00F50689" w:rsidRPr="0083781B"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Pr="0083781B" w:rsidRDefault="005A36C4" w:rsidP="00F50689">
            <w:pPr>
              <w:pStyle w:val="Figures9pItalicRight025"/>
              <w:rPr>
                <w:rFonts w:cs="Verdana"/>
                <w:b/>
                <w:i w:val="0"/>
              </w:rPr>
            </w:pPr>
            <w:r w:rsidRPr="0083781B">
              <w:rPr>
                <w:b/>
                <w:i w:val="0"/>
              </w:rPr>
              <w:t>1 358</w:t>
            </w:r>
          </w:p>
        </w:tc>
        <w:tc>
          <w:tcPr>
            <w:tcW w:w="1843" w:type="dxa"/>
            <w:tcBorders>
              <w:top w:val="single" w:sz="4" w:space="0" w:color="016794"/>
              <w:left w:val="nil"/>
              <w:bottom w:val="nil"/>
              <w:right w:val="nil"/>
            </w:tcBorders>
            <w:tcMar>
              <w:top w:w="0" w:type="dxa"/>
              <w:left w:w="0" w:type="dxa"/>
              <w:bottom w:w="0" w:type="dxa"/>
              <w:right w:w="0" w:type="dxa"/>
            </w:tcMar>
          </w:tcPr>
          <w:p w:rsidR="00F50689" w:rsidRPr="0083781B" w:rsidRDefault="005A36C4" w:rsidP="00F50689">
            <w:pPr>
              <w:pStyle w:val="Figures9pItalicRight025"/>
              <w:rPr>
                <w:rFonts w:cs="Verdana"/>
                <w:b/>
                <w:i w:val="0"/>
              </w:rPr>
            </w:pPr>
            <w:r w:rsidRPr="0083781B">
              <w:rPr>
                <w:b/>
                <w:i w:val="0"/>
              </w:rPr>
              <w:t>1 234</w:t>
            </w:r>
          </w:p>
        </w:tc>
      </w:tr>
      <w:tr w:rsidR="00E7728E" w:rsidRPr="0083781B">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83781B" w:rsidRDefault="005A36C4" w:rsidP="00F50689">
            <w:pPr>
              <w:pStyle w:val="Text9pBoldLeft"/>
              <w:rPr>
                <w:rFonts w:cs="Verdana"/>
              </w:rPr>
            </w:pPr>
            <w:r w:rsidRPr="0083781B">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83781B"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83781B" w:rsidRDefault="005A36C4" w:rsidP="00F50689">
            <w:pPr>
              <w:pStyle w:val="Figures9pBoldRight025"/>
              <w:rPr>
                <w:rFonts w:cs="Verdana"/>
              </w:rPr>
            </w:pPr>
            <w:r w:rsidRPr="0083781B">
              <w:t>17 545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83781B" w:rsidRDefault="005A36C4" w:rsidP="00F50689">
            <w:pPr>
              <w:pStyle w:val="Figures9pBoldRight025"/>
              <w:rPr>
                <w:rFonts w:cs="Verdana"/>
              </w:rPr>
            </w:pPr>
            <w:r w:rsidRPr="0083781B">
              <w:t>9 510</w:t>
            </w:r>
          </w:p>
        </w:tc>
      </w:tr>
    </w:tbl>
    <w:p w:rsidR="00F50689" w:rsidRPr="0083781B" w:rsidRDefault="005A36C4" w:rsidP="00F50689">
      <w:pPr>
        <w:pStyle w:val="HEADER3Part2"/>
      </w:pPr>
      <w:r w:rsidRPr="0083781B">
        <w:t>Банкови сметки за изпълнението на бюджета и други срочни депозити</w:t>
      </w:r>
    </w:p>
    <w:p w:rsidR="00F50689" w:rsidRPr="0083781B" w:rsidRDefault="005A36C4" w:rsidP="00F50689">
      <w:pPr>
        <w:pStyle w:val="Textstand-alone"/>
      </w:pPr>
      <w:r w:rsidRPr="0083781B">
        <w:t>Тази позиция обхваща средствата, които Комисията държи в свои сметки във всяка държава членка и държава от ЕАСТ (към министерството на финансите или в централната банка), както и в текущи сметки в търговски банки, в сметки за авансови средства и в каса.</w:t>
      </w:r>
    </w:p>
    <w:p w:rsidR="00F50689" w:rsidRPr="0083781B" w:rsidRDefault="005A36C4" w:rsidP="00F50689">
      <w:pPr>
        <w:pStyle w:val="Textstand-alone"/>
      </w:pPr>
      <w:r w:rsidRPr="0083781B">
        <w:t>Голямото салдо в края на 2014 г. се дължи предимно на вноските собствени ресурси във връзка със салдата по ДДС и по БНД, платени от държавите членки през декември 2014 г., както и на приетите през декември 2014 г. коригиращи бюджети, с които се намаляват вноските на държавите членки, като сумите бяха върнати на държавите членки посредством коригиращи бюджети в началото на 2015 г.</w:t>
      </w:r>
    </w:p>
    <w:p w:rsidR="00F50689" w:rsidRPr="0083781B" w:rsidRDefault="005A36C4" w:rsidP="00F50689">
      <w:pPr>
        <w:pStyle w:val="HEADER3Part2"/>
      </w:pPr>
      <w:r w:rsidRPr="0083781B">
        <w:t>Парични средства, предназначени за финансови инструменти</w:t>
      </w:r>
    </w:p>
    <w:p w:rsidR="00F50689" w:rsidRPr="0083781B" w:rsidRDefault="005A36C4" w:rsidP="00F50689">
      <w:pPr>
        <w:pStyle w:val="Textstand-alone"/>
      </w:pPr>
      <w:r w:rsidRPr="0083781B">
        <w:t>Сумите в тази позиция се отнасят предимно до парични еквиваленти, управлявани от доверени лица от името на Комисията с цел изпълнение на конкретни програми за финансови инструменти, финансирани от бюджета на ЕС. Средствата, предназначени за финансови инструменти, могат да се използват само в съответната програма.</w:t>
      </w:r>
    </w:p>
    <w:p w:rsidR="00F50689" w:rsidRPr="0083781B" w:rsidRDefault="005A36C4" w:rsidP="00F50689">
      <w:pPr>
        <w:pStyle w:val="HEADER3Part2"/>
      </w:pPr>
      <w:r w:rsidRPr="0083781B">
        <w:t>Парични средства от глоби</w:t>
      </w:r>
    </w:p>
    <w:p w:rsidR="00F50689" w:rsidRPr="0083781B" w:rsidRDefault="005A36C4" w:rsidP="00F50689">
      <w:pPr>
        <w:pStyle w:val="Textstand-alone"/>
      </w:pPr>
      <w:r w:rsidRPr="0083781B">
        <w:t>Това са парични средства, получени във връзка с глоби, наложени от Комисията, по които случаят все още не е приключен. Тези суми се държат в специални депозитни сметки, които не се използват за никакви други дейности. При обжалване или когато не е известно дали другата страна ще обжалва, съответната сума се оповестява като условен пасив в бележка </w:t>
      </w:r>
      <w:r w:rsidRPr="0083781B">
        <w:rPr>
          <w:b/>
        </w:rPr>
        <w:t>5.2</w:t>
      </w:r>
      <w:r w:rsidRPr="0083781B">
        <w:t>.</w:t>
      </w:r>
    </w:p>
    <w:p w:rsidR="00F50689" w:rsidRDefault="005A36C4" w:rsidP="00F50689">
      <w:pPr>
        <w:pStyle w:val="Textstand-alone"/>
        <w:spacing w:after="0"/>
      </w:pPr>
      <w:r w:rsidRPr="0083781B">
        <w:t>Намалението на това салдо се дължи на факта, че от 2010 г. всички условно платени глоби се управляват от Комисията в специално създаден за целта фонд (BUFI) и се инвестират във финансови инструменти, категоризирани като обявени за продажба (вж. бележка </w:t>
      </w:r>
      <w:r w:rsidRPr="0083781B">
        <w:rPr>
          <w:b/>
        </w:rPr>
        <w:t>2.4.1</w:t>
      </w:r>
      <w:r w:rsidRPr="0083781B">
        <w:t>).</w:t>
      </w:r>
    </w:p>
    <w:p w:rsidR="00F50689" w:rsidRPr="00A9244D" w:rsidRDefault="005A36C4" w:rsidP="00F50689">
      <w:pPr>
        <w:pStyle w:val="Textstand-alone"/>
        <w:spacing w:before="0"/>
        <w:sectPr w:rsidR="00F50689" w:rsidRPr="00A9244D" w:rsidSect="00F50689">
          <w:headerReference w:type="even" r:id="rId167"/>
          <w:headerReference w:type="default" r:id="rId168"/>
          <w:footerReference w:type="even" r:id="rId169"/>
          <w:footerReference w:type="default" r:id="rId170"/>
          <w:headerReference w:type="first" r:id="rId171"/>
          <w:footerReference w:type="first" r:id="rId172"/>
          <w:pgSz w:w="11906" w:h="16838"/>
          <w:pgMar w:top="1134" w:right="1134" w:bottom="1134" w:left="1134" w:header="709" w:footer="709" w:gutter="0"/>
          <w:cols w:space="708"/>
          <w:docGrid w:linePitch="360"/>
        </w:sectPr>
      </w:pPr>
      <w:r>
        <w:t xml:space="preserve"> </w:t>
      </w:r>
      <w:bookmarkEnd w:id="90"/>
    </w:p>
    <w:p w:rsidR="00F50689" w:rsidRDefault="005A36C4" w:rsidP="00F50689">
      <w:pPr>
        <w:pStyle w:val="HEADERTABLE"/>
        <w:spacing w:after="0"/>
      </w:pPr>
      <w:bookmarkStart w:id="92" w:name="_DMBM_2631"/>
      <w:r>
        <w:t>ПАСИВИ</w:t>
      </w:r>
    </w:p>
    <w:p w:rsidR="00F50689" w:rsidRPr="00A15F0C" w:rsidRDefault="005A36C4" w:rsidP="00F50689">
      <w:pPr>
        <w:pStyle w:val="Textstand-alone"/>
        <w:spacing w:before="0" w:after="0"/>
        <w:sectPr w:rsidR="00F50689" w:rsidRPr="00A15F0C" w:rsidSect="00F50689">
          <w:headerReference w:type="even" r:id="rId173"/>
          <w:headerReference w:type="default" r:id="rId174"/>
          <w:footerReference w:type="even" r:id="rId175"/>
          <w:footerReference w:type="default" r:id="rId176"/>
          <w:headerReference w:type="first" r:id="rId177"/>
          <w:footerReference w:type="first" r:id="rId178"/>
          <w:pgSz w:w="11906" w:h="16838"/>
          <w:pgMar w:top="1134" w:right="1134" w:bottom="1134" w:left="1134" w:header="709" w:footer="709" w:gutter="0"/>
          <w:cols w:space="708"/>
          <w:docGrid w:linePitch="360"/>
        </w:sectPr>
      </w:pPr>
      <w:r>
        <w:t xml:space="preserve"> </w:t>
      </w:r>
      <w:bookmarkEnd w:id="92"/>
    </w:p>
    <w:p w:rsidR="00F50689" w:rsidRDefault="005A36C4" w:rsidP="00F50689">
      <w:pPr>
        <w:pStyle w:val="HEADER2Part2"/>
        <w:spacing w:before="0" w:after="0"/>
      </w:pPr>
      <w:bookmarkStart w:id="93" w:name="_DMBM_2632"/>
      <w:r>
        <w:t>ПЕНСИИ И ДРУГИ ДОХОДИ НА ЗАЕТИ ЛИЦА</w:t>
      </w:r>
    </w:p>
    <w:p w:rsidR="00F50689" w:rsidRDefault="005A36C4" w:rsidP="00F50689">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6"/>
        <w:gridCol w:w="1040"/>
        <w:gridCol w:w="1830"/>
        <w:gridCol w:w="1831"/>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4" w:name="DOC_TBL00033_1_1"/>
            <w:bookmarkEnd w:id="94"/>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Пенсии — Персонал </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2.9.1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50 897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40 933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Пенсии — Други</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2.9.2</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1 322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1 016</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Обща система за здравно осигуряване</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2.9.3</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6 396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4 869</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58 616</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46 818</w:t>
            </w:r>
          </w:p>
        </w:tc>
      </w:tr>
    </w:tbl>
    <w:p w:rsidR="00F50689" w:rsidRPr="0068029E" w:rsidRDefault="005A36C4" w:rsidP="00F50689">
      <w:pPr>
        <w:pStyle w:val="Textstand-alone"/>
      </w:pPr>
      <w:r>
        <w:t>Значителното увеличение на задължението, свързано с доходите на заети лица, се обяснява с голямото намаление на прилагания дисконтов процент, което води до голяма актюерска загуба за годината (9,2 млрд. EUR).</w:t>
      </w:r>
    </w:p>
    <w:p w:rsidR="00F50689" w:rsidRPr="0068029E" w:rsidRDefault="005A36C4" w:rsidP="00F50689">
      <w:pPr>
        <w:pStyle w:val="Textstand-alone"/>
      </w:pPr>
      <w:r>
        <w:t xml:space="preserve">Както е показано по-долу, реалният дисконтов процент намаля съществено от 1,8 % на 0,7 %, което отразява икономическите условия, от които той зависи. Само с тази промяна се обяснява почти цялото увеличение на задължението, тъй като промените на други променливи (като например нови членове, разходи за трудов стаж и разходи за лихви) бяха в съответствие с цифрите за предходната година. Такива актюерски колебания трябва да се очакват предвид на международно прилаганите счетоводни правила и настоящата икономическа среда — ако лихвените проценти се повишат, се очаква обратният ефект. </w:t>
      </w:r>
    </w:p>
    <w:p w:rsidR="00F50689" w:rsidRDefault="005A36C4" w:rsidP="00F50689">
      <w:pPr>
        <w:pStyle w:val="Textstand-alone"/>
      </w:pPr>
      <w:r>
        <w:t>Освен това, тъй като това е актюерска оценка на стойността на цялото задължение в даден момент (31 декември 2014 г.) и се основава на различни предположения, валидни към този момент, тази загуба не показва реалните разходи за сметка на бюджета на ЕС. Освен това тази оценка не се отразява на сумите, които следва да бъдат изплатени на пенсионерите от бюджета на ЕС през идните години — тези плащания вече са оценени в МФР за периода 2014—2020 г. и ще бъдат изпълнявани посредством годишния бюджетен процес.</w:t>
      </w:r>
    </w:p>
    <w:p w:rsidR="00F50689" w:rsidRPr="00402941" w:rsidRDefault="005A36C4" w:rsidP="00F50689">
      <w:pPr>
        <w:pStyle w:val="HEADER3Part2"/>
      </w:pPr>
      <w:r>
        <w:t>Пенсии — Персонал</w:t>
      </w:r>
    </w:p>
    <w:p w:rsidR="00F50689" w:rsidRDefault="005A36C4" w:rsidP="00F50689">
      <w:pPr>
        <w:pStyle w:val="Textstand-alone"/>
      </w:pPr>
      <w:r>
        <w:t>В съответствие с член 83 от Правилника за персонала плащанията на доходите, предвидени в пенсионноосигурителната схема (PSEO: Pension Scheme of European Officials), представляват разход за бюджета на ЕС. Схемата не се финансира, но държавите членки колективно гарантират изплащането на тези доходи в съответствие с таблицата, определена за финансирането на този разход. Освен това длъжностните лица внасят една трета от неговия размер за дългосрочното финансиране на тази схема чрез задължителна вноска от техните заплати.</w:t>
      </w:r>
    </w:p>
    <w:p w:rsidR="00F50689" w:rsidRDefault="005A36C4" w:rsidP="00F50689">
      <w:pPr>
        <w:pStyle w:val="Textstand-alone"/>
      </w:pPr>
      <w:r>
        <w:t xml:space="preserve">Задълженията на пенсионноосигурителната схема бяха оценени въз основа на броя на служителите и на пенсионираните служители към 31 декември 2014 г. и на правилата на Правилника за персонала, приложими към тази дата. Тази оценка беше извършена в съответствие с методиката на МССПС 25 (а следователно и на счетоводно правило 12 на ЕС). Методът, използван за </w:t>
      </w:r>
      <w:r w:rsidRPr="00B03FA7">
        <w:t>изчисляването на този пасив, е кредитният метод на прогнозираните единици. При оценяването бяха използвани следните основни актюерски предположения във връзка със задължението, свързано с пенсиите на персонала: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bookmarkStart w:id="95" w:name="DOC_TBL00041_1_1"/>
            <w:bookmarkEnd w:id="95"/>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Номинален дисконтов процент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2,0 %</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3,7 %</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Очаквана инфлация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1,9 %</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Реален дисконтов процент</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0,7 %</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1,8 %</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Вероятност да бъде сключен брак: мъж/жена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81 %/49 %</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81 %/49 %</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Общо нарастване на заплатата/преоценка на пенсията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(0,2) %</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(0,2) %</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Международна таблица „Живот“ за публичните служители (ICSLT)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ICSLT 2013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ICSLT 2013</w:t>
            </w:r>
          </w:p>
        </w:tc>
      </w:tr>
    </w:tbl>
    <w:p w:rsidR="00F50689" w:rsidRPr="00402941" w:rsidRDefault="005A36C4" w:rsidP="00F50689">
      <w:pPr>
        <w:pStyle w:val="HEADER3Part2"/>
      </w:pPr>
      <w:r>
        <w:t>Пенсии — Други</w:t>
      </w:r>
    </w:p>
    <w:p w:rsidR="00F50689" w:rsidRDefault="005A36C4" w:rsidP="00F50689">
      <w:pPr>
        <w:pStyle w:val="Textstand-alone"/>
      </w:pPr>
      <w:r>
        <w:t>Тази позиция се отнася до пасива, свързан с пенсионните задължения към членовете и бившите членове на Комисията, Съда (и Общия съд) и Сметната палата, генералните секретари на Съвета, Омбудсмана, Европейския надзорен орган по защита на данните и Съда на публичната служба на Европейския съюз. Също включен в тази позиция е пасив, свързан с пенсиите на членовете на Европейския парламент.</w:t>
      </w:r>
    </w:p>
    <w:p w:rsidR="00F50689" w:rsidRPr="00402941" w:rsidRDefault="005A36C4" w:rsidP="00226A4D">
      <w:pPr>
        <w:pStyle w:val="HEADER3Part2"/>
        <w:spacing w:before="240" w:after="240"/>
      </w:pPr>
      <w:r>
        <w:t>Обща система за здравно осигуряване</w:t>
      </w:r>
    </w:p>
    <w:p w:rsidR="00F50689" w:rsidRDefault="005A36C4" w:rsidP="00F50689">
      <w:pPr>
        <w:pStyle w:val="Textstand-alone"/>
      </w:pPr>
      <w:r>
        <w:t>Направена е и оценка на очакваното задължение на ЕС във връзка със служителите в пенсия, що се отнася до общата система за здравно осигуряване. Дисконтовият процент и общото нарастване на заплатите, използвани при изчислението, са съгласувани с тези, използвани при оценяването на пенсиите на служителите. Поради това причините за движенията на задължението са сходни с тези за задължението, свързано с пенсиите на персонала.</w:t>
      </w:r>
    </w:p>
    <w:p w:rsidR="00F50689" w:rsidRDefault="005A36C4" w:rsidP="00BB1B4E">
      <w:pPr>
        <w:pStyle w:val="HEADER5"/>
      </w:pPr>
      <w:r>
        <w:t>Движение на задълженията, свързани с доходите на заети лица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2544"/>
        <w:gridCol w:w="2544"/>
        <w:gridCol w:w="1442"/>
      </w:tblGrid>
      <w:tr w:rsidR="00E7728E">
        <w:tc>
          <w:tcPr>
            <w:tcW w:w="322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6" w:name="DOC_TBL00034_1_1"/>
            <w:bookmarkEnd w:id="96"/>
          </w:p>
        </w:tc>
        <w:tc>
          <w:tcPr>
            <w:tcW w:w="2551"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2552"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322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Пенсии — Персонал</w:t>
            </w: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Пенсии — Други</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Обща система за здравно осигуряване</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Брутно задължение към 31.12.2013 г.</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45 947</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1 289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5 133</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Разходи за трудов стаж/обичайни разходи </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2 153</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62</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Разходи за лихви</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1 683</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49</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Изплатени доходи</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(1 368)</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(68)</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Актюерски загуби*</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8 255</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1 554</w:t>
            </w:r>
          </w:p>
        </w:tc>
      </w:tr>
      <w:tr w:rsidR="00E7728E">
        <w:tc>
          <w:tcPr>
            <w:tcW w:w="322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Промяна, дължаща се на новодошли лица</w:t>
            </w:r>
          </w:p>
        </w:tc>
        <w:tc>
          <w:tcPr>
            <w:tcW w:w="25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461</w:t>
            </w:r>
          </w:p>
        </w:tc>
        <w:tc>
          <w:tcPr>
            <w:tcW w:w="255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67</w:t>
            </w:r>
          </w:p>
        </w:tc>
        <w:tc>
          <w:tcPr>
            <w:tcW w:w="141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322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Брутно задължение към 31.12.2014 г.</w:t>
            </w:r>
          </w:p>
        </w:tc>
        <w:tc>
          <w:tcPr>
            <w:tcW w:w="25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57 131</w:t>
            </w:r>
          </w:p>
        </w:tc>
        <w:tc>
          <w:tcPr>
            <w:tcW w:w="255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1 606</w:t>
            </w:r>
          </w:p>
        </w:tc>
        <w:tc>
          <w:tcPr>
            <w:tcW w:w="141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6 668</w:t>
            </w:r>
          </w:p>
        </w:tc>
      </w:tr>
      <w:tr w:rsidR="00E7728E">
        <w:tc>
          <w:tcPr>
            <w:tcW w:w="322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Корекционни коефициенти, приложени спрямо пенсиите</w:t>
            </w:r>
          </w:p>
        </w:tc>
        <w:tc>
          <w:tcPr>
            <w:tcW w:w="255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1 371</w:t>
            </w:r>
          </w:p>
        </w:tc>
        <w:tc>
          <w:tcPr>
            <w:tcW w:w="255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41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Приспадане на данъците върху пенсиите</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(7 605)</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(119)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Активи на плана</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(165)</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(272)</w:t>
            </w:r>
          </w:p>
        </w:tc>
      </w:tr>
      <w:tr w:rsidR="00E7728E">
        <w:tc>
          <w:tcPr>
            <w:tcW w:w="322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Нетно задължение към 31.12.2014 г.</w:t>
            </w: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50 897</w:t>
            </w:r>
          </w:p>
        </w:tc>
        <w:tc>
          <w:tcPr>
            <w:tcW w:w="25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1 322</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6 396</w:t>
            </w:r>
          </w:p>
        </w:tc>
      </w:tr>
    </w:tbl>
    <w:p w:rsidR="00F50689" w:rsidRPr="00101459" w:rsidRDefault="005A36C4" w:rsidP="00101459">
      <w:pPr>
        <w:pStyle w:val="Textstand-alone"/>
        <w:spacing w:before="60" w:after="0"/>
        <w:rPr>
          <w:i/>
          <w:sz w:val="14"/>
        </w:rPr>
      </w:pPr>
      <w:r>
        <w:rPr>
          <w:i/>
          <w:sz w:val="14"/>
        </w:rPr>
        <w:t>* Брутни актюерски загуби преди данъчно облагане и корекционни коефициенти.</w:t>
      </w:r>
    </w:p>
    <w:p w:rsidR="00F50689" w:rsidRDefault="00F50689" w:rsidP="00F50689">
      <w:pPr>
        <w:pStyle w:val="Textstand-alone"/>
        <w:spacing w:before="0" w:after="0"/>
      </w:pPr>
    </w:p>
    <w:p w:rsidR="00F50689" w:rsidRPr="00226A4D" w:rsidRDefault="005A36C4" w:rsidP="00BB1B4E">
      <w:pPr>
        <w:pStyle w:val="HEADER5"/>
        <w:rPr>
          <w:spacing w:val="-4"/>
        </w:rPr>
      </w:pPr>
      <w:r w:rsidRPr="00226A4D">
        <w:rPr>
          <w:spacing w:val="-4"/>
        </w:rPr>
        <w:t>5-годишна тенденция на задължението, свързано с пенсиите и другите доходи на заети лица</w:t>
      </w:r>
    </w:p>
    <w:p w:rsidR="00F50689" w:rsidRDefault="00F50689" w:rsidP="00F50689">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1542"/>
        <w:gridCol w:w="1542"/>
        <w:gridCol w:w="1542"/>
        <w:gridCol w:w="1542"/>
        <w:gridCol w:w="1549"/>
      </w:tblGrid>
      <w:tr w:rsidR="00E7728E">
        <w:tc>
          <w:tcPr>
            <w:tcW w:w="3210"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7" w:name="DOC_TBL00035_1_1"/>
            <w:bookmarkEnd w:id="97"/>
          </w:p>
        </w:tc>
        <w:tc>
          <w:tcPr>
            <w:tcW w:w="127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0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31.12.2010 г.</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31.12.2011 г.</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31.12.2012 г.</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r>
      <w:tr w:rsidR="00E7728E">
        <w:tc>
          <w:tcPr>
            <w:tcW w:w="321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Задължение, свързано с доходите на заети лица</w:t>
            </w:r>
          </w:p>
        </w:tc>
        <w:tc>
          <w:tcPr>
            <w:tcW w:w="127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37 172</w:t>
            </w:r>
          </w:p>
        </w:tc>
        <w:tc>
          <w:tcPr>
            <w:tcW w:w="130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34 835</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42 503</w:t>
            </w:r>
          </w:p>
        </w:tc>
        <w:tc>
          <w:tcPr>
            <w:tcW w:w="11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46 818</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58 616</w:t>
            </w:r>
          </w:p>
        </w:tc>
      </w:tr>
    </w:tbl>
    <w:p w:rsidR="00F50689" w:rsidRDefault="00F50689" w:rsidP="00F50689">
      <w:pPr>
        <w:pStyle w:val="Textstand-alone"/>
        <w:spacing w:before="0" w:after="0"/>
      </w:pPr>
    </w:p>
    <w:p w:rsidR="00F50689" w:rsidRDefault="005A36C4" w:rsidP="00F50689">
      <w:pPr>
        <w:pStyle w:val="Textstand-alone"/>
        <w:spacing w:before="0" w:after="0"/>
        <w:sectPr w:rsidR="00F50689" w:rsidSect="00F50689">
          <w:headerReference w:type="even" r:id="rId179"/>
          <w:headerReference w:type="default" r:id="rId180"/>
          <w:footerReference w:type="even" r:id="rId181"/>
          <w:footerReference w:type="default" r:id="rId182"/>
          <w:headerReference w:type="first" r:id="rId183"/>
          <w:footerReference w:type="first" r:id="rId184"/>
          <w:type w:val="continuous"/>
          <w:pgSz w:w="11906" w:h="16838"/>
          <w:pgMar w:top="1134" w:right="1134" w:bottom="1134" w:left="1134" w:header="709" w:footer="709" w:gutter="0"/>
          <w:cols w:space="708"/>
          <w:docGrid w:linePitch="360"/>
        </w:sectPr>
      </w:pPr>
      <w:r>
        <w:t xml:space="preserve"> </w:t>
      </w:r>
      <w:bookmarkEnd w:id="93"/>
    </w:p>
    <w:p w:rsidR="00F50689" w:rsidRDefault="005A36C4" w:rsidP="00F50689">
      <w:pPr>
        <w:pStyle w:val="HEADER2Part2"/>
        <w:spacing w:after="0"/>
      </w:pPr>
      <w:bookmarkStart w:id="98" w:name="_DMBM_2633"/>
      <w:r>
        <w:t>ПРОВИЗИИ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1134"/>
        <w:gridCol w:w="1134"/>
        <w:gridCol w:w="1134"/>
        <w:gridCol w:w="992"/>
        <w:gridCol w:w="1276"/>
        <w:gridCol w:w="1417"/>
      </w:tblGrid>
      <w:tr w:rsidR="00E7728E">
        <w:trPr>
          <w:trHeight w:val="274"/>
        </w:trPr>
        <w:tc>
          <w:tcPr>
            <w:tcW w:w="138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9" w:name="DOC_TBL00036_1_1"/>
            <w:bookmarkEnd w:id="99"/>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138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Сума към 31.12.2013 г.</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Допълнителни провизии</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Сторнирани неизползвани суми</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Използвани суми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Трансфер към текущи</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Промяна в очакваната стойност</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Сума към 31.12.2014 г.</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Съдебни дела</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487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567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728</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Демонтаж на ядрени обекти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963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1 091</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Финансови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282</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117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(0)</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332</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Глоби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135</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94</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(73)</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102</w:t>
            </w:r>
          </w:p>
        </w:tc>
      </w:tr>
      <w:tr w:rsidR="00E7728E">
        <w:tc>
          <w:tcPr>
            <w:tcW w:w="138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t>Общо</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1 867</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807</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(150)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(409)</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168</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2 282</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Нетекущи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1 323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(69)</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1 537</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Текущи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545</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566</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(381)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69</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745</w:t>
            </w:r>
          </w:p>
        </w:tc>
      </w:tr>
    </w:tbl>
    <w:p w:rsidR="00F50689" w:rsidRDefault="005A36C4" w:rsidP="00F50689">
      <w:pPr>
        <w:pStyle w:val="DGTextstand-alone"/>
        <w:spacing w:before="0" w:after="0"/>
      </w:pPr>
      <w:r>
        <w:t xml:space="preserve"> </w:t>
      </w:r>
    </w:p>
    <w:p w:rsidR="00BB1B4E" w:rsidRDefault="00BB1B4E" w:rsidP="00F50689">
      <w:pPr>
        <w:pStyle w:val="HEADER5"/>
      </w:pPr>
    </w:p>
    <w:p w:rsidR="00F50689" w:rsidRDefault="005A36C4" w:rsidP="00F50689">
      <w:pPr>
        <w:pStyle w:val="HEADER5"/>
      </w:pPr>
      <w:r>
        <w:t>Съдебни дела</w:t>
      </w:r>
    </w:p>
    <w:p w:rsidR="00BB1B4E" w:rsidRPr="00226A4D" w:rsidRDefault="005A36C4" w:rsidP="001D39BE">
      <w:pPr>
        <w:pStyle w:val="Textstand-alone"/>
        <w:spacing w:before="120"/>
      </w:pPr>
      <w:r>
        <w:t xml:space="preserve">Това са очакваните суми, които вероятно ще трябва да бъдат платени след края на годината във връзка с редица продължаващи съдебни дела. Увеличението на провизията се дължи предимно на загубени съдебни дела във връзка с ЕФРР. Това значително увеличение бе компенсирано само частично с неусвоени суми, свързани с уреждането на дело в областта на традиционните собствени ресурси, отнасящо се до налозите върху захарта (вж. също бележка </w:t>
      </w:r>
      <w:r>
        <w:rPr>
          <w:b/>
        </w:rPr>
        <w:t>3.2</w:t>
      </w:r>
      <w:r>
        <w:t>).</w:t>
      </w:r>
    </w:p>
    <w:p w:rsidR="00F50689" w:rsidRDefault="005A36C4" w:rsidP="00F50689">
      <w:pPr>
        <w:pStyle w:val="HEADER5"/>
      </w:pPr>
      <w:r>
        <w:t>Демонтаж на ядрени обекти</w:t>
      </w:r>
    </w:p>
    <w:p w:rsidR="00F50689" w:rsidRDefault="005A36C4" w:rsidP="00F50689">
      <w:pPr>
        <w:pStyle w:val="Textstand-alone"/>
      </w:pPr>
      <w:r>
        <w:t>През 2012 г. група от независими експерти актуализира своето проучване от 2008 г. на очакваните разходи за програмата на Съвместния изследователски център (JRC) за извеждане от експлоатация на ядрените съоръжения и управление на отпадъците. Тяхната оценка в размер на 989 млн. EUR (преди това 1 222 млн. EUR) бе взета като основа за тази провизия. През 2014 г. тази основа за провизията отново беше актуализирана в съответствие с актуализираната стратегия на JRC относно извеждането от експлоатация и управлението на отпадъците (D&amp;WM) за 2014 г. Тя е съобразена с коментарите, изразени в извършения от външни експерти преглед на програмата D&amp;WM на JRC. В съответствие със счетоводните правила на ЕС тази провизия се индексира с инфлацията, след което се дисконтира до нетната си сегашна стойност (като се използва суаповата крива с нулев купон в евро). Към 31 декември 2014 г. това води до провизия в размер на 1 091 млн. EUR, разпределени между сумите, които се очаква да бъдат използвани през 2015 г. (27 млн. EUR) и след това (1 064 млн. EUR).</w:t>
      </w:r>
    </w:p>
    <w:p w:rsidR="00F50689" w:rsidRDefault="005A36C4" w:rsidP="00F50689">
      <w:pPr>
        <w:pStyle w:val="Textstand-alone"/>
      </w:pPr>
      <w:r>
        <w:t>С оглед на очакваната продължителност на тази програма (около 20 години) следва да бъде посочено, че има известна несигурност по отношение на тази оценка и окончателният разход може да се различава от отчетените понастоящем суми.</w:t>
      </w:r>
    </w:p>
    <w:p w:rsidR="00F50689" w:rsidRDefault="005A36C4" w:rsidP="00F50689">
      <w:pPr>
        <w:pStyle w:val="HEADER5"/>
      </w:pPr>
      <w:r>
        <w:t>Финансови провизии</w:t>
      </w:r>
    </w:p>
    <w:p w:rsidR="00BB1B4E" w:rsidRDefault="005A36C4" w:rsidP="001D39BE">
      <w:pPr>
        <w:pStyle w:val="Textstand-alone"/>
        <w:spacing w:before="120" w:after="0"/>
      </w:pPr>
      <w:r>
        <w:t>Те се отнасят предимно до провизиите, представляващи очакваните загуби, които ще бъдат претърпени във връзка с гаранциите, предоставени от различните финансови инструменти, при които Европейският инвестиционен фонд (ЕИФ) и Европейската инвестиционна банка (ЕИБ) са оправомощени да издават гаранции на свое име, но от името и на риска на Комисията. Финансовият риск, свързан със задействаните и незадействаните гаранции, обаче е ограничен. Нетекущите финансови провизии се дисконтират до нетната си сегашна стойност (като се използва годишният процент на суаповете в евро).</w:t>
      </w:r>
    </w:p>
    <w:p w:rsidR="00F50689" w:rsidRPr="00FD56B3" w:rsidRDefault="005A36C4" w:rsidP="00F50689">
      <w:pPr>
        <w:pStyle w:val="Textstand-alone"/>
        <w:spacing w:after="0"/>
        <w:sectPr w:rsidR="00F50689" w:rsidRPr="00FD56B3" w:rsidSect="00F50689">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r>
        <w:t xml:space="preserve">  </w:t>
      </w:r>
      <w:bookmarkEnd w:id="98"/>
    </w:p>
    <w:p w:rsidR="00F50689" w:rsidRPr="00352097" w:rsidRDefault="005A36C4" w:rsidP="001D39BE">
      <w:pPr>
        <w:pStyle w:val="HEADER2Part2"/>
        <w:spacing w:before="120" w:after="120"/>
      </w:pPr>
      <w:bookmarkStart w:id="100" w:name="_DMBM_2634"/>
      <w:r>
        <w:t>ФИНАНСОВИ ПАСИВИ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6"/>
        <w:gridCol w:w="1040"/>
        <w:gridCol w:w="1830"/>
        <w:gridCol w:w="1831"/>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1" w:name="DOC_TBL00037_1_1"/>
            <w:bookmarkEnd w:id="101"/>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Нетекущи финансови пасиви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Получени заеми</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2.11.1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49 743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54 153</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 финансови пасиви</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2.11.2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2 108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2 216</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Общо</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51 851</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56 369</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Текущи финансови пасиви</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Получени заеми</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2.11.1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8 727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3 065</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 финансови пасиви</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2.11.2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101</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99</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Общо</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8 828</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3 163</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60 680</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59 533</w:t>
            </w:r>
          </w:p>
        </w:tc>
      </w:tr>
    </w:tbl>
    <w:p w:rsidR="00F50689" w:rsidRPr="00352097" w:rsidRDefault="005A36C4" w:rsidP="001D39BE">
      <w:pPr>
        <w:pStyle w:val="HEADER3Part2"/>
        <w:spacing w:before="240" w:after="0"/>
      </w:pPr>
      <w:r>
        <w:t>Получени заеми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2" w:name="DOC_TBL00038_1_1"/>
            <w:bookmarkEnd w:id="102"/>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Получени заеми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58 491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57 237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Изключване: Гаранционен фонд за външни дейности*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58 470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57 218</w:t>
            </w:r>
          </w:p>
        </w:tc>
      </w:tr>
    </w:tbl>
    <w:p w:rsidR="00F50689" w:rsidRPr="00101459" w:rsidRDefault="005A36C4" w:rsidP="00F50689">
      <w:pPr>
        <w:pStyle w:val="Textstand-alone"/>
        <w:spacing w:before="60"/>
        <w:rPr>
          <w:i/>
          <w:sz w:val="14"/>
        </w:rPr>
      </w:pPr>
      <w:r>
        <w:rPr>
          <w:i/>
          <w:sz w:val="14"/>
        </w:rPr>
        <w:t>* Гаранционният фонд за външни дейности държи облигации по ЕМФС, емитирани от Комисията, поради което те трябва да бъдат изключени.</w:t>
      </w:r>
    </w:p>
    <w:p w:rsidR="00BB1B4E" w:rsidRDefault="00BB1B4E">
      <w:pPr>
        <w:rPr>
          <w:rFonts w:ascii="Verdana" w:hAnsi="Verdana"/>
          <w:b/>
          <w:color w:val="016794"/>
          <w:sz w:val="18"/>
          <w:szCs w:val="18"/>
        </w:rPr>
      </w:pPr>
      <w:r>
        <w:br w:type="page"/>
      </w:r>
    </w:p>
    <w:p w:rsidR="00F50689" w:rsidRDefault="005A36C4" w:rsidP="00F50689">
      <w:pPr>
        <w:pStyle w:val="HEADER5"/>
      </w:pPr>
      <w:r>
        <w:t>Получени заеми по финансови инструменти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077"/>
        <w:gridCol w:w="1077"/>
        <w:gridCol w:w="1078"/>
        <w:gridCol w:w="1077"/>
        <w:gridCol w:w="1078"/>
        <w:gridCol w:w="1417"/>
      </w:tblGrid>
      <w:tr w:rsidR="00E7728E">
        <w:tc>
          <w:tcPr>
            <w:tcW w:w="2943"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3" w:name="DOC_TBL00039_1_1"/>
            <w:bookmarkEnd w:id="103"/>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247"/>
        </w:trPr>
        <w:tc>
          <w:tcPr>
            <w:tcW w:w="294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МФП</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Евратом</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ПБ</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ЕМФС</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ЕОВС в ликвидация</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Общо</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Общо към 31.12.2013 г.</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569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387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11 623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44 468</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57 237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Нови получени заеми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1 360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4 360</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Възстановени суми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(3 135)</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Курсови разлики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Промени в балансовите стойности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w:t>
            </w:r>
          </w:p>
        </w:tc>
      </w:tr>
      <w:tr w:rsidR="00E7728E">
        <w:trPr>
          <w:trHeight w:val="247"/>
        </w:trPr>
        <w:tc>
          <w:tcPr>
            <w:tcW w:w="29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към 31.12.2014 г.</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1 842</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349</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8 590</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47 507</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203</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58 491</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Нетекущи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1 762</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299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5 700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41 800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193</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49 754</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Текущи</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2 890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5 707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8 737</w:t>
            </w:r>
          </w:p>
        </w:tc>
      </w:tr>
    </w:tbl>
    <w:p w:rsidR="00F50689" w:rsidRDefault="005A36C4" w:rsidP="00F50689">
      <w:pPr>
        <w:pStyle w:val="Textstand-alone"/>
      </w:pPr>
      <w:r>
        <w:t>Получените заеми на стойност 58 261 млн. EUR (2013 г.: 56 981 млн. EUR) включват също дълговете, удостоверени със сертификати. Промените в балансовата стойност съответстват на промяната в начислените лихви.</w:t>
      </w:r>
    </w:p>
    <w:p w:rsidR="00F50689" w:rsidRDefault="005A36C4" w:rsidP="00F50689">
      <w:pPr>
        <w:pStyle w:val="Textstand-alone"/>
      </w:pPr>
      <w:r>
        <w:t>Текущото/нетекущото представяне на получените заеми в счетоводния баланс на Комисията (напр. МФП, Евратом, ПБ и ЕМФС) бе подобрено — от идеята да се гледа само крайният падеж на заема бе преминато на идеята да се гледат дължимите погасявания към края на годината.</w:t>
      </w:r>
    </w:p>
    <w:p w:rsidR="00F50689" w:rsidRDefault="005A36C4" w:rsidP="00BB1B4E">
      <w:pPr>
        <w:pStyle w:val="HEADER5"/>
        <w:spacing w:after="120"/>
      </w:pPr>
      <w:r>
        <w:t>Ефективни лихвени проценти за получените заеми (изразени като лихвен диапазон)</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bookmarkStart w:id="104" w:name="DOC_TBL00040_1_1"/>
            <w:bookmarkEnd w:id="104"/>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Макрофинансова помощ (МФП)</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0,181 %—4,54 %</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0,27 %—4,54 %</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Евратом</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0,138 %—5,6775 %</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0,291 %—5,6775 %</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Платежен баланс (ПБ)</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2,375 %—3,625 %</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2,375 %—3,625 %</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Европейски механизъм за финансово стабилизиране (ЕМФС)</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1,875 %—3,750 %</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2,375 %—3,750 %</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945E7C">
            <w:pPr>
              <w:pStyle w:val="Text9pItalicLeft"/>
              <w:rPr>
                <w:rFonts w:cs="Verdana"/>
              </w:rPr>
            </w:pPr>
            <w:r>
              <w:t>ЕОВС в ликвидация</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6,92 %—9,78 %</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6,92 %—9,78 %</w:t>
            </w:r>
          </w:p>
        </w:tc>
      </w:tr>
    </w:tbl>
    <w:p w:rsidR="00F50689" w:rsidRDefault="005A36C4" w:rsidP="00F50689">
      <w:pPr>
        <w:pStyle w:val="Textstand-alone"/>
        <w:spacing w:before="0"/>
      </w:pPr>
      <w:r>
        <w:t xml:space="preserve"> </w:t>
      </w:r>
    </w:p>
    <w:p w:rsidR="00F50689" w:rsidRPr="00352097" w:rsidRDefault="005A36C4" w:rsidP="001D39BE">
      <w:pPr>
        <w:pStyle w:val="HEADER3Part2"/>
        <w:spacing w:before="120" w:after="240"/>
      </w:pPr>
      <w:r>
        <w:t>Други финансови пасиви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5" w:name="DOC_TBL00042_1_1"/>
            <w:bookmarkEnd w:id="105"/>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Нетекущи</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Задължения по финансов лизинг</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1 674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1 756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Сгради, които се изплащат на вноски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371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369</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63</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91</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Pr="00945E7C" w:rsidRDefault="005A36C4" w:rsidP="00F50689">
            <w:pPr>
              <w:pStyle w:val="Text9pNormalLeft"/>
              <w:rPr>
                <w:rFonts w:cs="Verdana"/>
                <w:i/>
              </w:rPr>
            </w:pPr>
            <w:r>
              <w:rPr>
                <w:i/>
              </w:rPr>
              <w:t>Общо</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2 108</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2 216</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Текущи</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Задължения по финансов лизинг</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82</w:t>
            </w:r>
          </w:p>
        </w:tc>
      </w:tr>
      <w:tr w:rsidR="00E7728E">
        <w:tc>
          <w:tcPr>
            <w:tcW w:w="5637" w:type="dxa"/>
            <w:tcBorders>
              <w:top w:val="nil"/>
              <w:left w:val="nil"/>
              <w:right w:val="nil"/>
            </w:tcBorders>
            <w:tcMar>
              <w:top w:w="0" w:type="dxa"/>
              <w:left w:w="0" w:type="dxa"/>
              <w:bottom w:w="0" w:type="dxa"/>
              <w:right w:w="0" w:type="dxa"/>
            </w:tcMar>
          </w:tcPr>
          <w:p w:rsidR="00F50689" w:rsidRDefault="005A36C4" w:rsidP="00F50689">
            <w:pPr>
              <w:pStyle w:val="Text9pItalicLeft"/>
              <w:rPr>
                <w:rFonts w:cs="Verdana"/>
              </w:rPr>
            </w:pPr>
            <w:r>
              <w:t>Сгради, които се изплащат на вноски</w:t>
            </w:r>
          </w:p>
        </w:tc>
        <w:tc>
          <w:tcPr>
            <w:tcW w:w="2126" w:type="dxa"/>
            <w:tcBorders>
              <w:top w:val="nil"/>
              <w:left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c>
          <w:tcPr>
            <w:tcW w:w="1985" w:type="dxa"/>
            <w:tcBorders>
              <w:top w:val="nil"/>
              <w:left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Pr="00945E7C" w:rsidRDefault="005A36C4" w:rsidP="00F50689">
            <w:pPr>
              <w:pStyle w:val="Text9pNormalLeft"/>
              <w:rPr>
                <w:rFonts w:cs="Verdana"/>
                <w:i/>
              </w:rPr>
            </w:pPr>
            <w:r>
              <w:rPr>
                <w:i/>
              </w:rPr>
              <w:t>Общо</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101</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99</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2 209</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2 315</w:t>
            </w:r>
          </w:p>
        </w:tc>
      </w:tr>
    </w:tbl>
    <w:p w:rsidR="00F50689" w:rsidRDefault="005A36C4" w:rsidP="00BB1B4E">
      <w:pPr>
        <w:pStyle w:val="HEADER5"/>
        <w:spacing w:before="360"/>
      </w:pPr>
      <w:r>
        <w:t>Задължения по финансов лизинг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452"/>
        <w:gridCol w:w="1453"/>
        <w:gridCol w:w="1453"/>
        <w:gridCol w:w="1453"/>
      </w:tblGrid>
      <w:tr w:rsidR="00E7728E">
        <w:tc>
          <w:tcPr>
            <w:tcW w:w="3936"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jc w:val="left"/>
              <w:rPr>
                <w:rFonts w:eastAsia="Times New Roman" w:cs="Verdana"/>
                <w:i/>
              </w:rPr>
            </w:pPr>
            <w:bookmarkStart w:id="106" w:name="DOC_TBL00043_1_1"/>
            <w:bookmarkEnd w:id="106"/>
          </w:p>
        </w:tc>
        <w:tc>
          <w:tcPr>
            <w:tcW w:w="1452"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3936" w:type="dxa"/>
            <w:tcBorders>
              <w:top w:val="nil"/>
              <w:left w:val="nil"/>
              <w:bottom w:val="nil"/>
              <w:right w:val="nil"/>
            </w:tcBorders>
            <w:shd w:val="clear" w:color="auto" w:fill="016794"/>
            <w:tcMar>
              <w:top w:w="0" w:type="dxa"/>
              <w:left w:w="0" w:type="dxa"/>
              <w:bottom w:w="0" w:type="dxa"/>
              <w:right w:w="0" w:type="dxa"/>
            </w:tcMar>
          </w:tcPr>
          <w:p w:rsidR="00F50689" w:rsidRDefault="00F50689" w:rsidP="00BB1B4E">
            <w:pPr>
              <w:pStyle w:val="Heading10pNormalCentered"/>
              <w:jc w:val="left"/>
              <w:rPr>
                <w:rFonts w:eastAsia="Times New Roman" w:cs="Verdana"/>
              </w:rPr>
            </w:pPr>
          </w:p>
        </w:tc>
        <w:tc>
          <w:tcPr>
            <w:tcW w:w="5811"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t>Бъдещи суми за плащане</w:t>
            </w:r>
          </w:p>
        </w:tc>
      </w:tr>
      <w:tr w:rsidR="00E7728E">
        <w:tc>
          <w:tcPr>
            <w:tcW w:w="3936" w:type="dxa"/>
            <w:tcBorders>
              <w:top w:val="nil"/>
              <w:left w:val="nil"/>
              <w:bottom w:val="nil"/>
              <w:right w:val="nil"/>
            </w:tcBorders>
            <w:shd w:val="clear" w:color="auto" w:fill="016794"/>
            <w:tcMar>
              <w:top w:w="0" w:type="dxa"/>
              <w:left w:w="0" w:type="dxa"/>
              <w:bottom w:w="0" w:type="dxa"/>
              <w:right w:w="0" w:type="dxa"/>
            </w:tcMar>
            <w:vAlign w:val="bottom"/>
          </w:tcPr>
          <w:p w:rsidR="00F50689" w:rsidRDefault="00F50689" w:rsidP="00F50689">
            <w:pPr>
              <w:pStyle w:val="Heading10pNormalCentered"/>
              <w:rPr>
                <w:rFonts w:eastAsia="Times New Roman" w:cs="Verdana"/>
              </w:rPr>
            </w:pPr>
          </w:p>
        </w:tc>
        <w:tc>
          <w:tcPr>
            <w:tcW w:w="145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&lt; 1 година</w:t>
            </w:r>
          </w:p>
        </w:tc>
        <w:tc>
          <w:tcPr>
            <w:tcW w:w="14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1—5 години</w:t>
            </w:r>
          </w:p>
        </w:tc>
        <w:tc>
          <w:tcPr>
            <w:tcW w:w="14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&gt; 5 години</w:t>
            </w:r>
          </w:p>
        </w:tc>
        <w:tc>
          <w:tcPr>
            <w:tcW w:w="14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Общо пасив</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Земя и сгради</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75</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358</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1 309</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1 742</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 материални активи</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w:t>
            </w:r>
          </w:p>
        </w:tc>
      </w:tr>
      <w:tr w:rsidR="00E7728E">
        <w:tc>
          <w:tcPr>
            <w:tcW w:w="393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към 31.12.2014 г.</w:t>
            </w:r>
          </w:p>
        </w:tc>
        <w:tc>
          <w:tcPr>
            <w:tcW w:w="14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81</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366</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1 309</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1 755</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Лихвен елемент</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70</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272</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392</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734</w:t>
            </w:r>
          </w:p>
        </w:tc>
      </w:tr>
      <w:tr w:rsidR="00E7728E">
        <w:tc>
          <w:tcPr>
            <w:tcW w:w="393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бъдещи минимални лизингови плащания към 31.12.2014 г.</w:t>
            </w:r>
          </w:p>
        </w:tc>
        <w:tc>
          <w:tcPr>
            <w:tcW w:w="14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151</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638</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1 700</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2 489</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Общо бъдещи минимални лизингови плащания към 31.12.2013 г.</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171</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672</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1 884</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2 727</w:t>
            </w:r>
          </w:p>
        </w:tc>
      </w:tr>
    </w:tbl>
    <w:p w:rsidR="00F50689" w:rsidRPr="00424943" w:rsidRDefault="005A36C4" w:rsidP="00F50689">
      <w:pPr>
        <w:pStyle w:val="Textstand-alone"/>
        <w:spacing w:before="0" w:after="0"/>
        <w:sectPr w:rsidR="00F50689" w:rsidRPr="00424943" w:rsidSect="00F50689">
          <w:headerReference w:type="even" r:id="rId191"/>
          <w:headerReference w:type="default" r:id="rId192"/>
          <w:footerReference w:type="even" r:id="rId193"/>
          <w:footerReference w:type="default" r:id="rId194"/>
          <w:headerReference w:type="first" r:id="rId195"/>
          <w:footerReference w:type="first" r:id="rId196"/>
          <w:type w:val="continuous"/>
          <w:pgSz w:w="11906" w:h="16838"/>
          <w:pgMar w:top="1134" w:right="1134" w:bottom="1134" w:left="1134" w:header="709" w:footer="709" w:gutter="0"/>
          <w:cols w:space="708"/>
          <w:docGrid w:linePitch="360"/>
        </w:sectPr>
      </w:pPr>
      <w:r>
        <w:t xml:space="preserve"> </w:t>
      </w:r>
      <w:bookmarkEnd w:id="100"/>
    </w:p>
    <w:p w:rsidR="00F50689" w:rsidRDefault="005A36C4" w:rsidP="001D39BE">
      <w:pPr>
        <w:pStyle w:val="HEADER2Part2"/>
        <w:spacing w:before="120" w:after="0"/>
      </w:pPr>
      <w:bookmarkStart w:id="107" w:name="_DMBM_2635"/>
      <w:r>
        <w:t>ЗАДЪЛЖЕНИЯ</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1985"/>
        <w:gridCol w:w="1985"/>
        <w:gridCol w:w="1985"/>
      </w:tblGrid>
      <w:tr w:rsidR="00E7728E">
        <w:tc>
          <w:tcPr>
            <w:tcW w:w="379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8" w:name="DOC_TBL00044_1_1"/>
            <w:bookmarkEnd w:id="108"/>
          </w:p>
        </w:tc>
        <w:tc>
          <w:tcPr>
            <w:tcW w:w="1985"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379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 xml:space="preserve">Брутна сума </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Корекции*</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Нетна сума</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2014 г.</w:t>
            </w: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Декларации за разходи и фактури, получени от:</w:t>
            </w: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Държави членки:</w:t>
            </w: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Европейски земеделски фонд за развитие на селските райони и други инструменти за развитие на селските райони</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318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295</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Европейски фонд за регионално развитие и Кохезионен фонд</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19 928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(2 306)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17 622</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Европейски социален фонд</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5 893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5 621</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Други</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751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658</w:t>
            </w:r>
          </w:p>
        </w:tc>
      </w:tr>
      <w:tr w:rsidR="00E7728E">
        <w:tc>
          <w:tcPr>
            <w:tcW w:w="379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Частни и публични субекти</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1 718</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(106)</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1 612</w:t>
            </w:r>
          </w:p>
        </w:tc>
      </w:tr>
      <w:tr w:rsidR="00E7728E">
        <w:tc>
          <w:tcPr>
            <w:tcW w:w="379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Общо получени декларации за разходи и фактури</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28 608</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(2 800)</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25 808</w:t>
            </w:r>
          </w:p>
        </w:tc>
      </w:tr>
      <w:tr w:rsidR="00E7728E">
        <w:tc>
          <w:tcPr>
            <w:tcW w:w="379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фонд за гарантиране на земеделието</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11 066</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11 066</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Разни задължения</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156</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Задължения по собствените ресурси</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5 945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5 945</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204</w:t>
            </w:r>
          </w:p>
        </w:tc>
      </w:tr>
      <w:tr w:rsidR="00E7728E">
        <w:tc>
          <w:tcPr>
            <w:tcW w:w="37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към 31.12.2014 г.</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45 980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(2 800)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43 180</w:t>
            </w:r>
          </w:p>
        </w:tc>
      </w:tr>
      <w:tr w:rsidR="00E7728E">
        <w:tc>
          <w:tcPr>
            <w:tcW w:w="379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2013 г.</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379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Общо получени декларации за разходи и фактури</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27 257</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(2 918)</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24 339</w:t>
            </w:r>
          </w:p>
        </w:tc>
      </w:tr>
      <w:tr w:rsidR="00E7728E">
        <w:tc>
          <w:tcPr>
            <w:tcW w:w="379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фонд за гарантиране на земеделието</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11 252</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11 252</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Разни задължения</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147</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Задължения по собствените ресурси</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244</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231</w:t>
            </w:r>
          </w:p>
        </w:tc>
      </w:tr>
      <w:tr w:rsidR="00E7728E">
        <w:tc>
          <w:tcPr>
            <w:tcW w:w="37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към 31.12.2013 г.</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39 131</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(2 918)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36 213</w:t>
            </w:r>
          </w:p>
        </w:tc>
      </w:tr>
    </w:tbl>
    <w:p w:rsidR="00F50689" w:rsidRPr="00101459" w:rsidRDefault="005A36C4" w:rsidP="00101459">
      <w:pPr>
        <w:pStyle w:val="Textstand-alone"/>
        <w:spacing w:before="60"/>
        <w:rPr>
          <w:i/>
          <w:sz w:val="14"/>
        </w:rPr>
      </w:pPr>
      <w:r>
        <w:rPr>
          <w:i/>
          <w:sz w:val="14"/>
        </w:rPr>
        <w:t>* Очаквани недопустими суми и висящи предварителни плащания.</w:t>
      </w:r>
    </w:p>
    <w:p w:rsidR="00F50689" w:rsidRDefault="005A36C4" w:rsidP="001D39BE">
      <w:pPr>
        <w:pStyle w:val="Textstand-alone"/>
        <w:spacing w:before="120" w:after="120"/>
      </w:pPr>
      <w:r>
        <w:t xml:space="preserve">Задълженията включват декларациите за направени разходи, получавани от Комисията в рамките на дейностите, свързани с безвъзмездни средства. Те се кредитират с декларираната сума в момента на получаване на искането. Ако партньорът е държава членка, се класифицират като такива. Процедурата е същата за фактурите и кредитните известия, получавани в рамките на дейностите, свързани с обществените поръчки. Съответните декларации за направени разходи са взети предвид при процедурите по разделяне на финансовите периоди в края на годината. След тези вписвания, свързани с разделянето на финансовите периоди, очакваните допустими суми следователно са записани в отчетите като разходи, докато оставащата част се оповестява като „Очаквани недопустими суми и висящи предварителни плащания“ (вж. по-долу). </w:t>
      </w:r>
    </w:p>
    <w:p w:rsidR="00F50689" w:rsidRDefault="005A36C4" w:rsidP="001D39BE">
      <w:pPr>
        <w:pStyle w:val="Textstand-alone"/>
        <w:spacing w:before="120" w:after="120"/>
      </w:pPr>
      <w:r>
        <w:t xml:space="preserve">Задълженията по собствените ресурси са свързани с вноската на държавите членки в бюджета на ЕС, която трябва да бъде върната в края на годината вследствие на последния коригиращ бюджет за 2014 г. (5,9 млрд. EUR). Значителното увеличение в сравнение с миналата година се дължи на промените в БНД, които бяха направени в края на годината (вж. също бележка </w:t>
      </w:r>
      <w:r>
        <w:rPr>
          <w:b/>
        </w:rPr>
        <w:t>2.6.1.1</w:t>
      </w:r>
      <w:r>
        <w:t xml:space="preserve">). </w:t>
      </w:r>
    </w:p>
    <w:p w:rsidR="00F50689" w:rsidRDefault="005A36C4" w:rsidP="00F50689">
      <w:pPr>
        <w:pStyle w:val="HEADER5"/>
      </w:pPr>
      <w:r>
        <w:t>Очаквани недопустими суми и висящи предварителни плащания</w:t>
      </w:r>
    </w:p>
    <w:p w:rsidR="00F50689" w:rsidRDefault="005A36C4" w:rsidP="00F50689">
      <w:pPr>
        <w:pStyle w:val="Textstand-alone"/>
      </w:pPr>
      <w:r>
        <w:t xml:space="preserve">Задълженията са намалени с тази част от получените, но все още непроверени искания за възстановяване на средства, която бе преценена за недопустима. Най-големите суми се отнасят до генералните дирекции, отговарящи за дейностите по структурните фондове. Задълженията са намалени също с частта от получените искания за възстановяване на средства във връзка с други авансово отпуснати на държавите членки средства (вж. бележка </w:t>
      </w:r>
      <w:r>
        <w:rPr>
          <w:b/>
        </w:rPr>
        <w:t>2.5.2</w:t>
      </w:r>
      <w:r>
        <w:t>), които все още не са платени към края на годината (2,0 млрд. EUR).</w:t>
      </w:r>
    </w:p>
    <w:p w:rsidR="00F50689" w:rsidRDefault="005A36C4" w:rsidP="00F50689">
      <w:pPr>
        <w:pStyle w:val="HEADER5"/>
      </w:pPr>
      <w:r>
        <w:t>Искания за предварително финансиране</w:t>
      </w:r>
    </w:p>
    <w:p w:rsidR="00F50689" w:rsidRDefault="005A36C4" w:rsidP="001D39BE">
      <w:pPr>
        <w:pStyle w:val="Textstand-alone"/>
        <w:spacing w:before="120" w:after="0"/>
      </w:pPr>
      <w:r>
        <w:t>В допълнение към горепосочените суми бяха получени искания за предварително финансиране на стойност 1,3 млрд. EUR, които не бяха платени към края на годината. Съгласно счетоводните правила на ЕС тези суми не са отчетени като задължения.</w:t>
      </w:r>
    </w:p>
    <w:p w:rsidR="00F50689" w:rsidRPr="00377F99" w:rsidRDefault="005A36C4" w:rsidP="00F50689">
      <w:pPr>
        <w:pStyle w:val="Textstand-alone"/>
        <w:spacing w:before="0" w:after="0"/>
        <w:sectPr w:rsidR="00F50689" w:rsidRPr="00377F99" w:rsidSect="00F50689">
          <w:headerReference w:type="even" r:id="rId197"/>
          <w:headerReference w:type="default" r:id="rId198"/>
          <w:footerReference w:type="even" r:id="rId199"/>
          <w:footerReference w:type="default" r:id="rId200"/>
          <w:headerReference w:type="first" r:id="rId201"/>
          <w:footerReference w:type="first" r:id="rId202"/>
          <w:pgSz w:w="11906" w:h="16838"/>
          <w:pgMar w:top="1134" w:right="1134" w:bottom="1134" w:left="1134" w:header="709" w:footer="709" w:gutter="0"/>
          <w:cols w:space="708"/>
          <w:docGrid w:linePitch="360"/>
        </w:sectPr>
      </w:pPr>
      <w:r>
        <w:t xml:space="preserve"> </w:t>
      </w:r>
      <w:bookmarkEnd w:id="107"/>
    </w:p>
    <w:p w:rsidR="00F50689" w:rsidRDefault="005A36C4" w:rsidP="00945E7C">
      <w:pPr>
        <w:pStyle w:val="HEADER2Part2"/>
      </w:pPr>
      <w:bookmarkStart w:id="109" w:name="_DMBM_2636"/>
      <w:r>
        <w:t>НАЧИСЛЕНИ РАЗХОДИ И ПРИХОДИ ЗА БЪДЕЩИ ПЕРИОДИ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0" w:name="DOC_TBL00045_1_1"/>
            <w:bookmarkEnd w:id="110"/>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Начислени разходи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55 798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56 085</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Приходи за бъдещи периоди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118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55 973</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56 282</w:t>
            </w:r>
          </w:p>
        </w:tc>
      </w:tr>
    </w:tbl>
    <w:p w:rsidR="00F50689" w:rsidRPr="00C9276D" w:rsidRDefault="005A36C4" w:rsidP="00F50689">
      <w:pPr>
        <w:pStyle w:val="Textstand-alone"/>
        <w:spacing w:after="0"/>
      </w:pPr>
      <w:r>
        <w:t>Разпределението на начислените разходи е, както следва: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1" w:name="DOC_TBL00046_1_1"/>
            <w:bookmarkEnd w:id="111"/>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фонд за гарантиране на земеделието</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33 667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33 491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земеделски фонд за развитие на селските райони и други инструменти за развитие на селските райони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13 414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12 458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фонд за регионално развитие и Кохезионен фонд</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3 157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4 371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социален фонд</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1 109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4 584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4 656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55 798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56 085</w:t>
            </w:r>
          </w:p>
        </w:tc>
      </w:tr>
    </w:tbl>
    <w:p w:rsidR="00F50689" w:rsidRPr="00C9276D" w:rsidRDefault="005A36C4" w:rsidP="00F50689">
      <w:pPr>
        <w:pStyle w:val="Textstand-alone"/>
        <w:spacing w:before="0"/>
        <w:sectPr w:rsidR="00F50689" w:rsidRPr="00C9276D" w:rsidSect="00F50689">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r>
        <w:t xml:space="preserve"> </w:t>
      </w:r>
      <w:bookmarkEnd w:id="109"/>
    </w:p>
    <w:p w:rsidR="00F50689" w:rsidRDefault="00F50689" w:rsidP="00F50689">
      <w:pPr>
        <w:pStyle w:val="HEADERTABLE"/>
      </w:pPr>
      <w:bookmarkStart w:id="112" w:name="_DMBM_2637"/>
    </w:p>
    <w:p w:rsidR="00F50689" w:rsidRDefault="005A36C4" w:rsidP="00F50689">
      <w:pPr>
        <w:pStyle w:val="HEADERTABLE"/>
      </w:pPr>
      <w:r>
        <w:t>НЕТНИ АКТИВИ</w:t>
      </w:r>
    </w:p>
    <w:p w:rsidR="00F50689" w:rsidRDefault="005A36C4" w:rsidP="00F50689">
      <w:pPr>
        <w:pStyle w:val="HEADER2Part2"/>
      </w:pPr>
      <w:r>
        <w:t>РЕЗЕРВИ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8"/>
        <w:gridCol w:w="1040"/>
        <w:gridCol w:w="1829"/>
        <w:gridCol w:w="1830"/>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13" w:name="DOC_TBL00047_1_1"/>
            <w:bookmarkEnd w:id="113"/>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31.12.2013 г.</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Резерв на справедливата стойност</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2.14.1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238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99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Резерв на Гаранционния фонд</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2.14.2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2 372</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2 125</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Други резерви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2.14.3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1 825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1 849</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4 435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4 073</w:t>
            </w:r>
          </w:p>
        </w:tc>
      </w:tr>
    </w:tbl>
    <w:p w:rsidR="00F50689" w:rsidRPr="00636D48" w:rsidRDefault="005A36C4" w:rsidP="00F50689">
      <w:pPr>
        <w:pStyle w:val="HEADER3Part2"/>
      </w:pPr>
      <w:r>
        <w:t>Резерв на справедливата стойност</w:t>
      </w:r>
    </w:p>
    <w:p w:rsidR="00F50689" w:rsidRDefault="005A36C4" w:rsidP="00F50689">
      <w:pPr>
        <w:pStyle w:val="Textstand-alone"/>
        <w:spacing w:after="120"/>
      </w:pPr>
      <w:r>
        <w:t>В съответствие с правилата за счетоводна отчетност на ЕС корекцията на справедливата стойност на финансовите активи, обявени за продажба, се отчита чрез резерва на справедливата стойност.</w:t>
      </w:r>
    </w:p>
    <w:p w:rsidR="00F50689" w:rsidRDefault="005A36C4" w:rsidP="00F50689">
      <w:pPr>
        <w:pStyle w:val="Textstand-alone"/>
      </w:pPr>
      <w:r>
        <w:t>Движения на резерва на справедливата стойност във връзка с финансовите активи, обявени за продажба, през периода: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14" w:name="DOC_TBL00048_1_1"/>
            <w:bookmarkEnd w:id="114"/>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 г.</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Включени в резерва на справедливата стойност</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135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(25)</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Включени в отчета за финансовия резултат</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(25)</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125</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(50)</w:t>
            </w:r>
          </w:p>
        </w:tc>
      </w:tr>
    </w:tbl>
    <w:p w:rsidR="00F50689" w:rsidRDefault="005A36C4" w:rsidP="00F50689">
      <w:pPr>
        <w:pStyle w:val="Textstand-alone"/>
        <w:spacing w:after="120"/>
      </w:pPr>
      <w:r>
        <w:t>Освен това 15 млн. EUR от общото движение на резерва на справедливата стойност се отнасят до инвестициите, отчетени по метода на собствения капитал.</w:t>
      </w:r>
    </w:p>
    <w:p w:rsidR="00F50689" w:rsidRPr="00636D48" w:rsidRDefault="005A36C4" w:rsidP="00F50689">
      <w:pPr>
        <w:pStyle w:val="HEADER3Part2"/>
      </w:pPr>
      <w:r>
        <w:t>Резерв на Гаранционния фонд</w:t>
      </w:r>
    </w:p>
    <w:p w:rsidR="00F50689" w:rsidRDefault="005A36C4" w:rsidP="00F50689">
      <w:pPr>
        <w:pStyle w:val="Textstand-alone"/>
      </w:pPr>
      <w:r>
        <w:t>Този резерв отразява 9%-овата целева сума от неприключените средства, гарантирани от Фонда, която трябва да се държи като актив.</w:t>
      </w:r>
    </w:p>
    <w:p w:rsidR="00F50689" w:rsidRPr="00636D48" w:rsidRDefault="005A36C4" w:rsidP="00F50689">
      <w:pPr>
        <w:pStyle w:val="HEADER3Part2"/>
      </w:pPr>
      <w:r>
        <w:t>Други резерви</w:t>
      </w:r>
    </w:p>
    <w:p w:rsidR="00F50689" w:rsidRDefault="005A36C4" w:rsidP="00F50689">
      <w:pPr>
        <w:pStyle w:val="Textstand-alone"/>
        <w:spacing w:after="0"/>
      </w:pPr>
      <w:r>
        <w:t>Сумата е свързана предимно с резерва на ЕОВС в ликвидация (1 532 млн. EUR) за активите на Изследователския фонд за въглища и стомана, който резерв бе създаден в контекста на приключването на дейността на ЕОВС.</w:t>
      </w:r>
    </w:p>
    <w:p w:rsidR="00F50689" w:rsidRPr="005378E7" w:rsidRDefault="005A36C4" w:rsidP="00F50689">
      <w:pPr>
        <w:pStyle w:val="Textstand-alone"/>
        <w:spacing w:before="0" w:after="0"/>
        <w:sectPr w:rsidR="00F50689" w:rsidRPr="005378E7" w:rsidSect="00F50689">
          <w:headerReference w:type="even" r:id="rId209"/>
          <w:headerReference w:type="default" r:id="rId210"/>
          <w:footerReference w:type="even" r:id="rId211"/>
          <w:footerReference w:type="default" r:id="rId212"/>
          <w:headerReference w:type="first" r:id="rId213"/>
          <w:footerReference w:type="first" r:id="rId214"/>
          <w:type w:val="continuous"/>
          <w:pgSz w:w="11906" w:h="16838"/>
          <w:pgMar w:top="1134" w:right="1134" w:bottom="1134" w:left="1134" w:header="709" w:footer="709" w:gutter="0"/>
          <w:cols w:space="708"/>
          <w:docGrid w:linePitch="360"/>
        </w:sectPr>
      </w:pPr>
      <w:r>
        <w:t xml:space="preserve"> </w:t>
      </w:r>
      <w:bookmarkEnd w:id="112"/>
    </w:p>
    <w:p w:rsidR="00F50689" w:rsidRDefault="005A36C4" w:rsidP="00F50689">
      <w:pPr>
        <w:pStyle w:val="HEADER2Part2"/>
      </w:pPr>
      <w:bookmarkStart w:id="115" w:name="_DMBM_2638"/>
      <w:r>
        <w:t>СУМИ, КОИТО ТРЯБВА ДА БЪДАТ ПОИСКАНИ ОТ ДЪРЖАВИТЕ ЧЛЕНКИ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E7728E">
        <w:tc>
          <w:tcPr>
            <w:tcW w:w="762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6" w:name="DOC_TBL00049_1_1"/>
            <w:bookmarkEnd w:id="116"/>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 xml:space="preserve">млн. EUR </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Суми, които трябва да бъдат поискани от държавите членки, към 31.12.2013 г.</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49 925</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Връщане на бюджетния излишък за 2013 г. на държавите членки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1 005</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Движение на резерва на Гаранционния фонд</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247</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Движения на други резерви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Финансов резултат за годината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11 280</w:t>
            </w: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 размер на сумите, които трябва да бъдат поискани от държавите членки, към 31.12.2014 г.</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62 441</w:t>
            </w:r>
          </w:p>
        </w:tc>
      </w:tr>
    </w:tbl>
    <w:p w:rsidR="00F50689" w:rsidRDefault="005A36C4" w:rsidP="00F50689">
      <w:pPr>
        <w:pStyle w:val="Textstand-alone"/>
      </w:pPr>
      <w:r>
        <w:t xml:space="preserve">Тази сума представлява тази част от разходите, направени от ЕС до 31 декември, която трябва да бъде финансирана от бъдещи бюджети. Много разходи се признават по правилата за счетоводна отчетност на базата на текущо начисляване през годината N, въпреки че може в действителност да бъдат платени през годината N+1 (или по-късно) и поради това да бъдат финансирани от бюджета за годината N+1 (или по-късно). Включването на тези пасиви в отчетите, съчетано с факта, че съответните суми се финансират от бъдещи бюджети, води до това, че в края на годината пасивите значително надвишават активите. Най-значителните суми, които трябва да бъдат изтъкнати, са дейностите по Европейския фонд за гарантиране на земеделието. По-голямата част от сумите, които трябва да бъдат поискани, реално се плаща от държавите членки по-малко от 12 месеца след края на въпросната финансова година като част от бюджета за следващата година. </w:t>
      </w:r>
    </w:p>
    <w:p w:rsidR="00F50689" w:rsidRDefault="005A36C4" w:rsidP="00F50689">
      <w:pPr>
        <w:pStyle w:val="Textstand-alone"/>
        <w:spacing w:after="0"/>
      </w:pPr>
      <w:r>
        <w:t>Следва също да се отбележи, че горното няма отражение върху бюджетния резултат — бюджетните приходи винаги трябва да са равни на бюджетните разходи или да ги превишават и всеки приходен излишък се връща на държавите членки.</w:t>
      </w:r>
    </w:p>
    <w:p w:rsidR="00F50689" w:rsidRPr="005A46C1" w:rsidRDefault="005A36C4" w:rsidP="00F50689">
      <w:pPr>
        <w:pStyle w:val="Textstand-alone"/>
        <w:spacing w:before="0" w:after="0"/>
        <w:sectPr w:rsidR="00F50689" w:rsidRPr="005A46C1" w:rsidSect="00F50689">
          <w:headerReference w:type="even" r:id="rId215"/>
          <w:headerReference w:type="default" r:id="rId216"/>
          <w:footerReference w:type="even" r:id="rId217"/>
          <w:footerReference w:type="default" r:id="rId218"/>
          <w:headerReference w:type="first" r:id="rId219"/>
          <w:footerReference w:type="first" r:id="rId220"/>
          <w:type w:val="continuous"/>
          <w:pgSz w:w="11906" w:h="16838"/>
          <w:pgMar w:top="1134" w:right="1134" w:bottom="1134" w:left="1134" w:header="709" w:footer="709" w:gutter="0"/>
          <w:cols w:space="708"/>
          <w:docGrid w:linePitch="360"/>
        </w:sectPr>
      </w:pPr>
      <w:r>
        <w:t xml:space="preserve"> </w:t>
      </w:r>
      <w:bookmarkEnd w:id="115"/>
    </w:p>
    <w:p w:rsidR="00F50689" w:rsidRDefault="005A36C4" w:rsidP="00F50689">
      <w:pPr>
        <w:pStyle w:val="HEADER1Part2"/>
        <w:spacing w:after="0"/>
        <w:jc w:val="left"/>
      </w:pPr>
      <w:bookmarkStart w:id="117" w:name="_Toc431304430"/>
      <w:bookmarkStart w:id="118" w:name="_DMBM_2603"/>
      <w:r>
        <w:t>БЕЛЕЖКИ КЪМ ОТЧЕТА ЗА ФИНАНСОВИЯ РЕЗУЛТАТ</w:t>
      </w:r>
      <w:bookmarkEnd w:id="117"/>
    </w:p>
    <w:p w:rsidR="00F50689" w:rsidRPr="005C7214" w:rsidRDefault="005A36C4" w:rsidP="00F50689">
      <w:pPr>
        <w:pStyle w:val="Textstand-alone"/>
        <w:spacing w:before="0"/>
        <w:sectPr w:rsidR="00F50689" w:rsidRPr="005C7214" w:rsidSect="00F50689">
          <w:headerReference w:type="even" r:id="rId221"/>
          <w:headerReference w:type="default" r:id="rId222"/>
          <w:footerReference w:type="even" r:id="rId223"/>
          <w:footerReference w:type="default" r:id="rId224"/>
          <w:headerReference w:type="first" r:id="rId225"/>
          <w:footerReference w:type="first" r:id="rId226"/>
          <w:pgSz w:w="11906" w:h="16838"/>
          <w:pgMar w:top="1134" w:right="1134" w:bottom="1134" w:left="1134" w:header="709" w:footer="709" w:gutter="0"/>
          <w:cols w:space="708"/>
          <w:docGrid w:linePitch="360"/>
        </w:sectPr>
      </w:pPr>
      <w:r>
        <w:t xml:space="preserve"> </w:t>
      </w:r>
      <w:bookmarkEnd w:id="118"/>
    </w:p>
    <w:p w:rsidR="00F50689" w:rsidRDefault="005A36C4" w:rsidP="00F50689">
      <w:pPr>
        <w:pStyle w:val="HEADERTABLE"/>
      </w:pPr>
      <w:bookmarkStart w:id="119" w:name="_DMBM_2640"/>
      <w:r>
        <w:t>ПРИХОДИ</w:t>
      </w:r>
    </w:p>
    <w:p w:rsidR="00F50689" w:rsidRDefault="00F50689" w:rsidP="00F50689">
      <w:pPr>
        <w:pStyle w:val="HEADERTABLE"/>
      </w:pPr>
    </w:p>
    <w:p w:rsidR="00F50689" w:rsidRDefault="005A36C4" w:rsidP="00F50689">
      <w:pPr>
        <w:pStyle w:val="HEADERTABLE"/>
        <w:spacing w:after="0"/>
      </w:pPr>
      <w:r>
        <w:t>ПРИХОДИ ОТ ОПЕРАЦИИ БЕЗ РАЗМЯНА</w:t>
      </w:r>
    </w:p>
    <w:p w:rsidR="00F50689" w:rsidRPr="00811E14" w:rsidRDefault="005A36C4" w:rsidP="00F50689">
      <w:pPr>
        <w:pStyle w:val="Textstand-alone"/>
        <w:spacing w:before="0"/>
        <w:sectPr w:rsidR="00F50689" w:rsidRPr="00811E14" w:rsidSect="00F50689">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r>
        <w:t xml:space="preserve"> </w:t>
      </w:r>
      <w:bookmarkEnd w:id="119"/>
    </w:p>
    <w:p w:rsidR="00F50689" w:rsidRDefault="005A36C4" w:rsidP="00F50689">
      <w:pPr>
        <w:pStyle w:val="HEADER2Part2"/>
      </w:pPr>
      <w:bookmarkStart w:id="120" w:name="_DMBM_2641"/>
      <w:r>
        <w:t>РЕСУРСИ ОТ БНД</w:t>
      </w:r>
    </w:p>
    <w:p w:rsidR="00F50689" w:rsidRDefault="005A36C4" w:rsidP="00F50689">
      <w:pPr>
        <w:pStyle w:val="Textstand-alone"/>
        <w:spacing w:after="0"/>
      </w:pPr>
      <w:r>
        <w:t>Приходите от собствени ресурси са основният елемент на оперативните приходи на ЕС. От трите категории собствени ресурси (традиционните собствени ресурси (ТСР), ресурсите на база ДДС и ресурсите на база БНД) приходите от БНД на стойност 104 688 млн. EUR (2013 г.: 110 194 млн. EUR) са най-значителни.</w:t>
      </w:r>
    </w:p>
    <w:p w:rsidR="00F50689" w:rsidRPr="00E651B3" w:rsidRDefault="005A36C4" w:rsidP="00F50689">
      <w:pPr>
        <w:pStyle w:val="Textstand-alone"/>
        <w:spacing w:before="0"/>
        <w:sectPr w:rsidR="00F50689" w:rsidRPr="00E651B3" w:rsidSect="00F50689">
          <w:headerReference w:type="even" r:id="rId233"/>
          <w:headerReference w:type="default" r:id="rId234"/>
          <w:footerReference w:type="even" r:id="rId235"/>
          <w:footerReference w:type="default" r:id="rId236"/>
          <w:headerReference w:type="first" r:id="rId237"/>
          <w:footerReference w:type="first" r:id="rId238"/>
          <w:type w:val="continuous"/>
          <w:pgSz w:w="11906" w:h="16838"/>
          <w:pgMar w:top="1134" w:right="1134" w:bottom="1134" w:left="1134" w:header="709" w:footer="709" w:gutter="0"/>
          <w:cols w:space="708"/>
          <w:docGrid w:linePitch="360"/>
        </w:sectPr>
      </w:pPr>
      <w:r>
        <w:t xml:space="preserve"> </w:t>
      </w:r>
      <w:bookmarkEnd w:id="120"/>
    </w:p>
    <w:p w:rsidR="00F50689" w:rsidRDefault="005A36C4" w:rsidP="00F50689">
      <w:pPr>
        <w:pStyle w:val="HEADER2Part2"/>
        <w:spacing w:after="0"/>
      </w:pPr>
      <w:bookmarkStart w:id="121" w:name="_DMBM_2642"/>
      <w:r>
        <w:t>ТРАДИЦИОННИ СОБСТВЕНИ РЕСУРСИ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5419C2" w:rsidRDefault="00F50689" w:rsidP="00F50689">
            <w:pPr>
              <w:pStyle w:val="Text8pItalicLeft"/>
              <w:rPr>
                <w:rFonts w:eastAsia="Verdana" w:cs="Verdana"/>
                <w:color w:val="FFFFFF"/>
              </w:rPr>
            </w:pPr>
            <w:bookmarkStart w:id="122" w:name="DOC_TBL00050_1_1"/>
            <w:bookmarkEnd w:id="122"/>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5419C2"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5419C2"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5419C2" w:rsidRDefault="005A36C4" w:rsidP="00F50689">
            <w:pPr>
              <w:pStyle w:val="Heading10pNormalRight025"/>
              <w:rPr>
                <w:rFonts w:eastAsia="Verdana"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5419C2" w:rsidRDefault="005A36C4" w:rsidP="00F50689">
            <w:pPr>
              <w:pStyle w:val="Heading10pNormalRight025"/>
              <w:rPr>
                <w:rFonts w:eastAsia="Verdana" w:cs="Verdana"/>
              </w:rPr>
            </w:pPr>
            <w:r>
              <w:t>2013 г.</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Text9pItalicLeft"/>
              <w:rPr>
                <w:rFonts w:eastAsia="Verdana" w:cs="Verdana"/>
              </w:rPr>
            </w:pPr>
            <w:r>
              <w:t>Мита</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rPr>
            </w:pPr>
            <w:r>
              <w:t>17 204</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rPr>
            </w:pPr>
            <w:r>
              <w:t>15 268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Text9pItalicLeft"/>
              <w:rPr>
                <w:rFonts w:eastAsia="Verdana" w:cs="Verdana"/>
              </w:rPr>
            </w:pPr>
            <w:r>
              <w:t>Налози върху захарта</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rPr>
            </w:pPr>
            <w:r>
              <w:t xml:space="preserve"> (67)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rPr>
            </w:pPr>
            <w:r>
              <w:t xml:space="preserve"> 199</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5419C2" w:rsidRDefault="005A36C4" w:rsidP="00F50689">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5419C2" w:rsidRDefault="005A36C4" w:rsidP="00F50689">
            <w:pPr>
              <w:pStyle w:val="Figures9pBoldRight025"/>
              <w:rPr>
                <w:rFonts w:eastAsia="Verdana" w:cs="Verdana"/>
              </w:rPr>
            </w:pPr>
            <w:r>
              <w:t>17 137</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5419C2" w:rsidRDefault="005A36C4" w:rsidP="00F50689">
            <w:pPr>
              <w:pStyle w:val="Figures9pBoldRight025"/>
              <w:rPr>
                <w:rFonts w:eastAsia="Verdana" w:cs="Verdana"/>
              </w:rPr>
            </w:pPr>
            <w:r>
              <w:t>15 467</w:t>
            </w:r>
          </w:p>
        </w:tc>
      </w:tr>
    </w:tbl>
    <w:p w:rsidR="00F50689" w:rsidRPr="005419C2" w:rsidRDefault="005A36C4" w:rsidP="00F50689">
      <w:pPr>
        <w:pStyle w:val="Textstand-alone"/>
      </w:pPr>
      <w:r>
        <w:t>Традиционните собствени ресурси се състоят от мита и налози върху захарта. Държавите членки задържат, като разходи по събирането, 20 % от традиционните собствени ресурси и посочените по-горе суми са показани след приспадане на тази сума.</w:t>
      </w:r>
    </w:p>
    <w:p w:rsidR="00F50689" w:rsidRDefault="005A36C4" w:rsidP="00F50689">
      <w:pPr>
        <w:pStyle w:val="Textstand-alone"/>
        <w:spacing w:after="0"/>
      </w:pPr>
      <w:r>
        <w:t xml:space="preserve">Следва да бъде също отбелязано, че след решение на Съда относно регламента за налозите върху захарта, оспорен от някои предприятия и държави членки, през 2014 г. на съответните страни бяха възстановени 200 млн. EUR. Поради </w:t>
      </w:r>
      <w:r w:rsidRPr="001D39BE">
        <w:t>това съответната провизия, първоначално записана през</w:t>
      </w:r>
      <w:r>
        <w:t xml:space="preserve"> 2012 г., бе използвана през 2014 г.</w:t>
      </w:r>
    </w:p>
    <w:p w:rsidR="00F50689" w:rsidRPr="005419C2" w:rsidRDefault="005A36C4" w:rsidP="00F50689">
      <w:pPr>
        <w:pStyle w:val="Textstand-alone"/>
        <w:spacing w:before="0"/>
        <w:sectPr w:rsidR="00F50689" w:rsidRPr="005419C2" w:rsidSect="00F50689">
          <w:headerReference w:type="even" r:id="rId239"/>
          <w:headerReference w:type="default" r:id="rId240"/>
          <w:footerReference w:type="even" r:id="rId241"/>
          <w:footerReference w:type="default" r:id="rId242"/>
          <w:headerReference w:type="first" r:id="rId243"/>
          <w:footerReference w:type="first" r:id="rId244"/>
          <w:type w:val="continuous"/>
          <w:pgSz w:w="11906" w:h="16838"/>
          <w:pgMar w:top="1134" w:right="1134" w:bottom="1134" w:left="1134" w:header="709" w:footer="709" w:gutter="0"/>
          <w:cols w:space="708"/>
          <w:docGrid w:linePitch="360"/>
        </w:sectPr>
      </w:pPr>
      <w:r>
        <w:t xml:space="preserve"> </w:t>
      </w:r>
      <w:bookmarkEnd w:id="121"/>
    </w:p>
    <w:p w:rsidR="00F50689" w:rsidRDefault="005A36C4" w:rsidP="00F50689">
      <w:pPr>
        <w:pStyle w:val="HEADER2Part2"/>
        <w:spacing w:after="0"/>
      </w:pPr>
      <w:bookmarkStart w:id="123" w:name="_DMBM_2643"/>
      <w:r>
        <w:t>РЕСУРСИ ОТ ДДС</w:t>
      </w:r>
    </w:p>
    <w:p w:rsidR="00F50689" w:rsidRDefault="005A36C4" w:rsidP="00F50689">
      <w:pPr>
        <w:pStyle w:val="Textstand-alone"/>
        <w:spacing w:after="0"/>
      </w:pPr>
      <w:r>
        <w:t>Съгласно Решение № 2007/436/ЕО, Евратом за собствените ресурси вноските по ДДС се изчисляват чрез прилагане на единна ставка от 0,30 % спрямо хармонизираната база за ДДС на всяка държава членка. В същото време в това решение е предвидена по-ниска изискуема ставка за Австрия (0,225 %), Германия (0,15 %) и Нидерландия и Швеция (0,10 %). Това изключение обаче бе допуснато само за периода 2007—2013 г. Поради това през 2014 г. единната ставка от 0,30 % започна да се прилага отново за всички държави членки и ще продължи да се прилага до влизането в сила на ново решение за собствените ресурси. С това се обяснява увеличението на приходите от ДДС от 14 019 млн. EUR през 2013 г. на 17 462 млн. EUR през 2014 г.</w:t>
      </w:r>
    </w:p>
    <w:p w:rsidR="00F50689" w:rsidRPr="00CE23E8" w:rsidRDefault="005A36C4" w:rsidP="00F50689">
      <w:pPr>
        <w:pStyle w:val="Textstand-alone"/>
        <w:spacing w:before="0"/>
        <w:sectPr w:rsidR="00F50689" w:rsidRPr="00CE23E8" w:rsidSect="00F50689">
          <w:headerReference w:type="even" r:id="rId245"/>
          <w:headerReference w:type="default" r:id="rId246"/>
          <w:footerReference w:type="even" r:id="rId247"/>
          <w:footerReference w:type="default" r:id="rId248"/>
          <w:headerReference w:type="first" r:id="rId249"/>
          <w:footerReference w:type="first" r:id="rId250"/>
          <w:type w:val="continuous"/>
          <w:pgSz w:w="11906" w:h="16838"/>
          <w:pgMar w:top="1134" w:right="1134" w:bottom="1134" w:left="1134" w:header="709" w:footer="709" w:gutter="0"/>
          <w:cols w:space="708"/>
          <w:docGrid w:linePitch="360"/>
        </w:sectPr>
      </w:pPr>
      <w:r>
        <w:t xml:space="preserve"> </w:t>
      </w:r>
      <w:bookmarkEnd w:id="123"/>
    </w:p>
    <w:p w:rsidR="00F50689" w:rsidRDefault="005A36C4" w:rsidP="00F50689">
      <w:pPr>
        <w:pStyle w:val="HEADERTABLE"/>
        <w:spacing w:after="0"/>
      </w:pPr>
      <w:bookmarkStart w:id="124" w:name="_DMBM_2644"/>
      <w:r>
        <w:t>ПРИХОДИ ОТ ОПЕРАЦИИ БЕЗ РАЗМЯНА: ТРАНСФЕРИ</w:t>
      </w:r>
    </w:p>
    <w:p w:rsidR="00F50689" w:rsidRDefault="00F50689" w:rsidP="00F50689">
      <w:pPr>
        <w:pStyle w:val="HEADERTABLE"/>
        <w:spacing w:after="120"/>
      </w:pPr>
    </w:p>
    <w:p w:rsidR="00F50689" w:rsidRDefault="005A36C4" w:rsidP="00F50689">
      <w:pPr>
        <w:pStyle w:val="HEADER2Part2"/>
        <w:spacing w:before="0" w:after="0"/>
      </w:pPr>
      <w:bookmarkStart w:id="125" w:name="_DMBM_2645"/>
      <w:bookmarkEnd w:id="124"/>
      <w:r>
        <w:t>ГЛОБИ</w:t>
      </w:r>
    </w:p>
    <w:p w:rsidR="00F50689" w:rsidRDefault="005A36C4" w:rsidP="00F50689">
      <w:pPr>
        <w:pStyle w:val="Textstand-alone"/>
      </w:pPr>
      <w:r>
        <w:t>Тези приходи (2 297 млн. EUR) са свързани с глобите, наложени от Комисията за нарушаване на разпоредбите, свързани предимно с дела в областта на конкуренцията. Вземанията и свързаните с тях приходи се признават, когато решението на Комисията за налагане на глоба бъде взето и адресатът бъде официално уведомен за него.</w:t>
      </w:r>
    </w:p>
    <w:p w:rsidR="00F50689" w:rsidRPr="00C1700E" w:rsidRDefault="005A36C4" w:rsidP="00F50689">
      <w:pPr>
        <w:jc w:val="both"/>
        <w:rPr>
          <w:rFonts w:ascii="Verdana" w:hAnsi="Verdana"/>
          <w:noProof/>
          <w:sz w:val="18"/>
          <w:szCs w:val="18"/>
        </w:rPr>
      </w:pPr>
      <w:r>
        <w:rPr>
          <w:rFonts w:ascii="Verdana" w:hAnsi="Verdana"/>
          <w:noProof/>
          <w:sz w:val="18"/>
        </w:rPr>
        <w:t>Основната сума за 2014 г. е свързана с пазара за автомобилни лагери. Комисията наложи глоби в размер на общо 953 млн. EUR на производителите на лагери за леки коли и камиони, поради това че са развивали дейност под формата на картел.</w:t>
      </w:r>
    </w:p>
    <w:bookmarkEnd w:id="125"/>
    <w:p w:rsidR="00F50689" w:rsidRDefault="00F50689" w:rsidP="00F50689">
      <w:pPr>
        <w:pStyle w:val="Textstand-alone"/>
        <w:spacing w:before="0" w:after="360"/>
      </w:pPr>
    </w:p>
    <w:p w:rsidR="00F50689" w:rsidRDefault="005A36C4" w:rsidP="00F50689">
      <w:pPr>
        <w:pStyle w:val="HEADER2Part2"/>
        <w:spacing w:before="0" w:after="0"/>
      </w:pPr>
      <w:bookmarkStart w:id="126" w:name="_DMBM_2646"/>
      <w:r>
        <w:t>СЪБИРАНЕ НА РАЗХОДИ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27" w:name="DOC_TBL00051_1_1"/>
            <w:bookmarkEnd w:id="127"/>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 г.</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Споделено управление</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3 328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1 628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Пряко управление</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Непряко управление</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Децентрализирано управление</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41</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Съвместно управление</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33</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3 418</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1 777</w:t>
            </w:r>
          </w:p>
        </w:tc>
      </w:tr>
    </w:tbl>
    <w:p w:rsidR="00F50689" w:rsidRDefault="005A36C4" w:rsidP="00F50689">
      <w:pPr>
        <w:pStyle w:val="Textstand-alone"/>
      </w:pPr>
      <w:r>
        <w:t xml:space="preserve">Тази позиция представлява основно нарежданията за събиране на вземания, изготвени от Комисията, средствата по които са получени или са прихванати със (т.е. приспаднати от) следващи плащания, записани в счетоводната система на Комисията. Тези нареждания за събиране на вземания са изготвени, за да бъдат събрани разходи, изплатени по-рано от общия бюджет. Тези операции се извършват въз основа на проверки, одити или анализ на допустимостта. Включват се също нарежданията за събиране на вземания, изготвени от държавите членки за бенефициери на разходи по линия на ЕФГЗ, както и промяната на очакваните начислени приходи от края на предходната година до края на настоящата година. </w:t>
      </w:r>
    </w:p>
    <w:p w:rsidR="00F50689" w:rsidRDefault="005A36C4" w:rsidP="00F50689">
      <w:pPr>
        <w:pStyle w:val="Textstand-alone"/>
      </w:pPr>
      <w:r>
        <w:t>Следва да се отбележи, че тези данни представляват счетоводното отражение само на коригиращите мерки на ЕС въз основа на действащите счетоводни правила на ЕС. Поради това те не могат да покажат и не показват пълната степен на мерките, предприети за защита на бюджета на ЕС, особено за политиката на сближаване, където са въведени специални механизми за гарантиране на коригирането на недопустимите разходи, повечето от които механизми не включват издаването на нареждане за събиране на вземания. Освен това събирането на суми по предварително финансиране също не е включено като приход в съответствие със счетоводните правила на ЕС. Повече информация за финансовите корекции и събирането на разходи се съдържа в бележка </w:t>
      </w:r>
      <w:r>
        <w:rPr>
          <w:b/>
        </w:rPr>
        <w:t>6</w:t>
      </w:r>
      <w:r>
        <w:t>.</w:t>
      </w:r>
    </w:p>
    <w:p w:rsidR="00F50689" w:rsidRDefault="005A36C4" w:rsidP="00F50689">
      <w:pPr>
        <w:pStyle w:val="Textstand-alone"/>
      </w:pPr>
      <w:r>
        <w:t>Споделеното управление съставлява по-голямата част от общо следното:</w:t>
      </w:r>
    </w:p>
    <w:p w:rsidR="00F50689" w:rsidRPr="00394092" w:rsidRDefault="005A36C4" w:rsidP="00F50689">
      <w:pPr>
        <w:pStyle w:val="HEADER5"/>
      </w:pPr>
      <w:r>
        <w:t>Селско стопанство: ЕФГЗ и развитие на селските райони</w:t>
      </w:r>
    </w:p>
    <w:p w:rsidR="00F50689" w:rsidRDefault="005A36C4" w:rsidP="00F50689">
      <w:pPr>
        <w:pStyle w:val="Textstand-alone"/>
      </w:pPr>
      <w:r>
        <w:t>В рамките на ЕФГЗ и на ЕЗФРСР сумите, отчетени в тази позиция като приходи за годината, са финансовите корекции за годината и възстановяванията, декларирани от държавите членки и събрани през годината, както и нетното увеличение на дължимите суми, декларирани от държавите членки, които трябва да бъдат събрани към края на годината във връзка с измами и нередности.</w:t>
      </w:r>
    </w:p>
    <w:p w:rsidR="00F50689" w:rsidRPr="00394092" w:rsidRDefault="005A36C4" w:rsidP="00F50689">
      <w:pPr>
        <w:pStyle w:val="HEADER5"/>
      </w:pPr>
      <w:r>
        <w:t>Политика на сближаване</w:t>
      </w:r>
    </w:p>
    <w:p w:rsidR="00F50689" w:rsidRDefault="005A36C4" w:rsidP="00F50689">
      <w:pPr>
        <w:pStyle w:val="Textstand-alone"/>
      </w:pPr>
      <w:r>
        <w:t>Основните суми, свързани с политиката на сближаване, включват нарежданията за събиране на вземания, изготвени от Комисията за събиране на недължимите разходи, направени през предходни години, сумите, свързани с финансови корекции, извършени чрез оттегляния през годината, както и приспаданията от разходите минус намалението на начислените приходи в края на годината.</w:t>
      </w:r>
    </w:p>
    <w:p w:rsidR="00C47120" w:rsidRDefault="00C47120">
      <w:pPr>
        <w:rPr>
          <w:rFonts w:ascii="Verdana" w:hAnsi="Verdana"/>
          <w:noProof/>
          <w:sz w:val="18"/>
          <w:szCs w:val="18"/>
        </w:rPr>
      </w:pPr>
      <w:r>
        <w:br w:type="page"/>
      </w:r>
    </w:p>
    <w:p w:rsidR="00F50689" w:rsidRDefault="005A36C4" w:rsidP="00F50689">
      <w:pPr>
        <w:pStyle w:val="Textstand-alone"/>
      </w:pPr>
      <w:r>
        <w:t>Другите нареждания за събиране на вземания, издадени в рамките на политиката на сближаване, се отнасят до събирането на предварително финансиране (вж. бележка </w:t>
      </w:r>
      <w:r>
        <w:rPr>
          <w:b/>
        </w:rPr>
        <w:t>6.4</w:t>
      </w:r>
      <w:r>
        <w:t>). Тези суми не са показани като приход, но са включени в позицията за предварителното финансиране в счетоводния баланс.</w:t>
      </w:r>
    </w:p>
    <w:p w:rsidR="00F50689" w:rsidRDefault="005A36C4" w:rsidP="00F50689">
      <w:pPr>
        <w:pStyle w:val="Textstand-alone"/>
        <w:spacing w:after="0"/>
      </w:pPr>
      <w:r>
        <w:t>Общият размер на събраните разходи е почти два пъти по-голям в сравнение с миналата година, което се дължи на напредналия стадий на приключване на периода на програмиране 2000—2006 г. за сближаването и на свързаните с това приключване оттегляния, както и на значителните корекции, наложени през 2014 г. от генерална дирекция „Земеделие и развитие на селските райони“.</w:t>
      </w:r>
    </w:p>
    <w:p w:rsidR="00F50689" w:rsidRDefault="00F50689" w:rsidP="00F50689">
      <w:pPr>
        <w:pStyle w:val="Textstand-alone"/>
        <w:spacing w:after="0"/>
      </w:pPr>
      <w:r>
        <w:t xml:space="preserve"> </w:t>
      </w:r>
    </w:p>
    <w:p w:rsidR="00F50689" w:rsidRDefault="005A36C4" w:rsidP="00F50689">
      <w:pPr>
        <w:pStyle w:val="HEADER2Part2"/>
        <w:spacing w:after="0"/>
      </w:pPr>
      <w:bookmarkStart w:id="128" w:name="_DMBM_2647"/>
      <w:bookmarkEnd w:id="126"/>
      <w:r>
        <w:t>ДРУГИ ПРИХОДИ ОТ ОПЕРАЦИИ БЕЗ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29" w:name="DOC_TBL00052_1_1"/>
            <w:bookmarkEnd w:id="129"/>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 г.</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Трансфер на активи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1 448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Бюджетни корекции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794</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1 187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Данъци и вноски на персонала</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1 276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1 137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Вноски от трети държави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336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373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Селскостопански налози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409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Корекция на провизиите</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369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208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Други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990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1 091</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5 623</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4 045</w:t>
            </w:r>
          </w:p>
        </w:tc>
      </w:tr>
    </w:tbl>
    <w:p w:rsidR="00F50689" w:rsidRPr="00BC68BB" w:rsidRDefault="005A36C4" w:rsidP="00F50689">
      <w:pPr>
        <w:pStyle w:val="Textstand-alone"/>
      </w:pPr>
      <w:r>
        <w:t>Прехвърлянето на приходи от активи е свързано с прехвърлянето на спътници по програмата „Коперник“ (бившата програма ГМОСС) от Европейската космическа агенция (ЕКА) на Комисията (вж. бележка </w:t>
      </w:r>
      <w:r>
        <w:rPr>
          <w:b/>
        </w:rPr>
        <w:t>2.2</w:t>
      </w:r>
      <w:r>
        <w:t>). Според счетоводните правила на ЕС това прехвърляне е операция без размяна. То ще бъде извършвано през бъдещи периоди за оставащите спътници по програмата „Коперник“, които понастоящем са в процес на изграждане.</w:t>
      </w:r>
    </w:p>
    <w:p w:rsidR="00F50689" w:rsidRPr="00A62D36" w:rsidRDefault="005A36C4" w:rsidP="00F50689">
      <w:pPr>
        <w:pStyle w:val="Textstand-alone"/>
      </w:pPr>
      <w:r>
        <w:t>Бюджетните корекции включват бюджетния излишък от 2013 г. (1 005 млн. EUR), който се връща по косвен начин на държавите членки чрез приспадането му от сумите собствени ресурси, които те трябва да предоставят на ЕС през следващата година — следователно той е приход за 2014 г.</w:t>
      </w:r>
    </w:p>
    <w:p w:rsidR="00F50689" w:rsidRDefault="00C47120" w:rsidP="00F50689">
      <w:pPr>
        <w:pStyle w:val="Textstand-alone"/>
      </w:pPr>
      <w:r>
        <w:t>Приходите от данъци и вноски на персонала възникват предимно от удръжки от заплатите на персонала и са съставени от две съществени суми — пенсионните вноски на персонала и данъците върху доходите.</w:t>
      </w:r>
    </w:p>
    <w:p w:rsidR="00F50689" w:rsidRDefault="00C47120" w:rsidP="00F50689">
      <w:pPr>
        <w:pStyle w:val="Textstand-alone"/>
      </w:pPr>
      <w:r>
        <w:t>Вноските от трети държави са вноски от държавите от ЕАСТ и от присъединяващите се държави.</w:t>
      </w:r>
    </w:p>
    <w:p w:rsidR="00F50689" w:rsidRDefault="00C47120" w:rsidP="00F50689">
      <w:pPr>
        <w:pStyle w:val="Textstand-alone"/>
        <w:spacing w:after="0"/>
      </w:pPr>
      <w:r>
        <w:t>Селскостопанските налози се отнасят до налозите върху млякото, които са инструмент за управление на пазара, насочен към санкциониране на производителите на мляко, които превишават референтните си количества. Тъй като не са свързани с предходни плащания от страна на Комисията, те на практика се считат за приход за конкретна цел. Увеличението на налозите върху млякото през тази година се дължи на осем държави членки, които превишиха квотите си за доставки на мляко през 2013/2014 г., което означава, че тези държави членки трябва да платят глоби (известни като „допълнителен налог“). Режимът за квотите за мляко и млечни продукти бе премахнат на 1 април 2015 г.</w:t>
      </w:r>
    </w:p>
    <w:p w:rsidR="00C47120" w:rsidRDefault="00C47120" w:rsidP="00F50689">
      <w:pPr>
        <w:pStyle w:val="HEADERTABLE"/>
        <w:spacing w:after="0"/>
      </w:pPr>
      <w:bookmarkStart w:id="130" w:name="_DMBM_2648"/>
      <w:bookmarkEnd w:id="128"/>
    </w:p>
    <w:p w:rsidR="00C47120" w:rsidRDefault="00C47120">
      <w:pPr>
        <w:rPr>
          <w:rFonts w:ascii="Verdana" w:hAnsi="Verdana"/>
          <w:b/>
          <w:color w:val="016794"/>
          <w:sz w:val="28"/>
          <w:szCs w:val="28"/>
        </w:rPr>
      </w:pPr>
      <w:r>
        <w:br w:type="page"/>
      </w:r>
    </w:p>
    <w:p w:rsidR="00F50689" w:rsidRPr="00375FD9" w:rsidRDefault="005A36C4" w:rsidP="00F50689">
      <w:pPr>
        <w:pStyle w:val="HEADERTABLE"/>
        <w:spacing w:after="0"/>
      </w:pPr>
      <w:r>
        <w:t>ПРИХОДИ ОТ ОПЕРАЦИИ С РАЗМЯНА</w:t>
      </w:r>
    </w:p>
    <w:p w:rsidR="00F50689" w:rsidRPr="00375FD9" w:rsidRDefault="005A36C4" w:rsidP="00F50689">
      <w:pPr>
        <w:pStyle w:val="Textstand-alone"/>
        <w:spacing w:before="0"/>
        <w:sectPr w:rsidR="00F50689" w:rsidRPr="00375FD9" w:rsidSect="00F50689">
          <w:headerReference w:type="even" r:id="rId251"/>
          <w:headerReference w:type="default" r:id="rId252"/>
          <w:footerReference w:type="even" r:id="rId253"/>
          <w:footerReference w:type="default" r:id="rId254"/>
          <w:headerReference w:type="first" r:id="rId255"/>
          <w:footerReference w:type="first" r:id="rId256"/>
          <w:pgSz w:w="11906" w:h="16838"/>
          <w:pgMar w:top="1134" w:right="1134" w:bottom="1134" w:left="1134" w:header="709" w:footer="709" w:gutter="0"/>
          <w:cols w:space="708"/>
          <w:docGrid w:linePitch="360"/>
        </w:sectPr>
      </w:pPr>
      <w:r>
        <w:t xml:space="preserve"> </w:t>
      </w:r>
      <w:bookmarkEnd w:id="130"/>
    </w:p>
    <w:p w:rsidR="00F50689" w:rsidRDefault="005A36C4" w:rsidP="00F50689">
      <w:pPr>
        <w:pStyle w:val="HEADER2Part2"/>
        <w:spacing w:after="0"/>
      </w:pPr>
      <w:bookmarkStart w:id="131" w:name="_DMBM_2649"/>
      <w:r>
        <w:t>ФИНАНСОВИ ПРИХОДИ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Text8pItalicLeft"/>
              <w:rPr>
                <w:rFonts w:eastAsia="Verdana" w:cs="Verdana"/>
                <w:color w:val="FFFFFF"/>
              </w:rPr>
            </w:pPr>
            <w:bookmarkStart w:id="132" w:name="DOC_TBL00053_1_1"/>
            <w:bookmarkEnd w:id="132"/>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E21237"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E21237" w:rsidRDefault="005A36C4" w:rsidP="00F50689">
            <w:pPr>
              <w:pStyle w:val="Heading10pNormalRight025"/>
              <w:rPr>
                <w:rFonts w:eastAsia="Verdana"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E21237" w:rsidRDefault="005A36C4" w:rsidP="00F50689">
            <w:pPr>
              <w:pStyle w:val="Heading10pNormalRight025"/>
              <w:rPr>
                <w:rFonts w:eastAsia="Verdana" w:cs="Verdana"/>
              </w:rPr>
            </w:pPr>
            <w:r>
              <w:t>2013 г.</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Приходи от лихви върху:</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Figures9pItalicRight025"/>
              <w:rPr>
                <w:rFonts w:eastAsia="Verdana" w:cs="Verdana"/>
              </w:rPr>
            </w:pP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Предварително финансиране</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16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29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Просрочени плащания</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387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88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Финансови активи, обявени за продажба</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65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71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Заеми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1 722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1 712</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Пари и парични еквиваленти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10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21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Обезценени финансови активи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w:t>
            </w:r>
          </w:p>
        </w:tc>
      </w:tr>
      <w:tr w:rsidR="00E7728E">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 xml:space="preserve">Други </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1</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1</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rPr>
            </w:pPr>
            <w:r>
              <w:t>Приходи от лихви</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2 202</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1 922</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rPr>
            </w:pPr>
            <w:r>
              <w:t>Приходи от дивиденти</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 xml:space="preserve"> 6</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 xml:space="preserve"> 6</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rPr>
            </w:pPr>
            <w:r>
              <w:t>Реализирани печалби от продажба на финансови активи</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 xml:space="preserve"> 30</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 xml:space="preserve"> 24</w:t>
            </w:r>
          </w:p>
        </w:tc>
      </w:tr>
      <w:tr w:rsidR="00E7728E">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rPr>
            </w:pPr>
            <w:r>
              <w:t>Други финансови приходи</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BoldRight025"/>
              <w:rPr>
                <w:rFonts w:eastAsia="Verdana" w:cs="Verdana"/>
              </w:rPr>
            </w:pPr>
            <w:r>
              <w:t xml:space="preserve"> 61</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BoldRight025"/>
              <w:rPr>
                <w:rFonts w:eastAsia="Verdana" w:cs="Verdana"/>
              </w:rPr>
            </w:pPr>
            <w:r>
              <w:t xml:space="preserve"> 40</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E21237" w:rsidRDefault="005A36C4" w:rsidP="00F50689">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E21237" w:rsidRDefault="005A36C4" w:rsidP="00F50689">
            <w:pPr>
              <w:pStyle w:val="Figures9pBoldRight025"/>
              <w:rPr>
                <w:rFonts w:eastAsia="Verdana" w:cs="Verdana"/>
              </w:rPr>
            </w:pPr>
            <w:r>
              <w:t>2 298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E21237" w:rsidRDefault="005A36C4" w:rsidP="00F50689">
            <w:pPr>
              <w:pStyle w:val="Figures9pBoldRight025"/>
              <w:rPr>
                <w:rFonts w:eastAsia="Verdana" w:cs="Verdana"/>
              </w:rPr>
            </w:pPr>
            <w:r>
              <w:t>1 991</w:t>
            </w:r>
          </w:p>
        </w:tc>
      </w:tr>
    </w:tbl>
    <w:p w:rsidR="00F50689" w:rsidRPr="00E21237" w:rsidRDefault="005A36C4" w:rsidP="00F50689">
      <w:pPr>
        <w:pStyle w:val="Textstand-alone"/>
      </w:pPr>
      <w:r>
        <w:t>Приходите от лихви върху заеми се отнасят предимно до заемите, отпуснати от заемни средства (вж. бележка </w:t>
      </w:r>
      <w:r>
        <w:rPr>
          <w:b/>
        </w:rPr>
        <w:t>2.4.2</w:t>
      </w:r>
      <w:r>
        <w:t>).</w:t>
      </w:r>
    </w:p>
    <w:p w:rsidR="00F50689" w:rsidRDefault="005A36C4" w:rsidP="00F50689">
      <w:pPr>
        <w:pStyle w:val="HEADER5"/>
        <w:spacing w:before="360"/>
      </w:pPr>
      <w:r>
        <w:t>Нетни печалби или загуби от финансови активи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33" w:name="DOC_TBL00054_1_1"/>
            <w:bookmarkEnd w:id="133"/>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Нетни загуби/(печалби) от финансови активи, обявени за продажба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w:t>
            </w:r>
          </w:p>
        </w:tc>
      </w:tr>
    </w:tbl>
    <w:p w:rsidR="00F50689" w:rsidRPr="00AC62E1" w:rsidRDefault="005A36C4" w:rsidP="00F50689">
      <w:pPr>
        <w:pStyle w:val="Textstand-alone"/>
        <w:spacing w:before="0"/>
        <w:sectPr w:rsidR="00F50689" w:rsidRPr="00AC62E1" w:rsidSect="00F50689">
          <w:headerReference w:type="even" r:id="rId257"/>
          <w:headerReference w:type="default" r:id="rId258"/>
          <w:footerReference w:type="even" r:id="rId259"/>
          <w:footerReference w:type="default" r:id="rId260"/>
          <w:headerReference w:type="first" r:id="rId261"/>
          <w:footerReference w:type="first" r:id="rId262"/>
          <w:type w:val="continuous"/>
          <w:pgSz w:w="11906" w:h="16838"/>
          <w:pgMar w:top="1134" w:right="1134" w:bottom="1134" w:left="1134" w:header="709" w:footer="709" w:gutter="0"/>
          <w:cols w:space="708"/>
          <w:docGrid w:linePitch="360"/>
        </w:sectPr>
      </w:pPr>
      <w:r>
        <w:t xml:space="preserve"> </w:t>
      </w:r>
      <w:bookmarkEnd w:id="131"/>
    </w:p>
    <w:p w:rsidR="00F50689" w:rsidRDefault="005A36C4" w:rsidP="00F50689">
      <w:pPr>
        <w:pStyle w:val="HEADER2Part2"/>
        <w:spacing w:before="480" w:after="0"/>
      </w:pPr>
      <w:bookmarkStart w:id="134" w:name="_DMBM_2650"/>
      <w:r>
        <w:t>ДРУГИ ПРИХОДИ ОТ ОПЕРАЦИИ С РАЗМЯНА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35" w:name="DOC_TBL00055_1_1"/>
            <w:bookmarkEnd w:id="135"/>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Приходи, свързани с имоти, машини и съоръжения</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Печалби от курсови разлики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571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1 070</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1 066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1 443</w:t>
            </w:r>
          </w:p>
        </w:tc>
      </w:tr>
    </w:tbl>
    <w:p w:rsidR="00F50689" w:rsidRPr="00C73174" w:rsidRDefault="005A36C4" w:rsidP="00F50689">
      <w:pPr>
        <w:pStyle w:val="Textstand-alone"/>
        <w:spacing w:after="0"/>
      </w:pPr>
      <w:r>
        <w:t>Другите приходи от операции с размяна са основно приходи от хонорари за управление и приходи, свързани с вземания, които преди това са се обезценили.</w:t>
      </w:r>
    </w:p>
    <w:p w:rsidR="00F50689" w:rsidRPr="00C73174" w:rsidRDefault="005A36C4" w:rsidP="00F50689">
      <w:pPr>
        <w:pStyle w:val="Textstand-alone"/>
        <w:spacing w:before="0"/>
        <w:sectPr w:rsidR="00F50689" w:rsidRPr="00C73174" w:rsidSect="00F50689">
          <w:headerReference w:type="even" r:id="rId263"/>
          <w:headerReference w:type="default" r:id="rId264"/>
          <w:footerReference w:type="even" r:id="rId265"/>
          <w:footerReference w:type="default" r:id="rId266"/>
          <w:headerReference w:type="first" r:id="rId267"/>
          <w:footerReference w:type="first" r:id="rId268"/>
          <w:type w:val="continuous"/>
          <w:pgSz w:w="11906" w:h="16838"/>
          <w:pgMar w:top="1134" w:right="1134" w:bottom="1134" w:left="1134" w:header="709" w:footer="709" w:gutter="0"/>
          <w:cols w:space="708"/>
          <w:docGrid w:linePitch="360"/>
        </w:sectPr>
      </w:pPr>
      <w:r>
        <w:t xml:space="preserve"> </w:t>
      </w:r>
      <w:bookmarkEnd w:id="134"/>
    </w:p>
    <w:p w:rsidR="00F50689" w:rsidRDefault="00F50689">
      <w:pPr>
        <w:rPr>
          <w:rFonts w:ascii="Verdana" w:hAnsi="Verdana"/>
          <w:b/>
          <w:color w:val="016794"/>
          <w:sz w:val="28"/>
          <w:szCs w:val="28"/>
        </w:rPr>
      </w:pPr>
      <w:bookmarkStart w:id="136" w:name="_DMBM_2651"/>
      <w:r>
        <w:br w:type="page"/>
      </w:r>
    </w:p>
    <w:p w:rsidR="00F50689" w:rsidRPr="0069721E" w:rsidRDefault="005A36C4" w:rsidP="00F50689">
      <w:pPr>
        <w:pStyle w:val="HEADERTABLE"/>
      </w:pPr>
      <w:r>
        <w:t>РАЗХОДИ</w:t>
      </w:r>
    </w:p>
    <w:p w:rsidR="00F50689" w:rsidRPr="003816B7" w:rsidRDefault="005A36C4" w:rsidP="00F50689">
      <w:pPr>
        <w:pStyle w:val="HEADERTABLE"/>
        <w:spacing w:after="0"/>
      </w:pPr>
      <w:r>
        <w:t>ТРАНСФЕРНИ ПЛАЩАНИЯ И СУБСИДИИ ПО МЕТОДИ НА УПРАВЛЕНИЕ</w:t>
      </w:r>
    </w:p>
    <w:p w:rsidR="00F50689" w:rsidRPr="003816B7" w:rsidRDefault="005A36C4" w:rsidP="00F50689">
      <w:pPr>
        <w:pStyle w:val="Textstand-alone"/>
        <w:spacing w:before="0"/>
        <w:sectPr w:rsidR="00F50689" w:rsidRPr="003816B7" w:rsidSect="00F50689">
          <w:headerReference w:type="even" r:id="rId269"/>
          <w:headerReference w:type="default" r:id="rId270"/>
          <w:footerReference w:type="even" r:id="rId271"/>
          <w:footerReference w:type="default" r:id="rId272"/>
          <w:headerReference w:type="first" r:id="rId273"/>
          <w:footerReference w:type="first" r:id="rId274"/>
          <w:type w:val="continuous"/>
          <w:pgSz w:w="11906" w:h="16838"/>
          <w:pgMar w:top="1134" w:right="1134" w:bottom="1134" w:left="1134" w:header="709" w:footer="709" w:gutter="0"/>
          <w:cols w:space="708"/>
          <w:docGrid w:linePitch="360"/>
        </w:sectPr>
      </w:pPr>
      <w:r>
        <w:t xml:space="preserve"> </w:t>
      </w:r>
      <w:bookmarkEnd w:id="136"/>
    </w:p>
    <w:p w:rsidR="00F50689" w:rsidRDefault="005A36C4" w:rsidP="00F50689">
      <w:pPr>
        <w:pStyle w:val="HEADER2Part2"/>
        <w:spacing w:after="0"/>
      </w:pPr>
      <w:bookmarkStart w:id="137" w:name="_DMBM_2652"/>
      <w:r>
        <w:t>СПОДЕЛЕНО УПРАВЛЕНИЕ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38" w:name="DOC_TBL00056_1_1"/>
            <w:bookmarkEnd w:id="138"/>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eastAsia="Verdana" w:cs="Verdana"/>
              </w:rPr>
            </w:pPr>
            <w:r>
              <w:t>Изпълнени от държавите членки</w:t>
            </w: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 г.</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Европейски фонд за гарантиране на земеделието</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44 465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45 067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Европейски земеделски фонд за развитие на селските райони и други инструменти за развитие на селските райони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14 046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13 585</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Европейски фонд за регионално развитие и Кохезионен фонд</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43 345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47 767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Европейски социален фонд</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12 651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12 126</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Други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2 307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1 525</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116 814</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120 070</w:t>
            </w:r>
          </w:p>
        </w:tc>
      </w:tr>
    </w:tbl>
    <w:p w:rsidR="00F50689" w:rsidRDefault="005A36C4" w:rsidP="00F50689">
      <w:pPr>
        <w:pStyle w:val="Textstand-alone"/>
      </w:pPr>
      <w:r>
        <w:t>Програмите по структурните фондове са в последния етап на периода на програмиране 2007—2013 г., но са също и в началния етап на периода на програмиране 2014—2020 г.</w:t>
      </w:r>
    </w:p>
    <w:p w:rsidR="00F50689" w:rsidRDefault="005A36C4" w:rsidP="00F50689">
      <w:pPr>
        <w:pStyle w:val="Textstand-alone"/>
      </w:pPr>
      <w:r>
        <w:t>Най-голямата част от намалението в сравнение с 2013 г. се отнася до Европейския фонд за регионално развитие и до Кохезионния фонд. Разходите, признати през 2014 г., се отнасят до периода на програмиране 2007—2013 г., тъй като за текущия период все още не са отчетени разходи поради бавното започване на програмите (изпълнението от страна на държавите членки започна едва през 2015 г.).</w:t>
      </w:r>
    </w:p>
    <w:p w:rsidR="00F50689" w:rsidRDefault="005A36C4" w:rsidP="00F50689">
      <w:pPr>
        <w:pStyle w:val="Textstand-alone"/>
      </w:pPr>
      <w:r>
        <w:t>Намалението на разходите на Европейския фонд за гарантиране на земеделието може да се обясни предимно с въздействието на механизма за финансова дисциплина.</w:t>
      </w:r>
    </w:p>
    <w:p w:rsidR="00F50689" w:rsidRPr="00760446" w:rsidRDefault="005A36C4" w:rsidP="00F50689">
      <w:pPr>
        <w:pStyle w:val="Textstand-alone"/>
        <w:spacing w:after="0"/>
      </w:pPr>
      <w:r>
        <w:t>Подкатегорията „Други“ включва предимно: убежището и миграцията (0,6 млрд. EUR), вътрешната сигурност (0,5 млрд. EUR), рибарството и морското дело (0,5 млрд. EUR), фонд „Солидарност“ на Европейския съюз (0,2 млрд. EUR) и Европейския фонд за приспособяване към глобализацията (0,1 млрд. EUR).</w:t>
      </w:r>
    </w:p>
    <w:p w:rsidR="00F50689" w:rsidRPr="00760446" w:rsidRDefault="005A36C4" w:rsidP="00F50689">
      <w:pPr>
        <w:pStyle w:val="Textstand-alone"/>
        <w:spacing w:before="0"/>
        <w:sectPr w:rsidR="00F50689" w:rsidRPr="00760446" w:rsidSect="00F50689">
          <w:headerReference w:type="even" r:id="rId275"/>
          <w:headerReference w:type="default" r:id="rId276"/>
          <w:footerReference w:type="even" r:id="rId277"/>
          <w:footerReference w:type="default" r:id="rId278"/>
          <w:headerReference w:type="first" r:id="rId279"/>
          <w:footerReference w:type="first" r:id="rId280"/>
          <w:type w:val="continuous"/>
          <w:pgSz w:w="11906" w:h="16838"/>
          <w:pgMar w:top="1134" w:right="1134" w:bottom="1134" w:left="1134" w:header="709" w:footer="709" w:gutter="0"/>
          <w:cols w:space="708"/>
          <w:docGrid w:linePitch="360"/>
        </w:sectPr>
      </w:pPr>
      <w:r>
        <w:t xml:space="preserve"> </w:t>
      </w:r>
      <w:bookmarkEnd w:id="137"/>
    </w:p>
    <w:p w:rsidR="00F50689" w:rsidRDefault="005A36C4" w:rsidP="00F50689">
      <w:pPr>
        <w:pStyle w:val="HEADER2Part2"/>
        <w:spacing w:after="0"/>
      </w:pPr>
      <w:bookmarkStart w:id="139" w:name="_DMBM_2653"/>
      <w:r>
        <w:t>ПРЯКО УПРАВЛЕНИЕ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40" w:name="DOC_TBL00057_1_1"/>
            <w:bookmarkEnd w:id="140"/>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 г.</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Изпълнени от Комисията</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10 431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8 722</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Изпълнени от изпълнителните агенции на ЕС</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4 880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3 797</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15 311</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12 519</w:t>
            </w:r>
          </w:p>
        </w:tc>
      </w:tr>
    </w:tbl>
    <w:p w:rsidR="00F50689" w:rsidRDefault="005A36C4" w:rsidP="00F50689">
      <w:pPr>
        <w:pStyle w:val="Textstand-alone"/>
      </w:pPr>
      <w:r>
        <w:t>Тези суми са свързани предимно с изпълнението на политиката в областта на научните изследвания (8,9 млрд. EUR) и програмите за мрежи (1,5 млрд. EUR), както и на инструментите в областта на европейската политика за съседство (1,5 млрд. EUR) и сътрудничеството за развитие (1,3 млрд. EUR).</w:t>
      </w:r>
    </w:p>
    <w:p w:rsidR="00F50689" w:rsidRPr="003D264A" w:rsidRDefault="005A36C4" w:rsidP="00F50689">
      <w:pPr>
        <w:pStyle w:val="Textstand-alone"/>
        <w:spacing w:after="0"/>
        <w:rPr>
          <w:spacing w:val="-4"/>
        </w:rPr>
      </w:pPr>
      <w:r w:rsidRPr="003D264A">
        <w:rPr>
          <w:spacing w:val="-4"/>
        </w:rPr>
        <w:t>Увеличението на сумите през 2014 г. се дължи най-вече на сътрудничеството за развитие, при което имаше увеличение в размер на 0,5 млрд. EUR (включително плащане от 250 млн. EUR за Украйна), на енергетиката (1,1 млрд. EUR) и на научноизследователските програми, управлявани от изпълнителните агенции (1,1 млрд. EUR поради нарастващия брой проекти в процес на изпълнение).</w:t>
      </w:r>
    </w:p>
    <w:p w:rsidR="00F50689" w:rsidRPr="0061709E" w:rsidRDefault="005A36C4" w:rsidP="00F50689">
      <w:pPr>
        <w:pStyle w:val="Textstand-alone"/>
        <w:spacing w:before="0"/>
        <w:sectPr w:rsidR="00F50689" w:rsidRPr="0061709E" w:rsidSect="00F50689">
          <w:headerReference w:type="even" r:id="rId281"/>
          <w:headerReference w:type="default" r:id="rId282"/>
          <w:footerReference w:type="even" r:id="rId283"/>
          <w:footerReference w:type="default" r:id="rId284"/>
          <w:headerReference w:type="first" r:id="rId285"/>
          <w:footerReference w:type="first" r:id="rId286"/>
          <w:type w:val="continuous"/>
          <w:pgSz w:w="11906" w:h="16838"/>
          <w:pgMar w:top="1134" w:right="1134" w:bottom="1134" w:left="1134" w:header="709" w:footer="709" w:gutter="0"/>
          <w:cols w:space="708"/>
          <w:docGrid w:linePitch="360"/>
        </w:sectPr>
      </w:pPr>
      <w:r>
        <w:t xml:space="preserve"> </w:t>
      </w:r>
      <w:bookmarkEnd w:id="139"/>
    </w:p>
    <w:p w:rsidR="00F50689" w:rsidRDefault="005A36C4" w:rsidP="00F50689">
      <w:pPr>
        <w:pStyle w:val="HEADER2Part2"/>
        <w:spacing w:after="0"/>
      </w:pPr>
      <w:bookmarkStart w:id="141" w:name="_DMBM_2654"/>
      <w:r>
        <w:t>НЕПРЯКО УПРАВЛЕНИЕ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42" w:name="DOC_TBL00058_1_1"/>
            <w:bookmarkEnd w:id="142"/>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 г.</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Изпълнени от други агенции и органи на ЕС</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656</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Изпълнени от трети държави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1 005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720</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Изпълнени от международни организации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1 765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1 745</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Изпълнени от други субекти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1 799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1 694</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5 594</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4 815</w:t>
            </w:r>
          </w:p>
        </w:tc>
      </w:tr>
    </w:tbl>
    <w:p w:rsidR="00F50689" w:rsidRDefault="005A36C4" w:rsidP="00F50689">
      <w:pPr>
        <w:pStyle w:val="Textstand-alone"/>
        <w:spacing w:before="0"/>
        <w:sectPr w:rsidR="00F50689" w:rsidSect="00F50689">
          <w:headerReference w:type="even" r:id="rId287"/>
          <w:headerReference w:type="default" r:id="rId288"/>
          <w:footerReference w:type="even" r:id="rId289"/>
          <w:footerReference w:type="default" r:id="rId290"/>
          <w:headerReference w:type="first" r:id="rId291"/>
          <w:footerReference w:type="first" r:id="rId292"/>
          <w:type w:val="continuous"/>
          <w:pgSz w:w="11906" w:h="16838"/>
          <w:pgMar w:top="1134" w:right="1134" w:bottom="1134" w:left="1134" w:header="709" w:footer="709" w:gutter="0"/>
          <w:cols w:space="708"/>
          <w:docGrid w:linePitch="360"/>
        </w:sectPr>
      </w:pPr>
      <w:r>
        <w:t xml:space="preserve"> </w:t>
      </w:r>
      <w:bookmarkEnd w:id="141"/>
    </w:p>
    <w:p w:rsidR="00F50689" w:rsidRDefault="005A36C4" w:rsidP="00F50689">
      <w:pPr>
        <w:pStyle w:val="HEADER2Part2"/>
        <w:spacing w:after="0"/>
      </w:pPr>
      <w:bookmarkStart w:id="143" w:name="_DMBM_2655"/>
      <w:r>
        <w:t>РАЗХОДИ ЗА ПЕРСОНАЛ И ЗА ПЕНСИИ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3E3073" w:rsidRDefault="00F50689" w:rsidP="00F50689">
            <w:pPr>
              <w:pStyle w:val="Text8pItalicLeft"/>
              <w:rPr>
                <w:rFonts w:eastAsia="Verdana" w:cs="Verdana"/>
                <w:color w:val="FFFFFF"/>
              </w:rPr>
            </w:pPr>
            <w:bookmarkStart w:id="144" w:name="DOC_TBL00059_1_1"/>
            <w:bookmarkEnd w:id="144"/>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3E3073"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3E3073"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3E3073" w:rsidRDefault="005A36C4" w:rsidP="00F50689">
            <w:pPr>
              <w:pStyle w:val="Heading10pNormalRight025"/>
              <w:rPr>
                <w:rFonts w:eastAsia="Verdana"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3E3073" w:rsidRDefault="005A36C4" w:rsidP="00F50689">
            <w:pPr>
              <w:pStyle w:val="Heading10pNormalRight025"/>
              <w:rPr>
                <w:rFonts w:eastAsia="Verdana" w:cs="Verdana"/>
              </w:rPr>
            </w:pPr>
            <w:r>
              <w:t>2013 г.</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Text9pItalicLeft"/>
              <w:rPr>
                <w:rFonts w:eastAsia="Verdana" w:cs="Verdana"/>
              </w:rPr>
            </w:pPr>
            <w:r>
              <w:t>Разходи за персонал</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rPr>
            </w:pPr>
            <w:r>
              <w:t>5 693</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rPr>
            </w:pPr>
            <w:r>
              <w:t>5 527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Text9pItalicLeft"/>
              <w:rPr>
                <w:rFonts w:eastAsia="Verdana" w:cs="Verdana"/>
              </w:rPr>
            </w:pPr>
            <w:r>
              <w:t>Разходи за пенсии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rPr>
            </w:pPr>
            <w:r>
              <w:t>3 970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rPr>
            </w:pPr>
            <w:r>
              <w:t>3 531</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3E3073" w:rsidRDefault="005A36C4" w:rsidP="00F50689">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3E3073" w:rsidRDefault="005A36C4" w:rsidP="00F50689">
            <w:pPr>
              <w:pStyle w:val="Figures9pBoldRight025"/>
              <w:rPr>
                <w:rFonts w:eastAsia="Verdana" w:cs="Verdana"/>
              </w:rPr>
            </w:pPr>
            <w:r>
              <w:t>9 662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3E3073" w:rsidRDefault="005A36C4" w:rsidP="00F50689">
            <w:pPr>
              <w:pStyle w:val="Figures9pBoldRight025"/>
              <w:rPr>
                <w:rFonts w:eastAsia="Verdana" w:cs="Verdana"/>
              </w:rPr>
            </w:pPr>
            <w:r>
              <w:t>9 058</w:t>
            </w:r>
          </w:p>
        </w:tc>
      </w:tr>
    </w:tbl>
    <w:p w:rsidR="00F50689" w:rsidRPr="003E3073" w:rsidRDefault="005A36C4" w:rsidP="00F50689">
      <w:pPr>
        <w:pStyle w:val="Textstand-alone"/>
        <w:spacing w:after="0"/>
      </w:pPr>
      <w:r>
        <w:t>Разходите за пенсии представляват елементи на движенията, които са възникнали след актюерската преоценка на задълженията, свързани с доходите на заети лица, различни от актюерските предположения.</w:t>
      </w:r>
    </w:p>
    <w:p w:rsidR="00F50689" w:rsidRPr="003E3073" w:rsidRDefault="005A36C4" w:rsidP="00F50689">
      <w:pPr>
        <w:pStyle w:val="Textstand-alone"/>
        <w:spacing w:before="0"/>
        <w:sectPr w:rsidR="00F50689" w:rsidRPr="003E3073" w:rsidSect="00F50689">
          <w:headerReference w:type="even" r:id="rId293"/>
          <w:headerReference w:type="default" r:id="rId294"/>
          <w:footerReference w:type="even" r:id="rId295"/>
          <w:footerReference w:type="default" r:id="rId296"/>
          <w:headerReference w:type="first" r:id="rId297"/>
          <w:footerReference w:type="first" r:id="rId298"/>
          <w:type w:val="continuous"/>
          <w:pgSz w:w="11906" w:h="16838"/>
          <w:pgMar w:top="1134" w:right="1134" w:bottom="1134" w:left="1134" w:header="709" w:footer="709" w:gutter="0"/>
          <w:cols w:space="708"/>
          <w:docGrid w:linePitch="360"/>
        </w:sectPr>
      </w:pPr>
      <w:r>
        <w:t xml:space="preserve"> </w:t>
      </w:r>
      <w:bookmarkEnd w:id="143"/>
    </w:p>
    <w:p w:rsidR="00F50689" w:rsidRDefault="005A36C4" w:rsidP="00F50689">
      <w:pPr>
        <w:pStyle w:val="HEADER2Part2"/>
        <w:spacing w:after="0"/>
      </w:pPr>
      <w:bookmarkStart w:id="145" w:name="_DMBM_2656"/>
      <w:r>
        <w:t>ПРОМЕНИ В АКТЮЕРСКИТЕ ПРЕДПОЛОЖЕНИЯ ЗА ДОХОДИТЕ НА ЗАЕТИ ЛИЦА</w:t>
      </w:r>
    </w:p>
    <w:p w:rsidR="00F50689" w:rsidRDefault="005A36C4" w:rsidP="00F50689">
      <w:pPr>
        <w:pStyle w:val="Textstand-alone"/>
        <w:spacing w:after="0"/>
      </w:pPr>
      <w:r>
        <w:t>Нетната актюерска загуба от 9,2 млрд. EUR, посочена в тази позиция, се отнася до задълженията, свързани с доходите на заети лица, признати в счетоводния баланс (вж. бележка </w:t>
      </w:r>
      <w:r>
        <w:rPr>
          <w:b/>
        </w:rPr>
        <w:t>2.9</w:t>
      </w:r>
      <w:r>
        <w:t>). Изключително високият размер на сумата се дължи на големия спад на лихвените проценти, което е следствие от икономическите условия, от които лихвените проценти зависят.</w:t>
      </w:r>
    </w:p>
    <w:p w:rsidR="00F50689" w:rsidRPr="00470929" w:rsidRDefault="005A36C4" w:rsidP="00F50689">
      <w:pPr>
        <w:pStyle w:val="Textstand-alone"/>
        <w:spacing w:before="0"/>
        <w:sectPr w:rsidR="00F50689" w:rsidRPr="00470929" w:rsidSect="00F50689">
          <w:headerReference w:type="even" r:id="rId299"/>
          <w:headerReference w:type="default" r:id="rId300"/>
          <w:footerReference w:type="even" r:id="rId301"/>
          <w:footerReference w:type="default" r:id="rId302"/>
          <w:headerReference w:type="first" r:id="rId303"/>
          <w:footerReference w:type="first" r:id="rId304"/>
          <w:type w:val="continuous"/>
          <w:pgSz w:w="11906" w:h="16838"/>
          <w:pgMar w:top="1134" w:right="1134" w:bottom="1134" w:left="1134" w:header="709" w:footer="709" w:gutter="0"/>
          <w:cols w:space="708"/>
          <w:docGrid w:linePitch="360"/>
        </w:sectPr>
      </w:pPr>
      <w:r>
        <w:t xml:space="preserve"> </w:t>
      </w:r>
      <w:bookmarkEnd w:id="145"/>
    </w:p>
    <w:p w:rsidR="00F50689" w:rsidRDefault="005A36C4" w:rsidP="00F50689">
      <w:pPr>
        <w:pStyle w:val="HEADER2Part2"/>
        <w:spacing w:after="0"/>
      </w:pPr>
      <w:bookmarkStart w:id="146" w:name="_DMBM_2657"/>
      <w:r>
        <w:t>ФИНАНСОВИ РАЗХОДИ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47" w:name="DOC_TBL00060_1_1"/>
            <w:bookmarkEnd w:id="147"/>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Разходи за лихви:</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  Получени заеми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1 712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1 697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  Други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Финансови лизинги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Загуби от обезценка на финансови активи, обявени за продажба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Загуби от обезценка на заеми и вземания</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1 030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469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Реализирана загуба от продажба на финансови активи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 финансови разходи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87</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2 926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2 383</w:t>
            </w:r>
          </w:p>
        </w:tc>
      </w:tr>
    </w:tbl>
    <w:p w:rsidR="00F50689" w:rsidRPr="00CB2839" w:rsidRDefault="005A36C4" w:rsidP="00F50689">
      <w:pPr>
        <w:pStyle w:val="Textstand-alone"/>
      </w:pPr>
      <w:r>
        <w:t>Размерът на разходите за лихви по получените заеми съответства на приходите от лихви по отпуснатите заеми (операции от вида „бек-ту-бек“).</w:t>
      </w:r>
    </w:p>
    <w:p w:rsidR="00F50689" w:rsidRDefault="005A36C4" w:rsidP="00F50689">
      <w:pPr>
        <w:pStyle w:val="HEADER2Part2"/>
        <w:spacing w:after="0"/>
      </w:pPr>
      <w:bookmarkStart w:id="148" w:name="_DMBM_2658"/>
      <w:bookmarkEnd w:id="146"/>
      <w:r>
        <w:t>ДЯЛ ОТ НЕТНИЯ РЕЗУЛТАТ НА СЪВМЕСТНИ И АСОЦИИРАНИ ПРЕДПРИЯТИЯ</w:t>
      </w:r>
    </w:p>
    <w:p w:rsidR="00F50689" w:rsidRDefault="005A36C4" w:rsidP="00F50689">
      <w:pPr>
        <w:pStyle w:val="Textstand-alone"/>
        <w:spacing w:after="0"/>
      </w:pPr>
      <w:r>
        <w:t>В съответствие с метода на собствения капитал ЕС включва в своя отчет за финансовия резултат дела си от нетния резултат на своите съвместни и асоциирани предприятия (вж. също бележки </w:t>
      </w:r>
      <w:r>
        <w:rPr>
          <w:b/>
        </w:rPr>
        <w:t>2.3.1</w:t>
      </w:r>
      <w:r>
        <w:t xml:space="preserve"> и </w:t>
      </w:r>
      <w:r>
        <w:rPr>
          <w:b/>
        </w:rPr>
        <w:t>2.3.2</w:t>
      </w:r>
      <w:r>
        <w:t>).</w:t>
      </w:r>
    </w:p>
    <w:p w:rsidR="00F50689" w:rsidRPr="006E1E43" w:rsidRDefault="005A36C4" w:rsidP="00F50689">
      <w:pPr>
        <w:pStyle w:val="Textstand-alone"/>
        <w:spacing w:before="0"/>
        <w:sectPr w:rsidR="00F50689" w:rsidRPr="006E1E43" w:rsidSect="00F50689">
          <w:headerReference w:type="even" r:id="rId305"/>
          <w:headerReference w:type="default" r:id="rId306"/>
          <w:footerReference w:type="even" r:id="rId307"/>
          <w:footerReference w:type="default" r:id="rId308"/>
          <w:headerReference w:type="first" r:id="rId309"/>
          <w:footerReference w:type="first" r:id="rId310"/>
          <w:type w:val="continuous"/>
          <w:pgSz w:w="11906" w:h="16838"/>
          <w:pgMar w:top="1134" w:right="1134" w:bottom="1134" w:left="1134" w:header="709" w:footer="709" w:gutter="0"/>
          <w:cols w:space="708"/>
          <w:docGrid w:linePitch="360"/>
        </w:sectPr>
      </w:pPr>
      <w:r>
        <w:t xml:space="preserve"> </w:t>
      </w:r>
      <w:bookmarkEnd w:id="148"/>
    </w:p>
    <w:p w:rsidR="00F50689" w:rsidRPr="00A675FE" w:rsidRDefault="00F50689">
      <w:pPr>
        <w:rPr>
          <w:rFonts w:ascii="Verdana" w:hAnsi="Verdana"/>
          <w:b/>
          <w:color w:val="016794"/>
          <w:sz w:val="28"/>
          <w:szCs w:val="28"/>
        </w:rPr>
      </w:pPr>
      <w:bookmarkStart w:id="149" w:name="_DMBM_2659"/>
      <w:r>
        <w:br w:type="page"/>
      </w:r>
    </w:p>
    <w:p w:rsidR="00F50689" w:rsidRDefault="005A36C4" w:rsidP="00F50689">
      <w:pPr>
        <w:pStyle w:val="HEADER2Part2"/>
        <w:spacing w:after="0"/>
      </w:pPr>
      <w:r>
        <w:t>ДРУГИ РАЗХОДИ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0" w:name="DOC_TBL00062_1_1"/>
            <w:bookmarkEnd w:id="150"/>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 г.</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Административни разходи и разходи в областта на ИТ</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2 070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2 034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Разходи, свързани с имоти, машини и съоръжения</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1 186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1 105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Загуби от курсови разлики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370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Корекция на провизиите</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688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399</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839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640</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5 152</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4 572</w:t>
            </w:r>
          </w:p>
        </w:tc>
      </w:tr>
    </w:tbl>
    <w:p w:rsidR="00F50689" w:rsidRDefault="005A36C4" w:rsidP="00F50689">
      <w:pPr>
        <w:pStyle w:val="Textstand-alone"/>
        <w:spacing w:after="0"/>
      </w:pPr>
      <w:r>
        <w:t>Разходите за научноизследователска и развойна дейност са включени в административните разходи и в разходите за ИТ и са, както следва: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1" w:name="DOC_TBL00063_1_1"/>
            <w:bookmarkEnd w:id="151"/>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 xml:space="preserve">млн. EUR </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Разходи за научни изследвания</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353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335</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Некапитализирани разходи за развойна дейност</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406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409</w:t>
            </w:r>
          </w:p>
        </w:tc>
      </w:tr>
    </w:tbl>
    <w:p w:rsidR="00F50689" w:rsidRDefault="005A36C4" w:rsidP="00F50689">
      <w:pPr>
        <w:pStyle w:val="Textstand-alone"/>
        <w:spacing w:after="0"/>
      </w:pPr>
      <w:r>
        <w:t>В позицията за разходи, свързани с имоти, машини и съоръжения, са включени 369 млн. EUR (2013 г.: 388 млн. EUR), свързани с оперативни лизинги. Сумите, за които е поето задължение за плащане през оставащия срок на тези лизингови договори, са, както следва: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559"/>
        <w:gridCol w:w="1559"/>
        <w:gridCol w:w="1560"/>
        <w:gridCol w:w="1559"/>
      </w:tblGrid>
      <w:tr w:rsidR="00E7728E">
        <w:tc>
          <w:tcPr>
            <w:tcW w:w="3510"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2" w:name="DOC_TBL00064_1_1"/>
            <w:bookmarkEnd w:id="152"/>
          </w:p>
        </w:tc>
        <w:tc>
          <w:tcPr>
            <w:tcW w:w="4678" w:type="dxa"/>
            <w:gridSpan w:val="3"/>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4678"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Бъдещи суми за плащане</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jc w:val="right"/>
              <w:rPr>
                <w:rFonts w:cs="Calibri"/>
              </w:rPr>
            </w:pP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25"/>
              <w:rPr>
                <w:rFonts w:cs="Verdana"/>
              </w:rPr>
            </w:pPr>
            <w:r>
              <w:t>&lt; 1 година</w:t>
            </w: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25"/>
              <w:rPr>
                <w:rFonts w:cs="Verdana"/>
              </w:rPr>
            </w:pPr>
            <w:r>
              <w:t>1—5 години</w:t>
            </w:r>
          </w:p>
        </w:tc>
        <w:tc>
          <w:tcPr>
            <w:tcW w:w="156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25"/>
              <w:rPr>
                <w:rFonts w:cs="Verdana"/>
              </w:rPr>
            </w:pPr>
            <w:r>
              <w:t>&gt; 5 години</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Общо</w:t>
            </w:r>
          </w:p>
        </w:tc>
      </w:tr>
      <w:tr w:rsidR="00E7728E">
        <w:tc>
          <w:tcPr>
            <w:tcW w:w="351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Сгради</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332</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988</w:t>
            </w:r>
          </w:p>
        </w:tc>
        <w:tc>
          <w:tcPr>
            <w:tcW w:w="156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934</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2 254</w:t>
            </w:r>
          </w:p>
        </w:tc>
      </w:tr>
      <w:tr w:rsidR="00E7728E">
        <w:tc>
          <w:tcPr>
            <w:tcW w:w="351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Материали, свързани с ИТ, и друго оборудване</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c>
          <w:tcPr>
            <w:tcW w:w="156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0</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w:t>
            </w:r>
          </w:p>
        </w:tc>
      </w:tr>
      <w:tr w:rsidR="00E7728E">
        <w:tc>
          <w:tcPr>
            <w:tcW w:w="3510"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t>Общо</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339</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1 003</w:t>
            </w:r>
          </w:p>
        </w:tc>
        <w:tc>
          <w:tcPr>
            <w:tcW w:w="1560"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934</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2 276</w:t>
            </w:r>
          </w:p>
        </w:tc>
      </w:tr>
    </w:tbl>
    <w:p w:rsidR="00F50689" w:rsidRPr="00142110" w:rsidRDefault="005A36C4" w:rsidP="00F50689">
      <w:pPr>
        <w:pStyle w:val="Textstand-alone"/>
        <w:spacing w:before="0"/>
        <w:sectPr w:rsidR="00F50689" w:rsidRPr="00142110" w:rsidSect="00F50689">
          <w:headerReference w:type="even" r:id="rId311"/>
          <w:headerReference w:type="default" r:id="rId312"/>
          <w:footerReference w:type="even" r:id="rId313"/>
          <w:footerReference w:type="default" r:id="rId314"/>
          <w:headerReference w:type="first" r:id="rId315"/>
          <w:footerReference w:type="first" r:id="rId316"/>
          <w:type w:val="continuous"/>
          <w:pgSz w:w="11906" w:h="16838"/>
          <w:pgMar w:top="1134" w:right="1134" w:bottom="1134" w:left="1134" w:header="709" w:footer="709" w:gutter="0"/>
          <w:cols w:space="708"/>
          <w:docGrid w:linePitch="360"/>
        </w:sectPr>
      </w:pPr>
      <w:r>
        <w:t xml:space="preserve"> </w:t>
      </w:r>
      <w:bookmarkEnd w:id="149"/>
    </w:p>
    <w:p w:rsidR="00F50689" w:rsidRPr="00B019A2" w:rsidRDefault="005A36C4" w:rsidP="00C946BD">
      <w:pPr>
        <w:pStyle w:val="HEADER2Part2"/>
        <w:tabs>
          <w:tab w:val="clear" w:pos="907"/>
          <w:tab w:val="left" w:pos="851"/>
        </w:tabs>
        <w:spacing w:before="120" w:after="0"/>
        <w:ind w:right="-312"/>
        <w:rPr>
          <w:spacing w:val="-6"/>
          <w:sz w:val="27"/>
          <w:szCs w:val="27"/>
        </w:rPr>
      </w:pPr>
      <w:bookmarkStart w:id="153" w:name="_DMBM_2660"/>
      <w:r w:rsidRPr="00B019A2">
        <w:rPr>
          <w:spacing w:val="-6"/>
          <w:sz w:val="27"/>
          <w:szCs w:val="27"/>
        </w:rPr>
        <w:t>ОТЧИТАНЕ ПО СЕГМЕНТИ ПО ФУНКЦИИ ОТ МНОГОГОДИШНАТА ФИНАНСОВА РАМКА (МФР)</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E7728E">
        <w:trPr>
          <w:trHeight w:val="250"/>
        </w:trPr>
        <w:tc>
          <w:tcPr>
            <w:tcW w:w="407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4" w:name="DOC_TBL00065_1_1"/>
            <w:bookmarkEnd w:id="154"/>
          </w:p>
        </w:tc>
        <w:tc>
          <w:tcPr>
            <w:tcW w:w="162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685"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5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737"/>
        </w:trPr>
        <w:tc>
          <w:tcPr>
            <w:tcW w:w="407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62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Интелигентен и приобщаващ растеж</w:t>
            </w:r>
          </w:p>
        </w:tc>
        <w:tc>
          <w:tcPr>
            <w:tcW w:w="16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Устойчив растеж</w:t>
            </w:r>
          </w:p>
        </w:tc>
        <w:tc>
          <w:tcPr>
            <w:tcW w:w="12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Сигурност и гражданство</w:t>
            </w:r>
          </w:p>
        </w:tc>
        <w:tc>
          <w:tcPr>
            <w:tcW w:w="135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Глобална Европа</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Администрация</w:t>
            </w:r>
          </w:p>
        </w:tc>
        <w:tc>
          <w:tcPr>
            <w:tcW w:w="127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Неотнесени към функция на МФР*</w:t>
            </w:r>
          </w:p>
        </w:tc>
        <w:tc>
          <w:tcPr>
            <w:tcW w:w="143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Общо</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Ресурси от БНД</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104 688</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104 688</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Традиционни собствени ресурси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17 137</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17 137</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ДДС</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17 462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17 462</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Глоби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2 297</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2 297</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Събиране на разходи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1 136</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2 226</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0</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3 418</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Други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1 981</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508</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4 590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(1 513)</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5 623</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BoldLeft"/>
              <w:rPr>
                <w:rFonts w:eastAsia="Times New Roman" w:cs="Verdana"/>
              </w:rPr>
            </w:pPr>
            <w:r>
              <w:t>Приходи от операции без размяна</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3 117</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2 734</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6</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106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4 590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140 072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150 625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Финансови приходи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66</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0</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2 192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2 298</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Други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119</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(11)</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97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215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649</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1 066</w:t>
            </w:r>
          </w:p>
        </w:tc>
      </w:tr>
      <w:tr w:rsidR="00E7728E">
        <w:trPr>
          <w:trHeight w:val="234"/>
        </w:trPr>
        <w:tc>
          <w:tcPr>
            <w:tcW w:w="407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8pBoldLeft"/>
              <w:rPr>
                <w:rFonts w:eastAsia="Times New Roman" w:cs="Verdana"/>
              </w:rPr>
            </w:pPr>
            <w:r>
              <w:t>Приходи от операции с размяна</w:t>
            </w:r>
          </w:p>
        </w:tc>
        <w:tc>
          <w:tcPr>
            <w:tcW w:w="162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185</w:t>
            </w:r>
          </w:p>
        </w:tc>
        <w:tc>
          <w:tcPr>
            <w:tcW w:w="16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(8)</w:t>
            </w:r>
          </w:p>
        </w:tc>
        <w:tc>
          <w:tcPr>
            <w:tcW w:w="129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(4)</w:t>
            </w:r>
          </w:p>
        </w:tc>
        <w:tc>
          <w:tcPr>
            <w:tcW w:w="135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134</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216</w:t>
            </w:r>
          </w:p>
        </w:tc>
        <w:tc>
          <w:tcPr>
            <w:tcW w:w="127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2 841</w:t>
            </w:r>
          </w:p>
        </w:tc>
        <w:tc>
          <w:tcPr>
            <w:tcW w:w="143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3 364</w:t>
            </w:r>
          </w:p>
        </w:tc>
      </w:tr>
      <w:tr w:rsidR="00E7728E">
        <w:trPr>
          <w:trHeight w:val="234"/>
        </w:trPr>
        <w:tc>
          <w:tcPr>
            <w:tcW w:w="40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8pBoldLeft"/>
              <w:rPr>
                <w:rFonts w:eastAsia="Times New Roman" w:cs="Verdana"/>
              </w:rPr>
            </w:pPr>
            <w:r>
              <w:t>Общо приходи</w:t>
            </w:r>
          </w:p>
        </w:tc>
        <w:tc>
          <w:tcPr>
            <w:tcW w:w="162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3 302</w:t>
            </w:r>
          </w:p>
        </w:tc>
        <w:tc>
          <w:tcPr>
            <w:tcW w:w="16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2 726</w:t>
            </w:r>
          </w:p>
        </w:tc>
        <w:tc>
          <w:tcPr>
            <w:tcW w:w="129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2</w:t>
            </w:r>
          </w:p>
        </w:tc>
        <w:tc>
          <w:tcPr>
            <w:tcW w:w="135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240</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4 806</w:t>
            </w:r>
          </w:p>
        </w:tc>
        <w:tc>
          <w:tcPr>
            <w:tcW w:w="127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142 913</w:t>
            </w:r>
          </w:p>
        </w:tc>
        <w:tc>
          <w:tcPr>
            <w:tcW w:w="143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153 989</w:t>
            </w:r>
          </w:p>
        </w:tc>
      </w:tr>
      <w:tr w:rsidR="00E7728E">
        <w:trPr>
          <w:trHeight w:val="218"/>
        </w:trPr>
        <w:tc>
          <w:tcPr>
            <w:tcW w:w="407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Разходи, изпълнени от държавите членки:</w:t>
            </w:r>
          </w:p>
        </w:tc>
        <w:tc>
          <w:tcPr>
            <w:tcW w:w="162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68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29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357"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27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43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 xml:space="preserve">  ЕФГЗ</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(44 465)</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(44 465)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 xml:space="preserve">  ЕЗФРСР и други инструменти за развитие на селските райони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(14 033)</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(14 046)</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 xml:space="preserve">  ЕФРР и КФ</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(43 345)</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(43 345)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 xml:space="preserve">  EСФ</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(12 651)</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(12 651)</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 xml:space="preserve">  Други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(561)</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(542)</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(1 109)</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(94)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(2 307)</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Изпълнени от ЕК и изпълнителните агенции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(9 809)</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(339)</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(1 114)</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(4 046)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9</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(15 311)</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Изпълнени от други агенции и органи на ЕС</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(789)</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(58)</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(473)</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334</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(1 025)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Изпълнени от трети държави и международни организации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(246)</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(8)</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(2 520)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(2 770)</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Изпълнени от други субекти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(1 317)</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(478)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(1 799)</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Разходи за персонал и за пенсии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(1 538)</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(324)</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(362)</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(566)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(6 066)</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(806)</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(9 662)</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Промени в актюерските предположения за доходите на заети лица</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(9 170)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(9 170)</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Финансови разходи</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(152)</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(25)</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(26)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(557)</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(2 165)</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(2 926)</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Дял от нетния дефицит на съвместни/асоциирани предприятия</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(640)</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(640)</w:t>
            </w:r>
          </w:p>
        </w:tc>
      </w:tr>
      <w:tr w:rsidR="00E7728E">
        <w:trPr>
          <w:trHeight w:val="234"/>
        </w:trPr>
        <w:tc>
          <w:tcPr>
            <w:tcW w:w="407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8pItalicLeft"/>
              <w:rPr>
                <w:rFonts w:cs="Verdana"/>
              </w:rPr>
            </w:pPr>
            <w:r>
              <w:t>Други разходи</w:t>
            </w:r>
          </w:p>
        </w:tc>
        <w:tc>
          <w:tcPr>
            <w:tcW w:w="162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(1 397)</w:t>
            </w:r>
          </w:p>
        </w:tc>
        <w:tc>
          <w:tcPr>
            <w:tcW w:w="16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(60)</w:t>
            </w:r>
          </w:p>
        </w:tc>
        <w:tc>
          <w:tcPr>
            <w:tcW w:w="129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(115)</w:t>
            </w:r>
          </w:p>
        </w:tc>
        <w:tc>
          <w:tcPr>
            <w:tcW w:w="135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(126)</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(3 069)</w:t>
            </w:r>
          </w:p>
        </w:tc>
        <w:tc>
          <w:tcPr>
            <w:tcW w:w="127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(385)</w:t>
            </w:r>
          </w:p>
        </w:tc>
        <w:tc>
          <w:tcPr>
            <w:tcW w:w="143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(5 152)</w:t>
            </w:r>
          </w:p>
        </w:tc>
      </w:tr>
      <w:tr w:rsidR="00E7728E">
        <w:trPr>
          <w:trHeight w:val="218"/>
        </w:trPr>
        <w:tc>
          <w:tcPr>
            <w:tcW w:w="407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8pBoldLeft"/>
              <w:rPr>
                <w:rFonts w:eastAsia="Times New Roman" w:cs="Verdana"/>
              </w:rPr>
            </w:pPr>
            <w:r>
              <w:t>Общо разходи</w:t>
            </w:r>
          </w:p>
        </w:tc>
        <w:tc>
          <w:tcPr>
            <w:tcW w:w="162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(72 444)</w:t>
            </w:r>
          </w:p>
        </w:tc>
        <w:tc>
          <w:tcPr>
            <w:tcW w:w="16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(59 843)</w:t>
            </w:r>
          </w:p>
        </w:tc>
        <w:tc>
          <w:tcPr>
            <w:tcW w:w="129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(3 189)</w:t>
            </w:r>
          </w:p>
        </w:tc>
        <w:tc>
          <w:tcPr>
            <w:tcW w:w="135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(7 908)</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(18 853)</w:t>
            </w:r>
          </w:p>
        </w:tc>
        <w:tc>
          <w:tcPr>
            <w:tcW w:w="127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(3 032)</w:t>
            </w:r>
          </w:p>
        </w:tc>
        <w:tc>
          <w:tcPr>
            <w:tcW w:w="143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(165 269)</w:t>
            </w:r>
          </w:p>
        </w:tc>
      </w:tr>
      <w:tr w:rsidR="00E7728E">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Times New Roman" w:cs="Verdana"/>
              </w:rPr>
            </w:pPr>
            <w:r>
              <w:t>Финансов резултат за годината</w:t>
            </w:r>
          </w:p>
        </w:tc>
        <w:tc>
          <w:tcPr>
            <w:tcW w:w="16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(69 141)</w:t>
            </w:r>
          </w:p>
        </w:tc>
        <w:tc>
          <w:tcPr>
            <w:tcW w:w="16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(57 117)</w:t>
            </w:r>
          </w:p>
        </w:tc>
        <w:tc>
          <w:tcPr>
            <w:tcW w:w="12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(3 186)</w:t>
            </w:r>
          </w:p>
        </w:tc>
        <w:tc>
          <w:tcPr>
            <w:tcW w:w="135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(7 668)</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(14 047)</w:t>
            </w:r>
          </w:p>
        </w:tc>
        <w:tc>
          <w:tcPr>
            <w:tcW w:w="127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139 880</w:t>
            </w:r>
          </w:p>
        </w:tc>
        <w:tc>
          <w:tcPr>
            <w:tcW w:w="143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(11 280)</w:t>
            </w:r>
          </w:p>
        </w:tc>
      </w:tr>
    </w:tbl>
    <w:p w:rsidR="00F50689" w:rsidRPr="00101459" w:rsidRDefault="005A36C4" w:rsidP="00101459">
      <w:pPr>
        <w:pStyle w:val="Textstand-alone"/>
        <w:tabs>
          <w:tab w:val="left" w:pos="284"/>
        </w:tabs>
        <w:spacing w:before="60"/>
        <w:ind w:left="284" w:hanging="284"/>
        <w:rPr>
          <w:i/>
          <w:sz w:val="14"/>
        </w:rPr>
      </w:pPr>
      <w:r>
        <w:rPr>
          <w:i/>
          <w:sz w:val="14"/>
        </w:rPr>
        <w:t>*</w:t>
      </w:r>
      <w:r>
        <w:tab/>
      </w:r>
      <w:r>
        <w:rPr>
          <w:i/>
          <w:sz w:val="14"/>
        </w:rPr>
        <w:t>Позицията „Неотнесени към функция от МФР“ включва изпълнението на бюджета от консолидираните субекти и консолидационните изключвания, извънбюджетните операции и неразпределените несъществени програми.</w:t>
      </w:r>
    </w:p>
    <w:p w:rsidR="00F50689" w:rsidRDefault="005A36C4" w:rsidP="00F50689">
      <w:pPr>
        <w:pStyle w:val="Textstand-alone"/>
        <w:tabs>
          <w:tab w:val="left" w:pos="284"/>
        </w:tabs>
        <w:spacing w:before="0" w:after="0"/>
        <w:ind w:left="284" w:hanging="284"/>
      </w:pPr>
      <w:r>
        <w:t>Посочването на приходите и разходите по функции от МФР се основава на приблизителна оценка, тъй като не всички поети задължения са свързани с функция от МФР.</w:t>
      </w:r>
    </w:p>
    <w:p w:rsidR="00F50689" w:rsidRPr="00557D3B" w:rsidRDefault="005A36C4" w:rsidP="00F50689">
      <w:pPr>
        <w:pStyle w:val="Textstand-alone"/>
        <w:tabs>
          <w:tab w:val="left" w:pos="284"/>
        </w:tabs>
        <w:spacing w:before="0" w:after="0"/>
        <w:ind w:left="284" w:hanging="284"/>
        <w:sectPr w:rsidR="00F50689" w:rsidRPr="00557D3B" w:rsidSect="00F50689">
          <w:headerReference w:type="even" r:id="rId317"/>
          <w:headerReference w:type="default" r:id="rId318"/>
          <w:footerReference w:type="even" r:id="rId319"/>
          <w:footerReference w:type="default" r:id="rId320"/>
          <w:headerReference w:type="first" r:id="rId321"/>
          <w:footerReference w:type="first" r:id="rId322"/>
          <w:pgSz w:w="16838" w:h="11906" w:orient="landscape"/>
          <w:pgMar w:top="1134" w:right="1134" w:bottom="1134" w:left="1134" w:header="708" w:footer="708" w:gutter="0"/>
          <w:cols w:space="708"/>
          <w:docGrid w:linePitch="360"/>
        </w:sectPr>
      </w:pPr>
      <w:r>
        <w:t xml:space="preserve"> </w:t>
      </w:r>
      <w:bookmarkEnd w:id="153"/>
    </w:p>
    <w:p w:rsidR="00F50689" w:rsidRPr="00893516" w:rsidRDefault="005A36C4" w:rsidP="00875458">
      <w:pPr>
        <w:pStyle w:val="HEADER2Part2"/>
        <w:spacing w:after="0" w:line="360" w:lineRule="auto"/>
      </w:pPr>
      <w:bookmarkStart w:id="155" w:name="_DMBM_2639"/>
      <w:r>
        <w:t>ПРЕКЛАСИФИЦИРАНЕ НА ДАННИТЕ ЗА 2013 Г.</w:t>
      </w:r>
    </w:p>
    <w:p w:rsidR="00F50689" w:rsidRDefault="005A36C4" w:rsidP="00F50689">
      <w:pPr>
        <w:pStyle w:val="Textstand-alone"/>
        <w:spacing w:after="0"/>
      </w:pPr>
      <w:r>
        <w:t>За да бъде информацията представена по-добре за ползвателите на тези отчети, структурата на отчета за финансовия резултат беше променена в отчетите за 2014 г. В съответствие със счетоводните правила на ЕС е направено прекласифициране на цифрите за 2013 г., като се отбелязва, че сумите не са променени, а е променено само представянето на съществуващите цифри — приходите, разходите и резултатът остават във вида, в който бяха първоначално публикувани в отчетите за 2013 г. Преглед на отражението на промените е направен по-долу: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850"/>
        <w:gridCol w:w="993"/>
        <w:gridCol w:w="992"/>
        <w:gridCol w:w="992"/>
        <w:gridCol w:w="992"/>
        <w:gridCol w:w="993"/>
        <w:gridCol w:w="992"/>
        <w:gridCol w:w="992"/>
        <w:gridCol w:w="992"/>
        <w:gridCol w:w="1134"/>
        <w:gridCol w:w="993"/>
        <w:gridCol w:w="992"/>
      </w:tblGrid>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6" w:name="DOC_TBL00066_1_1"/>
            <w:bookmarkEnd w:id="156"/>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985"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7pItalicRight025"/>
              <w:rPr>
                <w:rFonts w:cs="Verdana"/>
              </w:rPr>
            </w:pPr>
            <w:r>
              <w:t>млн. EUR</w:t>
            </w:r>
          </w:p>
        </w:tc>
      </w:tr>
      <w:tr w:rsidR="00E7728E">
        <w:trPr>
          <w:trHeight w:val="437"/>
        </w:trPr>
        <w:tc>
          <w:tcPr>
            <w:tcW w:w="19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Приходи от собствени ресурси и от вноски</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Други оперативни приходи</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Общо оперативни приходи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Административни</w:t>
            </w:r>
          </w:p>
          <w:p w:rsidR="00F50689" w:rsidRDefault="005A36C4" w:rsidP="00F50689">
            <w:pPr>
              <w:pStyle w:val="Heading7pNormalRight01"/>
              <w:rPr>
                <w:rFonts w:cs="Verdana"/>
              </w:rPr>
            </w:pPr>
            <w:r>
              <w:t>разходи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Оперативни разходи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Общо оперативни разходи</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Излишък от оперативни дейности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Финансови приходи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Финансови разходи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Движение на задължението, свързано с пенсиите и другите доходи на заети лица</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Дял от нетния дефицит на съвместни и асоциирани предприятия</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Финансов резултат за годината</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2013 г. (прекласифицирани)</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2013 г. (публикувани)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141 241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8 415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149 655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(9 269)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(138 571)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(147 840)</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1 815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2 038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(2 045)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(5 565)</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 xml:space="preserve"> (608)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(4 365)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Приходи от операции без размяна</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Ресурси от БНД</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110 194</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110 194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110 194</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Традиционни собствени ресурси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15 467</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15 467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15 467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ДДС</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14 019</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14 019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14 019</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Глоби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2 757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2 757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2 757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Събиране на разходи</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1 777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1 777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1 777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Други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1 561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2 484</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4 045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4 045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Общо</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141 241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7 018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148 259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148 259</w:t>
            </w:r>
          </w:p>
        </w:tc>
      </w:tr>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7pItalicLeft"/>
              <w:rPr>
                <w:rFonts w:eastAsia="Times New Roman" w:cs="Verdana"/>
              </w:rPr>
            </w:pP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Приходи от операции с размяна</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Финансови приходи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1 991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1 991</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Други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1 397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1 397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47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1 443</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Общо</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1 397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1 397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2 038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3 434</w:t>
            </w:r>
          </w:p>
        </w:tc>
      </w:tr>
      <w:tr w:rsidR="00E7728E">
        <w:tc>
          <w:tcPr>
            <w:tcW w:w="19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t>ОБЩО ПРИХОДИ</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141 241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8 415</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149 655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2 038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151 693</w:t>
            </w:r>
          </w:p>
        </w:tc>
      </w:tr>
    </w:tbl>
    <w:p w:rsidR="00F50689" w:rsidRDefault="005A36C4" w:rsidP="00F50689">
      <w:pPr>
        <w:pStyle w:val="Textstand-alone"/>
      </w:pPr>
      <w:r>
        <w:t xml:space="preserve"> </w:t>
      </w:r>
    </w:p>
    <w:p w:rsidR="00F50689" w:rsidRDefault="005A36C4">
      <w:pPr>
        <w:rPr>
          <w:rFonts w:ascii="Verdana" w:hAnsi="Verdana"/>
          <w:noProof/>
          <w:sz w:val="18"/>
          <w:szCs w:val="18"/>
        </w:rPr>
      </w:pPr>
      <w: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850"/>
        <w:gridCol w:w="993"/>
        <w:gridCol w:w="992"/>
        <w:gridCol w:w="992"/>
        <w:gridCol w:w="992"/>
        <w:gridCol w:w="993"/>
        <w:gridCol w:w="992"/>
        <w:gridCol w:w="992"/>
        <w:gridCol w:w="992"/>
        <w:gridCol w:w="1134"/>
        <w:gridCol w:w="993"/>
        <w:gridCol w:w="992"/>
      </w:tblGrid>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7" w:name="DOC_TBL00067_1_1"/>
            <w:bookmarkEnd w:id="157"/>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985"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7pItalicRight025"/>
              <w:rPr>
                <w:rFonts w:cs="Verdana"/>
              </w:rPr>
            </w:pPr>
            <w:r>
              <w:t>млн. EUR</w:t>
            </w:r>
          </w:p>
        </w:tc>
      </w:tr>
      <w:tr w:rsidR="00E7728E">
        <w:trPr>
          <w:trHeight w:val="437"/>
        </w:trPr>
        <w:tc>
          <w:tcPr>
            <w:tcW w:w="19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Приходи от собствени ресурси и от вноски</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Други оперативни приходи</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Общо</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Административни</w:t>
            </w:r>
          </w:p>
          <w:p w:rsidR="00F50689" w:rsidRDefault="005A36C4" w:rsidP="00F50689">
            <w:pPr>
              <w:pStyle w:val="Heading7pNormalRight01"/>
              <w:rPr>
                <w:rFonts w:cs="Verdana"/>
              </w:rPr>
            </w:pPr>
            <w:r>
              <w:t>разходи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Оперативни разходи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Общо оперативни разходи</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Излишък от оперативни дейности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Финансови приходи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Финансови разходи</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Движение на задължението, свързано с пенсиите и другите доходи на заети лица</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Дял от нетния дефицит на съвместни и асоциирани предприятия</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Финансов резултат за годината</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2013 г. (прекласифицирани)</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Разходи, изпълнени от държавите членки:</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Европейски фонд за гарантиране на земеделието</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(45 067)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(45 067)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(45 067)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Европейски земеделски фонд за развитие на селските райони и други инструменти за развитие на селските райони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(13 585)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(13 585)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(13 585)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Европейски фонд за регионално развитие и Кохезионен фонд</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(47 767)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(47 767)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(47 767)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Европейски социален фонд</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(12 126)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(12 126)</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(12 126)</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Други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(1 525)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(1 525)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(1 525)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Изпълнени от Комисията и изпълнителните агенции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(12 519)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(12 519)</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(12 519)</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Изпълнени от други агенции и органи на ЕС</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(656)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(656)</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(656)</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Изпълнени от трети държави и международни организации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(2 465)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(2 465)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(2 465)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Изпълнени от други субекти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(1 694)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(1 694)</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(1 694)</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Разходи за персонал и за пенсии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(5 527)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(5 527)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(3 531)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(9 058)</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Промени в актюерските предположения за доходите на заети лица</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(2 033)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(2 033)</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Финансови разходи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(469)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(469)</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(1 914)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(2 383)</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Дял от нетния дефицит на съвместни и асоциирани предприятия</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(608)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(608)</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Други разходи</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(3 742)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(699)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(4 442)</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(4 572)</w:t>
            </w:r>
          </w:p>
        </w:tc>
      </w:tr>
      <w:tr w:rsidR="00E7728E">
        <w:tc>
          <w:tcPr>
            <w:tcW w:w="19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t>ОБЩО РАЗХОДИ</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(9 269)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(138 571)</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(147 840)</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(2 045)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(5 565)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 xml:space="preserve"> (608)</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(156 058)</w:t>
            </w:r>
          </w:p>
        </w:tc>
      </w:tr>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c>
          <w:tcPr>
            <w:tcW w:w="19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t>Финансов резултат за годината</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141 241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8 415</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149 655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(9 269)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(138 571)</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(147 840)</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1 815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2 038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(2 045)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(5 565)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 xml:space="preserve"> (608)</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(4 365)</w:t>
            </w:r>
          </w:p>
        </w:tc>
      </w:tr>
      <w:bookmarkEnd w:id="155"/>
    </w:tbl>
    <w:p w:rsidR="00F50689" w:rsidRPr="00783E91" w:rsidRDefault="00F50689" w:rsidP="00F50689">
      <w:pPr>
        <w:pStyle w:val="Textstand-alone"/>
        <w:sectPr w:rsidR="00F50689" w:rsidRPr="00783E91" w:rsidSect="00F50689">
          <w:headerReference w:type="even" r:id="rId323"/>
          <w:headerReference w:type="default" r:id="rId324"/>
          <w:footerReference w:type="even" r:id="rId325"/>
          <w:footerReference w:type="default" r:id="rId326"/>
          <w:headerReference w:type="first" r:id="rId327"/>
          <w:footerReference w:type="first" r:id="rId328"/>
          <w:pgSz w:w="16838" w:h="11906" w:orient="landscape"/>
          <w:pgMar w:top="1134" w:right="1134" w:bottom="1134" w:left="1134" w:header="708" w:footer="708" w:gutter="0"/>
          <w:cols w:space="708"/>
          <w:docGrid w:linePitch="360"/>
        </w:sectPr>
      </w:pPr>
    </w:p>
    <w:p w:rsidR="00F50689" w:rsidRDefault="005A36C4" w:rsidP="00F50689">
      <w:pPr>
        <w:pStyle w:val="HEADER1Part2"/>
      </w:pPr>
      <w:bookmarkStart w:id="158" w:name="_Toc431304431"/>
      <w:bookmarkStart w:id="159" w:name="_DMBM_2604"/>
      <w:r>
        <w:t>БЕЛЕЖКИ КЪМ ОТЧЕТА ЗА ПАРИЧНИТЕ ПОТОЦИ</w:t>
      </w:r>
      <w:bookmarkEnd w:id="158"/>
    </w:p>
    <w:p w:rsidR="00F50689" w:rsidRPr="00AF529F" w:rsidRDefault="005A36C4" w:rsidP="00F50689">
      <w:pPr>
        <w:pStyle w:val="HEADER2Part2"/>
        <w:spacing w:after="0"/>
      </w:pPr>
      <w:r>
        <w:t>ПРЕДНАЗНАЧЕНИЕ И ИЗГОТВЯНЕ НА ОТЧЕТА ЗА ПАРИЧНИТЕ ПОТОЦИ</w:t>
      </w:r>
    </w:p>
    <w:p w:rsidR="00F50689" w:rsidRDefault="005A36C4" w:rsidP="00F50689">
      <w:pPr>
        <w:pStyle w:val="Textstand-alone"/>
      </w:pPr>
      <w:r>
        <w:t>Информацията за паричните потоци се използва, за да се осигури база за оценка на способността на ЕС да генерира пари и парични еквиваленти и нуждите му, свързани с използването на тези парични потоци.</w:t>
      </w:r>
    </w:p>
    <w:p w:rsidR="00F50689" w:rsidRDefault="005A36C4" w:rsidP="00F50689">
      <w:pPr>
        <w:pStyle w:val="Textstand-alone"/>
      </w:pPr>
      <w:r>
        <w:t>При изготвянето на отчета за паричните потоци се използва косвеният метод. Това означава, че финансовият резултат за финансовата година се коригира с ефекта от операциите, извършвани по безналичен начин, отсрочените или начислените минали или бъдещи оперативни касови приходи или плащания и приходите или разходите, свързани с инвестирането на парични потоци.</w:t>
      </w:r>
    </w:p>
    <w:p w:rsidR="00F50689" w:rsidRDefault="005A36C4" w:rsidP="00F50689">
      <w:pPr>
        <w:pStyle w:val="Textstand-alone"/>
      </w:pPr>
      <w:r>
        <w:t>Паричните потоци, произтичащи от операции в чуждестранна валута, се отчитат във валутата, използвана за счетоводството на ЕС (евро), като към сумата в чуждестранна валута се прилага обменният курс на еврото към чуждестранната валута към датата на паричния поток.</w:t>
      </w:r>
    </w:p>
    <w:p w:rsidR="00F50689" w:rsidRDefault="005A36C4" w:rsidP="00F50689">
      <w:pPr>
        <w:pStyle w:val="Textstand-alone"/>
      </w:pPr>
      <w:r>
        <w:t>Отчетът за паричните потоци съдържа паричните потоци през периода, класифицирани по оперативни и инвестиционни дейности (ЕС не извършва дейности по финансиране).</w:t>
      </w:r>
    </w:p>
    <w:p w:rsidR="00F50689" w:rsidRDefault="005A36C4" w:rsidP="00F50689">
      <w:pPr>
        <w:pStyle w:val="HEADER2Part2"/>
        <w:spacing w:after="0"/>
      </w:pPr>
      <w:r>
        <w:t>ОПЕРАТИВНИ ДЕЙНОСТИ</w:t>
      </w:r>
    </w:p>
    <w:p w:rsidR="00F50689" w:rsidRDefault="005A36C4" w:rsidP="00F50689">
      <w:pPr>
        <w:pStyle w:val="Textstand-alone"/>
      </w:pPr>
      <w:r>
        <w:t>Оперативни дейности са дейностите на ЕС, които не са инвестиционни дейности. Това са по-голямата част от извършваните дейности. Заемите, отпуснати на бенефициери (и когато е приложимо, свързаните с тях получени заеми), не се считат за инвестиционни дейности (или дейности по финансиране), тъй като са част от общите цели и следователно са ежедневни дейности на ЕС. Оперативните дейности включват също инвестициите като ЕИФ, ЕБВР и фондовете за рисков капитал. Целта на тези дейности е да допринесат за постигането на преследвани от политиката резултати.</w:t>
      </w:r>
    </w:p>
    <w:p w:rsidR="00F50689" w:rsidRPr="00632B75" w:rsidRDefault="005A36C4" w:rsidP="00F50689">
      <w:pPr>
        <w:pStyle w:val="HEADER2Part2"/>
        <w:spacing w:after="0"/>
      </w:pPr>
      <w:r>
        <w:t>ИНВЕСТИЦИОННИ ДЕЙНОСТИ</w:t>
      </w:r>
    </w:p>
    <w:p w:rsidR="00F50689" w:rsidRDefault="005A36C4" w:rsidP="00F50689">
      <w:pPr>
        <w:pStyle w:val="Textstand-alone"/>
        <w:spacing w:after="0"/>
      </w:pPr>
      <w:r>
        <w:t>Инвестиционни дейности са придобиването на нематериални активи и имоти, машини и съоръжения и други инвестиции, които не са включени в паричните еквиваленти, и освобождаването от тях. Инвестиционните дейности не включват заемите, отпуснати на бенефициери. Целта е да бъдат показани реалните инвестиции на ЕС.</w:t>
      </w:r>
    </w:p>
    <w:p w:rsidR="00F50689" w:rsidRDefault="005A36C4" w:rsidP="00F50689">
      <w:pPr>
        <w:pStyle w:val="Textstand-alone"/>
        <w:spacing w:before="0"/>
        <w:sectPr w:rsidR="00F50689" w:rsidSect="00F50689">
          <w:headerReference w:type="even" r:id="rId329"/>
          <w:headerReference w:type="default" r:id="rId330"/>
          <w:footerReference w:type="even" r:id="rId331"/>
          <w:footerReference w:type="default" r:id="rId332"/>
          <w:headerReference w:type="first" r:id="rId333"/>
          <w:footerReference w:type="first" r:id="rId334"/>
          <w:pgSz w:w="11906" w:h="16838"/>
          <w:pgMar w:top="1134" w:right="1134" w:bottom="1134" w:left="1134" w:header="709" w:footer="709" w:gutter="0"/>
          <w:cols w:space="708"/>
          <w:docGrid w:linePitch="360"/>
        </w:sectPr>
      </w:pPr>
      <w:r>
        <w:t xml:space="preserve"> </w:t>
      </w:r>
      <w:bookmarkEnd w:id="159"/>
    </w:p>
    <w:p w:rsidR="00F50689" w:rsidRDefault="00F50689">
      <w:pPr>
        <w:rPr>
          <w:rFonts w:ascii="Verdana" w:hAnsi="Verdana"/>
          <w:b/>
          <w:color w:val="016794"/>
          <w:sz w:val="32"/>
          <w:szCs w:val="32"/>
        </w:rPr>
      </w:pPr>
      <w:bookmarkStart w:id="160" w:name="_DMBM_2605"/>
      <w:r>
        <w:br w:type="page"/>
      </w:r>
    </w:p>
    <w:p w:rsidR="00F50689" w:rsidRDefault="005A36C4" w:rsidP="003A3A39">
      <w:pPr>
        <w:pStyle w:val="HEADER1Part2"/>
        <w:spacing w:after="0"/>
        <w:jc w:val="left"/>
      </w:pPr>
      <w:bookmarkStart w:id="161" w:name="_Toc431304432"/>
      <w:r>
        <w:t>УСЛОВНИ АКТИВИ И ПАСИВИ И ДРУГИ СЪЩЕСТВЕНИ ОПОВЕСТЕНИ ДАННИ</w:t>
      </w:r>
      <w:bookmarkEnd w:id="161"/>
    </w:p>
    <w:p w:rsidR="00F50689" w:rsidRPr="009B5B10" w:rsidRDefault="005A36C4" w:rsidP="00F50689">
      <w:pPr>
        <w:pStyle w:val="Textstand-alone"/>
        <w:spacing w:before="0"/>
        <w:sectPr w:rsidR="00F50689" w:rsidRPr="009B5B10" w:rsidSect="00F50689">
          <w:headerReference w:type="even" r:id="rId335"/>
          <w:headerReference w:type="default" r:id="rId336"/>
          <w:footerReference w:type="even" r:id="rId337"/>
          <w:footerReference w:type="default" r:id="rId338"/>
          <w:headerReference w:type="first" r:id="rId339"/>
          <w:footerReference w:type="first" r:id="rId340"/>
          <w:type w:val="continuous"/>
          <w:pgSz w:w="11906" w:h="16838"/>
          <w:pgMar w:top="1134" w:right="1134" w:bottom="1134" w:left="1134" w:header="709" w:footer="709" w:gutter="0"/>
          <w:cols w:space="708"/>
          <w:docGrid w:linePitch="360"/>
        </w:sectPr>
      </w:pPr>
      <w:r>
        <w:t xml:space="preserve"> </w:t>
      </w:r>
      <w:bookmarkEnd w:id="160"/>
    </w:p>
    <w:p w:rsidR="00F50689" w:rsidRDefault="005A36C4" w:rsidP="00F50689">
      <w:pPr>
        <w:pStyle w:val="HEADER2Part2"/>
        <w:spacing w:after="0"/>
      </w:pPr>
      <w:bookmarkStart w:id="162" w:name="_DMBM_2661"/>
      <w:r>
        <w:t>УСЛОВНИ АКТИВИ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Text8pItalicLeft"/>
              <w:rPr>
                <w:rFonts w:eastAsia="Verdana" w:cs="Verdana"/>
                <w:color w:val="FFFFFF"/>
              </w:rPr>
            </w:pPr>
            <w:bookmarkStart w:id="163" w:name="DOC_TBL00068_1_1"/>
            <w:bookmarkEnd w:id="163"/>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8D72F5"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8D72F5" w:rsidRDefault="005A36C4" w:rsidP="00F50689">
            <w:pPr>
              <w:pStyle w:val="Heading10pNormalRight025"/>
              <w:rPr>
                <w:rFonts w:eastAsia="Verdana"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8D72F5" w:rsidRDefault="005A36C4" w:rsidP="00F50689">
            <w:pPr>
              <w:pStyle w:val="Heading10pNormalRight025"/>
              <w:rPr>
                <w:rFonts w:eastAsia="Verdana" w:cs="Verdana"/>
              </w:rPr>
            </w:pPr>
            <w:r>
              <w:t>31.12.2013 г.</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rPr>
            </w:pPr>
            <w:r>
              <w:t>Получени гаранции: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Figures9pItalicRight025"/>
              <w:rPr>
                <w:rFonts w:eastAsia="Verdana" w:cs="Verdana"/>
              </w:rPr>
            </w:pP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rPr>
            </w:pPr>
            <w:r>
              <w:t xml:space="preserve">   Гаранции за добро изпълнение</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400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441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rPr>
            </w:pPr>
            <w:r>
              <w:t xml:space="preserve">   Други гаранции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27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39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rPr>
            </w:pPr>
            <w:r>
              <w:t>Други условни активи</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49</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16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8D72F5" w:rsidRDefault="005A36C4" w:rsidP="00F50689">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8D72F5" w:rsidRDefault="005A36C4" w:rsidP="00F50689">
            <w:pPr>
              <w:pStyle w:val="Figures9pBoldRight025"/>
              <w:rPr>
                <w:rFonts w:eastAsia="Verdana" w:cs="Verdana"/>
              </w:rPr>
            </w:pPr>
            <w:r>
              <w:t xml:space="preserve"> 476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8D72F5" w:rsidRDefault="005A36C4" w:rsidP="00F50689">
            <w:pPr>
              <w:pStyle w:val="Figures9pBoldRight025"/>
              <w:rPr>
                <w:rFonts w:eastAsia="Verdana" w:cs="Verdana"/>
              </w:rPr>
            </w:pPr>
            <w:r>
              <w:t xml:space="preserve"> 496</w:t>
            </w:r>
          </w:p>
        </w:tc>
      </w:tr>
    </w:tbl>
    <w:p w:rsidR="00F50689" w:rsidRPr="008D72F5" w:rsidRDefault="005A36C4" w:rsidP="00F50689">
      <w:pPr>
        <w:pStyle w:val="Textstand-alone"/>
        <w:spacing w:after="0"/>
      </w:pPr>
      <w:r>
        <w:t>Гаранциите за добро изпълнение се изискват, за да се гарантира, че бенефициерите на средства от ЕС изпълняват задълженията по своите договори с ЕС.</w:t>
      </w:r>
    </w:p>
    <w:p w:rsidR="00F50689" w:rsidRPr="008D72F5" w:rsidRDefault="005A36C4" w:rsidP="00F50689">
      <w:pPr>
        <w:pStyle w:val="Textstand-alone"/>
        <w:spacing w:before="0"/>
        <w:sectPr w:rsidR="00F50689" w:rsidRPr="008D72F5" w:rsidSect="00F50689">
          <w:headerReference w:type="even" r:id="rId341"/>
          <w:headerReference w:type="default" r:id="rId342"/>
          <w:footerReference w:type="even" r:id="rId343"/>
          <w:footerReference w:type="default" r:id="rId344"/>
          <w:headerReference w:type="first" r:id="rId345"/>
          <w:footerReference w:type="first" r:id="rId346"/>
          <w:type w:val="continuous"/>
          <w:pgSz w:w="11906" w:h="16838"/>
          <w:pgMar w:top="1134" w:right="1134" w:bottom="1134" w:left="1134" w:header="709" w:footer="709" w:gutter="0"/>
          <w:cols w:space="708"/>
          <w:docGrid w:linePitch="360"/>
        </w:sectPr>
      </w:pPr>
      <w:r>
        <w:t xml:space="preserve"> </w:t>
      </w:r>
      <w:bookmarkEnd w:id="162"/>
    </w:p>
    <w:p w:rsidR="00F50689" w:rsidRDefault="005A36C4" w:rsidP="00F50689">
      <w:pPr>
        <w:pStyle w:val="HEADER2Part2"/>
        <w:spacing w:after="0"/>
      </w:pPr>
      <w:bookmarkStart w:id="164" w:name="_DMBM_2662"/>
      <w:r>
        <w:t>УСЛОВНИ ПАСИВИ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0"/>
        <w:gridCol w:w="1040"/>
        <w:gridCol w:w="1828"/>
        <w:gridCol w:w="1829"/>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65" w:name="DOC_TBL00069_1_1"/>
            <w:bookmarkEnd w:id="165"/>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Предоставени гаранции</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5.2.1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20 862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22 162</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Глоби</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5.2.2</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5 602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5 227</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ЕФГЗ, развитие на селските райони и етап, предшестващ присъединяването</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5.2.3</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505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1 537</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Политика на сближаване</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5.2.4</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137</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Съдебни дела и други спорове</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5.2.5</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789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689</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 условни пасиви</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52</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27 772</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29 805</w:t>
            </w:r>
          </w:p>
        </w:tc>
      </w:tr>
    </w:tbl>
    <w:p w:rsidR="00F50689" w:rsidRPr="002949C1" w:rsidRDefault="005A36C4" w:rsidP="00F50689">
      <w:pPr>
        <w:pStyle w:val="DGTextstand-alone"/>
        <w:spacing w:after="0"/>
      </w:pPr>
      <w:r>
        <w:t>Всички условни пасиви, с изключение на свързаните с глоби, ще бъдат финансирани, ако станат дължими, от бюджета на ЕС през следващите години.</w:t>
      </w:r>
    </w:p>
    <w:p w:rsidR="00F50689" w:rsidRPr="00496074" w:rsidRDefault="005A36C4" w:rsidP="00D756BA">
      <w:pPr>
        <w:pStyle w:val="HEADER3Part2"/>
        <w:spacing w:before="120" w:after="120"/>
      </w:pPr>
      <w:r>
        <w:t>Предоставени гаранции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Text8pItalicLeft"/>
              <w:rPr>
                <w:rFonts w:eastAsia="Verdana" w:cs="Verdana"/>
                <w:color w:val="FFFFFF"/>
              </w:rPr>
            </w:pPr>
            <w:bookmarkStart w:id="166" w:name="DOC_TBL00070_1_1"/>
            <w:bookmarkEnd w:id="166"/>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206F7A"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206F7A" w:rsidRDefault="005A36C4" w:rsidP="00F50689">
            <w:pPr>
              <w:pStyle w:val="Heading10pNormalRight025"/>
              <w:rPr>
                <w:rFonts w:eastAsia="Verdana"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206F7A" w:rsidRDefault="005A36C4" w:rsidP="00F50689">
            <w:pPr>
              <w:pStyle w:val="Heading10pNormalRight025"/>
              <w:rPr>
                <w:rFonts w:eastAsia="Verdana" w:cs="Verdana"/>
              </w:rPr>
            </w:pPr>
            <w:r>
              <w:t>31.12.2013 г.</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Гаранции по заеми, отпуснати от ЕИБ</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Figures9pItalicRight025"/>
              <w:rPr>
                <w:rFonts w:eastAsia="Verdana" w:cs="Verdana"/>
              </w:rPr>
            </w:pP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 xml:space="preserve">  Гаранция в размер на 65 %</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18 283</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19 077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 xml:space="preserve">  Гаранция в размер на 70 %</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 xml:space="preserve"> 447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1 361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 xml:space="preserve">  Гаранция в размер на 75 %</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 xml:space="preserve"> 168</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 xml:space="preserve"> 257</w:t>
            </w:r>
          </w:p>
        </w:tc>
      </w:tr>
      <w:tr w:rsidR="00E7728E">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 xml:space="preserve">  Гаранция в размер на 100 %</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 xml:space="preserve"> 300</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 xml:space="preserve"> 461</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Text9pBoldLeft"/>
              <w:rPr>
                <w:rFonts w:eastAsia="Verdana" w:cs="Verdana"/>
              </w:rPr>
            </w:pPr>
            <w:r>
              <w:t>Общо</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b/>
                <w:i w:val="0"/>
              </w:rPr>
            </w:pPr>
            <w:r>
              <w:rPr>
                <w:b/>
                <w:i w:val="0"/>
              </w:rPr>
              <w:t>19 198</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b/>
                <w:i w:val="0"/>
              </w:rPr>
            </w:pPr>
            <w:r>
              <w:rPr>
                <w:b/>
                <w:i w:val="0"/>
              </w:rPr>
              <w:t>21 156</w:t>
            </w:r>
          </w:p>
        </w:tc>
      </w:tr>
      <w:tr w:rsidR="00E7728E">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Други предоставени гаранции</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1 664</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1 006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206F7A" w:rsidRDefault="005A36C4" w:rsidP="00F50689">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206F7A" w:rsidRDefault="005A36C4" w:rsidP="00F50689">
            <w:pPr>
              <w:pStyle w:val="Figures9pBoldRight025"/>
              <w:rPr>
                <w:rFonts w:eastAsia="Verdana" w:cs="Verdana"/>
              </w:rPr>
            </w:pPr>
            <w:r>
              <w:t>20 862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206F7A" w:rsidRDefault="005A36C4" w:rsidP="00F50689">
            <w:pPr>
              <w:pStyle w:val="Figures9pBoldRight025"/>
              <w:rPr>
                <w:rFonts w:eastAsia="Verdana" w:cs="Verdana"/>
              </w:rPr>
            </w:pPr>
            <w:r>
              <w:t>22 162</w:t>
            </w:r>
          </w:p>
        </w:tc>
      </w:tr>
    </w:tbl>
    <w:p w:rsidR="00F50689" w:rsidRPr="00206F7A" w:rsidRDefault="005A36C4" w:rsidP="00F50689">
      <w:pPr>
        <w:pStyle w:val="DGTextstand-alone"/>
        <w:spacing w:after="120"/>
      </w:pPr>
      <w:r>
        <w:t>Бюджетът на ЕС гарантира заемите, подписани от ЕИБ и отпуснати от нея от собствените ѝ средства на трети държави към 31 декември 2014 г. (включително заемите, отпуснати на държави членки преди присъединяването). Гаранцията на ЕС обаче е ограничена до процент от тавана на разрешените кредитни линии: 65 % (за споразуменията, подписани до 2007 г.), 70 %, 75 % или 100 %. Когато таванът не е достигнат, гаранцията на ЕС покрива цялата сума. За споразуменията, подписани след 2007 г. (мандати за периодите 2007—2013 г. и 2014—2020 г.), гаранцията на ЕС е ограничена до 65% от неизплатените средства, а не от разрешените кредитни линии. Към 31 декември 2014 г. неизплатената сума възлиза на 19 198 млн. EUR и следователно това е максималният риск, на който е изложен ЕС. Към 31 декември 2014 г. за около 82 % от операциите по отпускане на заеми на ЕИБ (суверенни и подсуверенни операции по отпускане на заеми) има цялостна гаранция, докато за останалите операции ЕИБ има покритие само за политическия риск.</w:t>
      </w:r>
    </w:p>
    <w:p w:rsidR="00F50689" w:rsidRDefault="005A36C4" w:rsidP="00F50689">
      <w:pPr>
        <w:pStyle w:val="DGTextstand-alone"/>
        <w:spacing w:before="0" w:after="0"/>
      </w:pPr>
      <w:r>
        <w:t>Другите предоставени гаранции са предимно за Механизма за финансиране с поделяне на риска (883 млн. EUR), за „Хоризонт 2020“ (365 млн. EUR) и за Инструмента за гарантиране на заемите по проекти, свързани с трансевропейските транспортни мрежи (209 млн. EUR).</w:t>
      </w:r>
    </w:p>
    <w:p w:rsidR="00F50689" w:rsidRPr="00496074" w:rsidRDefault="005A36C4" w:rsidP="00D756BA">
      <w:pPr>
        <w:pStyle w:val="HEADER3Part2"/>
        <w:spacing w:after="240"/>
      </w:pPr>
      <w:r>
        <w:t>Глоби</w:t>
      </w:r>
    </w:p>
    <w:p w:rsidR="00F50689" w:rsidRDefault="005A36C4" w:rsidP="00F50689">
      <w:pPr>
        <w:pStyle w:val="DGTextstand-alone"/>
        <w:spacing w:before="0" w:after="0"/>
      </w:pPr>
      <w:r>
        <w:t>Тези суми се отнасят до глобите, наложени от Комисията за нарушение на правилата за конкуренция и платени условно, по отношение на които или е внесена жалба, или не е известно дали такава ще бъде внесена. Условният пасив се запазва до произнасяне на окончателно решение на Съда по делото. Лихвата, натрупана върху условните плащания, се включва във финансовия резултат за годината, а също и като условен пасив, за да се отрази несигурността на правото на собственост на Комисията върху тези суми.</w:t>
      </w:r>
    </w:p>
    <w:p w:rsidR="00F50689" w:rsidRPr="00496074" w:rsidRDefault="005A36C4" w:rsidP="00D756BA">
      <w:pPr>
        <w:pStyle w:val="HEADER3Part2"/>
        <w:spacing w:before="240" w:after="120"/>
      </w:pPr>
      <w:r>
        <w:t>ЕФГЗ, развитие на селските райони и етап, предшестващ присъединяването</w:t>
      </w:r>
    </w:p>
    <w:p w:rsidR="00F50689" w:rsidRDefault="005A36C4" w:rsidP="00F50689">
      <w:pPr>
        <w:pStyle w:val="DGTextstand-alone"/>
        <w:spacing w:before="0" w:after="0"/>
      </w:pPr>
      <w:r>
        <w:t>Това са условни задължения към държавите членки, свързани с решения с оглед на съответствието по ЕФГЗ, с развитието на селските райони и с финансовите корекции в областта на предприсъединителната помощ, по които Съдът все още не се е произнесъл. Определянето на окончателния размер на пасива и годината, през която резултатът от успешните обжалвания ще бъде вписан като разход за бюджета, зависят от продължителността на процедурата пред Съда.</w:t>
      </w:r>
    </w:p>
    <w:p w:rsidR="00F50689" w:rsidRPr="00496074" w:rsidRDefault="005A36C4" w:rsidP="00D756BA">
      <w:pPr>
        <w:pStyle w:val="HEADER3Part2"/>
        <w:spacing w:after="240"/>
      </w:pPr>
      <w:r>
        <w:t>Политика на сближаване</w:t>
      </w:r>
    </w:p>
    <w:p w:rsidR="00F50689" w:rsidRDefault="005A36C4" w:rsidP="00F50689">
      <w:pPr>
        <w:pStyle w:val="DGTextstand-alone"/>
        <w:spacing w:before="0" w:after="0"/>
      </w:pPr>
      <w:r>
        <w:t>Това са условни задължения към държавите членки във връзка с дейности в областта на политиката на сближаване, за които се очаква датата на изслушване или Съдът да се произнесе.</w:t>
      </w:r>
    </w:p>
    <w:p w:rsidR="00F50689" w:rsidRPr="00496074" w:rsidRDefault="005A36C4" w:rsidP="00D756BA">
      <w:pPr>
        <w:pStyle w:val="HEADER3Part2"/>
        <w:spacing w:after="240"/>
      </w:pPr>
      <w:r>
        <w:t>Съдебни дела и други спорове</w:t>
      </w:r>
    </w:p>
    <w:p w:rsidR="00F50689" w:rsidRDefault="005A36C4" w:rsidP="00F50689">
      <w:pPr>
        <w:pStyle w:val="DGTextstand-alone"/>
        <w:spacing w:before="0" w:after="0"/>
      </w:pPr>
      <w:r>
        <w:t>Тази позиция се отнася до делата за обезщетения, понастоящем заведени срещу ЕС, други съдебни спорове и очакваните съдебни разноски. Следва да се отбележи, че при дело за обезщетения по член 288 от Договора за EО ищецът трябва да докаже наличието на достатъчно сериозно нарушение от страна на институцията на законова разпоредба, предназначена да предостави права на лица, реална вреда, претърпяна от ищеца, и пряка причинно-следствена връзка между неправомерното действие и вредата.</w:t>
      </w:r>
    </w:p>
    <w:p w:rsidR="00F50689" w:rsidRPr="007519C1" w:rsidRDefault="005A36C4" w:rsidP="00F50689">
      <w:pPr>
        <w:pStyle w:val="DGTextstand-alone"/>
        <w:spacing w:before="0" w:after="0"/>
        <w:sectPr w:rsidR="00F50689" w:rsidRPr="007519C1" w:rsidSect="00F50689">
          <w:headerReference w:type="even" r:id="rId347"/>
          <w:headerReference w:type="default" r:id="rId348"/>
          <w:footerReference w:type="even" r:id="rId349"/>
          <w:footerReference w:type="default" r:id="rId350"/>
          <w:headerReference w:type="first" r:id="rId351"/>
          <w:footerReference w:type="first" r:id="rId352"/>
          <w:type w:val="continuous"/>
          <w:pgSz w:w="11906" w:h="16838"/>
          <w:pgMar w:top="1134" w:right="1134" w:bottom="1134" w:left="1134" w:header="709" w:footer="709" w:gutter="0"/>
          <w:cols w:space="708"/>
          <w:docGrid w:linePitch="360"/>
        </w:sectPr>
      </w:pPr>
      <w:r>
        <w:t xml:space="preserve"> </w:t>
      </w:r>
      <w:bookmarkEnd w:id="164"/>
    </w:p>
    <w:p w:rsidR="00F50689" w:rsidRDefault="005A36C4" w:rsidP="00F50689">
      <w:pPr>
        <w:pStyle w:val="HEADER2Part2"/>
        <w:spacing w:after="0"/>
      </w:pPr>
      <w:bookmarkStart w:id="167" w:name="_DMBM_2663"/>
      <w:r>
        <w:t>ДРУГИ СЪЩЕСТВЕНИ ОПОВЕСТЕНИ ДАННИ</w:t>
      </w:r>
    </w:p>
    <w:p w:rsidR="00F50689" w:rsidRPr="007F1230" w:rsidRDefault="005A36C4" w:rsidP="00D756BA">
      <w:pPr>
        <w:pStyle w:val="HEADER3Part2"/>
        <w:spacing w:before="120" w:after="0"/>
      </w:pPr>
      <w:r>
        <w:t>Все още неизпълнени бюджетни поети задължения</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68" w:name="DOC_TBL00071_1_1"/>
            <w:bookmarkEnd w:id="168"/>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Все още неизпълнени бюджетни поети задължения</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144 741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178 399</w:t>
            </w:r>
          </w:p>
        </w:tc>
      </w:tr>
    </w:tbl>
    <w:p w:rsidR="00F50689" w:rsidRDefault="00F50689" w:rsidP="00F50689">
      <w:pPr>
        <w:pStyle w:val="DGTextstand-alone"/>
        <w:spacing w:before="0" w:after="0"/>
      </w:pPr>
    </w:p>
    <w:p w:rsidR="00F50689" w:rsidRDefault="005A36C4" w:rsidP="00F50689">
      <w:pPr>
        <w:pStyle w:val="DGTextstand-alone"/>
        <w:spacing w:before="0"/>
      </w:pPr>
      <w:r>
        <w:t>Сумата, оповестена по-горе, представлява бюджетните RAL (Reste à Liquider — неизпълнени поети задължения) минус свързаните с тях суми, които са включени като разходи в отчета за финансовия резултат за 2014 г. Бюджетните RAL са сума, която представлява неприключените поети задължения, за които плащанията и/или отмените все още не са извършени. Това е нормално следствие от съществуването на многогодишни програми. Към 31 декември 2014 г. бюджетните RAL възлизат на общо 189 585 млн. EUR (2013 г.: 222 410 млн. EUR).</w:t>
      </w:r>
    </w:p>
    <w:p w:rsidR="00F50689" w:rsidRPr="007F1230" w:rsidRDefault="005A36C4" w:rsidP="00D756BA">
      <w:pPr>
        <w:pStyle w:val="HEADER3Part2"/>
        <w:spacing w:before="120" w:after="0"/>
      </w:pPr>
      <w:r>
        <w:t>Съществени правни задължения</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69" w:name="DOC_TBL00072_1_1"/>
            <w:bookmarkEnd w:id="169"/>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Структурни дейности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433 527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Протокол със средиземноморските страни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264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264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Споразумения в областта на рибарството</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„Галилео“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719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„Коперник“</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3 476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Трансевропейски транспортни мрежи (TEN-T)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850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 договорни задължения</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3 127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3 531</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441 288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4 873</w:t>
            </w:r>
          </w:p>
        </w:tc>
      </w:tr>
    </w:tbl>
    <w:p w:rsidR="00F50689" w:rsidRPr="00D756BA" w:rsidRDefault="005A36C4" w:rsidP="00F50689">
      <w:pPr>
        <w:pStyle w:val="DGTextstand-alone"/>
        <w:rPr>
          <w:spacing w:val="-2"/>
        </w:rPr>
      </w:pPr>
      <w:r w:rsidRPr="00D756BA">
        <w:rPr>
          <w:spacing w:val="-2"/>
        </w:rPr>
        <w:t>Тези задължения възникнаха, тъй като Комисията пое дългосрочни правни задължения по отношение на суми, които все още не са покрити от бюджетни кредити за поети задължения в бюджета. Това може да се отнася до многогодишни програми като структурните дейности или до суми, които Комисията се е ангажирала да плати в бъдеще по административни договори, съществуващи към датата на счетоводния баланс (напр. във връзка с предоставянето на услуги като охрана, почистване и т.н., но също и договорни задължения относно конкретни проекти като проекти за строителни работи). Значителното увеличение на правните задължения, свързани със структурните дейности, се дължи на началото на МФР за периода 2014—2020 г. през отчетния период.</w:t>
      </w:r>
    </w:p>
    <w:p w:rsidR="00F50689" w:rsidRPr="007F1230" w:rsidRDefault="005A36C4" w:rsidP="00F50689">
      <w:pPr>
        <w:pStyle w:val="HEADER5"/>
      </w:pPr>
      <w:r>
        <w:t>Структурни дейности</w:t>
      </w:r>
    </w:p>
    <w:p w:rsidR="00F50689" w:rsidRDefault="005A36C4" w:rsidP="00F50689">
      <w:pPr>
        <w:pStyle w:val="DGTextstand-alone"/>
        <w:spacing w:before="0" w:after="0"/>
      </w:pPr>
      <w:r>
        <w:t xml:space="preserve">Таблицата по-долу показва сравнение между правните задължения, за които все още не са поети бюджетни задължения, и максималните задължения във връзка със сумите, предвидени в МФР за 2014—2020 г.: Бъдещите задължения представляват неизплатените суми, които Комисията продължава да има задължението да плати след 31 декември 2014 г.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E7728E">
        <w:tc>
          <w:tcPr>
            <w:tcW w:w="23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70" w:name="DOC_TBL00073_1_1"/>
            <w:bookmarkEnd w:id="170"/>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Left"/>
              <w:rPr>
                <w:rFonts w:eastAsia="Verdana" w:cs="Verdana"/>
              </w:rPr>
            </w:pPr>
            <w:r>
              <w:t>Фондове</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Финансова рамка за 2014—2020 г. (А)</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Поети правни задължения (Б)</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Бюджетни задължения (В)</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Отмени (Г)</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Правни задължения минус бюджетни задължения (=Б-В+Г)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Бъдещи задължения (=А-В-Г)</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Европейски фонд за регионално развитие и Кохезионен фонд</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259 799</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133 163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16 837</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116 325</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242 962</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Европейски социален фонд</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89 624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57 828</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9 273</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48 555</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80 350</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Фонд за европейско подпомагане на най-нуждаещите се лица</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3 814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3 723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 xml:space="preserve"> 501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3 222</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3 313</w:t>
            </w: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rPr>
            </w:pPr>
            <w:r>
              <w:t>ФУНКЦИЯ 1Б: ФОНДОВЕ В ОБЛАСТТА НА ПОЛИТИКАТА НА СБЛИЖАВАНЕ</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353 236</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194 714</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26 611</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168 102</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326 625</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 xml:space="preserve">Европейски земеделски фонд за развитие на селските райони </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99 348</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20 707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3 295</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17 413</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96 053</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Европейски фонд за морско дело и рибарство</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5 749</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 xml:space="preserve"> 140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 xml:space="preserve"> 19</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 xml:space="preserve"> 121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5 730</w:t>
            </w: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rPr>
            </w:pPr>
            <w:r>
              <w:t>ФУНКЦИЯ 2: ПРИРОДНИ РЕСУРСИ</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105 097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20 847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3 314</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17 533</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101 783</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Фонд „Убежище и миграция“</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2 752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2 752</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Фонд „Вътрешна сигурност“</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2 367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2 367</w:t>
            </w: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rPr>
            </w:pPr>
            <w:r>
              <w:t>ФУНКЦИЯ 3: СИГУРНОСТ И ГРАЖДАНСТВО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5 119</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5 119</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Text9pItalicLeft"/>
              <w:rPr>
                <w:rFonts w:eastAsia="Verdana" w:cs="Verdana"/>
              </w:rPr>
            </w:pP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463 452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215 561</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29 925</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185 636</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433 527</w:t>
            </w:r>
          </w:p>
        </w:tc>
      </w:tr>
    </w:tbl>
    <w:p w:rsidR="00F50689" w:rsidRDefault="005A36C4" w:rsidP="00F50689">
      <w:pPr>
        <w:pStyle w:val="DGTextstand-alone"/>
        <w:spacing w:before="0" w:after="0"/>
      </w:pPr>
      <w:r>
        <w:t xml:space="preserve"> </w:t>
      </w:r>
    </w:p>
    <w:p w:rsidR="00F50689" w:rsidRPr="007F1230" w:rsidRDefault="005A36C4" w:rsidP="00F50689">
      <w:pPr>
        <w:pStyle w:val="HEADER5"/>
        <w:spacing w:after="60"/>
      </w:pPr>
      <w:r>
        <w:t>Протоколи със средиземноморските страни</w:t>
      </w:r>
    </w:p>
    <w:p w:rsidR="00F50689" w:rsidRPr="00EF443F" w:rsidRDefault="005A36C4" w:rsidP="00D756BA">
      <w:pPr>
        <w:pStyle w:val="DGTextstand-alone"/>
        <w:spacing w:before="0" w:after="120"/>
      </w:pPr>
      <w:r>
        <w:t>Тези поети задължения са свързани с финансовите протоколи, сключени със средиземноморските държави, които не членуват в ЕС. Сумата, включена тук, е разликата между общата стойност на подписаните протоколи и размера на бюджетните задължения, вписани в отчетите. Тези протоколи са международни договори, които не могат да бъдат прекратени без съгласието и на двете страни. Процесът на прекратяване е в ход.</w:t>
      </w:r>
    </w:p>
    <w:p w:rsidR="00F50689" w:rsidRPr="007F1230" w:rsidRDefault="005A36C4" w:rsidP="00F50689">
      <w:pPr>
        <w:pStyle w:val="HEADER5"/>
        <w:spacing w:after="60"/>
      </w:pPr>
      <w:r>
        <w:t>Споразумения в областта на рибарството</w:t>
      </w:r>
    </w:p>
    <w:p w:rsidR="00F50689" w:rsidRPr="00EF443F" w:rsidRDefault="005A36C4" w:rsidP="00F50689">
      <w:pPr>
        <w:pStyle w:val="DGTextstand-alone"/>
        <w:spacing w:before="0"/>
      </w:pPr>
      <w:r>
        <w:t>Това са задължения, поети с трети държави, за операции по международни споразумения в областта на рибарството.</w:t>
      </w:r>
    </w:p>
    <w:p w:rsidR="00F50689" w:rsidRPr="007F1230" w:rsidRDefault="005A36C4" w:rsidP="00F50689">
      <w:pPr>
        <w:pStyle w:val="HEADER5"/>
        <w:spacing w:after="60"/>
      </w:pPr>
      <w:r>
        <w:t>„Галилео“</w:t>
      </w:r>
    </w:p>
    <w:p w:rsidR="00F50689" w:rsidRPr="00EF443F" w:rsidRDefault="005A36C4" w:rsidP="00F50689">
      <w:pPr>
        <w:pStyle w:val="DGTextstand-alone"/>
        <w:spacing w:before="0"/>
      </w:pPr>
      <w:r>
        <w:t>Тези суми са заделени за програмата „Галилео“ за разработване на европейска глобална навигационна спътникова система (вж. също бележка </w:t>
      </w:r>
      <w:r>
        <w:rPr>
          <w:b/>
        </w:rPr>
        <w:t>2.2</w:t>
      </w:r>
      <w:r>
        <w:t>).</w:t>
      </w:r>
    </w:p>
    <w:p w:rsidR="00F50689" w:rsidRPr="007F1230" w:rsidRDefault="005A36C4" w:rsidP="00F50689">
      <w:pPr>
        <w:pStyle w:val="HEADER5"/>
        <w:spacing w:before="120" w:after="60"/>
      </w:pPr>
      <w:r>
        <w:t>„Коперник“</w:t>
      </w:r>
    </w:p>
    <w:p w:rsidR="00F50689" w:rsidRDefault="005A36C4" w:rsidP="00F50689">
      <w:pPr>
        <w:spacing w:before="120"/>
        <w:jc w:val="both"/>
        <w:rPr>
          <w:rFonts w:ascii="Verdana" w:hAnsi="Verdana"/>
          <w:sz w:val="18"/>
        </w:rPr>
      </w:pPr>
      <w:r>
        <w:rPr>
          <w:rFonts w:ascii="Verdana" w:hAnsi="Verdana"/>
          <w:sz w:val="18"/>
        </w:rPr>
        <w:t>„Коперник“ е европейската програма за наблюдение на Земята (вж. също бележка </w:t>
      </w:r>
      <w:r>
        <w:rPr>
          <w:rFonts w:ascii="Verdana" w:hAnsi="Verdana"/>
          <w:b/>
          <w:sz w:val="18"/>
        </w:rPr>
        <w:t>2.2</w:t>
      </w:r>
      <w:r>
        <w:rPr>
          <w:rFonts w:ascii="Verdana" w:hAnsi="Verdana"/>
          <w:sz w:val="18"/>
        </w:rPr>
        <w:t xml:space="preserve">). </w:t>
      </w:r>
    </w:p>
    <w:p w:rsidR="00F50689" w:rsidRPr="007F1230" w:rsidRDefault="005A36C4" w:rsidP="00F50689">
      <w:pPr>
        <w:pStyle w:val="HEADER5"/>
        <w:spacing w:before="120" w:after="60"/>
      </w:pPr>
      <w:r>
        <w:t>TEN-T</w:t>
      </w:r>
    </w:p>
    <w:p w:rsidR="00F50689" w:rsidRPr="00EF443F" w:rsidRDefault="005A36C4" w:rsidP="00F50689">
      <w:pPr>
        <w:pStyle w:val="DGTextstand-alone"/>
        <w:spacing w:before="0"/>
      </w:pPr>
      <w:r>
        <w:t>Сумата за 2013 г. бе свързана с безвъзмездните средства в областта на трансевропейските транспортни мрежи (TEN-T) за периода 2007—2013 г. Тъй като програмата е приключила, няма нови правни задължения без бюджетни задължения през 2014 г.</w:t>
      </w:r>
    </w:p>
    <w:p w:rsidR="00F50689" w:rsidRPr="007F1230" w:rsidRDefault="005A36C4" w:rsidP="00D756BA">
      <w:pPr>
        <w:pStyle w:val="HEADER5"/>
        <w:spacing w:after="60"/>
      </w:pPr>
      <w:r>
        <w:t>Други договорни задължения</w:t>
      </w:r>
    </w:p>
    <w:p w:rsidR="00F50689" w:rsidRDefault="005A36C4" w:rsidP="00F50689">
      <w:pPr>
        <w:pStyle w:val="DGTextstand-alone"/>
        <w:spacing w:before="0" w:after="0"/>
      </w:pPr>
      <w:r>
        <w:t>Включените в тази позиция суми съответстват на сумите, за които е поето задължение за изплащане по време на срока на договорите. Най-големите суми, включени тук, са 1 933 млн. EUR за Агенцията за термоядрен синтез за енергия в контекста на проекта ITER и 547 млн. EUR предимно за договорите за строителни работи на Европейския парламент.</w:t>
      </w:r>
    </w:p>
    <w:p w:rsidR="00F50689" w:rsidRPr="001F0119" w:rsidRDefault="005A36C4" w:rsidP="00F50689">
      <w:pPr>
        <w:pStyle w:val="DGTextstand-alone"/>
        <w:spacing w:before="0" w:after="0"/>
        <w:sectPr w:rsidR="00F50689" w:rsidRPr="001F0119" w:rsidSect="00F50689">
          <w:headerReference w:type="even" r:id="rId353"/>
          <w:headerReference w:type="default" r:id="rId354"/>
          <w:footerReference w:type="even" r:id="rId355"/>
          <w:footerReference w:type="default" r:id="rId356"/>
          <w:headerReference w:type="first" r:id="rId357"/>
          <w:footerReference w:type="first" r:id="rId358"/>
          <w:type w:val="continuous"/>
          <w:pgSz w:w="11906" w:h="16838"/>
          <w:pgMar w:top="1134" w:right="1134" w:bottom="1134" w:left="1134" w:header="709" w:footer="709" w:gutter="0"/>
          <w:cols w:space="708"/>
          <w:docGrid w:linePitch="360"/>
        </w:sectPr>
      </w:pPr>
      <w:r>
        <w:t xml:space="preserve"> </w:t>
      </w:r>
      <w:bookmarkEnd w:id="167"/>
    </w:p>
    <w:p w:rsidR="00F50689" w:rsidRPr="00771254" w:rsidRDefault="005A36C4" w:rsidP="00F50689">
      <w:pPr>
        <w:pStyle w:val="HEADER1Part2"/>
      </w:pPr>
      <w:bookmarkStart w:id="171" w:name="_Toc431304433"/>
      <w:bookmarkStart w:id="172" w:name="_DMBM_2606"/>
      <w:r>
        <w:t>ЗАЩИТА НА БЮДЖЕТА НА ЕС</w:t>
      </w:r>
      <w:bookmarkEnd w:id="171"/>
    </w:p>
    <w:p w:rsidR="00F50689" w:rsidRPr="00544E51" w:rsidRDefault="005A36C4" w:rsidP="00F50689">
      <w:pPr>
        <w:pStyle w:val="HEADER2Part2"/>
        <w:rPr>
          <w:caps/>
        </w:rPr>
      </w:pPr>
      <w:r>
        <w:rPr>
          <w:caps/>
        </w:rPr>
        <w:t>Защита на бюджета на ЕС — Обобщение</w:t>
      </w:r>
    </w:p>
    <w:p w:rsidR="00F50689" w:rsidRDefault="005A36C4" w:rsidP="00F50689">
      <w:pPr>
        <w:pStyle w:val="Textstand-alone"/>
      </w:pPr>
      <w:r>
        <w:t xml:space="preserve">Важен аспект на изпълнението на бюджета на ЕС е необходимостта да се гарантират подобаващото предотвратяване или откриване и впоследствие поправяне на грешки, нередности и измами. В годишния си доклад Сметната палата предоставя декларация за достоверност относно законосъобразността и редовността на свързаните с отчетите операции, както и забележки и статистически данни относно нивото на същественост на грешките в свързаните с отчетите плащания. Декларацията за достоверност съпътства тези отчети при публикуването ѝ в </w:t>
      </w:r>
      <w:r>
        <w:rPr>
          <w:i/>
        </w:rPr>
        <w:t>Официален вестник</w:t>
      </w:r>
      <w:r>
        <w:t>.</w:t>
      </w:r>
    </w:p>
    <w:p w:rsidR="00F50689" w:rsidRDefault="005A36C4" w:rsidP="00F50689">
      <w:pPr>
        <w:pStyle w:val="Textstand-alone"/>
      </w:pPr>
      <w:r>
        <w:t>Комисията защитава бюджета на ЕС, т.е. разходите на ЕС, от недължими или нередовни разходи чрез два основни метода:</w:t>
      </w:r>
    </w:p>
    <w:p w:rsidR="00F50689" w:rsidRDefault="005A36C4" w:rsidP="00F50689">
      <w:pPr>
        <w:pStyle w:val="Textstand-alone"/>
        <w:ind w:left="567"/>
      </w:pPr>
      <w:r>
        <w:t>1) превантивни механизми; и</w:t>
      </w:r>
    </w:p>
    <w:p w:rsidR="00F50689" w:rsidRDefault="005A36C4" w:rsidP="00F50689">
      <w:pPr>
        <w:pStyle w:val="Textstand-alone"/>
        <w:ind w:left="567"/>
      </w:pPr>
      <w:r>
        <w:t>2) коригиращи механизми (предимно финансови корекции, наложени на държавите членки или договорени с тях, и в по-малка степен — събирания на вземания от получателите на плащания от ЕС).</w:t>
      </w:r>
    </w:p>
    <w:p w:rsidR="00F50689" w:rsidRDefault="005A36C4" w:rsidP="00F50689">
      <w:pPr>
        <w:pStyle w:val="Textstand-alone"/>
      </w:pPr>
      <w:r>
        <w:t xml:space="preserve">Коригиращите механизми се основават на широк набор от мерки, които се прилагат както преди, така и след като Комисията направи (или възстанови) разходи. </w:t>
      </w:r>
    </w:p>
    <w:p w:rsidR="00F50689" w:rsidRDefault="005A36C4" w:rsidP="00F50689">
      <w:pPr>
        <w:pStyle w:val="Textstand-alone"/>
      </w:pPr>
      <w:r>
        <w:t>Целта на настоящата бележка е да представи преглед и най-добрите възможни оценки на начина, по който бюджетът на ЕС се защитава от разходи, извършени в нарушение на нормативните разпоредби. Настоящата бележка представлява доброволно оповестяване на информация, която не се изисква съгласно счетоводните стандарти, и съдържа данни, които не са извлечени директно от счетоводната система (вж. по-долу).</w:t>
      </w:r>
    </w:p>
    <w:p w:rsidR="00F50689" w:rsidRDefault="005A36C4" w:rsidP="00F50689">
      <w:pPr>
        <w:pStyle w:val="Textstand-alone"/>
      </w:pPr>
      <w:r>
        <w:t>Повече подробности за тези данни и за превантивните и коригиращите механизми, предвидени в приложимото законодателство, могат да бъдат намерени в съобщението относно защитата на бюджета на ЕС, изготвяно от Комисията и изпращано на органа по освобождаване от отговорност във връзка с изпълнението на бюджета и на Сметната палата всеки септември, което се намира на уебсайта Europa на генерална дирекция „Бюджет“. Освен повече подробности за данните в настоящата бележка (по-конкретно разбивки на финансовите корекции по държави членки), това съобщение съдържа допълнителна информация, като например данни за нетните финансови корекции, които водят до целеви приходи за бюджета на ЕС, и резултатите от предприетите от държавите членки коригиращи мерки. Допълнителна информация за коригиращия капацитет се съдържа също в съобщението „Обобщение на резултатите от управлението на Комисията през 2014 г.“ (Synthesis of the Commission's management achievements in 2014) („обобщаващият доклад“, публикуван през юни 2015 г.) — този документ също може да бъде намерен на уебсайта Europa.</w:t>
      </w:r>
    </w:p>
    <w:p w:rsidR="00F50689" w:rsidRPr="007C7C41" w:rsidRDefault="005A36C4" w:rsidP="00F50689">
      <w:pPr>
        <w:pStyle w:val="HEADER3Part2"/>
      </w:pPr>
      <w:r>
        <w:t>Финансови корекции</w:t>
      </w:r>
    </w:p>
    <w:p w:rsidR="00F50689" w:rsidRDefault="005A36C4" w:rsidP="00F50689">
      <w:pPr>
        <w:pStyle w:val="Textstand-alone"/>
      </w:pPr>
      <w:r>
        <w:t xml:space="preserve">При споделеното управление държавите членки носят основната отговорност за предотвратяването, откриването и преодоляването на сериозни недостатъци в системите за управление и контрол, докато Комисията има обща надзорна функция. Когато сериозни недостатъци на системите за управление и контрол на държавите членки са довели или могат да доведат до отделни или до системни грешки, нередности или измами, Комисията може да приложи финансови корекции.  Понятието „финансова корекция“ обхваща широк набор от действия, произтичащи от надзорната и одитната роля на Комисията (и други органи на ЕС), включително случаите, в които Комисията основава коригиращите действия на действията, извършени от националните органи. Когато неправомерно изразходените суми не могат да бъдат установени с точност, Комисията може да приложи корекции, основани на екстраполация, или корекции с фиксирани суми в съответствие със специфичните за отделните сектори правила. </w:t>
      </w:r>
    </w:p>
    <w:p w:rsidR="00F50689" w:rsidRDefault="005A36C4" w:rsidP="00F50689">
      <w:pPr>
        <w:pStyle w:val="Textstand-alone"/>
      </w:pPr>
      <w:r>
        <w:t>В настоящата бележка финансовите корекции са представени в две основни категории:</w:t>
      </w:r>
    </w:p>
    <w:p w:rsidR="00F50689" w:rsidRDefault="005A36C4" w:rsidP="00F50689">
      <w:pPr>
        <w:pStyle w:val="Textstand-alone"/>
        <w:ind w:left="567"/>
      </w:pPr>
      <w:r>
        <w:t xml:space="preserve">1) </w:t>
      </w:r>
      <w:r>
        <w:rPr>
          <w:b/>
        </w:rPr>
        <w:t>Потвърдени/приети с решение</w:t>
      </w:r>
      <w:r>
        <w:t xml:space="preserve"> финансови корекции (таблица </w:t>
      </w:r>
      <w:r>
        <w:rPr>
          <w:b/>
        </w:rPr>
        <w:t>6.2.1</w:t>
      </w:r>
      <w:r>
        <w:t xml:space="preserve">): тези суми са или потвърдени (т.е. одобрени) от съответната държава членка, или приети с решение на Комисията. Корекциите с решение на Комисията се записват като приходи или отрицателни разходи в счетоводната система (вж. бележки </w:t>
      </w:r>
      <w:r>
        <w:rPr>
          <w:b/>
        </w:rPr>
        <w:t>3.5</w:t>
      </w:r>
      <w:r>
        <w:t xml:space="preserve"> и </w:t>
      </w:r>
      <w:r>
        <w:rPr>
          <w:b/>
        </w:rPr>
        <w:t>3.9</w:t>
      </w:r>
      <w:r>
        <w:t>).</w:t>
      </w:r>
    </w:p>
    <w:p w:rsidR="00F50689" w:rsidRDefault="005A36C4" w:rsidP="00F50689">
      <w:pPr>
        <w:pStyle w:val="Textstand-alone"/>
        <w:ind w:left="567"/>
      </w:pPr>
      <w:r>
        <w:t xml:space="preserve">2) </w:t>
      </w:r>
      <w:r>
        <w:rPr>
          <w:b/>
        </w:rPr>
        <w:t>Извършени</w:t>
      </w:r>
      <w:r>
        <w:t xml:space="preserve"> финансови корекции (таблица </w:t>
      </w:r>
      <w:r>
        <w:rPr>
          <w:b/>
        </w:rPr>
        <w:t>6.2.2</w:t>
      </w:r>
      <w:r>
        <w:t xml:space="preserve">): тези суми са крайният етап от процеса, през който етап констатираната ситуация на недължимо платени разходи се поправя окончателно. В нормативната уредба за различните сектори са предвидени няколко механизма за извършване. </w:t>
      </w:r>
    </w:p>
    <w:p w:rsidR="00F50689" w:rsidRDefault="005A36C4" w:rsidP="00F50689">
      <w:pPr>
        <w:pStyle w:val="Textstand-alone"/>
      </w:pPr>
      <w:r>
        <w:t>И в двете категории са включени „корекции при източника“, които са следствие от надзорната функция на Комисията (вж. по-горе). Тези корекции се приспадат, преди декларациите за разходи да бъдат изготвени или плащанията да бъдат обработени от Комисията.</w:t>
      </w:r>
    </w:p>
    <w:p w:rsidR="00F50689" w:rsidRPr="007C7C41" w:rsidRDefault="005A36C4" w:rsidP="00F50689">
      <w:pPr>
        <w:pStyle w:val="HEADER3Part2"/>
      </w:pPr>
      <w:r>
        <w:t>Събирания</w:t>
      </w:r>
    </w:p>
    <w:p w:rsidR="00F50689" w:rsidRDefault="005A36C4" w:rsidP="00F50689">
      <w:pPr>
        <w:pStyle w:val="Textstand-alone"/>
      </w:pPr>
      <w:r>
        <w:t>При режим споделено управление и в съответствие с Финансовия регламент и регламентите за различните сектори държавите членки (а не Комисията) носят основната отговорност за откриването и събирането от бенефициерите на недължимо платените суми, в съответствие с националните разпоредби и процедури. За ЕФГЗ събраните от бенефициерите суми се прехвърлят на бюджета на ЕС като целеви приходи, след като държавите членки приспаднат от тях 20 % за покриване на административните разходи. Що се отнася до ЕЗФРСР и политиката на сближаване, събраните средства се вземат под внимание в бъдещо искане за възстановяване, получено от Комисията, и следователно могат да се използват повторно за програмата в рамките на периода на програмиране — след изтичане на срока на допустимост средствата се отчитат в бюджета на ЕС като целеви приходи.</w:t>
      </w:r>
    </w:p>
    <w:p w:rsidR="00F50689" w:rsidRDefault="005A36C4" w:rsidP="00F50689">
      <w:pPr>
        <w:pStyle w:val="Textstand-alone"/>
      </w:pPr>
      <w:r>
        <w:t xml:space="preserve">При прякото и непрякото управление и в съответствие с Финансовия регламент за недължимо платените суми разпоредителят с бюджетни кредити следва да изготвя нареждания за събиране на вземания. След това събиранията се извършват чрез директен банков превод от длъжника или чрез прихващане от други суми, които Комисията дължи на длъжника. Финансовият регламент предвижда допълнителни процедури за обезпечаване на събирането на сумите по просрочени нареждания за събиране, във връзка с които счетоводителят на Комисията предприема специални действия. Службите на Комисията извършват събиранията също „при източника“ чрез приспадане на недопустимите разходи (открити в предходни или настоящи декларации за разходи) от извършваните плащания. </w:t>
      </w:r>
    </w:p>
    <w:p w:rsidR="00F50689" w:rsidRPr="007C7C41" w:rsidRDefault="005A36C4" w:rsidP="00F50689">
      <w:pPr>
        <w:pStyle w:val="HEADER3Part2"/>
      </w:pPr>
      <w:r>
        <w:t>Отражение на финансовите корекции и на събиранията</w:t>
      </w:r>
    </w:p>
    <w:p w:rsidR="00F50689" w:rsidRDefault="005A36C4" w:rsidP="00F50689">
      <w:pPr>
        <w:pStyle w:val="Textstand-alone"/>
      </w:pPr>
      <w:r>
        <w:t xml:space="preserve">Основната цел на финансовите корекции и на събиранията е да се гарантира, че средствата на ЕС се използват в съответствие с нормативните разпоредби. Използваните методи обаче, а следователно и въздействието на коригиращите мерки, се различават значително между различните разходни области, както и между различните коригиращи мерки. Финансовите корекции и събиранията, свързани с общата селскостопанска политика (ОСП), както и събиранията по линия на ЕФГЗ и на вътрешните и външните политики водят до връщане на платени нередовни суми в бюджета на ЕС. Нередовните суми, открити в областта на политиката на сближаване, и събиранията в областта на развитието на селските райони до момента често се коригират от държавата членка и впоследствие се заменят с други допустими проекти — тези суми не се връщат в бюджета на ЕС. След края на периода на допустимост/след приключването на програмата обаче сумите се записват в бюджета на ЕС като приходи. Вж. точка </w:t>
      </w:r>
      <w:r>
        <w:rPr>
          <w:b/>
        </w:rPr>
        <w:t>6.2.2</w:t>
      </w:r>
      <w:r>
        <w:t xml:space="preserve"> по-долу за повече информация.</w:t>
      </w:r>
    </w:p>
    <w:p w:rsidR="00F50689" w:rsidRDefault="005A36C4" w:rsidP="00F50689">
      <w:pPr>
        <w:pStyle w:val="Textstand-alone"/>
      </w:pPr>
      <w:r>
        <w:t>Освен това коригиращият капацитет се основава на широк набор от мерки, които се прилагат както преди, така и след като Комисията направи (или възстанови) разходи. Комисията прилага корекции вследствие на декларации за разходи, изготвени от държавите членки и от други бенефициери, и/или вследствие на плащания, извършени от Комисията.</w:t>
      </w:r>
    </w:p>
    <w:p w:rsidR="00F50689" w:rsidRPr="00A675FE" w:rsidRDefault="00F50689">
      <w:pPr>
        <w:rPr>
          <w:rFonts w:ascii="Verdana" w:hAnsi="Verdana"/>
          <w:b/>
          <w:color w:val="016794"/>
          <w:sz w:val="28"/>
          <w:szCs w:val="28"/>
        </w:rPr>
      </w:pPr>
      <w:r>
        <w:br w:type="page"/>
      </w:r>
    </w:p>
    <w:p w:rsidR="00F50689" w:rsidRDefault="005A36C4" w:rsidP="00F50689">
      <w:pPr>
        <w:pStyle w:val="HEADER2Part2"/>
      </w:pPr>
      <w:r>
        <w:t>ФИНАНСОВИ КОРЕКЦИИ И СЪБИРАНИЯ ЗА 2014 Г.</w:t>
      </w:r>
    </w:p>
    <w:p w:rsidR="00F50689" w:rsidRPr="007C7C41" w:rsidRDefault="005A36C4" w:rsidP="00503894">
      <w:pPr>
        <w:pStyle w:val="HEADER3Part2"/>
        <w:spacing w:before="120" w:after="0"/>
      </w:pPr>
      <w:r>
        <w:t>Финансови корекции и събирания, потвърдени/приети с решение през 2014 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73" w:name="DOC_TBL00074_1_1"/>
            <w:bookmarkEnd w:id="173"/>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Финансови корекции</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Събирания</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Общо за 2014 г.</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Общо за 2013 г.</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Селско стопанство:</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ЕФГЗ</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1 649</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213</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1 862</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1 070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Развитие на селските райони</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220</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165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385</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386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Политика на сближаване:</w:t>
            </w: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ЕФРР*</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1 330</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1 330</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338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Кохезионен фонд</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292</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292</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220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EСФ</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342</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343</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874</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ФИОР/ЕФзР</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39</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29</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67</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34</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ФЕОГА „Ориентиране“</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Други</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Области на вътрешната политика</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293</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298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396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Области на външната политика</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127</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127</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93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Администрация</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6</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потвърдени/приети с решение през 2014 г.</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3 890</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838</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4 728</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rsidRPr="00C36EFA">
        <w:tc>
          <w:tcPr>
            <w:tcW w:w="3794" w:type="dxa"/>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Общо потвърдени/приети с решение през 2013 г.</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2 495</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941</w:t>
            </w: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3 436</w:t>
            </w:r>
          </w:p>
        </w:tc>
      </w:tr>
    </w:tbl>
    <w:p w:rsidR="00F50689" w:rsidRDefault="005A36C4" w:rsidP="00F50689">
      <w:pPr>
        <w:pStyle w:val="Textstand-alone"/>
      </w:pPr>
      <w:r>
        <w:t>Включени в горепосочените суми за 2014 г. са финансови корекции и събирания, извършени при източника, на обща стойност 1 137 млн. EUR — 21 млн. EUR за земеделието, 834 млн. EUR за сближаването, 207 млн. EUR за вътрешните политики, 71 млн. EUR за външните политики и 4 млн. EUR за администрацията.</w:t>
      </w:r>
    </w:p>
    <w:p w:rsidR="00F50689" w:rsidRDefault="005A36C4" w:rsidP="00F50689">
      <w:pPr>
        <w:pStyle w:val="Textstand-alone"/>
      </w:pPr>
      <w:r>
        <w:t xml:space="preserve">Корекциите при източника за ЕФРР и за Кохезионния фонд са оповестени през 2014 г. за първи път и в двете таблици </w:t>
      </w:r>
      <w:r>
        <w:rPr>
          <w:b/>
        </w:rPr>
        <w:t>6.2.1</w:t>
      </w:r>
      <w:r>
        <w:t xml:space="preserve"> и </w:t>
      </w:r>
      <w:r>
        <w:rPr>
          <w:b/>
        </w:rPr>
        <w:t>6.2.2</w:t>
      </w:r>
      <w:r>
        <w:t>. Поради това сравнителните суми за 2013 г. не включват такива корекции. Сумите, оповестени за тези фондове през 2014 г., са кумулативни и следователно включват суми за предходни години.</w:t>
      </w:r>
    </w:p>
    <w:p w:rsidR="00F50689" w:rsidRPr="007C7C41" w:rsidRDefault="005A36C4" w:rsidP="00503894">
      <w:pPr>
        <w:pStyle w:val="HEADER3Part2"/>
        <w:spacing w:before="240" w:after="120"/>
      </w:pPr>
      <w:r>
        <w:t>Финансови корекции и събирания, извършени през 2014 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74" w:name="DOC_TBL00075_1_1"/>
            <w:bookmarkEnd w:id="174"/>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Финансови корекции</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Събирания</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Общо за 2014 г.</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Общо за 2013 г.</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Селско стопанство:</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ЕФГЗ</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796</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150</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946</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636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Развитие на селските райони</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86</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167</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252</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359</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Политика на сближаване:</w:t>
            </w: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ЕФРР*</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1 083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1 084</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622</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Кохезионен фонд</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236</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236</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277</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EСФ</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289</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290</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882</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ФИОР/ЕФзР</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41</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66</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ФЕОГА „Ориентиране“</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Други</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Области на вътрешната политика</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274</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279</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401</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Области на външната политика</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108</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108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93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Администрация</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6</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извършени през 2014 г.</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2 549</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736</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3 285</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rsidRPr="00C36EFA">
        <w:tc>
          <w:tcPr>
            <w:tcW w:w="3794" w:type="dxa"/>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Общо извършени през 2013 г.</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2 472</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862</w:t>
            </w: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3 334</w:t>
            </w:r>
          </w:p>
        </w:tc>
      </w:tr>
    </w:tbl>
    <w:p w:rsidR="00F50689" w:rsidRPr="00101459" w:rsidRDefault="005A36C4" w:rsidP="00101459">
      <w:pPr>
        <w:pStyle w:val="Textstand-alone"/>
        <w:spacing w:before="60"/>
        <w:rPr>
          <w:i/>
          <w:sz w:val="16"/>
        </w:rPr>
      </w:pPr>
      <w:r>
        <w:rPr>
          <w:i/>
          <w:sz w:val="14"/>
        </w:rPr>
        <w:t>* Данните, съобщени за ЕФРР, включват суми, които не са разпределени между ЕФРР и Кохезионния фонд за периода на програмиране 2007—2013 г., което се дължи на това, че програмите се финансират от няколко фонда (354 млн. EUR за потвърдените/приетите с решение финансови корекции и 15 млн. EUR за извършените финансови корекции).</w:t>
      </w:r>
    </w:p>
    <w:p w:rsidR="00F50689" w:rsidRPr="009F1FDC" w:rsidRDefault="005A36C4" w:rsidP="00F50689">
      <w:pPr>
        <w:pStyle w:val="Textstand-alone"/>
      </w:pPr>
      <w:r>
        <w:t xml:space="preserve">Включени в горепосочените суми за 2014 г. са финансови корекции и събирания, извършени при източника, на обща стойност 782 млн. EUR — 6 млн. EUR за земеделието, 494 млн. EUR за сближаването, 207 млн. EUR за вътрешните политики, 71 млн. EUR за външните политики и 4 млн. EUR за администрацията. </w:t>
      </w:r>
    </w:p>
    <w:p w:rsidR="00F50689" w:rsidRDefault="00F50689">
      <w:pPr>
        <w:rPr>
          <w:rFonts w:ascii="Verdana" w:hAnsi="Verdana"/>
          <w:b/>
          <w:color w:val="016794"/>
          <w:sz w:val="18"/>
          <w:szCs w:val="18"/>
        </w:rPr>
      </w:pPr>
      <w:r>
        <w:br w:type="page"/>
      </w:r>
    </w:p>
    <w:p w:rsidR="00F50689" w:rsidRDefault="005A36C4" w:rsidP="00F50689">
      <w:pPr>
        <w:pStyle w:val="HEADER5"/>
      </w:pPr>
      <w:r>
        <w:t xml:space="preserve">Земеделие и развитие на селските райони: </w:t>
      </w:r>
    </w:p>
    <w:p w:rsidR="00F50689" w:rsidRPr="004527CF" w:rsidRDefault="005A36C4" w:rsidP="00F50689">
      <w:pPr>
        <w:pStyle w:val="Textstand-alone"/>
        <w:rPr>
          <w:rFonts w:cs="Arial"/>
        </w:rPr>
      </w:pPr>
      <w:r>
        <w:t xml:space="preserve">Финансовите корекции са свързани със слабостите, открити в системите за управление и контрол на държавите членки благодарение на одитите, извършени от Комисията в рамките на процедурите за многогодишно уравняване с оглед на съответствието. Освен това корекции произтичат също от решенията за годишно финансово уравняване. Финансовите корекции са стимул за държавите членки да подобрят своите системи за управление и контрол и също като събиранията защитават бюджета на ЕС от разходи в нарушение на нормативните разпоредби. </w:t>
      </w:r>
    </w:p>
    <w:p w:rsidR="00F50689" w:rsidRDefault="005A36C4" w:rsidP="00F50689">
      <w:pPr>
        <w:pStyle w:val="Textstand-alone"/>
      </w:pPr>
      <w:r>
        <w:t>Сумата на потвърдените/приетите с решение корекции включва сумите по Решение за уравняване с оглед на съответствието № </w:t>
      </w:r>
      <w:r>
        <w:rPr>
          <w:rStyle w:val="DGTextstand-aloneChar"/>
        </w:rPr>
        <w:t>2015/103</w:t>
      </w:r>
      <w:r>
        <w:t xml:space="preserve"> (1 243 млн. EUR и 166 млн. EUR съответно за ЕФГЗ и ЕЗФРСР), които бяха определени преди края на годината от службите на Комисията, но бяха официално приети от Комисията едва през януари 2015 г. Тези суми са включени също като начислени приходи към 31 декември 2014 г. </w:t>
      </w:r>
    </w:p>
    <w:p w:rsidR="00F50689" w:rsidRDefault="005A36C4" w:rsidP="00F50689">
      <w:pPr>
        <w:pStyle w:val="Textstand-alone"/>
        <w:rPr>
          <w:rStyle w:val="DGTextstand-aloneChar"/>
        </w:rPr>
      </w:pPr>
      <w:r>
        <w:t>Що се отнася до ЕФГЗ и ЕЗФРСР, финансовите корекции, които надвишават 0,01 % от БВП, могат, по искане на съответната държава членка, да бъдат извършени под формата на три годишни вноски. Освен това в няколко случая (държавите членки, които получават финансова помощ по линия на Рамковото споразумение за Европейския инструмент за финансова стабилност, подписано на 7 юни 2010 г.) датата на извършване бе отложена с 18 месеца. Тези условия имат за цел да се гарантира, че реалните суми, които съответните държави членки връщат на бюджета на ЕС, могат да бъдат платени, без да се излагат на риск националните бюджети. Отсрочванията и вноските имат отражение в размер на 566 млн. EUR (515 млн. EUR за ЕФГЗ и 51 млн. EUR за ЕЗФРСР) върху разликата, която се наблюдава между потвърдените/приетите с решение суми и реално извършените корекции. Оставащата сума се обяснява с Решение № 2015/103, което бе потвърдено през декември 2014 г., но което бе прието едва през януари 2015 г. (вж. по-горе).</w:t>
      </w:r>
    </w:p>
    <w:p w:rsidR="00F50689" w:rsidRPr="008E5B11" w:rsidRDefault="005A36C4" w:rsidP="00F50689">
      <w:pPr>
        <w:pStyle w:val="Textstand-alone"/>
      </w:pPr>
      <w:r>
        <w:t xml:space="preserve">Извършваните от разплащателните агенции събирания на суми, свързани с нередности, намаляват бъдещите искания за възстановяване на средства от страна на Комисията в полза на държавите членки. За ЕФГЗ Комисията записва целия размер на сумата, изплащана на земеделските стопани като разходи. Тя представлява разликата между извършените в полза на земеделските стопани плащания и сумите, възстановени на разплащателните агенции като целеви приходи, които могат да бъдат използвани за финансиране на селскостопанските разходи. За ЕЗФРСР Комисията записва като разход нетната допустима сума след приспадане на корекциите и събиранията. </w:t>
      </w:r>
    </w:p>
    <w:p w:rsidR="00F50689" w:rsidRDefault="005A36C4" w:rsidP="00F50689">
      <w:pPr>
        <w:pStyle w:val="HEADER5"/>
      </w:pPr>
      <w:r>
        <w:t>Политика на сближаване:</w:t>
      </w:r>
    </w:p>
    <w:p w:rsidR="00F50689" w:rsidRPr="00854AC4" w:rsidRDefault="005A36C4" w:rsidP="00F50689">
      <w:pPr>
        <w:pStyle w:val="Textstand-alone"/>
        <w:rPr>
          <w:rFonts w:cs="Arial"/>
        </w:rPr>
      </w:pPr>
      <w:r>
        <w:t xml:space="preserve">В рамките на политиката на сближаване </w:t>
      </w:r>
      <w:bookmarkStart w:id="175" w:name="_Ref418275743"/>
      <w:r>
        <w:t>финансовите корекции са свързани със слабостите, открити в системите за управление и контрол на държавите членки благодарение на извършените от Комисията одити. Те се прилагат основно когато органите на държавите членки оттеглят първоначално декларирани разходи и ги заменят с нови разходи.</w:t>
      </w:r>
      <w:bookmarkEnd w:id="175"/>
      <w:r>
        <w:t xml:space="preserve"> В тези случаи държавите членки не губят средства от ЕС. Държавите членки могат също да декларират допълнителни проекти, което на практика е равносилно на получаването на по-нисък процент на съфинансиране на равнището на приоритетната ос/програмата, тъй като може да се наложи изключените недопустими разходи да бъдат финансирани от националния публичен бюджет.</w:t>
      </w:r>
    </w:p>
    <w:p w:rsidR="00F50689" w:rsidRDefault="005A36C4" w:rsidP="00F50689">
      <w:pPr>
        <w:pStyle w:val="Textstand-alone"/>
      </w:pPr>
      <w:bookmarkStart w:id="176" w:name="_Ref418177935"/>
      <w:r>
        <w:t>Когато тези мерки не са възможни или не са позволени, се прилагат финансови корекции, водещи до загуба на средства от ЕС за съответната държава членка. Това може да се случи</w:t>
      </w:r>
      <w:bookmarkEnd w:id="176"/>
      <w:r>
        <w:t xml:space="preserve"> след приключването на програмите или когато държавите членки не са в състояние да представят достатъчно допустими разходи или проекти.</w:t>
      </w:r>
    </w:p>
    <w:p w:rsidR="00F50689" w:rsidRDefault="005A36C4" w:rsidP="00F50689">
      <w:pPr>
        <w:pStyle w:val="Textstand-alone"/>
      </w:pPr>
      <w:r>
        <w:t xml:space="preserve">Финансовите корекции, извършени през 2014 г., са корекциите, които са потвърдени/приети с решение през 2014 г. (1 365 млн. EUR) или през предходни периоди (297 млн. EUR). </w:t>
      </w:r>
    </w:p>
    <w:p w:rsidR="00F50689" w:rsidRDefault="005A36C4" w:rsidP="00F50689">
      <w:pPr>
        <w:pStyle w:val="Textstand-alone"/>
      </w:pPr>
      <w:r>
        <w:t>През 2014 г. в областта на политиката на сближаване бяха извършени следните финансови корекции:</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24"/>
        <w:gridCol w:w="1155"/>
        <w:gridCol w:w="24"/>
        <w:gridCol w:w="1179"/>
        <w:gridCol w:w="1099"/>
        <w:gridCol w:w="1099"/>
        <w:gridCol w:w="1048"/>
        <w:gridCol w:w="1151"/>
      </w:tblGrid>
      <w:tr w:rsidR="00E7728E" w:rsidTr="00F50689">
        <w:trPr>
          <w:trHeight w:val="218"/>
        </w:trPr>
        <w:tc>
          <w:tcPr>
            <w:tcW w:w="2722" w:type="dxa"/>
            <w:gridSpan w:val="2"/>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179" w:type="dxa"/>
            <w:gridSpan w:val="2"/>
            <w:tcBorders>
              <w:top w:val="nil"/>
              <w:left w:val="nil"/>
              <w:bottom w:val="nil"/>
              <w:right w:val="nil"/>
            </w:tcBorders>
          </w:tcPr>
          <w:p w:rsidR="00F50689" w:rsidRDefault="00F50689" w:rsidP="00F50689">
            <w:pPr>
              <w:pStyle w:val="Text8pItalicRight025EUR"/>
              <w:rPr>
                <w:rFonts w:cs="Verdana"/>
                <w:i w:val="0"/>
              </w:rPr>
            </w:pPr>
          </w:p>
        </w:tc>
        <w:tc>
          <w:tcPr>
            <w:tcW w:w="1179" w:type="dxa"/>
            <w:tcBorders>
              <w:top w:val="nil"/>
              <w:left w:val="nil"/>
              <w:bottom w:val="nil"/>
              <w:right w:val="nil"/>
            </w:tcBorders>
          </w:tcPr>
          <w:p w:rsidR="00F50689" w:rsidRDefault="00F50689" w:rsidP="00F50689">
            <w:pPr>
              <w:pStyle w:val="Text8pItalicRight025EUR"/>
              <w:rPr>
                <w:rFonts w:cs="Verdana"/>
                <w:i w:val="0"/>
              </w:rPr>
            </w:pPr>
          </w:p>
        </w:tc>
        <w:tc>
          <w:tcPr>
            <w:tcW w:w="109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9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4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51"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rsidTr="00F50689">
        <w:trPr>
          <w:trHeight w:val="564"/>
        </w:trPr>
        <w:tc>
          <w:tcPr>
            <w:tcW w:w="269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179" w:type="dxa"/>
            <w:gridSpan w:val="2"/>
            <w:tcBorders>
              <w:top w:val="nil"/>
              <w:left w:val="nil"/>
              <w:bottom w:val="nil"/>
              <w:right w:val="nil"/>
            </w:tcBorders>
            <w:shd w:val="clear" w:color="auto" w:fill="016794"/>
          </w:tcPr>
          <w:p w:rsidR="00F50689" w:rsidRPr="00D34307" w:rsidRDefault="005A36C4" w:rsidP="00F50689">
            <w:pPr>
              <w:pStyle w:val="Heading10pNormalRight025"/>
              <w:rPr>
                <w:rFonts w:cs="Verdana"/>
                <w:sz w:val="18"/>
                <w:szCs w:val="18"/>
              </w:rPr>
            </w:pPr>
            <w:r>
              <w:rPr>
                <w:sz w:val="18"/>
              </w:rPr>
              <w:t>ЕФРР</w:t>
            </w:r>
          </w:p>
        </w:tc>
        <w:tc>
          <w:tcPr>
            <w:tcW w:w="1203" w:type="dxa"/>
            <w:gridSpan w:val="2"/>
            <w:tcBorders>
              <w:top w:val="nil"/>
              <w:left w:val="nil"/>
              <w:bottom w:val="nil"/>
              <w:right w:val="nil"/>
            </w:tcBorders>
            <w:shd w:val="clear" w:color="auto" w:fill="016794"/>
          </w:tcPr>
          <w:p w:rsidR="00F50689" w:rsidRPr="00D34307" w:rsidRDefault="005A36C4" w:rsidP="00F50689">
            <w:pPr>
              <w:pStyle w:val="Heading10pNormalRight025"/>
              <w:rPr>
                <w:rFonts w:cs="Verdana"/>
                <w:sz w:val="18"/>
                <w:szCs w:val="18"/>
              </w:rPr>
            </w:pPr>
            <w:r>
              <w:rPr>
                <w:sz w:val="18"/>
              </w:rPr>
              <w:t>Кохезионен фонд</w:t>
            </w:r>
          </w:p>
        </w:tc>
        <w:tc>
          <w:tcPr>
            <w:tcW w:w="1099"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Pr>
                <w:sz w:val="18"/>
              </w:rPr>
              <w:t>EСФ</w:t>
            </w:r>
          </w:p>
        </w:tc>
        <w:tc>
          <w:tcPr>
            <w:tcW w:w="1099"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Pr>
                <w:sz w:val="18"/>
              </w:rPr>
              <w:t>ФИОР/ЕФзР</w:t>
            </w:r>
          </w:p>
        </w:tc>
        <w:tc>
          <w:tcPr>
            <w:tcW w:w="1048"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Pr>
                <w:sz w:val="18"/>
              </w:rPr>
              <w:t>ФЕОГА „Ориентиране“</w:t>
            </w:r>
          </w:p>
        </w:tc>
        <w:tc>
          <w:tcPr>
            <w:tcW w:w="1151"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Pr>
                <w:sz w:val="18"/>
              </w:rPr>
              <w:t>Общо</w:t>
            </w:r>
          </w:p>
        </w:tc>
      </w:tr>
      <w:tr w:rsidR="00E7728E" w:rsidRPr="00C36EFA" w:rsidTr="00F50689">
        <w:trPr>
          <w:trHeight w:val="246"/>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Отмяна/приспадане при приключването за периода 2000—2006 г.</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Pr>
                <w:i/>
              </w:rPr>
              <w:t>448</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Pr>
                <w:i/>
              </w:rPr>
              <w:t>136</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114</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8</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8</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714</w:t>
            </w:r>
          </w:p>
        </w:tc>
      </w:tr>
      <w:tr w:rsidR="00E7728E" w:rsidRPr="00C36EFA" w:rsidTr="00F50689">
        <w:trPr>
          <w:trHeight w:val="260"/>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Оттегляне от държавите членки за периода 2007—2013 г.</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Pr>
                <w:i/>
              </w:rPr>
              <w:t>242</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Pr>
                <w:i/>
              </w:rPr>
              <w:t>22</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92</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16</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372</w:t>
            </w:r>
          </w:p>
        </w:tc>
      </w:tr>
      <w:tr w:rsidR="00E7728E" w:rsidRPr="00C36EFA" w:rsidTr="00F50689">
        <w:trPr>
          <w:trHeight w:val="246"/>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Нареждания за събиране на вземания</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Pr>
                <w:i/>
              </w:rPr>
              <w:t>24</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Pr>
                <w:i/>
              </w:rPr>
              <w:t>17</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19</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17</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82</w:t>
            </w:r>
          </w:p>
        </w:tc>
      </w:tr>
      <w:tr w:rsidR="00E7728E" w:rsidRPr="00C36EFA" w:rsidTr="00F50689">
        <w:trPr>
          <w:trHeight w:val="246"/>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Корекции при източника</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Pr>
                <w:i/>
              </w:rPr>
              <w:t>370</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Pr>
                <w:i/>
              </w:rPr>
              <w:t>60</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64</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494</w:t>
            </w:r>
          </w:p>
        </w:tc>
      </w:tr>
      <w:tr w:rsidR="00E7728E" w:rsidTr="00F50689">
        <w:trPr>
          <w:trHeight w:val="246"/>
        </w:trPr>
        <w:tc>
          <w:tcPr>
            <w:tcW w:w="2722" w:type="dxa"/>
            <w:gridSpan w:val="2"/>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извършени през 2014 г.</w:t>
            </w:r>
          </w:p>
        </w:tc>
        <w:tc>
          <w:tcPr>
            <w:tcW w:w="1179" w:type="dxa"/>
            <w:gridSpan w:val="2"/>
            <w:tcBorders>
              <w:top w:val="nil"/>
              <w:left w:val="nil"/>
              <w:bottom w:val="nil"/>
              <w:right w:val="nil"/>
            </w:tcBorders>
            <w:shd w:val="clear" w:color="auto" w:fill="CCE1EA"/>
          </w:tcPr>
          <w:p w:rsidR="00F50689" w:rsidRPr="0055103F" w:rsidRDefault="005A36C4" w:rsidP="00F50689">
            <w:pPr>
              <w:pStyle w:val="Figures9pBoldRight025"/>
              <w:rPr>
                <w:rFonts w:cs="Verdana"/>
              </w:rPr>
            </w:pPr>
            <w:r>
              <w:t>1 083</w:t>
            </w:r>
          </w:p>
        </w:tc>
        <w:tc>
          <w:tcPr>
            <w:tcW w:w="1179" w:type="dxa"/>
            <w:tcBorders>
              <w:top w:val="nil"/>
              <w:left w:val="nil"/>
              <w:bottom w:val="nil"/>
              <w:right w:val="nil"/>
            </w:tcBorders>
            <w:shd w:val="clear" w:color="auto" w:fill="CCE1EA"/>
          </w:tcPr>
          <w:p w:rsidR="00F50689" w:rsidRPr="0055103F" w:rsidRDefault="005A36C4" w:rsidP="00F50689">
            <w:pPr>
              <w:pStyle w:val="Figures9pBoldRight025"/>
              <w:rPr>
                <w:rFonts w:cs="Verdana"/>
              </w:rPr>
            </w:pPr>
            <w:r>
              <w:t>236</w:t>
            </w:r>
          </w:p>
        </w:tc>
        <w:tc>
          <w:tcPr>
            <w:tcW w:w="10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289</w:t>
            </w:r>
          </w:p>
        </w:tc>
        <w:tc>
          <w:tcPr>
            <w:tcW w:w="10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41</w:t>
            </w:r>
          </w:p>
        </w:tc>
        <w:tc>
          <w:tcPr>
            <w:tcW w:w="10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13</w:t>
            </w:r>
          </w:p>
        </w:tc>
        <w:tc>
          <w:tcPr>
            <w:tcW w:w="11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1 662</w:t>
            </w:r>
          </w:p>
        </w:tc>
      </w:tr>
    </w:tbl>
    <w:p w:rsidR="00F50689" w:rsidRDefault="00F50689">
      <w:pPr>
        <w:rPr>
          <w:rFonts w:ascii="Verdana" w:hAnsi="Verdana"/>
          <w:noProof/>
          <w:sz w:val="18"/>
          <w:szCs w:val="18"/>
        </w:rPr>
      </w:pPr>
    </w:p>
    <w:p w:rsidR="00F50689" w:rsidRDefault="00F50689">
      <w:pPr>
        <w:rPr>
          <w:rFonts w:ascii="Verdana" w:hAnsi="Verdana"/>
          <w:b/>
          <w:caps/>
          <w:color w:val="016794"/>
          <w:sz w:val="28"/>
          <w:szCs w:val="28"/>
        </w:rPr>
      </w:pPr>
      <w:r>
        <w:br w:type="page"/>
      </w:r>
    </w:p>
    <w:p w:rsidR="00F50689" w:rsidRPr="00544E51" w:rsidRDefault="005A36C4" w:rsidP="00F50689">
      <w:pPr>
        <w:pStyle w:val="HEADER2Part2"/>
        <w:spacing w:after="0"/>
        <w:rPr>
          <w:caps/>
        </w:rPr>
      </w:pPr>
      <w:r>
        <w:rPr>
          <w:caps/>
        </w:rPr>
        <w:t>ПРЕВАНТИВНИ МЕХАНИЗМИ НА КОМИСИЯТА</w:t>
      </w:r>
    </w:p>
    <w:p w:rsidR="00F50689" w:rsidRDefault="005A36C4" w:rsidP="00F50689">
      <w:pPr>
        <w:pStyle w:val="Textstand-alone"/>
      </w:pPr>
      <w:r>
        <w:t>Комисията използва редица превантивни механизми с цел защита на бюджета на ЕС. При прякото управление превантивните мерки включват проверки от отговорните служби на допустимостта на разходите, декларирани от бенефициерите. Тези предварителни проверки са част от процесите на управление на програмите и имат за цел да предоставят задоволителни гаранции по отношение на законосъобразността и редовността на разходите, които се плащат. Службите на Комисията могат също да предоставят указания, особено по договорните въпроси, с цел да се гарантира добро и ефикасно управление на финансирането, а по този начин и по-нисък риск от нередности.</w:t>
      </w:r>
    </w:p>
    <w:p w:rsidR="00F50689" w:rsidRDefault="005A36C4" w:rsidP="00F50689">
      <w:pPr>
        <w:pStyle w:val="Textstand-alone"/>
      </w:pPr>
      <w:r>
        <w:t>При режим споделено управление (т.е. селскостопанските разходи и разходите в областта на политиката на сближаване) държавите членки носят основната отговорност през целия цикъл на разходите за гарантирането на това, че изплащаните от бюджета на ЕС разходи са законосъобразни и редовни. Превантивни механизми съществуват също на равнището на Комисията в ролята ѝ на надзорен орган. Комисията може:</w:t>
      </w:r>
    </w:p>
    <w:p w:rsidR="00F50689" w:rsidRDefault="005A36C4" w:rsidP="00F50689">
      <w:pPr>
        <w:pStyle w:val="Textstand-alone"/>
      </w:pPr>
      <w:r>
        <w:t>- да прекъсне срока за плащане за максимален период от 6 месеца, ако:</w:t>
      </w:r>
    </w:p>
    <w:p w:rsidR="00F50689" w:rsidRDefault="005A36C4" w:rsidP="00F50689">
      <w:pPr>
        <w:pStyle w:val="Textstand-alone"/>
        <w:ind w:left="567"/>
      </w:pPr>
      <w:r>
        <w:t>а) съществуват доказателства, които сочат за наличието на съществен недостатък във функционирането на системите за управление и контрол на съответната държава членка; или</w:t>
      </w:r>
    </w:p>
    <w:p w:rsidR="00F50689" w:rsidRDefault="005A36C4" w:rsidP="00F50689">
      <w:pPr>
        <w:pStyle w:val="Textstand-alone"/>
        <w:ind w:left="567"/>
      </w:pPr>
      <w:r>
        <w:t>б) службите на Комисията трябва да извършат допълнителни проверки вследствие на информация, че разходите в заверен отчет за разходи са свързани със сериозна нередност, която не е била отстранена.</w:t>
      </w:r>
    </w:p>
    <w:p w:rsidR="00F50689" w:rsidRDefault="005A36C4" w:rsidP="00F50689">
      <w:pPr>
        <w:pStyle w:val="Textstand-alone"/>
      </w:pPr>
      <w:r>
        <w:t>Когато работата по даден случай приключи (след изпращането на писмо за отмяна), прекъснатата сума може да бъде обработена и платена на органите на държавите членки, при условие че са налични достатъчно бюджетни кредити и че програмата не е засегната от други проблеми.</w:t>
      </w:r>
    </w:p>
    <w:p w:rsidR="00F50689" w:rsidRDefault="005A36C4" w:rsidP="00F50689">
      <w:pPr>
        <w:pStyle w:val="Textstand-alone"/>
      </w:pPr>
      <w:r>
        <w:t>- да спре цялото междинно плащане или част от междинно плащане за държава членка в следните три случая:</w:t>
      </w:r>
    </w:p>
    <w:p w:rsidR="00F50689" w:rsidRDefault="005A36C4" w:rsidP="00F50689">
      <w:pPr>
        <w:pStyle w:val="Textstand-alone"/>
        <w:ind w:left="567"/>
      </w:pPr>
      <w:r>
        <w:t>а) когато съществуват доказателства за съществен недостатък в системата за управление и контрол на програмата и държавата членка не е предприела необходимите коригиращи мерки; или</w:t>
      </w:r>
    </w:p>
    <w:p w:rsidR="00F50689" w:rsidRDefault="005A36C4" w:rsidP="00F50689">
      <w:pPr>
        <w:pStyle w:val="Textstand-alone"/>
        <w:ind w:left="567"/>
      </w:pPr>
      <w:r>
        <w:t>б) когато разходите в заверен отчет за разходи са свързани със сериозна нередност, която не е била отстранена; или</w:t>
      </w:r>
    </w:p>
    <w:p w:rsidR="00F50689" w:rsidRPr="00D477EB" w:rsidRDefault="005A36C4" w:rsidP="00F50689">
      <w:pPr>
        <w:pStyle w:val="Textstand-alone"/>
        <w:ind w:left="567"/>
        <w:rPr>
          <w:spacing w:val="-4"/>
        </w:rPr>
      </w:pPr>
      <w:r w:rsidRPr="00D477EB">
        <w:rPr>
          <w:spacing w:val="-4"/>
        </w:rPr>
        <w:t>в) ако е налице тежко нарушение от държава членка на задълженията ѝ за управление и контрол.</w:t>
      </w:r>
    </w:p>
    <w:p w:rsidR="00F50689" w:rsidRDefault="005A36C4" w:rsidP="00F50689">
      <w:pPr>
        <w:pStyle w:val="Textstand-alone"/>
      </w:pPr>
      <w:r>
        <w:t>Когато държавата членка не предприеме изисканите мерки, Комисията може да реши да наложи финансова корекция.</w:t>
      </w:r>
    </w:p>
    <w:p w:rsidR="00F50689" w:rsidRDefault="005A36C4" w:rsidP="00F50689">
      <w:pPr>
        <w:pStyle w:val="HEADER5"/>
      </w:pPr>
      <w:r>
        <w:t>Прекъсвания: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992"/>
        <w:gridCol w:w="992"/>
        <w:gridCol w:w="992"/>
        <w:gridCol w:w="993"/>
        <w:gridCol w:w="992"/>
        <w:gridCol w:w="992"/>
        <w:gridCol w:w="992"/>
      </w:tblGrid>
      <w:tr w:rsidR="00E7728E">
        <w:tc>
          <w:tcPr>
            <w:tcW w:w="180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rPr>
            </w:pPr>
            <w:bookmarkStart w:id="177" w:name="DOC_TBL00076_1_1"/>
            <w:bookmarkEnd w:id="177"/>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984"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Период на програмиране 2007—2013 г.</w:t>
            </w:r>
          </w:p>
        </w:tc>
        <w:tc>
          <w:tcPr>
            <w:tcW w:w="7938" w:type="dxa"/>
            <w:gridSpan w:val="8"/>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r>
      <w:tr w:rsidR="00E7728E" w:rsidTr="003A3A39">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1985" w:type="dxa"/>
            <w:gridSpan w:val="2"/>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Общо неприключени случаи към 31.12.2013 г.</w:t>
            </w:r>
          </w:p>
        </w:tc>
        <w:tc>
          <w:tcPr>
            <w:tcW w:w="1984" w:type="dxa"/>
            <w:gridSpan w:val="2"/>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Нови случаи през 2014 г.</w:t>
            </w:r>
          </w:p>
        </w:tc>
        <w:tc>
          <w:tcPr>
            <w:tcW w:w="1985" w:type="dxa"/>
            <w:gridSpan w:val="2"/>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Приключени случаи през 2014 г.</w:t>
            </w:r>
          </w:p>
        </w:tc>
        <w:tc>
          <w:tcPr>
            <w:tcW w:w="198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Общо неприключени случаи към 31.12.2014 г.</w:t>
            </w:r>
          </w:p>
        </w:tc>
      </w:tr>
      <w:tr w:rsidR="00E7728E" w:rsidTr="003A3A39">
        <w:tc>
          <w:tcPr>
            <w:tcW w:w="1809"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Text9pBoldLeft"/>
              <w:rPr>
                <w:rFonts w:cs="Verdana"/>
              </w:rPr>
            </w:pPr>
            <w:r>
              <w:t>Фонд</w:t>
            </w:r>
          </w:p>
        </w:tc>
        <w:tc>
          <w:tcPr>
            <w:tcW w:w="993"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Брой случаи</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Сума</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Брой случаи</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Сума</w:t>
            </w:r>
          </w:p>
        </w:tc>
        <w:tc>
          <w:tcPr>
            <w:tcW w:w="993"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Брой случаи</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Сума</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Брой случаи</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Сума</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ЕЗФРСР*</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i w:val="0"/>
              </w:rPr>
              <w:t xml:space="preserve"> 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79</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ЕФРР и Кохезионен фонд</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i w:val="0"/>
              </w:rPr>
              <w:t xml:space="preserve"> 101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1 608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6 227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3 998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3 837</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EСФ</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i w:val="0"/>
              </w:rPr>
              <w:t xml:space="preserve"> 20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1 323</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625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970</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ЕФзР</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i w:val="0"/>
              </w:rPr>
              <w:t xml:space="preserve"> 10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103</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w:t>
            </w:r>
          </w:p>
        </w:tc>
      </w:tr>
      <w:tr w:rsidR="00E7728E">
        <w:tc>
          <w:tcPr>
            <w:tcW w:w="18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 xml:space="preserve">Общо </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133</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1 978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193</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7 732</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188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4 889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138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4 821</w:t>
            </w:r>
          </w:p>
        </w:tc>
      </w:tr>
    </w:tbl>
    <w:p w:rsidR="00F50689" w:rsidRPr="00101459" w:rsidRDefault="005A36C4" w:rsidP="008A7D59">
      <w:pPr>
        <w:pStyle w:val="HEADER5"/>
        <w:spacing w:before="60"/>
        <w:jc w:val="both"/>
        <w:rPr>
          <w:b w:val="0"/>
          <w:i/>
          <w:color w:val="auto"/>
          <w:sz w:val="14"/>
          <w:szCs w:val="16"/>
        </w:rPr>
      </w:pPr>
      <w:r>
        <w:rPr>
          <w:b w:val="0"/>
          <w:i/>
          <w:color w:val="auto"/>
          <w:sz w:val="14"/>
        </w:rPr>
        <w:t>* За ЕЗФРСР системата за прекъсванията бе приведена в съответствие със същата система за средствата за сближаване през 2014 г. Що се отнася до ЕФГЗ, механизмът за прекъсване не се прилага, а механизмите за спиране и за намаляване се прилагат от 2014 г. нататък.</w:t>
      </w:r>
    </w:p>
    <w:p w:rsidR="00F50689" w:rsidRDefault="00F50689" w:rsidP="00F50689">
      <w:pPr>
        <w:pStyle w:val="HEADER5"/>
      </w:pPr>
    </w:p>
    <w:p w:rsidR="0072577F" w:rsidRDefault="0072577F">
      <w:pPr>
        <w:rPr>
          <w:rFonts w:ascii="Verdana" w:hAnsi="Verdana"/>
          <w:b/>
          <w:color w:val="016794"/>
          <w:sz w:val="18"/>
          <w:szCs w:val="18"/>
        </w:rPr>
      </w:pPr>
      <w:r>
        <w:br w:type="page"/>
      </w:r>
    </w:p>
    <w:p w:rsidR="00F50689" w:rsidRPr="005C2377" w:rsidRDefault="005A36C4" w:rsidP="00F50689">
      <w:pPr>
        <w:pStyle w:val="HEADER5"/>
      </w:pPr>
      <w:r>
        <w:t>Спирания и намаления:</w:t>
      </w:r>
    </w:p>
    <w:p w:rsidR="00F50689" w:rsidRDefault="005A36C4" w:rsidP="00F50689">
      <w:pPr>
        <w:pStyle w:val="Textstand-alone"/>
      </w:pPr>
      <w:r>
        <w:t xml:space="preserve">Що се отнася до </w:t>
      </w:r>
      <w:r>
        <w:rPr>
          <w:b/>
        </w:rPr>
        <w:t>ЕФРР</w:t>
      </w:r>
      <w:r>
        <w:t xml:space="preserve"> и до </w:t>
      </w:r>
      <w:r>
        <w:rPr>
          <w:b/>
        </w:rPr>
        <w:t>Кохезионния фонд</w:t>
      </w:r>
      <w:r>
        <w:t xml:space="preserve">, към края на 2013 г. бяха все още в сила пет решения за спиране на плащанията (решението за отмяна на едно от тях беше взето през 2013 г., но официалното уведомление за него беше направено през 2014 г.). През 2014 г. бяха взети решения за отмяна на спирането на плащанията за две програми. Останалите три решения за спиране на плащанията останаха в сила до края на 2014 г. През 2014 г. бяха приети четири нови решения за спиране. Две такива решения бяха все още в сила към края на годината.  </w:t>
      </w:r>
    </w:p>
    <w:p w:rsidR="00F50689" w:rsidRDefault="005A36C4" w:rsidP="00F50689">
      <w:pPr>
        <w:pStyle w:val="Textstand-alone"/>
      </w:pPr>
      <w:r>
        <w:t xml:space="preserve">Що се отнася до </w:t>
      </w:r>
      <w:r>
        <w:rPr>
          <w:b/>
        </w:rPr>
        <w:t>ЕСФ</w:t>
      </w:r>
      <w:r>
        <w:t>, едно решение за спиране на плащанията, прието през 2011 г., все още беше в сила към края на 2014 г. От единадесетте решения за спиране на плащанията, приети през 2013 г., седем бяха в сила към края на 2014 г. През 2014 г. бяха приети единадесет нови решения за спиране на плащанията, които бяха все още в сила към края на 2014 г.</w:t>
      </w:r>
    </w:p>
    <w:p w:rsidR="00F50689" w:rsidRDefault="005A36C4" w:rsidP="00F50689">
      <w:pPr>
        <w:pStyle w:val="Textstand-alone"/>
      </w:pPr>
      <w:r>
        <w:t xml:space="preserve">За </w:t>
      </w:r>
      <w:r>
        <w:rPr>
          <w:b/>
        </w:rPr>
        <w:t>ЕФзР</w:t>
      </w:r>
      <w:r>
        <w:t xml:space="preserve"> през 2014 г. бе взето едно решение за спиране на плащанията поради открита слабост в системата за управление и контрол на държава членка, която слабост е свързана с мярката на ЕС за намаляване на риболовния свръхкапацитет.</w:t>
      </w:r>
    </w:p>
    <w:p w:rsidR="00F50689" w:rsidRDefault="005A36C4" w:rsidP="00F50689">
      <w:pPr>
        <w:pStyle w:val="Textstand-alone"/>
        <w:rPr>
          <w:szCs w:val="20"/>
        </w:rPr>
      </w:pPr>
      <w:r>
        <w:t xml:space="preserve">През 2014 г. нямаше взети решения за спиране по отношение на </w:t>
      </w:r>
      <w:r>
        <w:rPr>
          <w:b/>
        </w:rPr>
        <w:t>ЕЗФРСР</w:t>
      </w:r>
      <w:r>
        <w:t xml:space="preserve">. За </w:t>
      </w:r>
      <w:r>
        <w:rPr>
          <w:b/>
        </w:rPr>
        <w:t>ЕФГЗ</w:t>
      </w:r>
      <w:r>
        <w:t xml:space="preserve"> през 2014 г. бе направено едно намаление, а за ЕЗФРСР бяха приети 3 решения за намаляване. Към края на годината все още бе в ход работата по 5 случая за намаляване в областта на ЕЗФРСР.</w:t>
      </w:r>
    </w:p>
    <w:p w:rsidR="00F50689" w:rsidRPr="003C437C" w:rsidRDefault="005A36C4" w:rsidP="00E8741F">
      <w:pPr>
        <w:pStyle w:val="HEADER2Part2"/>
        <w:spacing w:before="480"/>
      </w:pPr>
      <w:r>
        <w:t>СЪБИРАНЕ НА НЕИЗПОЛЗВАНО ПРЕДВАРИТЕЛНО ФИНАНСИРАНЕ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78" w:name="DOC_TBL00077_1_1"/>
            <w:bookmarkEnd w:id="178"/>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 г.</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Селско стопанство:</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ЕФГЗ</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Развитие на селските райони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Политика на сближаване:</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ЕФРР</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Кохезионен фонд</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EСФ</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ФИОР/ЕФзР</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ФЕОГА „Ориентиране“</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Области на вътрешната политика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Области на външната политика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Администрация</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събрани</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400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435</w:t>
            </w:r>
          </w:p>
        </w:tc>
      </w:tr>
    </w:tbl>
    <w:p w:rsidR="00F50689" w:rsidRDefault="005A36C4" w:rsidP="00F50689">
      <w:pPr>
        <w:pStyle w:val="Textstand-alone"/>
        <w:spacing w:after="0"/>
      </w:pPr>
      <w:r>
        <w:t xml:space="preserve">Събиранията на неусвоено предварително финансиране не трябва да се бъркат със събиранията на нередовни разходи. Когато службите на Комисията открият и съберат такива разходи във връзка с изплатено предварително финансиране, тези разходи се включват в обичайните процеси на финансова корекция или на събиране, описани по-горе. За повече информация относно предварителното финансиране вж. също бележка </w:t>
      </w:r>
      <w:r>
        <w:rPr>
          <w:b/>
        </w:rPr>
        <w:t>2.5</w:t>
      </w:r>
      <w:r>
        <w:t>.</w:t>
      </w:r>
    </w:p>
    <w:p w:rsidR="00F50689" w:rsidRPr="0034662F" w:rsidRDefault="005A36C4" w:rsidP="00F50689">
      <w:pPr>
        <w:pStyle w:val="Textstand-alone"/>
        <w:spacing w:before="0" w:after="0"/>
        <w:sectPr w:rsidR="00F50689" w:rsidRPr="0034662F" w:rsidSect="00F50689">
          <w:headerReference w:type="even" r:id="rId359"/>
          <w:headerReference w:type="default" r:id="rId360"/>
          <w:footerReference w:type="even" r:id="rId361"/>
          <w:footerReference w:type="default" r:id="rId362"/>
          <w:headerReference w:type="first" r:id="rId363"/>
          <w:footerReference w:type="first" r:id="rId364"/>
          <w:pgSz w:w="11906" w:h="16838"/>
          <w:pgMar w:top="1134" w:right="1134" w:bottom="1134" w:left="1134" w:header="709" w:footer="709" w:gutter="0"/>
          <w:cols w:space="708"/>
          <w:docGrid w:linePitch="360"/>
        </w:sectPr>
      </w:pPr>
      <w:r>
        <w:t xml:space="preserve"> </w:t>
      </w:r>
      <w:bookmarkEnd w:id="172"/>
    </w:p>
    <w:p w:rsidR="00F50689" w:rsidRDefault="00F50689">
      <w:pPr>
        <w:rPr>
          <w:rFonts w:ascii="Verdana" w:hAnsi="Verdana"/>
          <w:b/>
          <w:color w:val="016794"/>
          <w:sz w:val="32"/>
          <w:szCs w:val="32"/>
        </w:rPr>
      </w:pPr>
      <w:bookmarkStart w:id="179" w:name="_DMBM_2608"/>
      <w:r>
        <w:br w:type="page"/>
      </w:r>
    </w:p>
    <w:p w:rsidR="00F50689" w:rsidRPr="00E01B1D" w:rsidRDefault="005A36C4" w:rsidP="00F50689">
      <w:pPr>
        <w:pStyle w:val="HEADER1Part2"/>
      </w:pPr>
      <w:bookmarkStart w:id="180" w:name="_Toc431304434"/>
      <w:r>
        <w:t>УПРАВЛЕНИЕ НА ФИНАНСОВИЯ РИСК</w:t>
      </w:r>
      <w:bookmarkEnd w:id="180"/>
    </w:p>
    <w:p w:rsidR="00F50689" w:rsidRDefault="005A36C4" w:rsidP="00F50689">
      <w:pPr>
        <w:pStyle w:val="Textstand-alone"/>
      </w:pPr>
      <w:r>
        <w:t>Следната оповестена информация във връзка с управлението на финансовия риск на ЕС се отнася до:</w:t>
      </w:r>
    </w:p>
    <w:p w:rsidR="00F50689" w:rsidRDefault="005A36C4" w:rsidP="00F50689">
      <w:pPr>
        <w:pStyle w:val="Textstand-alonebulletpointJustified"/>
      </w:pPr>
      <w:r>
        <w:t xml:space="preserve">дейностите на Комисията по отпускане и получаване на заеми чрез: ЕМФС, ПБ, МФП и действия на Евратом и ЕОВС в ликвидация; </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 xml:space="preserve">касовите операции, които Комисията извършва с цел изпълняване на бюджета на ЕС, включително получаването на глоби; </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Гаранционния фонд за външни дейности; и</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финансовите инструменти, финансирани от бюджета.</w:t>
      </w:r>
    </w:p>
    <w:p w:rsidR="00F50689" w:rsidRPr="00E01B1D" w:rsidRDefault="005A36C4" w:rsidP="00F50689">
      <w:pPr>
        <w:pStyle w:val="HEADER2Part2"/>
      </w:pPr>
      <w:bookmarkStart w:id="181" w:name="_DMBM_120"/>
      <w:r>
        <w:t>ВИДОВЕ РИСК</w:t>
      </w:r>
    </w:p>
    <w:p w:rsidR="00F50689" w:rsidRDefault="005A36C4" w:rsidP="00F50689">
      <w:pPr>
        <w:pStyle w:val="Textstand-alone"/>
      </w:pPr>
      <w:r>
        <w:rPr>
          <w:b/>
        </w:rPr>
        <w:t>Пазарният риск</w:t>
      </w:r>
      <w:r>
        <w:t xml:space="preserve"> е рискът от колебание на справедливата стойност или бъдещите парични потоци на финансов инструмент поради промени в пазарните цени. Пазарният риск обхваща не само потенциала за загуба, но и потенциала за печалба. Той включва валутния риск, лихвения риск и други ценови рискове (за ЕС няма други значителни ценови рискове).</w:t>
      </w:r>
    </w:p>
    <w:p w:rsidR="00F50689" w:rsidRPr="000C3655" w:rsidRDefault="005A36C4" w:rsidP="00F50689">
      <w:pPr>
        <w:pStyle w:val="Textstand-alonenumberingJustified"/>
      </w:pPr>
      <w:r>
        <w:rPr>
          <w:i/>
        </w:rPr>
        <w:t>Валутният риск</w:t>
      </w:r>
      <w:r>
        <w:t xml:space="preserve"> е рискът, че операциите на ЕС или стойността на неговите инвестиции ще бъдат засегнати от промени в обменните курсове. Този риск възниква от промяната в цената на една валута спрямо друга. </w:t>
      </w:r>
    </w:p>
    <w:p w:rsidR="00F50689" w:rsidRDefault="005A36C4" w:rsidP="00F50689">
      <w:pPr>
        <w:pStyle w:val="Textstand-alonenumberingJustified"/>
      </w:pPr>
      <w:r>
        <w:rPr>
          <w:i/>
        </w:rPr>
        <w:t>Лихвеният риск</w:t>
      </w:r>
      <w:r>
        <w:t xml:space="preserve"> е възможността да намалее стойността на ценна книга, особено на облигация, в резултат на повишение на лихвените проценти. Като цяло по-високите лихвени проценти водят до по-ниски цени на облигациите с фиксиран лихвен процент, и обратно.</w:t>
      </w:r>
    </w:p>
    <w:p w:rsidR="00F50689" w:rsidRDefault="005A36C4" w:rsidP="00F50689">
      <w:pPr>
        <w:pStyle w:val="Textstand-alone"/>
      </w:pPr>
      <w:r>
        <w:rPr>
          <w:b/>
        </w:rPr>
        <w:t>Кредитният риск</w:t>
      </w:r>
      <w:r>
        <w:t xml:space="preserve"> е рискът от загуба поради неизплащане от страна на длъжник/заемополучател на заем или друга кредитна линия (било то главницата или лихвата или и двете) или поради друго неизпълнение от негова страна на договорно задължение. Събитията, с които се нарушават поети задължения, включват закъсняване с плащането на вноските, преструктуриране на вноските на заемополучателя и фалит.</w:t>
      </w:r>
    </w:p>
    <w:p w:rsidR="00F50689" w:rsidRDefault="005A36C4" w:rsidP="00F50689">
      <w:pPr>
        <w:pStyle w:val="Textstand-alone"/>
      </w:pPr>
      <w:r>
        <w:rPr>
          <w:b/>
        </w:rPr>
        <w:t>Ликвидният риск</w:t>
      </w:r>
      <w:r>
        <w:t xml:space="preserve"> е рискът, произтичащ от трудното продаване на даден актив. Например рискът, че дадена ценна книга или актив не могат да бъдат продадени достатъчно бързо на пазара, за да се предотврати загуба или изпълни задължение.</w:t>
      </w:r>
      <w:bookmarkEnd w:id="181"/>
    </w:p>
    <w:p w:rsidR="00F50689" w:rsidRDefault="005A36C4" w:rsidP="00F50689">
      <w:pPr>
        <w:pStyle w:val="HEADER2Part2"/>
        <w:spacing w:after="0"/>
      </w:pPr>
      <w:r>
        <w:t xml:space="preserve">ПОЛИТИКИ ЗА УПРАВЛЕНИЕ НА РИСКА </w:t>
      </w:r>
    </w:p>
    <w:p w:rsidR="00F50689" w:rsidRPr="008F3D50" w:rsidRDefault="005A36C4" w:rsidP="00F50689">
      <w:pPr>
        <w:pStyle w:val="Textstand-alone"/>
      </w:pPr>
      <w:r>
        <w:t>Изпълнението на бюджета на ЕС разчита все повече на използването на финансови инструменти. Основната идея зад този нов подход, за разлика от традиционния метод на изпълнение на бюджета чрез предоставяне на безвъзмездни средства и субсидии, е, че за всяко евро, похарчено от бюджета чрез финансови инструменти, крайният бенефициер получава над 1 EUR финансова подкрепа благодарение на лостовия ефект. Този интелигентен начин на усвояване на бюджета на ЕС максимизира въздействието на наличните средства. За повече информация за съответните суми вж. бележка </w:t>
      </w:r>
      <w:r>
        <w:rPr>
          <w:b/>
        </w:rPr>
        <w:t>2.4</w:t>
      </w:r>
      <w:r>
        <w:t>.</w:t>
      </w:r>
    </w:p>
    <w:p w:rsidR="00F50689" w:rsidRPr="008F3D50" w:rsidRDefault="005A36C4" w:rsidP="00F50689">
      <w:pPr>
        <w:pStyle w:val="Textstand-alone"/>
      </w:pPr>
      <w:r>
        <w:t>За повечето финансови инструменти важи фактът, че изпълнението се делегира или на групата на ЕИБ (включително ЕИФ) въз основа на споразумение между ЕК и ЕИБ, или на други финансови посредници. Споразуменията, подписани с тези посредници, включват строги условия и задължения за посредниците, за да се гарантира, че средствата на ЕС се управляват правилно и че за тях се докладва правилно. Когато бъде поето задължение за финансов принос в полза на един от инструментите, средствата се прехвърлят в специално създадена за целта банкова сметка на финансовия посредник (т.е. доверителна сметка). Финансовият посредник може, в зависимост от въпросния инструмент, да използва средствата по тази доверителна сметка, за да отпуска заеми, да емитира дългови инструменти и т.н. Приходите от финансовите инструменти по правило трябва да се връщат на бюджета на ЕС.</w:t>
      </w:r>
    </w:p>
    <w:p w:rsidR="00F50689" w:rsidRPr="008F3D50" w:rsidRDefault="005A36C4" w:rsidP="00D477EB">
      <w:pPr>
        <w:pStyle w:val="Textstand-alone"/>
        <w:spacing w:before="120" w:after="120"/>
      </w:pPr>
      <w:r>
        <w:t>Рискът по отношение на тези финансови инструменти обикновено е ограничен до таван, посочен в съответните споразумения, който представлява предвидените в бюджета средства за инструмента. Тъй като Комисията често поема „първата загуба“ и тъй като инструментите са предназначени за финансиране на по-рискови бенефициери (които се изправят пред трудности при получаването на финансиране от търговски заемодатели), може да се очаква, че бюджетът на ЕС ще понесе поне известни загуби.</w:t>
      </w:r>
    </w:p>
    <w:p w:rsidR="00F50689" w:rsidRPr="00E01B1D" w:rsidRDefault="005A36C4" w:rsidP="00F50689">
      <w:pPr>
        <w:pStyle w:val="HEADER5"/>
      </w:pPr>
      <w:r>
        <w:t>Дейности по получаване и отпускане на заеми</w:t>
      </w:r>
    </w:p>
    <w:p w:rsidR="00F50689" w:rsidRDefault="005A36C4" w:rsidP="00F50689">
      <w:pPr>
        <w:pStyle w:val="Textstand-alone"/>
      </w:pPr>
      <w:r>
        <w:t>Операциите по отпускане и получаване на заеми, както и свързаното с тях управление на касата, се извършват от ЕС съгласно съответните решения на Съвета, ако са приложими, и съответните вътрешни насоки. Изготвени са наръчници за писмени процедури, обхващащи конкретни области като получаването и отпускането на заеми и управлението на касата и които се използват от съответните оперативни отдели. По правило не се извършват дейности за компенсиране на промените в лихвените проценти или промените в чуждестранните валути (дейности по хеджиране), тъй като операциите по отпускане на заеми по принцип се финансират чрез „бек-ту-бек“ получени заеми, които следователно не генерират открити лихвени или валутни позиции. Прилагането на принципа „бек-ту-бек“ се проверява редовно.</w:t>
      </w:r>
    </w:p>
    <w:p w:rsidR="00F50689" w:rsidRPr="00E01B1D" w:rsidRDefault="005A36C4" w:rsidP="00F50689">
      <w:pPr>
        <w:pStyle w:val="HEADER5"/>
      </w:pPr>
      <w:r>
        <w:t>Каса</w:t>
      </w:r>
    </w:p>
    <w:p w:rsidR="00F50689" w:rsidRDefault="005A36C4" w:rsidP="00D477EB">
      <w:pPr>
        <w:pStyle w:val="Textstand-alone"/>
        <w:spacing w:after="120"/>
      </w:pPr>
      <w:r>
        <w:t>Правилата и принципите за управлението на касовите операции на Комисията са посочени в Регламент № 1150/2000 на Съвета (изменен с регламенти № 2028/2004 и № 105/2009 на Съвета) и във Финансовия регламент и правилата за неговото прилагане.</w:t>
      </w:r>
    </w:p>
    <w:p w:rsidR="00F50689" w:rsidRDefault="005A36C4" w:rsidP="00D477EB">
      <w:pPr>
        <w:pStyle w:val="Textstand-alone"/>
        <w:spacing w:after="120"/>
      </w:pPr>
      <w:r>
        <w:t>В резултат на посочените по-горе регламенти се прилагат следните основни принципи:</w:t>
      </w:r>
    </w:p>
    <w:p w:rsidR="00F50689" w:rsidRDefault="005A36C4" w:rsidP="00D477EB">
      <w:pPr>
        <w:pStyle w:val="Textstand-alonebulletpointJustified"/>
        <w:spacing w:after="120"/>
      </w:pPr>
      <w:r>
        <w:t>Собствените ресурси се внасят от държавите членки в сметки, открити за тази цел на името на Комисията към министерството на финансите или към посочения от всяка държава членка орган. Комисията може да тегли от посочените по-горе сметки само за да покрие нуждите си от парични средства.</w:t>
      </w:r>
    </w:p>
    <w:p w:rsidR="00F50689" w:rsidRPr="008E4544" w:rsidRDefault="00F50689" w:rsidP="00D477EB">
      <w:pPr>
        <w:pStyle w:val="Textstand-alonebulletpointJustified"/>
        <w:numPr>
          <w:ilvl w:val="0"/>
          <w:numId w:val="0"/>
        </w:numPr>
        <w:spacing w:after="120"/>
        <w:ind w:left="357"/>
      </w:pPr>
    </w:p>
    <w:p w:rsidR="00F50689" w:rsidRDefault="005A36C4" w:rsidP="00D477EB">
      <w:pPr>
        <w:pStyle w:val="Textstand-alonebulletpointJustified"/>
        <w:spacing w:after="120"/>
      </w:pPr>
      <w:r>
        <w:t>Собствените ресурси се плащат от държавите членки в националната им валута, докато плащанията на Комисията са предимно в евро.</w:t>
      </w:r>
    </w:p>
    <w:p w:rsidR="00F50689" w:rsidRPr="008E4544" w:rsidRDefault="00F50689" w:rsidP="00D477EB">
      <w:pPr>
        <w:pStyle w:val="Textstand-alonebulletpointJustified"/>
        <w:numPr>
          <w:ilvl w:val="0"/>
          <w:numId w:val="0"/>
        </w:numPr>
        <w:spacing w:after="120"/>
        <w:ind w:left="357"/>
      </w:pPr>
    </w:p>
    <w:p w:rsidR="00F50689" w:rsidRDefault="005A36C4" w:rsidP="00D477EB">
      <w:pPr>
        <w:pStyle w:val="Textstand-alonebulletpointJustified"/>
        <w:spacing w:after="120"/>
      </w:pPr>
      <w:r>
        <w:t>Не може по банковите сметки, открити на името на Комисията, да се теглят суми, надвишаващи наличните. Това ограничение не важи за сметките за собствените ресурси на Комисията в случай на неизпълнение на задълженията по заеми, сключени или гарантирани по силата на регламенти и решения на Съвета на ЕС, и при определени условия, ако нуждите от средства надвишават наличностите по сметките.</w:t>
      </w:r>
    </w:p>
    <w:p w:rsidR="00F50689" w:rsidRPr="008E4544" w:rsidRDefault="00F50689" w:rsidP="00D477EB">
      <w:pPr>
        <w:pStyle w:val="Textstand-alonebulletpointJustified"/>
        <w:numPr>
          <w:ilvl w:val="0"/>
          <w:numId w:val="0"/>
        </w:numPr>
        <w:spacing w:after="120"/>
        <w:ind w:left="357"/>
      </w:pPr>
    </w:p>
    <w:p w:rsidR="00F50689" w:rsidRPr="008E4544" w:rsidRDefault="005A36C4" w:rsidP="00D477EB">
      <w:pPr>
        <w:pStyle w:val="Textstand-alonebulletpointJustified"/>
        <w:spacing w:after="120"/>
      </w:pPr>
      <w:r>
        <w:t>Средствата в банкови сметки във валути, различни от EUR, се използват за плащания в тези валути или периодично се конвертират в EUR.</w:t>
      </w:r>
    </w:p>
    <w:p w:rsidR="00F50689" w:rsidRDefault="005A36C4" w:rsidP="00F50689">
      <w:pPr>
        <w:pStyle w:val="Textstand-alone"/>
      </w:pPr>
      <w:r>
        <w:t xml:space="preserve">Освен сметките за собствените ресурси Комисията открива и други банкови сметки към централните банки и търговските банки с цел извършване на плащания и получаване на приходи, различни от вноските на държавите членки в бюджета. </w:t>
      </w:r>
    </w:p>
    <w:p w:rsidR="00F50689" w:rsidRDefault="005A36C4" w:rsidP="00F50689">
      <w:pPr>
        <w:pStyle w:val="Textstand-alone"/>
      </w:pPr>
      <w:r>
        <w:t>Касовите и платежните операции са силно автоматизирани и разчитат на модерни информационни системи. Прилагат се специални процедури, за да се гарантира сигурността на системата и да се осигури разделението на служебните задължения в съответствие с Финансовия регламент, стандартите на Комисията за вътрешен контрол и принципите за одит.</w:t>
      </w:r>
    </w:p>
    <w:p w:rsidR="00F50689" w:rsidRDefault="005A36C4" w:rsidP="00D477EB">
      <w:pPr>
        <w:pStyle w:val="Textstand-alone"/>
        <w:spacing w:before="120" w:after="120"/>
      </w:pPr>
      <w:r>
        <w:t xml:space="preserve">Набор от писмени насоки и процедури уреждат управлението на касовите и платежните операции на Комисията с цел ограничаване на оперативния и финансовия риск и осигуряване на подходяща степен на контрол. Те обхващат различните области на дейността (напр.: извършването на плащанията и управлението на паричните средства, прогнозирането на паричните потоци, непрекъснатостта на дейността и т.н.) и спазването на насоките и на процедурите се проверява редовно. Освен това между ГД „Бюджет“ и ГД „Икономически и финансови въпроси“ се обменя информация относно управлението на риска и най-добрите експозиции. </w:t>
      </w:r>
    </w:p>
    <w:p w:rsidR="00F50689" w:rsidRPr="00E01B1D" w:rsidRDefault="005A36C4" w:rsidP="00F50689">
      <w:pPr>
        <w:pStyle w:val="HEADER5"/>
      </w:pPr>
      <w:r>
        <w:t>Глоби</w:t>
      </w:r>
    </w:p>
    <w:p w:rsidR="00F50689" w:rsidRPr="000C3655" w:rsidRDefault="005A36C4" w:rsidP="00F50689">
      <w:pPr>
        <w:pStyle w:val="Textstand-alone"/>
        <w:rPr>
          <w:i/>
        </w:rPr>
      </w:pPr>
      <w:r>
        <w:rPr>
          <w:i/>
        </w:rPr>
        <w:t>Условно платени глоби: депозити</w:t>
      </w:r>
    </w:p>
    <w:p w:rsidR="00F50689" w:rsidRDefault="005A36C4" w:rsidP="00F50689">
      <w:pPr>
        <w:pStyle w:val="Textstand-alone"/>
      </w:pPr>
      <w:r>
        <w:t>Сумите, получени преди 2010 г., остават в банкови сметки в банки, които са специално избрани за депозиране на условно платени глоби. Подборът на банки се извършва съгласно тръжните процедури, определени във Финансовия регламент. Влагането на средства в специални банки се определя от вътрешната политика за управление на риска, в която са посочени изискванията по отношение на кредитния рейтинг и размерът на средствата, които могат да бъдат вложени, пропорционално на капитала на контрагента. Идентифицират се и се оценяват финансовият и оперативният риск и редовно се проверява съблюдаването на вътрешните политики и процедури.</w:t>
      </w:r>
    </w:p>
    <w:p w:rsidR="00F50689" w:rsidRPr="000C3655" w:rsidRDefault="005A36C4" w:rsidP="00F50689">
      <w:pPr>
        <w:pStyle w:val="Textstand-alone"/>
        <w:rPr>
          <w:i/>
        </w:rPr>
      </w:pPr>
      <w:r>
        <w:rPr>
          <w:i/>
        </w:rPr>
        <w:t>Условно платени глоби: портфейл на BUFI</w:t>
      </w:r>
    </w:p>
    <w:p w:rsidR="00F50689" w:rsidRPr="0072779C" w:rsidRDefault="005A36C4" w:rsidP="00F50689">
      <w:pPr>
        <w:pStyle w:val="Textstand-alone"/>
      </w:pPr>
      <w:r>
        <w:t>Глобите, които са наложени и са платени условно от 2010 г. нататък, се инвестират в специално създаден фонд — BUFI. Основните цели на Фонда са намаляването на рисковете, свързани с финансовите пазари, и равното третиране на всички глобени субекти чрез предлагане на гарантирана възвръщаемост, изчислена на същата база. Управлението на активите за условно платените глоби се извършва от Комисията в съответствие с вътрешните насоки за управление на активите. Изготвени са процедурни наръчници, обхващащи конкретни области, като управлението на касата, и които се използват от съответните оперативни отдели. Идентифицират се и се оценяват финансовият и оперативният риск и редовно се проверява съблюдаването на вътрешните насоки и процедури.</w:t>
      </w:r>
    </w:p>
    <w:p w:rsidR="00F50689" w:rsidRPr="0072779C" w:rsidRDefault="005A36C4" w:rsidP="00F50689">
      <w:pPr>
        <w:pStyle w:val="Textstand-alone"/>
      </w:pPr>
      <w:r>
        <w:t>Целите на дейностите по управление на активите са условно платените на Комисията глоби да се инвестират по начин, по който:</w:t>
      </w:r>
    </w:p>
    <w:p w:rsidR="00F50689" w:rsidRPr="0072779C" w:rsidRDefault="00776037" w:rsidP="00776037">
      <w:pPr>
        <w:pStyle w:val="Textstand-alonenumberingLetters"/>
        <w:numPr>
          <w:ilvl w:val="0"/>
          <w:numId w:val="0"/>
        </w:numPr>
        <w:ind w:left="357" w:hanging="357"/>
      </w:pPr>
      <w:r>
        <w:t>а)</w:t>
      </w:r>
      <w:r>
        <w:tab/>
      </w:r>
      <w:r w:rsidR="005A36C4">
        <w:t>се гарантира, че средствата са лесно достъпни, когато са нужни, като същевременно</w:t>
      </w:r>
    </w:p>
    <w:p w:rsidR="00F50689" w:rsidRPr="0072779C" w:rsidRDefault="00776037" w:rsidP="00776037">
      <w:pPr>
        <w:pStyle w:val="Textstand-alonenumberingLetters"/>
        <w:numPr>
          <w:ilvl w:val="0"/>
          <w:numId w:val="0"/>
        </w:numPr>
        <w:ind w:left="357" w:hanging="357"/>
      </w:pPr>
      <w:r>
        <w:t>б)</w:t>
      </w:r>
      <w:r>
        <w:tab/>
      </w:r>
      <w:r w:rsidR="005A36C4">
        <w:t>се цели постигане, при нормални обстоятелства, на възвръщаемост, която средно е поне равна на референтната възвръщаемост от BUFI след приспадане на разходите.</w:t>
      </w:r>
    </w:p>
    <w:p w:rsidR="00F50689" w:rsidRPr="0072779C" w:rsidRDefault="005A36C4" w:rsidP="00F50689">
      <w:pPr>
        <w:pStyle w:val="Textstand-alone"/>
      </w:pPr>
      <w:r>
        <w:t>В основата си инвестициите се ограничават до следните категории: срочни депозити в централните банки от еврозоната, в агенции за държавния дълг на държавите от еврозоната, в изцяло държавни или гарантирани от държавата банки или в наднационални институции и облигации, менителници и депозитни сертификати, издадени от суверенни или наднационални институции.</w:t>
      </w:r>
    </w:p>
    <w:p w:rsidR="00F50689" w:rsidRPr="000C3655" w:rsidRDefault="005A36C4" w:rsidP="00F50689">
      <w:pPr>
        <w:pStyle w:val="Textstand-alone"/>
        <w:rPr>
          <w:i/>
        </w:rPr>
      </w:pPr>
      <w:r>
        <w:rPr>
          <w:i/>
        </w:rPr>
        <w:t>Банкови гаранции</w:t>
      </w:r>
    </w:p>
    <w:p w:rsidR="00F50689" w:rsidRDefault="005A36C4" w:rsidP="00F50689">
      <w:pPr>
        <w:pStyle w:val="Textstand-alone"/>
      </w:pPr>
      <w:r>
        <w:t>Гаранции със значителна стойност, издадени от финансови институции, се държат от Комисията във връзка с глобите, които тя налага на предприятията, нарушаващи правилата за конкуренция на ЕС (вж. бележка </w:t>
      </w:r>
      <w:r>
        <w:rPr>
          <w:b/>
        </w:rPr>
        <w:t>2.6.1.2</w:t>
      </w:r>
      <w:r>
        <w:t>). Тези гаранции се предоставят от глобените предприятия като алтернатива на условните плащания. Гаранциите се управляват в съответствие с вътрешната политика за управление на риска. Идентифицират се и се оценяват финансовият и оперативният риск и редовно се проверява съблюдаването на вътрешните политики и процедури.</w:t>
      </w:r>
    </w:p>
    <w:p w:rsidR="00F50689" w:rsidRPr="00E01B1D" w:rsidRDefault="005A36C4" w:rsidP="00F50689">
      <w:pPr>
        <w:pStyle w:val="HEADER5"/>
      </w:pPr>
      <w:r>
        <w:t>Гаранционен фонд</w:t>
      </w:r>
    </w:p>
    <w:p w:rsidR="00F50689" w:rsidRDefault="005A36C4" w:rsidP="00F50689">
      <w:pPr>
        <w:pStyle w:val="Textstand-alone"/>
        <w:spacing w:after="0"/>
      </w:pPr>
      <w:r>
        <w:t>Правилата и принципите за управлението на активите на Гаранционния фонд са изложени в Конвенцията между Комисията и ЕИБ от 25 ноември 1994 г. и в нейните изменения от 17/23 септември 1996 г., 8 май 2002 г., 25 февруари 2008 г. и 9 ноември 2010 г. Гаранционният фонд работи само в евро. Той инвестира само в тази валута, за да бъде избегнат всякакъв валутен риск. Управлението на активите се основава на традиционните правила за предпазливост, съблюдавани при финансовите дейности. То трябва да обръща специално внимание на намаляването на рисковете и на това да се гарантира, че управляваните активи могат да бъдат продадени или прехвърлени без значително забавяне, отчитайки обхванатите поети задължения.</w:t>
      </w:r>
    </w:p>
    <w:p w:rsidR="00F50689" w:rsidRDefault="005A36C4" w:rsidP="00F50689">
      <w:pPr>
        <w:pStyle w:val="Textstand-alone"/>
        <w:spacing w:before="0" w:after="0"/>
        <w:sectPr w:rsidR="00F50689" w:rsidSect="00F50689">
          <w:headerReference w:type="even" r:id="rId365"/>
          <w:headerReference w:type="default" r:id="rId366"/>
          <w:footerReference w:type="even" r:id="rId367"/>
          <w:footerReference w:type="default" r:id="rId368"/>
          <w:headerReference w:type="first" r:id="rId369"/>
          <w:footerReference w:type="first" r:id="rId370"/>
          <w:type w:val="continuous"/>
          <w:pgSz w:w="11906" w:h="16838"/>
          <w:pgMar w:top="1134" w:right="1134" w:bottom="1134" w:left="1134" w:header="709" w:footer="709" w:gutter="0"/>
          <w:cols w:space="708"/>
          <w:docGrid w:linePitch="360"/>
        </w:sectPr>
      </w:pPr>
      <w:r>
        <w:t xml:space="preserve"> </w:t>
      </w:r>
      <w:bookmarkEnd w:id="179"/>
    </w:p>
    <w:p w:rsidR="00E8741F" w:rsidRDefault="00E8741F">
      <w:pPr>
        <w:rPr>
          <w:rFonts w:ascii="Verdana" w:hAnsi="Verdana"/>
          <w:color w:val="016794"/>
          <w:sz w:val="20"/>
          <w:szCs w:val="20"/>
        </w:rPr>
      </w:pPr>
      <w:bookmarkStart w:id="182" w:name="_DMBM_3534"/>
      <w:r>
        <w:br w:type="page"/>
      </w:r>
    </w:p>
    <w:p w:rsidR="00F50689" w:rsidRPr="004D4D3E" w:rsidRDefault="005A36C4" w:rsidP="00F50689">
      <w:pPr>
        <w:pStyle w:val="HEADER3Part2"/>
      </w:pPr>
      <w:r>
        <w:t>Равнение на балансовата стойност и справедливата стойност на финансовите инструменти</w:t>
      </w:r>
    </w:p>
    <w:p w:rsidR="00F50689" w:rsidRPr="00C442D0" w:rsidRDefault="005A36C4" w:rsidP="003A3A39">
      <w:pPr>
        <w:pStyle w:val="HEADER5"/>
      </w:pPr>
      <w:r>
        <w:t>Равнение на балансовата стойност и справедливата стойност на финансовите активи по класове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83" w:name="DOC_TBL00078_1_1"/>
            <w:bookmarkEnd w:id="183"/>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976"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t>31.12.2014 г.</w:t>
            </w:r>
          </w:p>
        </w:tc>
        <w:tc>
          <w:tcPr>
            <w:tcW w:w="2977"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t>31.12.2013 г.</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Балансова стойност</w:t>
            </w: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Справедлива стойност</w:t>
            </w:r>
          </w:p>
        </w:tc>
        <w:tc>
          <w:tcPr>
            <w:tcW w:w="141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Балансова стойност</w:t>
            </w: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Справедлива стойност</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Финансови активи по справедлива стойност</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Финансови активи, обявени за продажба</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9 406</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9 406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7 870</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7 870</w:t>
            </w:r>
          </w:p>
        </w:tc>
      </w:tr>
      <w:tr w:rsidR="00E7728E">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Пари и парични еквиваленти</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17 545</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17 545</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9 510</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9 510</w:t>
            </w:r>
          </w:p>
        </w:tc>
      </w:tr>
      <w:tr w:rsidR="00E7728E">
        <w:tc>
          <w:tcPr>
            <w:tcW w:w="3794" w:type="dxa"/>
            <w:tcBorders>
              <w:top w:val="single" w:sz="4" w:space="0" w:color="016794"/>
              <w:left w:val="nil"/>
              <w:bottom w:val="single" w:sz="4" w:space="0" w:color="016794"/>
              <w:right w:val="nil"/>
            </w:tcBorders>
            <w:tcMar>
              <w:top w:w="0" w:type="dxa"/>
              <w:left w:w="0" w:type="dxa"/>
              <w:bottom w:w="0" w:type="dxa"/>
              <w:right w:w="0" w:type="dxa"/>
            </w:tcMar>
          </w:tcPr>
          <w:p w:rsidR="00F50689" w:rsidRPr="001C635F" w:rsidRDefault="005A36C4" w:rsidP="00F50689">
            <w:pPr>
              <w:pStyle w:val="Text9pNormalLeft"/>
              <w:rPr>
                <w:rFonts w:cs="Verdana"/>
                <w:i/>
              </w:rPr>
            </w:pPr>
            <w:r>
              <w:rPr>
                <w:i/>
              </w:rPr>
              <w:t>Общо</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26 951</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26 951</w:t>
            </w:r>
          </w:p>
        </w:tc>
        <w:tc>
          <w:tcPr>
            <w:tcW w:w="141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17 380</w:t>
            </w:r>
          </w:p>
        </w:tc>
        <w:tc>
          <w:tcPr>
            <w:tcW w:w="155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17 380</w:t>
            </w:r>
          </w:p>
        </w:tc>
      </w:tr>
      <w:tr w:rsidR="00E7728E">
        <w:tc>
          <w:tcPr>
            <w:tcW w:w="379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Финансови активи по амортизирана стойност</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Заеми</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58 843</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58 843</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57 545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57 545</w:t>
            </w:r>
          </w:p>
        </w:tc>
      </w:tr>
      <w:tr w:rsidR="00E7728E">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Вземания по операции с размяна и средства, подлежащи на събиране, по операции без размяна</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15 578</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15 578</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13 680</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13 680</w:t>
            </w:r>
          </w:p>
        </w:tc>
      </w:tr>
      <w:tr w:rsidR="00E7728E">
        <w:tc>
          <w:tcPr>
            <w:tcW w:w="3794" w:type="dxa"/>
            <w:tcBorders>
              <w:top w:val="single" w:sz="4" w:space="0" w:color="016794"/>
              <w:left w:val="nil"/>
              <w:bottom w:val="nil"/>
              <w:right w:val="nil"/>
            </w:tcBorders>
            <w:tcMar>
              <w:top w:w="0" w:type="dxa"/>
              <w:left w:w="0" w:type="dxa"/>
              <w:bottom w:w="0" w:type="dxa"/>
              <w:right w:w="0" w:type="dxa"/>
            </w:tcMar>
          </w:tcPr>
          <w:p w:rsidR="00F50689" w:rsidRPr="001C635F" w:rsidRDefault="005A36C4" w:rsidP="00F50689">
            <w:pPr>
              <w:pStyle w:val="Text9pNormalLeft"/>
              <w:rPr>
                <w:rFonts w:cs="Verdana"/>
                <w:i/>
              </w:rPr>
            </w:pPr>
            <w:r>
              <w:rPr>
                <w:i/>
              </w:rPr>
              <w:t>Общо</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74 421</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74 421</w:t>
            </w: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71 225</w:t>
            </w: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71 225</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101 372</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101 372</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88 605</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88 605</w:t>
            </w:r>
          </w:p>
        </w:tc>
      </w:tr>
    </w:tbl>
    <w:p w:rsidR="00F50689" w:rsidRDefault="005A36C4" w:rsidP="00F50689">
      <w:pPr>
        <w:pStyle w:val="DGTextstand-alone"/>
        <w:spacing w:before="0" w:after="0"/>
      </w:pPr>
      <w:r>
        <w:t xml:space="preserve"> </w:t>
      </w:r>
    </w:p>
    <w:p w:rsidR="00F50689" w:rsidRPr="00424943" w:rsidRDefault="005A36C4" w:rsidP="003A3A39">
      <w:pPr>
        <w:pStyle w:val="HEADER5"/>
        <w:spacing w:before="240" w:after="120"/>
      </w:pPr>
      <w:r>
        <w:t>Равнение на балансовата стойност и справедливата стойност на финансовите пасиви по класове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84" w:name="DOC_TBL00079_1_1"/>
            <w:bookmarkEnd w:id="184"/>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976"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t>31.12.2014 г.</w:t>
            </w:r>
          </w:p>
        </w:tc>
        <w:tc>
          <w:tcPr>
            <w:tcW w:w="2977"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t>31.12.2013 г.</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Балансова стойност</w:t>
            </w: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Справедлива стойност</w:t>
            </w:r>
          </w:p>
        </w:tc>
        <w:tc>
          <w:tcPr>
            <w:tcW w:w="141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Балансова стойност</w:t>
            </w: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Справедлива стойност</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Финансови пасиви по справедлива стойност</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t>–</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t>–</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Финансови пасиви по амортизирана стойност</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Получени заеми</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58 470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58 470</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57 218</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57 218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Задължения по финансов лизинг</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1 755</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1 755</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1 838</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1 838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Задължения</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43 180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43 180</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36 213</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36 213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454</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454</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477</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477</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103 859</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103 859</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95 746</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95 746</w:t>
            </w:r>
          </w:p>
        </w:tc>
      </w:tr>
    </w:tbl>
    <w:p w:rsidR="00F50689" w:rsidRPr="003744F0" w:rsidRDefault="005A36C4" w:rsidP="00F50689">
      <w:pPr>
        <w:pStyle w:val="DGTextstand-alone"/>
        <w:spacing w:before="0" w:after="0"/>
        <w:sectPr w:rsidR="00F50689" w:rsidRPr="003744F0" w:rsidSect="00F50689">
          <w:headerReference w:type="even" r:id="rId371"/>
          <w:headerReference w:type="default" r:id="rId372"/>
          <w:footerReference w:type="even" r:id="rId373"/>
          <w:footerReference w:type="default" r:id="rId374"/>
          <w:headerReference w:type="first" r:id="rId375"/>
          <w:footerReference w:type="first" r:id="rId376"/>
          <w:type w:val="continuous"/>
          <w:pgSz w:w="11906" w:h="16838"/>
          <w:pgMar w:top="1134" w:right="1134" w:bottom="1134" w:left="1134" w:header="709" w:footer="709" w:gutter="0"/>
          <w:cols w:space="708"/>
          <w:docGrid w:linePitch="360"/>
        </w:sectPr>
      </w:pPr>
      <w:r>
        <w:t xml:space="preserve"> </w:t>
      </w:r>
      <w:bookmarkEnd w:id="182"/>
    </w:p>
    <w:p w:rsidR="00F50689" w:rsidRDefault="005A36C4" w:rsidP="00F50689">
      <w:pPr>
        <w:pStyle w:val="HEADER2Part2"/>
      </w:pPr>
      <w:bookmarkStart w:id="185" w:name="_DMBM_2664"/>
      <w:r>
        <w:t>ВАЛУТЕН РИСК</w:t>
      </w:r>
    </w:p>
    <w:p w:rsidR="00F50689" w:rsidRDefault="005A36C4" w:rsidP="00F50689">
      <w:pPr>
        <w:pStyle w:val="HEADER5"/>
      </w:pPr>
      <w:r>
        <w:t>Експозиция на ЕС, свързана с финансовите инструменти, по отношение на валутния риск към края на годината — нетна позиция</w:t>
      </w:r>
    </w:p>
    <w:tbl>
      <w:tblPr>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844"/>
        <w:gridCol w:w="853"/>
        <w:gridCol w:w="851"/>
        <w:gridCol w:w="848"/>
        <w:gridCol w:w="708"/>
        <w:gridCol w:w="711"/>
        <w:gridCol w:w="854"/>
        <w:gridCol w:w="285"/>
        <w:gridCol w:w="848"/>
        <w:gridCol w:w="848"/>
        <w:gridCol w:w="851"/>
        <w:gridCol w:w="848"/>
        <w:gridCol w:w="854"/>
        <w:gridCol w:w="851"/>
        <w:gridCol w:w="993"/>
      </w:tblGrid>
      <w:tr w:rsidR="00E7728E">
        <w:tc>
          <w:tcPr>
            <w:tcW w:w="2519" w:type="dxa"/>
            <w:tcBorders>
              <w:top w:val="nil"/>
              <w:left w:val="nil"/>
              <w:bottom w:val="nil"/>
              <w:right w:val="nil"/>
            </w:tcBorders>
            <w:tcMar>
              <w:top w:w="0" w:type="dxa"/>
              <w:left w:w="0" w:type="dxa"/>
              <w:bottom w:w="0" w:type="dxa"/>
              <w:right w:w="0" w:type="dxa"/>
            </w:tcMar>
          </w:tcPr>
          <w:p w:rsidR="00F50689" w:rsidRDefault="00F50689" w:rsidP="00F50689">
            <w:pPr>
              <w:pStyle w:val="Text7pItalicLeft"/>
              <w:rPr>
                <w:rFonts w:eastAsia="Times New Roman" w:cs="Verdana"/>
                <w:color w:val="FFFFFF"/>
              </w:rPr>
            </w:pPr>
            <w:bookmarkStart w:id="186" w:name="DOC_TBL00080_1_1"/>
            <w:bookmarkEnd w:id="186"/>
          </w:p>
        </w:tc>
        <w:tc>
          <w:tcPr>
            <w:tcW w:w="844"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3"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70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71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4"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285"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4"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Text5pItalicRight025"/>
              <w:rPr>
                <w:rFonts w:cs="Verdana"/>
              </w:rPr>
            </w:pPr>
            <w:r>
              <w:t>млн. EUR</w:t>
            </w:r>
          </w:p>
        </w:tc>
      </w:tr>
      <w:tr w:rsidR="00E7728E">
        <w:tc>
          <w:tcPr>
            <w:tcW w:w="251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5669" w:type="dxa"/>
            <w:gridSpan w:val="7"/>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t>31.12.2014 г.</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Times New Roman" w:cs="Verdana"/>
                <w:color w:val="auto"/>
              </w:rPr>
            </w:pPr>
          </w:p>
        </w:tc>
        <w:tc>
          <w:tcPr>
            <w:tcW w:w="6093" w:type="dxa"/>
            <w:gridSpan w:val="7"/>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31.12.2013 г.</w:t>
            </w:r>
          </w:p>
        </w:tc>
      </w:tr>
      <w:tr w:rsidR="00E7728E">
        <w:tc>
          <w:tcPr>
            <w:tcW w:w="251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84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t>USD</w:t>
            </w:r>
          </w:p>
        </w:tc>
        <w:tc>
          <w:tcPr>
            <w:tcW w:w="85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SEK</w:t>
            </w:r>
          </w:p>
        </w:tc>
        <w:tc>
          <w:tcPr>
            <w:tcW w:w="70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EUR</w:t>
            </w:r>
          </w:p>
        </w:tc>
        <w:tc>
          <w:tcPr>
            <w:tcW w:w="71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Други</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Общо</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Times New Roman" w:cs="Verdana"/>
                <w:color w:val="auto"/>
              </w:rPr>
            </w:pP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USD</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SEK</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EUR</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Други</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Общо</w:t>
            </w:r>
          </w:p>
        </w:tc>
      </w:tr>
      <w:tr w:rsidR="00E7728E">
        <w:tc>
          <w:tcPr>
            <w:tcW w:w="2519" w:type="dxa"/>
            <w:tcBorders>
              <w:top w:val="nil"/>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Text7pBoldLeft"/>
              <w:rPr>
                <w:rFonts w:eastAsia="Times New Roman" w:cs="Verdana"/>
              </w:rPr>
            </w:pPr>
            <w:r>
              <w:t>Финансови активи</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3"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0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1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285"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993"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r>
      <w:tr w:rsidR="00E7728E">
        <w:tc>
          <w:tcPr>
            <w:tcW w:w="251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t>Финансови активи, обявени за продажба</w:t>
            </w:r>
          </w:p>
        </w:tc>
        <w:tc>
          <w:tcPr>
            <w:tcW w:w="844" w:type="dxa"/>
            <w:tcBorders>
              <w:top w:val="nil"/>
              <w:left w:val="nil"/>
              <w:bottom w:val="nil"/>
              <w:right w:val="nil"/>
            </w:tcBorders>
            <w:tcMar>
              <w:top w:w="0" w:type="dxa"/>
              <w:left w:w="0" w:type="dxa"/>
              <w:bottom w:w="0" w:type="dxa"/>
              <w:right w:w="0" w:type="dxa"/>
            </w:tcMar>
          </w:tcPr>
          <w:p w:rsidR="00F50689" w:rsidRDefault="005A36C4" w:rsidP="00F50689">
            <w:pPr>
              <w:pStyle w:val="Figures6pItalicRight01"/>
              <w:rPr>
                <w:rFonts w:eastAsia="Times New Roman" w:cs="Verdana"/>
              </w:rPr>
            </w:pPr>
            <w:r>
              <w:t xml:space="preserve"> 68</w:t>
            </w:r>
          </w:p>
        </w:tc>
        <w:tc>
          <w:tcPr>
            <w:tcW w:w="85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77</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7</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9</w:t>
            </w:r>
          </w:p>
        </w:tc>
        <w:tc>
          <w:tcPr>
            <w:tcW w:w="70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9 203</w:t>
            </w:r>
          </w:p>
        </w:tc>
        <w:tc>
          <w:tcPr>
            <w:tcW w:w="71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42</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9 406</w:t>
            </w:r>
          </w:p>
        </w:tc>
        <w:tc>
          <w:tcPr>
            <w:tcW w:w="285" w:type="dxa"/>
            <w:tcBorders>
              <w:top w:val="nil"/>
              <w:left w:val="nil"/>
              <w:bottom w:val="nil"/>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39</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66</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13</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19</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7 732</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7 870</w:t>
            </w:r>
          </w:p>
        </w:tc>
      </w:tr>
      <w:tr w:rsidR="00E7728E">
        <w:tc>
          <w:tcPr>
            <w:tcW w:w="251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t>Заеми*</w:t>
            </w:r>
          </w:p>
        </w:tc>
        <w:tc>
          <w:tcPr>
            <w:tcW w:w="844" w:type="dxa"/>
            <w:tcBorders>
              <w:top w:val="nil"/>
              <w:left w:val="nil"/>
              <w:bottom w:val="nil"/>
              <w:right w:val="nil"/>
            </w:tcBorders>
            <w:tcMar>
              <w:top w:w="0" w:type="dxa"/>
              <w:left w:w="0" w:type="dxa"/>
              <w:bottom w:w="0" w:type="dxa"/>
              <w:right w:w="0" w:type="dxa"/>
            </w:tcMar>
          </w:tcPr>
          <w:p w:rsidR="00F50689" w:rsidRDefault="005A36C4" w:rsidP="00F50689">
            <w:pPr>
              <w:pStyle w:val="Figures6pItalicRight01"/>
              <w:rPr>
                <w:rFonts w:eastAsia="Times New Roman" w:cs="Verdana"/>
              </w:rPr>
            </w:pPr>
            <w:r>
              <w:t xml:space="preserve"> 2</w:t>
            </w:r>
          </w:p>
        </w:tc>
        <w:tc>
          <w:tcPr>
            <w:tcW w:w="85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0</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70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303</w:t>
            </w:r>
          </w:p>
        </w:tc>
        <w:tc>
          <w:tcPr>
            <w:tcW w:w="71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28</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334</w:t>
            </w:r>
          </w:p>
        </w:tc>
        <w:tc>
          <w:tcPr>
            <w:tcW w:w="285" w:type="dxa"/>
            <w:tcBorders>
              <w:top w:val="nil"/>
              <w:left w:val="nil"/>
              <w:bottom w:val="nil"/>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277</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8</w:t>
            </w:r>
          </w:p>
        </w:tc>
        <w:tc>
          <w:tcPr>
            <w:tcW w:w="99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286</w:t>
            </w:r>
          </w:p>
        </w:tc>
      </w:tr>
      <w:tr w:rsidR="00E7728E">
        <w:tc>
          <w:tcPr>
            <w:tcW w:w="251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t>Вземания и средства, подлежащи на събиране</w:t>
            </w:r>
          </w:p>
        </w:tc>
        <w:tc>
          <w:tcPr>
            <w:tcW w:w="844" w:type="dxa"/>
            <w:tcBorders>
              <w:top w:val="nil"/>
              <w:left w:val="nil"/>
              <w:bottom w:val="nil"/>
              <w:right w:val="nil"/>
            </w:tcBorders>
            <w:tcMar>
              <w:top w:w="0" w:type="dxa"/>
              <w:left w:w="0" w:type="dxa"/>
              <w:bottom w:w="0" w:type="dxa"/>
              <w:right w:w="0" w:type="dxa"/>
            </w:tcMar>
          </w:tcPr>
          <w:p w:rsidR="00F50689" w:rsidRDefault="005A36C4" w:rsidP="00F50689">
            <w:pPr>
              <w:pStyle w:val="Figures6pItalicRight01"/>
              <w:rPr>
                <w:rFonts w:eastAsia="Times New Roman" w:cs="Verdana"/>
              </w:rPr>
            </w:pPr>
            <w:r>
              <w:t xml:space="preserve"> 2</w:t>
            </w:r>
          </w:p>
        </w:tc>
        <w:tc>
          <w:tcPr>
            <w:tcW w:w="85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4 102</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50</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88</w:t>
            </w:r>
          </w:p>
        </w:tc>
        <w:tc>
          <w:tcPr>
            <w:tcW w:w="70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11 197</w:t>
            </w:r>
          </w:p>
        </w:tc>
        <w:tc>
          <w:tcPr>
            <w:tcW w:w="71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140</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15 578</w:t>
            </w:r>
          </w:p>
        </w:tc>
        <w:tc>
          <w:tcPr>
            <w:tcW w:w="285" w:type="dxa"/>
            <w:tcBorders>
              <w:top w:val="nil"/>
              <w:left w:val="nil"/>
              <w:bottom w:val="nil"/>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1 050</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42</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79</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12 284</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224</w:t>
            </w:r>
          </w:p>
        </w:tc>
        <w:tc>
          <w:tcPr>
            <w:tcW w:w="99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13 680</w:t>
            </w:r>
          </w:p>
        </w:tc>
      </w:tr>
      <w:tr w:rsidR="00E7728E">
        <w:tc>
          <w:tcPr>
            <w:tcW w:w="2519"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t>Пари и парични еквиваленти</w:t>
            </w:r>
          </w:p>
        </w:tc>
        <w:tc>
          <w:tcPr>
            <w:tcW w:w="84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44</w:t>
            </w:r>
          </w:p>
        </w:tc>
        <w:tc>
          <w:tcPr>
            <w:tcW w:w="85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1 157</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471</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928</w:t>
            </w:r>
          </w:p>
        </w:tc>
        <w:tc>
          <w:tcPr>
            <w:tcW w:w="70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14 180</w:t>
            </w:r>
          </w:p>
        </w:tc>
        <w:tc>
          <w:tcPr>
            <w:tcW w:w="71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764</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17 545</w:t>
            </w:r>
          </w:p>
        </w:tc>
        <w:tc>
          <w:tcPr>
            <w:tcW w:w="285" w:type="dxa"/>
            <w:tcBorders>
              <w:top w:val="nil"/>
              <w:left w:val="nil"/>
              <w:bottom w:val="single" w:sz="4" w:space="0" w:color="3486A9"/>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39</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140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446</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257</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8 225</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403</w:t>
            </w:r>
          </w:p>
        </w:tc>
        <w:tc>
          <w:tcPr>
            <w:tcW w:w="99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9 510</w:t>
            </w:r>
          </w:p>
        </w:tc>
      </w:tr>
      <w:tr w:rsidR="00E7728E">
        <w:tc>
          <w:tcPr>
            <w:tcW w:w="2519"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Text7pItalicLeft"/>
              <w:rPr>
                <w:rFonts w:eastAsia="Times New Roman" w:cs="Verdana"/>
              </w:rPr>
            </w:pPr>
            <w:r>
              <w:t>Общо</w:t>
            </w:r>
          </w:p>
        </w:tc>
        <w:tc>
          <w:tcPr>
            <w:tcW w:w="84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116</w:t>
            </w:r>
          </w:p>
        </w:tc>
        <w:tc>
          <w:tcPr>
            <w:tcW w:w="85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5 336</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528</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1 024</w:t>
            </w:r>
          </w:p>
        </w:tc>
        <w:tc>
          <w:tcPr>
            <w:tcW w:w="70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34 883</w:t>
            </w:r>
          </w:p>
        </w:tc>
        <w:tc>
          <w:tcPr>
            <w:tcW w:w="71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974</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42 862</w:t>
            </w:r>
          </w:p>
        </w:tc>
        <w:tc>
          <w:tcPr>
            <w:tcW w:w="285"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80</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tcPr>
          <w:p w:rsidR="00F50689" w:rsidRDefault="005A36C4" w:rsidP="00F50689">
            <w:pPr>
              <w:pStyle w:val="Figures6pBoldRight01"/>
              <w:rPr>
                <w:rFonts w:eastAsia="Times New Roman" w:cs="Verdana"/>
              </w:rPr>
            </w:pPr>
            <w:r>
              <w:t>1 256</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501</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355</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28 518</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635</w:t>
            </w:r>
          </w:p>
        </w:tc>
        <w:tc>
          <w:tcPr>
            <w:tcW w:w="99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31 345</w:t>
            </w:r>
          </w:p>
        </w:tc>
      </w:tr>
      <w:tr w:rsidR="00E7728E">
        <w:tc>
          <w:tcPr>
            <w:tcW w:w="2519"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Text7pBoldLeft"/>
              <w:rPr>
                <w:rFonts w:eastAsia="Times New Roman" w:cs="Verdana"/>
              </w:rPr>
            </w:pPr>
            <w:r>
              <w:t>Финансови пасиви</w:t>
            </w:r>
          </w:p>
        </w:tc>
        <w:tc>
          <w:tcPr>
            <w:tcW w:w="84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0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1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285"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tcPr>
          <w:p w:rsidR="00F50689" w:rsidRDefault="00F50689" w:rsidP="00F50689">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99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r>
      <w:tr w:rsidR="00E7728E">
        <w:tc>
          <w:tcPr>
            <w:tcW w:w="2519"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t>Задължения</w:t>
            </w:r>
          </w:p>
        </w:tc>
        <w:tc>
          <w:tcPr>
            <w:tcW w:w="84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0</w:t>
            </w:r>
          </w:p>
        </w:tc>
        <w:tc>
          <w:tcPr>
            <w:tcW w:w="85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0</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0</w:t>
            </w:r>
          </w:p>
        </w:tc>
        <w:tc>
          <w:tcPr>
            <w:tcW w:w="70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(43 168)</w:t>
            </w:r>
          </w:p>
        </w:tc>
        <w:tc>
          <w:tcPr>
            <w:tcW w:w="71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6D12DB">
            <w:pPr>
              <w:pStyle w:val="Figures6pItalicRight01"/>
              <w:rPr>
                <w:rFonts w:eastAsia="Times New Roman" w:cs="Verdana"/>
              </w:rPr>
            </w:pPr>
            <w:r>
              <w:t>(43 180)</w:t>
            </w:r>
          </w:p>
        </w:tc>
        <w:tc>
          <w:tcPr>
            <w:tcW w:w="285" w:type="dxa"/>
            <w:tcBorders>
              <w:top w:val="nil"/>
              <w:left w:val="nil"/>
              <w:bottom w:val="single" w:sz="4" w:space="0" w:color="3486A9"/>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(5)</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(36 156)</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(52)</w:t>
            </w:r>
          </w:p>
        </w:tc>
        <w:tc>
          <w:tcPr>
            <w:tcW w:w="99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(36 213)</w:t>
            </w:r>
          </w:p>
        </w:tc>
      </w:tr>
      <w:tr w:rsidR="00E7728E">
        <w:tc>
          <w:tcPr>
            <w:tcW w:w="2519"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Text7pItalicLeft"/>
              <w:rPr>
                <w:rFonts w:eastAsia="Times New Roman" w:cs="Verdana"/>
              </w:rPr>
            </w:pPr>
            <w:r>
              <w:t>Общо</w:t>
            </w:r>
          </w:p>
        </w:tc>
        <w:tc>
          <w:tcPr>
            <w:tcW w:w="84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0</w:t>
            </w:r>
          </w:p>
        </w:tc>
        <w:tc>
          <w:tcPr>
            <w:tcW w:w="85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(10)</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0</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0</w:t>
            </w:r>
          </w:p>
        </w:tc>
        <w:tc>
          <w:tcPr>
            <w:tcW w:w="70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(43 168)</w:t>
            </w:r>
          </w:p>
        </w:tc>
        <w:tc>
          <w:tcPr>
            <w:tcW w:w="71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(2)</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6D12DB">
            <w:pPr>
              <w:pStyle w:val="Figures6pBoldRight01"/>
              <w:rPr>
                <w:rFonts w:eastAsia="Times New Roman" w:cs="Verdana"/>
              </w:rPr>
            </w:pPr>
            <w:r>
              <w:t>(43 180)</w:t>
            </w:r>
          </w:p>
        </w:tc>
        <w:tc>
          <w:tcPr>
            <w:tcW w:w="285"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tcPr>
          <w:p w:rsidR="00F50689" w:rsidRDefault="005A36C4" w:rsidP="00F50689">
            <w:pPr>
              <w:pStyle w:val="Figures6pBoldRight01"/>
              <w:rPr>
                <w:rFonts w:eastAsia="Times New Roman" w:cs="Verdana"/>
              </w:rPr>
            </w:pPr>
            <w:r>
              <w:t xml:space="preserve"> (5)</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(36 156)</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(52)</w:t>
            </w:r>
          </w:p>
        </w:tc>
        <w:tc>
          <w:tcPr>
            <w:tcW w:w="99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(36 213)</w:t>
            </w:r>
          </w:p>
        </w:tc>
      </w:tr>
      <w:tr w:rsidR="00E7728E">
        <w:tc>
          <w:tcPr>
            <w:tcW w:w="2519"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Times New Roman" w:cs="Verdana"/>
              </w:rPr>
            </w:pPr>
            <w:r>
              <w:t>Общо</w:t>
            </w:r>
          </w:p>
        </w:tc>
        <w:tc>
          <w:tcPr>
            <w:tcW w:w="84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116</w:t>
            </w:r>
          </w:p>
        </w:tc>
        <w:tc>
          <w:tcPr>
            <w:tcW w:w="853"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5 326</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528</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1 024</w:t>
            </w:r>
          </w:p>
        </w:tc>
        <w:tc>
          <w:tcPr>
            <w:tcW w:w="70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(8 284)</w:t>
            </w:r>
          </w:p>
        </w:tc>
        <w:tc>
          <w:tcPr>
            <w:tcW w:w="71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972</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6D12DB">
            <w:pPr>
              <w:pStyle w:val="Figures6pBoldRight01"/>
              <w:rPr>
                <w:rFonts w:eastAsia="Times New Roman" w:cs="Verdana"/>
              </w:rPr>
            </w:pPr>
            <w:r>
              <w:t xml:space="preserve"> (318)</w:t>
            </w:r>
          </w:p>
        </w:tc>
        <w:tc>
          <w:tcPr>
            <w:tcW w:w="285" w:type="dxa"/>
            <w:tcBorders>
              <w:top w:val="nil"/>
              <w:left w:val="nil"/>
              <w:bottom w:val="nil"/>
              <w:right w:val="nil"/>
            </w:tcBorders>
            <w:shd w:val="clear" w:color="auto" w:fill="CCE1EA"/>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80</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1 251</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501</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355</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(7 638)</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583</w:t>
            </w:r>
          </w:p>
        </w:tc>
        <w:tc>
          <w:tcPr>
            <w:tcW w:w="993"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(4 868)</w:t>
            </w:r>
          </w:p>
        </w:tc>
      </w:tr>
    </w:tbl>
    <w:p w:rsidR="00F50689" w:rsidRPr="008A7D59" w:rsidRDefault="005A36C4" w:rsidP="008A7D59">
      <w:pPr>
        <w:pStyle w:val="Textstand-alone"/>
        <w:spacing w:before="60"/>
        <w:rPr>
          <w:i/>
          <w:sz w:val="14"/>
        </w:rPr>
      </w:pPr>
      <w:r>
        <w:rPr>
          <w:i/>
          <w:sz w:val="14"/>
        </w:rPr>
        <w:t>* Без заемите „бек-ту-бек“.</w:t>
      </w:r>
    </w:p>
    <w:p w:rsidR="00F50689" w:rsidRDefault="00F50689">
      <w:pPr>
        <w:pStyle w:val="Textstand-alone"/>
      </w:pPr>
    </w:p>
    <w:p w:rsidR="00F50689" w:rsidRPr="00D5084A" w:rsidRDefault="005A36C4" w:rsidP="00F50689">
      <w:pPr>
        <w:pStyle w:val="Textstand-alone"/>
        <w:sectPr w:rsidR="00F50689" w:rsidRPr="00D5084A" w:rsidSect="00F50689">
          <w:headerReference w:type="even" r:id="rId377"/>
          <w:headerReference w:type="default" r:id="rId378"/>
          <w:footerReference w:type="even" r:id="rId379"/>
          <w:footerReference w:type="default" r:id="rId380"/>
          <w:headerReference w:type="first" r:id="rId381"/>
          <w:footerReference w:type="first" r:id="rId382"/>
          <w:pgSz w:w="16838" w:h="11906" w:orient="landscape"/>
          <w:pgMar w:top="1134" w:right="1134" w:bottom="1134" w:left="1134" w:header="708" w:footer="708" w:gutter="0"/>
          <w:cols w:space="708"/>
          <w:docGrid w:linePitch="360"/>
        </w:sectPr>
      </w:pPr>
      <w:r>
        <w:t xml:space="preserve"> </w:t>
      </w:r>
      <w:bookmarkEnd w:id="185"/>
    </w:p>
    <w:p w:rsidR="00F50689" w:rsidRDefault="005A36C4" w:rsidP="00F50689">
      <w:pPr>
        <w:pStyle w:val="Textstand-alone"/>
      </w:pPr>
      <w:bookmarkStart w:id="187" w:name="_DMBM_3527"/>
      <w:r>
        <w:t>Ако еврото се беше засилило с 10 % спрямо другите валути, ефектът от това щеше да е следният: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88" w:name="DOC_TBL00081_1_1"/>
            <w:bookmarkEnd w:id="188"/>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Финансов резултат</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Други</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31.12.2014 г.</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(483)</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(47)</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(92)</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0</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31.12.2013</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(107)</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(44)</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(30)</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bl>
    <w:p w:rsidR="00F50689" w:rsidRDefault="00F50689" w:rsidP="00F50689">
      <w:pPr>
        <w:pStyle w:val="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89" w:name="DOC_TBL00082_1_1"/>
            <w:bookmarkEnd w:id="189"/>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Нетни активи</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Други</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31.12.2014 г.</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(7)</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31.12.2013 г.</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bl>
    <w:p w:rsidR="00F50689" w:rsidRDefault="005A36C4" w:rsidP="00F50689">
      <w:pPr>
        <w:pStyle w:val="Textstand-alone"/>
      </w:pPr>
      <w:r>
        <w:t>Ако еврото беше отслабнало с 10 % спрямо тези валути, ефектът от това щеше да е следният: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90" w:name="DOC_TBL00083_1_1"/>
            <w:bookmarkEnd w:id="190"/>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Финансов резултат</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Други</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31.12.2014 г.</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5</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591</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58</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113</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31.12.2013 г.</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131</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53</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38</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bl>
    <w:p w:rsidR="00F50689" w:rsidRDefault="00F50689" w:rsidP="00F50689">
      <w:pPr>
        <w:pStyle w:val="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91" w:name="DOC_TBL00084_1_1"/>
            <w:bookmarkEnd w:id="191"/>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Нетни активи</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Други</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31.12.2014 г.</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8</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9</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31.12.2013 г.</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7</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bl>
    <w:p w:rsidR="00F50689" w:rsidRDefault="00F50689" w:rsidP="00F50689">
      <w:pPr>
        <w:pStyle w:val="HEADER5"/>
      </w:pPr>
    </w:p>
    <w:p w:rsidR="00F50689" w:rsidRDefault="005A36C4" w:rsidP="00F50689">
      <w:pPr>
        <w:pStyle w:val="HEADER5"/>
      </w:pPr>
      <w:r>
        <w:t>Дейности по получаване и отпускане на заеми</w:t>
      </w:r>
    </w:p>
    <w:p w:rsidR="00F50689" w:rsidRDefault="005A36C4" w:rsidP="00F50689">
      <w:pPr>
        <w:pStyle w:val="Textstand-alone"/>
      </w:pPr>
      <w:r>
        <w:t xml:space="preserve">Повечето финансови активи и пасиви са в евро, поради което в тези случаи за ЕС няма валутен риск. При все това чрез финансовия инструмент Евратом ЕС отпуска заеми в USD, финансирани от получени заеми с равностоен размер в USD (операция от вида „бек-ту-бек“ (back-to-back). Към датата на счетоводния баланс за ЕС няма валутен риск по отношение на Евратом. </w:t>
      </w:r>
    </w:p>
    <w:p w:rsidR="00F50689" w:rsidRDefault="005A36C4" w:rsidP="00F50689">
      <w:pPr>
        <w:pStyle w:val="HEADER5"/>
      </w:pPr>
      <w:r>
        <w:t>Каса</w:t>
      </w:r>
    </w:p>
    <w:p w:rsidR="00F50689" w:rsidRDefault="005A36C4" w:rsidP="00F50689">
      <w:pPr>
        <w:pStyle w:val="Textstand-alone"/>
      </w:pPr>
      <w:r>
        <w:t>Собствените ресурси, плащани от държавите членки във валути, различни от EUR, се държат в сметките за собствени ресурси в съответствие с регламента за собствените ресурси. Те се конвертират в EUR, когато са необходими за обезпечаване на плащания. Процедурите, които се прилагат за управлението на тези средства, са посочени в гореупоменатия регламент. В неголям брой случаи тези средства се използват директно за плащания, които трябва да бъдат извършени в същите валути.</w:t>
      </w:r>
    </w:p>
    <w:p w:rsidR="00F50689" w:rsidRDefault="005A36C4" w:rsidP="00F50689">
      <w:pPr>
        <w:pStyle w:val="Textstand-alone"/>
      </w:pPr>
      <w:r>
        <w:t>Комисията има в търговски банки редица сметки във валути на ЕС, различни от EUR, и в USD и CHF с цел извършване на плащания в същите тези валути. Тези сметки се захранват в зависимост от размера на плащанията, които трябва да бъдат извършени, поради което наличностите по тях не водят до излагане на валутен риск.</w:t>
      </w:r>
    </w:p>
    <w:p w:rsidR="00F50689" w:rsidRDefault="005A36C4" w:rsidP="00F50689">
      <w:pPr>
        <w:pStyle w:val="Textstand-alone"/>
      </w:pPr>
      <w:r>
        <w:t>При получаване на различни постъпления (различни от собствените ресурси) във валути, различни от еврото, те или се прехвърлят в сметки на Комисията в същите валути, ако са необходими за обезпечаване на плащания, или се конвертират в евро и се прехвърлят в сметки в евро. Сметките за авансови средства във валути, различни от еврото, се захранват в зависимост от очакваните краткосрочни платежни нужди в същите валути. Наличностите по тези сметки се поддържат в рамките на съответните тавани.</w:t>
      </w:r>
    </w:p>
    <w:p w:rsidR="00E8741F" w:rsidRDefault="00E8741F">
      <w:pPr>
        <w:rPr>
          <w:rFonts w:ascii="Verdana" w:hAnsi="Verdana"/>
          <w:b/>
          <w:color w:val="016794"/>
          <w:sz w:val="18"/>
          <w:szCs w:val="18"/>
        </w:rPr>
      </w:pPr>
      <w:r>
        <w:br w:type="page"/>
      </w:r>
    </w:p>
    <w:p w:rsidR="00F50689" w:rsidRDefault="005A36C4" w:rsidP="00F50689">
      <w:pPr>
        <w:pStyle w:val="HEADER5"/>
      </w:pPr>
      <w:r>
        <w:t>Глоби</w:t>
      </w:r>
    </w:p>
    <w:p w:rsidR="00F50689" w:rsidRPr="008D114F" w:rsidRDefault="005A36C4" w:rsidP="00F50689">
      <w:pPr>
        <w:pStyle w:val="Textstand-alone"/>
        <w:rPr>
          <w:i/>
        </w:rPr>
      </w:pPr>
      <w:r>
        <w:rPr>
          <w:i/>
        </w:rPr>
        <w:t>Условно платени глоби (депозити и портфейл на BUFI) и банкови гаранции</w:t>
      </w:r>
    </w:p>
    <w:p w:rsidR="00F50689" w:rsidRDefault="005A36C4" w:rsidP="00F50689">
      <w:pPr>
        <w:pStyle w:val="Textstand-alone"/>
      </w:pPr>
      <w:r>
        <w:t>Тъй като всички глоби се налагат и плащат в евро, не съществува валутен риск.</w:t>
      </w:r>
    </w:p>
    <w:p w:rsidR="00F50689" w:rsidRDefault="005A36C4" w:rsidP="00F50689">
      <w:pPr>
        <w:pStyle w:val="HEADER5"/>
      </w:pPr>
      <w:r>
        <w:t>Гаранционен фонд</w:t>
      </w:r>
    </w:p>
    <w:p w:rsidR="00F50689" w:rsidRDefault="005A36C4" w:rsidP="00F50689">
      <w:pPr>
        <w:pStyle w:val="Textstand-alone"/>
      </w:pPr>
      <w:r>
        <w:t xml:space="preserve">Финансовите активи на Гаранционния фонд са в евро, поради което не съществува валутен риск. Заемите, суброгирани на ЕС в резултат на искове, предявени към Гаранционния фонд поради </w:t>
      </w:r>
      <w:r w:rsidRPr="00D477EB">
        <w:t>просрочени от бенефициер на заем плащания, се извършват в първоначалната им валута, поради което излагат ЕС на валутен риск. Поради несигурността, свързана с графика за погасяване на заемите, не се извършват дейности за компенсиране на промените в чуждестранните валути (дейности по хеджиране).</w:t>
      </w:r>
    </w:p>
    <w:p w:rsidR="00F50689" w:rsidRDefault="005A36C4" w:rsidP="00F50689">
      <w:pPr>
        <w:pStyle w:val="Textstand-alone"/>
        <w:sectPr w:rsidR="00F50689" w:rsidSect="00F50689">
          <w:headerReference w:type="even" r:id="rId383"/>
          <w:headerReference w:type="default" r:id="rId384"/>
          <w:footerReference w:type="even" r:id="rId385"/>
          <w:footerReference w:type="default" r:id="rId386"/>
          <w:headerReference w:type="first" r:id="rId387"/>
          <w:footerReference w:type="first" r:id="rId388"/>
          <w:pgSz w:w="11906" w:h="16838"/>
          <w:pgMar w:top="1134" w:right="1134" w:bottom="1134" w:left="1134" w:header="709" w:footer="709" w:gutter="0"/>
          <w:cols w:space="708"/>
          <w:docGrid w:linePitch="360"/>
        </w:sectPr>
      </w:pPr>
      <w:r>
        <w:t xml:space="preserve"> </w:t>
      </w:r>
      <w:bookmarkEnd w:id="187"/>
    </w:p>
    <w:p w:rsidR="00F50689" w:rsidRDefault="005A36C4" w:rsidP="00F50689">
      <w:pPr>
        <w:pStyle w:val="HEADER2Part2"/>
      </w:pPr>
      <w:bookmarkStart w:id="192" w:name="_DMBM_2665"/>
      <w:r>
        <w:t>ЛИХВЕН РИСК</w:t>
      </w:r>
    </w:p>
    <w:p w:rsidR="00F50689" w:rsidRPr="00443338" w:rsidRDefault="005A36C4" w:rsidP="00F50689">
      <w:pPr>
        <w:pStyle w:val="Textstand-alone"/>
        <w:rPr>
          <w:spacing w:val="6"/>
        </w:rPr>
      </w:pPr>
      <w:r w:rsidRPr="00443338">
        <w:rPr>
          <w:spacing w:val="6"/>
        </w:rPr>
        <w:t>Следната таблица показва чувствителността на финансовите активи, обявени за продажба, по отношение на лихвения процент, като се допусне, че лихвените проценти се променят с ±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Text8pItalicLeft"/>
              <w:rPr>
                <w:rFonts w:eastAsia="Verdana" w:cs="Verdana"/>
                <w:color w:val="FFFFFF"/>
              </w:rPr>
            </w:pPr>
            <w:bookmarkStart w:id="193" w:name="DOC_TBL00085_1_1"/>
            <w:bookmarkEnd w:id="193"/>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Text8pItalicRight025EUR"/>
              <w:rPr>
                <w:rFonts w:eastAsia="Verdana" w:cs="Verdana"/>
              </w:rPr>
            </w:pPr>
            <w:r>
              <w:t>млн. EUR</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D56E71"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D56E71" w:rsidRDefault="005A36C4" w:rsidP="00F50689">
            <w:pPr>
              <w:pStyle w:val="Heading10pNormalRight025"/>
              <w:rPr>
                <w:rFonts w:eastAsia="Verdana" w:cs="Verdana"/>
              </w:rPr>
            </w:pPr>
            <w:r>
              <w:t>Увеличение (+)/намаление (−) в базисни пунктове</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D56E71" w:rsidRDefault="005A36C4" w:rsidP="00F50689">
            <w:pPr>
              <w:pStyle w:val="Heading10pNormalRight025"/>
              <w:rPr>
                <w:rFonts w:eastAsia="Verdana" w:cs="Verdana"/>
              </w:rPr>
            </w:pPr>
            <w:r>
              <w:t>Ефект върху финансовия резултат и нетните активи</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Text9pItalicLeft"/>
              <w:rPr>
                <w:rFonts w:eastAsia="Verdana" w:cs="Verdana"/>
              </w:rPr>
            </w:pPr>
            <w:r>
              <w:t>31.12.2014 г.: Финансови активи, обявени за продажба</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xml:space="preserve"> (138)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Text9pItalicLeft"/>
              <w:rPr>
                <w:rFonts w:eastAsia="Verdana" w:cs="Verdana"/>
              </w:rPr>
            </w:pP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xml:space="preserve"> 149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Text9pItalicLeft"/>
              <w:rPr>
                <w:rFonts w:eastAsia="Verdana" w:cs="Verdana"/>
              </w:rPr>
            </w:pPr>
            <w:r>
              <w:t>31.12.2013 г.: Финансови активи, обявени за продажба</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xml:space="preserve"> (94)</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Text9pItalicLeft"/>
              <w:rPr>
                <w:rFonts w:eastAsia="Verdana" w:cs="Verdana"/>
              </w:rPr>
            </w:pP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xml:space="preserve"> 95</w:t>
            </w:r>
          </w:p>
        </w:tc>
      </w:tr>
    </w:tbl>
    <w:p w:rsidR="00F50689" w:rsidRDefault="005A36C4" w:rsidP="00F50689">
      <w:pPr>
        <w:pStyle w:val="Textstand-alone"/>
      </w:pPr>
      <w:r>
        <w:t>При анализа на чувствителността се разглежда само въздействието върху ценовия риск (справедливата стойност) на финансовите активи, обявени за продажба. Въздействието върху излишъка или дефицита за инструментите с променлив лихвен процент не е разгледано.</w:t>
      </w:r>
    </w:p>
    <w:p w:rsidR="00F50689" w:rsidRDefault="005A36C4" w:rsidP="00F50689">
      <w:pPr>
        <w:pStyle w:val="HEADER5"/>
      </w:pPr>
      <w:r>
        <w:t>Дейности по получаване и отпускане на заеми</w:t>
      </w:r>
    </w:p>
    <w:p w:rsidR="00F50689" w:rsidRPr="00F83A0E" w:rsidRDefault="005A36C4" w:rsidP="00F50689">
      <w:pPr>
        <w:pStyle w:val="Textstand-alone"/>
        <w:rPr>
          <w:i/>
        </w:rPr>
      </w:pPr>
      <w:r>
        <w:rPr>
          <w:i/>
        </w:rPr>
        <w:t>Получени и отпуснати заеми при променлива лихва</w:t>
      </w:r>
    </w:p>
    <w:p w:rsidR="00F50689" w:rsidRDefault="005A36C4" w:rsidP="00F50689">
      <w:pPr>
        <w:pStyle w:val="Textstand-alone"/>
      </w:pPr>
      <w:r>
        <w:t xml:space="preserve">Поради естеството на дейностите си по получаване и отпускане на заеми ЕС има значителни лихвоносни активи и пасиви. Получените заеми по МФП и по Евратом, отпуснати при променливи лихвени проценти, излагат ЕС на лихвен риск. Лихвените рискове, възникващи от получените заеми, обаче се компенсират от заеми, отпуснати при еквивалентни срокове и условия („бек-ту-бек“). Към датата на счетоводния баланс ЕС има отпуснати заеми (изразени в номинални стойности) с променливи лихвени проценти в размер на 484 млн. EUR (2013 г.: 583 млн. EUR), като на всеки 6 месеца се извършва преоценка. </w:t>
      </w:r>
    </w:p>
    <w:p w:rsidR="00F50689" w:rsidRPr="00F83A0E" w:rsidRDefault="005A36C4" w:rsidP="00F50689">
      <w:pPr>
        <w:pStyle w:val="Textstand-alone"/>
        <w:rPr>
          <w:i/>
        </w:rPr>
      </w:pPr>
      <w:r>
        <w:rPr>
          <w:i/>
        </w:rPr>
        <w:t>Получени и отпуснати заеми при фиксирана лихва</w:t>
      </w:r>
    </w:p>
    <w:p w:rsidR="00443338" w:rsidRDefault="005A36C4" w:rsidP="00F50689">
      <w:pPr>
        <w:pStyle w:val="Textstand-alone"/>
      </w:pPr>
      <w:r>
        <w:t>ЕС има също заеми, отпуснати в рамките на МФП и по Евратом, при фиксирани лихвени проценти в размер на общо 1 692 млн. EUR през 2014 г. (2013 г.: 367 млн. EUR) и със срок от под една година (10 млн. EUR), между една и пет години (146 млн. EUR) и над пет години (1 536 млн. EUR). По-съществено е, че ЕС има 9 отпуснати заема по свързания с ПБ финансов инструмент с фиксирани лихвени проценти в размер на общо 8,4 млрд. EUR за 2014 г. (2013 г.: 11,4 млрд. EUR) и със срок от под една година (2,7 млрд. EUR), между една и пет години (5,5 млрд. EUR) и над пет години (0,2 млрд. EUR). В рамките на финансовия инструмент ЕМФС ЕС има 21 отпуснати заема с фиксирани лихвени проценти в размер на общо 46,8 млрд. EUR за 2014 г. (2013 г.: 43,8 млрд. EUR) и със срок от под една година (5 млн. EUR), между една и пет години (9,2 млрд. EUR) и над пет години (32,5 млрд. EUR).</w:t>
      </w:r>
    </w:p>
    <w:p w:rsidR="00F50689" w:rsidRDefault="005A36C4" w:rsidP="00F50689">
      <w:pPr>
        <w:pStyle w:val="HEADER5"/>
      </w:pPr>
      <w:r>
        <w:t>Каса</w:t>
      </w:r>
    </w:p>
    <w:p w:rsidR="00F50689" w:rsidRPr="00443338" w:rsidRDefault="005A36C4" w:rsidP="00F50689">
      <w:pPr>
        <w:pStyle w:val="Textstand-alone"/>
        <w:rPr>
          <w:spacing w:val="-4"/>
        </w:rPr>
      </w:pPr>
      <w:r w:rsidRPr="00443338">
        <w:rPr>
          <w:spacing w:val="-4"/>
        </w:rPr>
        <w:t xml:space="preserve">Касата на Комисията не взема средства назаем. Поради това тя не е изложена на лихвен риск. Лихви обаче се начисляват върху наличностите в различните банкови сметки. Поради това Комисията е въвела мерки, с които да се гарантира, че лихвите, които се начисляват по нейните банкови сметки, редовно отразяват пазарните лихвени проценти, както и тяхното евентуално колебание. </w:t>
      </w:r>
    </w:p>
    <w:p w:rsidR="00F50689" w:rsidRDefault="005A36C4" w:rsidP="00F50689">
      <w:pPr>
        <w:pStyle w:val="Textstand-alone"/>
      </w:pPr>
      <w:r>
        <w:t xml:space="preserve">Сметките, открити към министерствата на финансите на държавите членки за постъпленията от собствени ресурси, не носят лихва и по тях не се начисляват такси. Сметките в националните централни банки могат да генерират доход по официалните ставки, прилагани от всяка институция. </w:t>
      </w:r>
    </w:p>
    <w:p w:rsidR="00F50689" w:rsidRDefault="005A36C4" w:rsidP="00F50689">
      <w:pPr>
        <w:pStyle w:val="Textstand-alone"/>
      </w:pPr>
      <w:r>
        <w:t>Върху овърнайт наличностите в сметки в търговски банки лихва се начислява всеки ден. Тази лихва се основава на променливи пазарни лихвени проценти, за които се прилага договорен марж (положителен или отрицателен). За повечето сметки изчисляването на лихвения процент е свързано с EONIA (Euro over night index average) — среднопретеглен дневен междубанков лихвен процент за еврото) и се коригира така, че да отразява всички колебания на този лихвен процент. За някои други сметки изчисляването на лихвения процент е свързано с маргиналния лихвен процент на ЕЦБ за основните ѝ операции по рефинансиране. По принцип прилаганите лихвени проценти са определени в договорите на нулево равнище. Поради това не съществува риск Комисията да печели лихви при лихвени проценти, които са по-ниски от пазарните.</w:t>
      </w:r>
    </w:p>
    <w:p w:rsidR="00F50689" w:rsidRDefault="005A36C4" w:rsidP="00F50689">
      <w:pPr>
        <w:pStyle w:val="HEADER5"/>
      </w:pPr>
      <w:r>
        <w:t>Глоби</w:t>
      </w:r>
    </w:p>
    <w:p w:rsidR="00F50689" w:rsidRPr="00F83A0E" w:rsidRDefault="005A36C4" w:rsidP="00F50689">
      <w:pPr>
        <w:pStyle w:val="Textstand-alone"/>
        <w:rPr>
          <w:i/>
        </w:rPr>
      </w:pPr>
      <w:r>
        <w:rPr>
          <w:i/>
        </w:rPr>
        <w:t>Условно платени глоби (депозити, портфейл на BUFI) и банкови гаранции</w:t>
      </w:r>
    </w:p>
    <w:p w:rsidR="00F50689" w:rsidRPr="0028152A" w:rsidRDefault="005A36C4" w:rsidP="00F50689">
      <w:pPr>
        <w:pStyle w:val="Textstand-alone"/>
      </w:pPr>
      <w:r>
        <w:t>Депозитите и банковите гаранции не са изложени на лихвени рискове. Начислените по депозитите лихви отразяват пазарните лихвени проценти, както и евентуалните им колебания. В портфейла на BUFI няма облигации с променливи лихвени проценти. Параметърът за чувствителност на лихвения процент (срокът на портфейла) следва отблизо срока на индекса на BUFI. Поради това всички отрицателни ефекти върху оценката на активите се отразяват в пасивите на BUFI. Остава само ограничено излагане на лихвения риск, в случай че през времето, докато глобата е във Фонда, такива отрицателни ефекти доведат до отрицателен индекс като цяло.</w:t>
      </w:r>
    </w:p>
    <w:p w:rsidR="00F50689" w:rsidRDefault="005A36C4" w:rsidP="00F50689">
      <w:pPr>
        <w:pStyle w:val="HEADER5"/>
      </w:pPr>
      <w:r>
        <w:t>Гаранционен фонд</w:t>
      </w:r>
    </w:p>
    <w:p w:rsidR="00F50689" w:rsidRDefault="005A36C4" w:rsidP="00F50689">
      <w:pPr>
        <w:pStyle w:val="Textstand-alone"/>
      </w:pPr>
      <w:r>
        <w:t>Дълговите ценни книжа с променлив лихвен процент на Гаранционния фонд се влияят от нестабилността на тези проценти, докато дълговите ценни книжа с фиксиран лихвен процент носят риск от гледна точка на своята справедлива стойност. Облигациите с фиксиран лихвен процент представляват приблизително 65 % от инвестиционния портфейл към датата на счетоводния баланс (2013 г.: 58 %).</w:t>
      </w:r>
    </w:p>
    <w:p w:rsidR="00F50689" w:rsidRDefault="005A36C4" w:rsidP="00F50689">
      <w:pPr>
        <w:pStyle w:val="Textstand-alone"/>
        <w:sectPr w:rsidR="00F50689" w:rsidSect="00F50689">
          <w:headerReference w:type="even" r:id="rId389"/>
          <w:headerReference w:type="default" r:id="rId390"/>
          <w:footerReference w:type="even" r:id="rId391"/>
          <w:footerReference w:type="default" r:id="rId392"/>
          <w:headerReference w:type="first" r:id="rId393"/>
          <w:footerReference w:type="first" r:id="rId394"/>
          <w:type w:val="continuous"/>
          <w:pgSz w:w="11906" w:h="16838"/>
          <w:pgMar w:top="1134" w:right="1134" w:bottom="1134" w:left="1134" w:header="709" w:footer="709" w:gutter="0"/>
          <w:cols w:space="708"/>
          <w:docGrid w:linePitch="360"/>
        </w:sectPr>
      </w:pPr>
      <w:r>
        <w:t xml:space="preserve"> </w:t>
      </w:r>
      <w:bookmarkEnd w:id="192"/>
    </w:p>
    <w:p w:rsidR="00F50689" w:rsidRDefault="005A36C4" w:rsidP="00443338">
      <w:pPr>
        <w:pStyle w:val="HEADER2Part2"/>
        <w:spacing w:before="240" w:after="240"/>
      </w:pPr>
      <w:bookmarkStart w:id="194" w:name="_DMBM_2666"/>
      <w:r>
        <w:t>КРЕДИТЕН РИСК</w:t>
      </w:r>
    </w:p>
    <w:p w:rsidR="00F50689" w:rsidRDefault="005A36C4" w:rsidP="00F50689">
      <w:pPr>
        <w:pStyle w:val="Textstand-alone"/>
      </w:pPr>
      <w:r>
        <w:t>Сумите, които представляват експозицията на ЕС на кредитен риск в края на отчетния период, са балансовите стойности на финансовите инструменти, оповестени в бележка </w:t>
      </w:r>
      <w:r>
        <w:rPr>
          <w:b/>
        </w:rPr>
        <w:t>2</w:t>
      </w:r>
      <w:r>
        <w:t>.</w:t>
      </w:r>
    </w:p>
    <w:p w:rsidR="00F50689" w:rsidRDefault="005A36C4" w:rsidP="00F50689">
      <w:pPr>
        <w:pStyle w:val="HEADER5"/>
      </w:pPr>
      <w:r>
        <w:t>Финансови активи, които не са просрочени и не са обезценени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7"/>
        <w:gridCol w:w="1403"/>
        <w:gridCol w:w="1343"/>
        <w:gridCol w:w="1257"/>
        <w:gridCol w:w="1263"/>
        <w:gridCol w:w="1251"/>
      </w:tblGrid>
      <w:tr w:rsidR="00E7728E">
        <w:tc>
          <w:tcPr>
            <w:tcW w:w="336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95" w:name="DOC_TBL00086_1_1"/>
            <w:bookmarkEnd w:id="195"/>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3807" w:type="dxa"/>
            <w:gridSpan w:val="3"/>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3369"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t>Общо</w:t>
            </w: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t>Непросрочени и необезценени</w:t>
            </w:r>
          </w:p>
        </w:tc>
        <w:tc>
          <w:tcPr>
            <w:tcW w:w="3801" w:type="dxa"/>
            <w:gridSpan w:val="3"/>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t>Просрочени, но необезценени</w:t>
            </w:r>
          </w:p>
        </w:tc>
      </w:tr>
      <w:tr w:rsidR="00E7728E">
        <w:tc>
          <w:tcPr>
            <w:tcW w:w="3369"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26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9pNormalCentered"/>
              <w:rPr>
                <w:rFonts w:cs="Verdana"/>
              </w:rPr>
            </w:pPr>
            <w:r>
              <w:t>&lt; 1 година</w:t>
            </w:r>
          </w:p>
        </w:tc>
        <w:tc>
          <w:tcPr>
            <w:tcW w:w="1273"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9pNormalCentered"/>
              <w:rPr>
                <w:rFonts w:cs="Verdana"/>
              </w:rPr>
            </w:pPr>
            <w:r>
              <w:t>1—5 години</w:t>
            </w:r>
          </w:p>
        </w:tc>
        <w:tc>
          <w:tcPr>
            <w:tcW w:w="126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9pNormalCentered"/>
              <w:rPr>
                <w:rFonts w:cs="Verdana"/>
              </w:rPr>
            </w:pPr>
            <w:r>
              <w:t>&gt; 5 години</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Заеми</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58 843</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58 843</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Вземания и средства, подлежащи на събиране</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15 578</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7 968</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5 624</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1 847</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138</w:t>
            </w:r>
          </w:p>
        </w:tc>
      </w:tr>
      <w:tr w:rsidR="00E7728E">
        <w:tc>
          <w:tcPr>
            <w:tcW w:w="336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t>Общо към 31.12.2014 г.</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74 421</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66 811</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5 624</w:t>
            </w:r>
          </w:p>
        </w:tc>
        <w:tc>
          <w:tcPr>
            <w:tcW w:w="1273"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1 847</w:t>
            </w:r>
          </w:p>
        </w:tc>
        <w:tc>
          <w:tcPr>
            <w:tcW w:w="1261"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138</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Заеми</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57 544</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57 542</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Вземания и средства, подлежащи на събиране</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13 680</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10 029</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1 091</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2 117</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443</w:t>
            </w:r>
          </w:p>
        </w:tc>
      </w:tr>
      <w:tr w:rsidR="00E7728E">
        <w:tc>
          <w:tcPr>
            <w:tcW w:w="336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t>Общо към 31.12.2013 г.</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71 224</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67 571</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1 092</w:t>
            </w:r>
          </w:p>
        </w:tc>
        <w:tc>
          <w:tcPr>
            <w:tcW w:w="1273"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2 118</w:t>
            </w:r>
          </w:p>
        </w:tc>
        <w:tc>
          <w:tcPr>
            <w:tcW w:w="1261"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443</w:t>
            </w:r>
          </w:p>
        </w:tc>
      </w:tr>
    </w:tbl>
    <w:p w:rsidR="00F50689" w:rsidRDefault="00F50689" w:rsidP="00F50689">
      <w:pPr>
        <w:pStyle w:val="HEADER5"/>
      </w:pPr>
    </w:p>
    <w:p w:rsidR="00E8741F" w:rsidRDefault="00E8741F">
      <w:pPr>
        <w:rPr>
          <w:rFonts w:ascii="Verdana" w:hAnsi="Verdana"/>
          <w:b/>
          <w:color w:val="016794"/>
          <w:sz w:val="18"/>
          <w:szCs w:val="18"/>
        </w:rPr>
      </w:pPr>
      <w:r>
        <w:br w:type="page"/>
      </w:r>
    </w:p>
    <w:p w:rsidR="00F50689" w:rsidRDefault="005A36C4" w:rsidP="00F50689">
      <w:pPr>
        <w:pStyle w:val="HEADER5"/>
      </w:pPr>
      <w:r>
        <w:t>Кредитно качество на финансовите активи, които не са просрочени и не са обезценени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900"/>
        <w:gridCol w:w="1013"/>
        <w:gridCol w:w="850"/>
        <w:gridCol w:w="837"/>
        <w:gridCol w:w="900"/>
        <w:gridCol w:w="1098"/>
        <w:gridCol w:w="851"/>
        <w:gridCol w:w="851"/>
      </w:tblGrid>
      <w:tr w:rsidR="00E7728E">
        <w:tc>
          <w:tcPr>
            <w:tcW w:w="2448"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96" w:name="DOC_TBL00087_1_1"/>
            <w:bookmarkEnd w:id="196"/>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1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3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9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702"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7pItalicRight025"/>
              <w:rPr>
                <w:rFonts w:cs="Verdana"/>
              </w:rPr>
            </w:pPr>
            <w:r>
              <w:t>млн. EUR</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Right01"/>
              <w:rPr>
                <w:rFonts w:cs="Verdana"/>
              </w:rPr>
            </w:pPr>
          </w:p>
        </w:tc>
        <w:tc>
          <w:tcPr>
            <w:tcW w:w="360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t>31.12.2014 г.</w:t>
            </w:r>
          </w:p>
        </w:tc>
        <w:tc>
          <w:tcPr>
            <w:tcW w:w="370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t>31.12.2013 г.</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Right01"/>
              <w:rPr>
                <w:rFonts w:cs="Verdana"/>
              </w:rPr>
            </w:pP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Обявени за продажба</w:t>
            </w:r>
          </w:p>
        </w:tc>
        <w:tc>
          <w:tcPr>
            <w:tcW w:w="101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Заеми и вземания</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Пари в брой</w:t>
            </w:r>
          </w:p>
        </w:tc>
        <w:tc>
          <w:tcPr>
            <w:tcW w:w="83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Общо</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Обявени за продажба</w:t>
            </w:r>
          </w:p>
        </w:tc>
        <w:tc>
          <w:tcPr>
            <w:tcW w:w="109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Заеми и вземания</w:t>
            </w: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Пари в брой</w:t>
            </w: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Общо</w:t>
            </w: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Контрагенти с външен кредитен рейтинг</w:t>
            </w:r>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1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37"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98"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Нискорисков и висок рейтинг</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7 511</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2 951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13 947</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24 409</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6 226</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4 779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7 121</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18 126</w:t>
            </w: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Горен среден рейтинг</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359</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25 045</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2 932</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28 335</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138</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209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1 760</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2 107</w:t>
            </w: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Долен среден рейтинг</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347</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6 001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301</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6 649</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322</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31 889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284</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32 495</w:t>
            </w:r>
          </w:p>
        </w:tc>
      </w:tr>
      <w:tr w:rsidR="00E7728E">
        <w:tc>
          <w:tcPr>
            <w:tcW w:w="244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7pItalicLeft"/>
              <w:rPr>
                <w:rFonts w:eastAsia="Times New Roman" w:cs="Verdana"/>
              </w:rPr>
            </w:pPr>
            <w:r>
              <w:t>Неинвестиционен рейтинг</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42</w:t>
            </w:r>
          </w:p>
        </w:tc>
        <w:tc>
          <w:tcPr>
            <w:tcW w:w="101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28 191</w:t>
            </w:r>
          </w:p>
        </w:tc>
        <w:tc>
          <w:tcPr>
            <w:tcW w:w="85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317</w:t>
            </w:r>
          </w:p>
        </w:tc>
        <w:tc>
          <w:tcPr>
            <w:tcW w:w="8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28 550</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57</w:t>
            </w:r>
          </w:p>
        </w:tc>
        <w:tc>
          <w:tcPr>
            <w:tcW w:w="109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26 786</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256</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27 099</w:t>
            </w:r>
          </w:p>
        </w:tc>
      </w:tr>
      <w:tr w:rsidR="00E7728E">
        <w:tc>
          <w:tcPr>
            <w:tcW w:w="2448" w:type="dxa"/>
            <w:tcBorders>
              <w:top w:val="single" w:sz="4" w:space="0" w:color="016794"/>
              <w:left w:val="nil"/>
              <w:bottom w:val="single" w:sz="4" w:space="0" w:color="016794"/>
              <w:right w:val="nil"/>
            </w:tcBorders>
            <w:tcMar>
              <w:top w:w="0" w:type="dxa"/>
              <w:left w:w="0" w:type="dxa"/>
              <w:bottom w:w="0" w:type="dxa"/>
              <w:right w:w="0" w:type="dxa"/>
            </w:tcMar>
          </w:tcPr>
          <w:p w:rsidR="00F50689" w:rsidRPr="001C635F" w:rsidRDefault="005A36C4" w:rsidP="00F50689">
            <w:pPr>
              <w:pStyle w:val="Text7pNormalLeft"/>
              <w:ind w:left="0"/>
              <w:rPr>
                <w:rFonts w:eastAsia="Times New Roman" w:cs="Verdana"/>
                <w:i/>
              </w:rPr>
            </w:pPr>
            <w:r>
              <w:rPr>
                <w:i/>
              </w:rPr>
              <w:t>Общо</w:t>
            </w:r>
          </w:p>
        </w:tc>
        <w:tc>
          <w:tcPr>
            <w:tcW w:w="90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8 259</w:t>
            </w:r>
          </w:p>
        </w:tc>
        <w:tc>
          <w:tcPr>
            <w:tcW w:w="101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62 188</w:t>
            </w:r>
          </w:p>
        </w:tc>
        <w:tc>
          <w:tcPr>
            <w:tcW w:w="85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17 497</w:t>
            </w:r>
          </w:p>
        </w:tc>
        <w:tc>
          <w:tcPr>
            <w:tcW w:w="8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87 944</w:t>
            </w:r>
          </w:p>
        </w:tc>
        <w:tc>
          <w:tcPr>
            <w:tcW w:w="90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6 743</w:t>
            </w:r>
          </w:p>
        </w:tc>
        <w:tc>
          <w:tcPr>
            <w:tcW w:w="109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63 663</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9 421</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79 827</w:t>
            </w:r>
          </w:p>
        </w:tc>
      </w:tr>
      <w:tr w:rsidR="00E7728E">
        <w:tc>
          <w:tcPr>
            <w:tcW w:w="244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Контрагенти без външен кредитен рейтинг</w:t>
            </w:r>
          </w:p>
        </w:tc>
        <w:tc>
          <w:tcPr>
            <w:tcW w:w="90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1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37"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0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9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Група 1</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4 488</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48</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4 537</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3 771</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89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3 860</w:t>
            </w:r>
          </w:p>
        </w:tc>
      </w:tr>
      <w:tr w:rsidR="00E7728E">
        <w:tc>
          <w:tcPr>
            <w:tcW w:w="244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7pItalicLeft"/>
              <w:rPr>
                <w:rFonts w:eastAsia="Times New Roman" w:cs="Verdana"/>
              </w:rPr>
            </w:pPr>
            <w:r>
              <w:t>Група 2</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01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136</w:t>
            </w:r>
          </w:p>
        </w:tc>
        <w:tc>
          <w:tcPr>
            <w:tcW w:w="85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136</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09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137</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137</w:t>
            </w:r>
          </w:p>
        </w:tc>
      </w:tr>
      <w:tr w:rsidR="00E7728E">
        <w:tc>
          <w:tcPr>
            <w:tcW w:w="2448" w:type="dxa"/>
            <w:tcBorders>
              <w:top w:val="single" w:sz="4" w:space="0" w:color="016794"/>
              <w:left w:val="nil"/>
              <w:bottom w:val="nil"/>
              <w:right w:val="nil"/>
            </w:tcBorders>
            <w:tcMar>
              <w:top w:w="0" w:type="dxa"/>
              <w:left w:w="0" w:type="dxa"/>
              <w:bottom w:w="0" w:type="dxa"/>
              <w:right w:w="0" w:type="dxa"/>
            </w:tcMar>
          </w:tcPr>
          <w:p w:rsidR="00F50689" w:rsidRPr="001C635F" w:rsidRDefault="005A36C4" w:rsidP="00F50689">
            <w:pPr>
              <w:pStyle w:val="Text7pNormalLeft"/>
              <w:ind w:left="0"/>
              <w:rPr>
                <w:rFonts w:eastAsia="Times New Roman" w:cs="Verdana"/>
                <w:i/>
              </w:rPr>
            </w:pPr>
            <w:r>
              <w:rPr>
                <w:i/>
              </w:rPr>
              <w:t>Общо</w:t>
            </w:r>
          </w:p>
        </w:tc>
        <w:tc>
          <w:tcPr>
            <w:tcW w:w="90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101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4 624</w:t>
            </w:r>
          </w:p>
        </w:tc>
        <w:tc>
          <w:tcPr>
            <w:tcW w:w="85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 xml:space="preserve"> 48</w:t>
            </w:r>
          </w:p>
        </w:tc>
        <w:tc>
          <w:tcPr>
            <w:tcW w:w="8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4 673</w:t>
            </w:r>
          </w:p>
        </w:tc>
        <w:tc>
          <w:tcPr>
            <w:tcW w:w="90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109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3 908</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 xml:space="preserve"> 89</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3 997</w:t>
            </w: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t>Общо</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8 259</w:t>
            </w:r>
          </w:p>
        </w:tc>
        <w:tc>
          <w:tcPr>
            <w:tcW w:w="101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66 812</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17 545</w:t>
            </w:r>
          </w:p>
        </w:tc>
        <w:tc>
          <w:tcPr>
            <w:tcW w:w="8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92 616</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6 743</w:t>
            </w:r>
          </w:p>
        </w:tc>
        <w:tc>
          <w:tcPr>
            <w:tcW w:w="109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67 571</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9 510</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83 824</w:t>
            </w:r>
          </w:p>
        </w:tc>
      </w:tr>
    </w:tbl>
    <w:p w:rsidR="00F50689" w:rsidRDefault="005A36C4" w:rsidP="00F50689">
      <w:pPr>
        <w:pStyle w:val="Textstand-alone"/>
      </w:pPr>
      <w:r>
        <w:t>В таблицата по-горе не са включени финансовите активи, обявени за продажба, под формата на капиталови инструменти без външен кредитен рейтинг. Четирите рискови категории, посочени по-горе, по принцип се основават на рейтинговите категории на външни агенции за кредитен рейтинг и съответстват на:</w:t>
      </w:r>
    </w:p>
    <w:p w:rsidR="00F50689" w:rsidRDefault="005A36C4" w:rsidP="00F50689">
      <w:pPr>
        <w:pStyle w:val="Textstand-aloneBulletpoint"/>
        <w:ind w:left="754" w:hanging="357"/>
      </w:pPr>
      <w:r>
        <w:t>Нискорисков и висок рейтинг: Moody P-1, Aaa – Aa3; S&amp;P A-1+, A-1, AAA – AA -; Fitch F1+, F1, AAA – AA-</w:t>
      </w:r>
    </w:p>
    <w:p w:rsidR="00F50689" w:rsidRDefault="005A36C4" w:rsidP="00F50689">
      <w:pPr>
        <w:pStyle w:val="Textstand-aloneBulletpoint"/>
        <w:ind w:left="754" w:hanging="357"/>
      </w:pPr>
      <w:r>
        <w:t>Горен среден рейтинг: Moody P-2, A1 – A3; S&amp;P A-2, A+ - A-; Fitch F2, A+ - A-</w:t>
      </w:r>
    </w:p>
    <w:p w:rsidR="00F50689" w:rsidRDefault="005A36C4" w:rsidP="00F50689">
      <w:pPr>
        <w:pStyle w:val="Textstand-aloneBulletpoint"/>
        <w:ind w:left="754" w:hanging="357"/>
      </w:pPr>
      <w:r>
        <w:t>Долен среден рейтинг: Moody P-3, Baa1 – Baa3, S&amp;P A-3, BBB+ - BBB-; Fitch F-3, BBBB+ - BBB-</w:t>
      </w:r>
    </w:p>
    <w:p w:rsidR="00F50689" w:rsidRDefault="005A36C4" w:rsidP="00F50689">
      <w:pPr>
        <w:pStyle w:val="Textstand-aloneBulletpoint"/>
        <w:ind w:left="754" w:hanging="357"/>
      </w:pPr>
      <w:r>
        <w:t>Неинвестиционен рейтинг: Moody не нискорисков, Ba1 – C; S&amp;P B, C, BB+ - D; Fitch B, C, BB+ - D</w:t>
      </w:r>
    </w:p>
    <w:p w:rsidR="00F50689" w:rsidRPr="00E50A6B" w:rsidRDefault="005A36C4" w:rsidP="00F50689">
      <w:pPr>
        <w:pStyle w:val="Textstand-alone"/>
      </w:pPr>
      <w:r>
        <w:t>След да бъде отбелязано, че ЕС използва тези рейтингови категории на външни агенции като отправна точка, и по-специално за финансовите инструменти и за търговските банки, но може, след като направи собствен анализ на отделните случаи, да държи средства в една от горепосочените рискови категории, въпреки че една или повече от горепосочените агенции за кредитен рейтинг може да са понижили кредитния рейтинг на съответния контрагент. Що се отнася до контрагентите без рейтинг, група 1 се отнася до длъжниците без неизпълнени задължения в миналото, а група 2 се отнася до длъжниците с неизпълнени задължения в миналото.</w:t>
      </w:r>
    </w:p>
    <w:p w:rsidR="00F50689" w:rsidRDefault="005A36C4" w:rsidP="00F50689">
      <w:pPr>
        <w:pStyle w:val="Textstand-alone"/>
      </w:pPr>
      <w:r>
        <w:t>Сумите, показани по-горе в позицията за заемите и вземанията, получили неинвестиционен рейтинг, са свързани предимно със заеми за финансова подкрепа, отпуснати от Комисията на държави членки, изпитващи финансови трудности, и със средства, които подлежат на събиране от определени държави членки въз основа на нормативната уредба в областта на собствените ресурси или друго правно основание. Сумата в позицията за парите в брой се отнася до банковите сметки за собствените ресурси, открити към министерството на финансите или в централните банки на държавите членки с цел съхраняване в тях на вноските собствени ресурси, съгласно предвиденото в нормативната уредба. Комисията може да тегли средства от тези сметки само за да покрие нуждите от парични средства, произтичащи от изпълнението на бюджета.</w:t>
      </w:r>
    </w:p>
    <w:p w:rsidR="00F50689" w:rsidRDefault="005A36C4" w:rsidP="00F50689">
      <w:pPr>
        <w:pStyle w:val="HEADER5"/>
      </w:pPr>
      <w:r>
        <w:t>Дейности по получаване и отпускане на заеми</w:t>
      </w:r>
    </w:p>
    <w:p w:rsidR="00F50689" w:rsidRDefault="005A36C4" w:rsidP="00F50689">
      <w:pPr>
        <w:pStyle w:val="Textstand-alone"/>
      </w:pPr>
      <w:r>
        <w:t xml:space="preserve">Излагането на кредитен риск се управлява първо чрез получаване на гаранции от съответната държава в случая на Евратом, на второ място чрез Гаранционния фонд (МФП и Евратом), на трето място чрез възможността за изтегляне на необходимите средства от сметките на Комисията за собствените ресурси в държавите членки и на последно място чрез бюджета на ЕС. Съгласно законодателството в областта на собствените ресурси таванът за плащанията на собствени ресурси възлиза на 1,23 % от БНД на държавите членки и през 2014 г. реално за покриване на бюджетните кредити за плащания бяха използвани 1,06 %. Това означава, че към 31 декември 2014 г. имаше наличен марж от 0,17 % за покриване на тези гаранции. Гаранционният фонд за външни дейности </w:t>
      </w:r>
      <w:r w:rsidRPr="00BB7516">
        <w:t>беше създаден през 1994 г., за да покрива рисковете от просрочване на получените заеми, които се използват за финансиране на заеми за държави извън ЕС. Във всеки случай излагането на кредитен риск се намалява от възможността за теглене на средства от сметките на Комисията за собствените ресурси в държавите членки над наличностите по тези сметки, в случай че длъжник не е в състояние да възстанови сумите, които дължи, в пълен размер. Във връзка с това ЕС има право да поиска от всички държави членки да направят необходимото за спазване на правното задължение на ЕС към неговите заемодатели.</w:t>
      </w:r>
    </w:p>
    <w:p w:rsidR="00F50689" w:rsidRDefault="005A36C4" w:rsidP="00F50689">
      <w:pPr>
        <w:pStyle w:val="Textstand-alone"/>
      </w:pPr>
      <w:r>
        <w:t>Що се отнася до касовите операции, трябва да се прилагат насоките за избор на контрагенти. В съответствие с това оперативното звено ще може да работи само с банките, които отговарят на нужните условия и които имат достатъчни ограничения спрямо контрагентите.</w:t>
      </w:r>
    </w:p>
    <w:p w:rsidR="00F50689" w:rsidRDefault="005A36C4" w:rsidP="00F50689">
      <w:pPr>
        <w:pStyle w:val="HEADER5"/>
      </w:pPr>
      <w:r>
        <w:t>Каса</w:t>
      </w:r>
    </w:p>
    <w:p w:rsidR="00F50689" w:rsidRDefault="005A36C4" w:rsidP="00F50689">
      <w:pPr>
        <w:pStyle w:val="Textstand-alone"/>
      </w:pPr>
      <w:r>
        <w:t>В съответствие с Регламент № 1150/2000 на Съвета за собствените ресурси по-голямата част от касовите ресурси на Комисията се държат в сметките, открити от държавите членки за плащане на техните вноски (собствени ресурси). Всички такива сметки са към министерствата на финансите на държавите членки или в националните централни банки. Тези институции носят най-ниския кредитен риск (или риск на контрагента) за Комисията, тъй като рискът е поет от държавите членки. За частта от касовите ресурси на Комисията, които се държат в търговски банки с цел обезпечаване на плащанията, захранването на тези сметки се извършва съгласно принципа „точно навреме“ и се управлява автоматично от системата за управление на касата. Във всяка сметка се държат минимални наличности, пропорционални на средния размер на ежедневните плащания, извършвани от нея. Вследствие на това наличностите по тези сметки в края на деня остават постоянно малки (като цяло средно между 1 млн. EUR и 20 млн. EUR, разпределени в над 20 сметки) и по този начин рискът, на който е изложена Комисията, се ограничава. Тези суми следва да се разглеждат с оглед на дневните цялостни парични наличности, които през 2014 г. се колебаят между 100 млн. EUR и 34 млрд. EUR, и с оглед на общия размер на извършените през 2014 г. плащания, който възлиза на 142 млрд. EUR.</w:t>
      </w:r>
    </w:p>
    <w:p w:rsidR="00F50689" w:rsidRDefault="005A36C4" w:rsidP="00F50689">
      <w:pPr>
        <w:pStyle w:val="Textstand-alone"/>
      </w:pPr>
      <w:r>
        <w:t>Освен това за подбора на търговски банки се прилагат специални насоки с цел допълнително минимизиране на риска на контрагента, на който е изложена Комисията:</w:t>
      </w:r>
    </w:p>
    <w:p w:rsidR="00F50689" w:rsidRDefault="005A36C4" w:rsidP="00F50689">
      <w:pPr>
        <w:pStyle w:val="Textstand-alonebulletpointJustified"/>
      </w:pPr>
      <w:r>
        <w:t>Всички търговски банки се подбират чрез покана за участие в търг. Минималният краткосрочен кредитен рейтинг за допускане до тръжната процедура е Moody's P-1 или негов еквивалент. При специални и надлежно обосновани обстоятелства може да бъде прието по-ниско равнище.</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Кредитните рейтинги на търговските банки, в които Комисията има сметки, се преглеждат ежедневно. В контекста на финансовата криза бяха приети по-интензивни мерки за мониторинг и ежедневен преглед на рейтингите на търговските банки, които мерки и прегледи бяха извършвани и през 2014 г.</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В делегациите извън ЕС сметките за авансови средства се държат в местни банки, подбрани чрез опростена тръжна процедура. Изискванията във връзка с рейтинга зависят от местната ситуация и могат да се различават значително между различните държави. За да се ограничи излагането на риск, наличностите по тези сметки са възможно най-малки (като се отчитат оперативните нужди). Сметките се захранват редовно, а прилаганите тавани се преразглеждат ежегодно.</w:t>
      </w:r>
    </w:p>
    <w:p w:rsidR="00F50689" w:rsidRPr="009F1FDC" w:rsidRDefault="00F50689" w:rsidP="00F50689">
      <w:pPr>
        <w:pStyle w:val="Textstand-alonebulletpointJustified"/>
        <w:numPr>
          <w:ilvl w:val="0"/>
          <w:numId w:val="0"/>
        </w:numPr>
        <w:ind w:left="357"/>
      </w:pPr>
    </w:p>
    <w:p w:rsidR="00F50689" w:rsidRDefault="005A36C4" w:rsidP="00F50689">
      <w:pPr>
        <w:pStyle w:val="HEADER5"/>
      </w:pPr>
      <w:r>
        <w:t>Глоби</w:t>
      </w:r>
    </w:p>
    <w:p w:rsidR="00F50689" w:rsidRPr="00E01A4D" w:rsidRDefault="005A36C4" w:rsidP="00F50689">
      <w:pPr>
        <w:pStyle w:val="Textstand-alone"/>
        <w:rPr>
          <w:i/>
        </w:rPr>
      </w:pPr>
      <w:r>
        <w:rPr>
          <w:i/>
        </w:rPr>
        <w:t>Условно платени глоби: депозити</w:t>
      </w:r>
    </w:p>
    <w:p w:rsidR="00F50689" w:rsidRDefault="005A36C4" w:rsidP="00F50689">
      <w:pPr>
        <w:pStyle w:val="Textstand-alone"/>
      </w:pPr>
      <w:r>
        <w:t>Банките, които държат депозити за глобите, платени условно преди 2010 г., се подбират чрез тръжна процедура в съответствие с политиката за управление на риска, в която са определени изискванията по отношение на кредитния рейтинг и размерът на средствата, които могат да бъдат вложени, пропорционално на капитала на контрагента.</w:t>
      </w:r>
    </w:p>
    <w:p w:rsidR="00F50689" w:rsidRDefault="005A36C4" w:rsidP="00F50689">
      <w:pPr>
        <w:pStyle w:val="Textstand-alone"/>
      </w:pPr>
      <w:r>
        <w:t>За търговските банки, избрани специално за депозиране на условно платени глоби, по правило се изискват минимален дългосрочен рейтинг А (S&amp;P или негов еквивалент) и минимален краткосрочен рейтинг А-1 (S&amp;P или негов еквивалент). Прилагат се специални мерки, ако рейтингът на банките в тази група бъде понижен. Освен това вложените във всяка банка средства са ограничени до определен процент от нейните собствени средства, който процент варира в зависимост от рейтинга на всяка институция. При изчисляването на тези граници се отчита и стойността на гаранциите с неизтекъл срок, предоставени на Комисията от същата институция. Редовно се проверява дали депозитите отговарят на приложимите изисквания на политиката.</w:t>
      </w:r>
    </w:p>
    <w:p w:rsidR="00F50689" w:rsidRPr="00E01A4D" w:rsidRDefault="005A36C4" w:rsidP="00F50689">
      <w:pPr>
        <w:pStyle w:val="Textstand-alone"/>
        <w:rPr>
          <w:i/>
        </w:rPr>
      </w:pPr>
      <w:r>
        <w:rPr>
          <w:i/>
        </w:rPr>
        <w:t>Условно платени глоби: портфейл на BUFI</w:t>
      </w:r>
    </w:p>
    <w:p w:rsidR="00F50689" w:rsidRDefault="005A36C4" w:rsidP="00F50689">
      <w:pPr>
        <w:pStyle w:val="Textstand-alone"/>
      </w:pPr>
      <w:r>
        <w:t>При инвестициите на условно платени глоби Комисията е изложена на кредитен риск, т.е. риска, че контрагент няма да може да изплати изцяло дълга си при настъпване на падежа. Най-концентрираният риск е по отношение на Франция и Германия, тъй като тези държави представляват съответно 43 % и 27 % от общия номинален обем на портфейла.</w:t>
      </w:r>
    </w:p>
    <w:p w:rsidR="00F50689" w:rsidRPr="00E01A4D" w:rsidRDefault="005A36C4" w:rsidP="00F50689">
      <w:pPr>
        <w:pStyle w:val="Textstand-alone"/>
        <w:rPr>
          <w:i/>
        </w:rPr>
      </w:pPr>
      <w:r>
        <w:rPr>
          <w:i/>
        </w:rPr>
        <w:t>Банкови гаранции</w:t>
      </w:r>
    </w:p>
    <w:p w:rsidR="00E8741F" w:rsidRPr="00AF33A1" w:rsidRDefault="005A36C4" w:rsidP="00AF33A1">
      <w:pPr>
        <w:pStyle w:val="Textstand-alone"/>
      </w:pPr>
      <w:r>
        <w:t>Гаранции със значителна стойност, издадени от финансови институции, се държат също от Комисията във връзка с глобите, които тя налага на предприятията, нарушаващи правилата за конкуренция на ЕС (вж. бележка </w:t>
      </w:r>
      <w:r>
        <w:rPr>
          <w:b/>
        </w:rPr>
        <w:t>2.6.1.2</w:t>
      </w:r>
      <w:r>
        <w:t>). Тези гаранции се предоставят от глобените предприятия като алтернатива на условните плащания. Политиката за управление на риска, която се прилага за приемането на такива гаранции, бе преразгледана през 2012 г. и предвид на настоящата финансова ситуация в ЕС, бяха определени нова комбинация от изисквания по отношение на кредитния рейтинг и ограничени проценти за всеки контрагент (пропорционални на собствените средства на всеки контрагент). Тя продължава да гарантира високо качество на кредитите за Комисията. Редовно се проверява дали получените гаранции са в съответствие с приложимите изисквания на политиката.</w:t>
      </w:r>
    </w:p>
    <w:p w:rsidR="00F50689" w:rsidRDefault="005A36C4" w:rsidP="00F50689">
      <w:pPr>
        <w:pStyle w:val="HEADER5"/>
      </w:pPr>
      <w:r>
        <w:t>Гаранционен фонд</w:t>
      </w:r>
    </w:p>
    <w:p w:rsidR="00F50689" w:rsidRDefault="005A36C4" w:rsidP="00F50689">
      <w:pPr>
        <w:pStyle w:val="Textstand-alone"/>
      </w:pPr>
      <w:r>
        <w:t>В съответствие със споразумението между ЕС и ЕИБ за управлението на Гаранционния фонд всички междубанкови инвестиции трябва да имат минимален кредитен рейтинг P-1 на Moody' s или еквивалентен на него. Към 31 декември 2014 г. с такива контрагенти бяха създадени срочни депозити на стойност 147 млн. EUR (2013 г.: 151 млн. EUR).</w:t>
      </w:r>
    </w:p>
    <w:p w:rsidR="00F50689" w:rsidRDefault="005A36C4" w:rsidP="00F50689">
      <w:pPr>
        <w:pStyle w:val="Textstand-alone"/>
        <w:sectPr w:rsidR="00F50689" w:rsidSect="00F50689">
          <w:headerReference w:type="even" r:id="rId395"/>
          <w:headerReference w:type="default" r:id="rId396"/>
          <w:footerReference w:type="even" r:id="rId397"/>
          <w:footerReference w:type="default" r:id="rId398"/>
          <w:headerReference w:type="first" r:id="rId399"/>
          <w:footerReference w:type="first" r:id="rId400"/>
          <w:type w:val="continuous"/>
          <w:pgSz w:w="11906" w:h="16838"/>
          <w:pgMar w:top="1134" w:right="1134" w:bottom="1134" w:left="1134" w:header="709" w:footer="709" w:gutter="0"/>
          <w:cols w:space="708"/>
          <w:docGrid w:linePitch="360"/>
        </w:sectPr>
      </w:pPr>
      <w:r>
        <w:t xml:space="preserve"> </w:t>
      </w:r>
      <w:bookmarkEnd w:id="194"/>
    </w:p>
    <w:p w:rsidR="00F50689" w:rsidRDefault="005A36C4" w:rsidP="00F50689">
      <w:pPr>
        <w:pStyle w:val="HEADER2Part2"/>
      </w:pPr>
      <w:bookmarkStart w:id="197" w:name="_DMBM_2667"/>
      <w:r>
        <w:t>Ликвиден риск</w:t>
      </w:r>
    </w:p>
    <w:p w:rsidR="00F50689" w:rsidRDefault="005A36C4" w:rsidP="00F50689">
      <w:pPr>
        <w:pStyle w:val="HEADER5"/>
      </w:pPr>
      <w:r>
        <w:t>Анализ на срока на финансовите пасиви по оставащия срок по договора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98" w:name="DOC_TBL00088_1_1"/>
            <w:bookmarkEnd w:id="198"/>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&lt; 1 година</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1—5 години</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&gt; 5 години</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Общо</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Получени заеми</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8 727</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15 386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34 357</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58 470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Задължения по финансов лизинг</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81</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366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1 309</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1 755</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Задължения</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43 180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43 180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97</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336</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454</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към 31.12.2014 г.</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52 008</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15 849</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36 002</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103 859</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Получени заеми</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3 065</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21 454</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32 699</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57 218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Задължения по финансов лизинг</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82</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353</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1 403</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1 838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Задължения</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36 213</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36 213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84</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375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477</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Общо към 31.12.2013 г.</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39 377</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21 891</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34 477</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95 746</w:t>
            </w:r>
          </w:p>
        </w:tc>
      </w:tr>
    </w:tbl>
    <w:p w:rsidR="00F50689" w:rsidRDefault="00F50689" w:rsidP="00F50689">
      <w:pPr>
        <w:pStyle w:val="HEADER5"/>
      </w:pPr>
    </w:p>
    <w:p w:rsidR="00F50689" w:rsidRDefault="005A36C4" w:rsidP="00F50689">
      <w:pPr>
        <w:pStyle w:val="HEADER5"/>
      </w:pPr>
      <w:r>
        <w:t>Дейности по получаване и отпускане на заеми</w:t>
      </w:r>
    </w:p>
    <w:p w:rsidR="00F50689" w:rsidRDefault="005A36C4" w:rsidP="00F50689">
      <w:pPr>
        <w:pStyle w:val="Textstand-alone"/>
      </w:pPr>
      <w:r>
        <w:t>Ликвидният риск, възникващ от получените заеми, обикновено се компенсира от заеми, отпуснати при еквивалентни срокове и условия (операции „бек-ту-бек“). За МФП и Евратом Гаранционният фонд служи за резерв за ликвидност (или „спасителна мрежа“) в случай на неизпълнение на задължение за плащане и на просрочени плащания на заемополучатели. За ПБ в Регламент № 431/2009 на Съвета е предвидена процедура, предоставяща достатъчно време за мобилизиране на средства чрез сметките за собствените ресурси на Комисията в държавите членки. За ЕМФС в Регламент № 407/2010 на Съвета е предвидена сходна процедура.</w:t>
      </w:r>
    </w:p>
    <w:p w:rsidR="00F50689" w:rsidRDefault="005A36C4" w:rsidP="00F50689">
      <w:pPr>
        <w:pStyle w:val="HEADER5"/>
      </w:pPr>
      <w:r>
        <w:t>Каса</w:t>
      </w:r>
    </w:p>
    <w:p w:rsidR="00F50689" w:rsidRDefault="005A36C4" w:rsidP="00F50689">
      <w:pPr>
        <w:pStyle w:val="Textstand-alone"/>
      </w:pPr>
      <w:r>
        <w:t>Принципите на бюджета на ЕС гарантират, че общите парични наличности за дадена година са винаги достатъчни за извършването на всички плащания. Всъщност общият размер на вноските на държавите членки е равен на размера на бюджетните кредити за плащания за бюджетната година. Вноските на държавите членки обаче се получават под формата на дванадесет месечни вноски през цялата година, докато плащанията се характеризират с известна сезонност. Освен това, в съответствие с Регламент № 1150/2000 на Съвета (Регламента за собствените ресурси), вноските на държавите членки за (коригиращите) бюджети, одобрени след 16–то число на даден месец (N), стават налични едва през месец N+2, докато свързаните с тях бюджетни кредити за плащания са налични незабавно. За да се гарантира, че наличните касови ресурси винаги са достатъчни за покриване на плащанията, които трябва да бъдат извършени през даден месец, са въведени процедури за редовно прогнозиране на паричните средства, а собствените ресурси или допълнителни средства могат да бъдат изискани предварително от държавите членки, ако е необходимо, в определени граници и при определени условия. Сезонността на разходите и общите бюджетни ограничения през последните години доведоха до необходимостта от по-силен мониторинг на ритъма на плащанията в хода на годината. Освен това в контекста на ежедневните касови операции на Комисията автоматизирани инструменти за управление на паричните средства ежедневно гарантират, че във всяка от банковите сметки на Комисията има достатъчни парични наличности.</w:t>
      </w:r>
    </w:p>
    <w:p w:rsidR="00F50689" w:rsidRDefault="005A36C4" w:rsidP="00F50689">
      <w:pPr>
        <w:pStyle w:val="HEADER5"/>
      </w:pPr>
      <w:r>
        <w:t>Гаранционен фонд</w:t>
      </w:r>
    </w:p>
    <w:p w:rsidR="00F50689" w:rsidRDefault="005A36C4" w:rsidP="00F50689">
      <w:pPr>
        <w:pStyle w:val="Textstand-alone"/>
      </w:pPr>
      <w:r>
        <w:t>Фондът се управлява съгласно принципа, че активите трябва да имат достатъчна степен на ликвидност и на мобилизация във връзка със съответните задължения. Фондът трябва да поддържа поне 100 млн. EUR в портфейл със срок под дванадесет месеца, който трябва да бъде инвестиран в парични инструменти. Към 31 декември 2014 г. тези инвестиции, които включват и парични наличности, възлизат на 148 млн. EUR. Освен това поне 20 % от номиналната стойност на фонда трябва да се състои от парични инструменти, облигации с фиксиран лихвен процент с оставащ срок от не повече от една година и облигации с плаващ лихвен процент. Към 31 декември 2014 г. това съотношение е 49 %.</w:t>
      </w:r>
    </w:p>
    <w:p w:rsidR="00F50689" w:rsidRDefault="005A36C4" w:rsidP="00F50689">
      <w:pPr>
        <w:pStyle w:val="Textstand-alone"/>
        <w:sectPr w:rsidR="00F50689" w:rsidSect="00F50689">
          <w:headerReference w:type="even" r:id="rId401"/>
          <w:headerReference w:type="default" r:id="rId402"/>
          <w:footerReference w:type="even" r:id="rId403"/>
          <w:footerReference w:type="default" r:id="rId404"/>
          <w:headerReference w:type="first" r:id="rId405"/>
          <w:footerReference w:type="first" r:id="rId406"/>
          <w:type w:val="continuous"/>
          <w:pgSz w:w="11906" w:h="16838"/>
          <w:pgMar w:top="1134" w:right="1134" w:bottom="1134" w:left="1134" w:header="709" w:footer="709" w:gutter="0"/>
          <w:cols w:space="708"/>
          <w:docGrid w:linePitch="360"/>
        </w:sectPr>
      </w:pPr>
      <w:r>
        <w:t xml:space="preserve"> </w:t>
      </w:r>
      <w:bookmarkEnd w:id="197"/>
    </w:p>
    <w:p w:rsidR="00F50689" w:rsidRDefault="005A36C4" w:rsidP="00F50689">
      <w:pPr>
        <w:pStyle w:val="HEADER1Part2"/>
      </w:pPr>
      <w:bookmarkStart w:id="199" w:name="_Toc431304435"/>
      <w:bookmarkStart w:id="200" w:name="_DMBM_2609"/>
      <w:r>
        <w:t>ОПОВЕСТЯВАНЕ НА СВЪРЗАНИ ЛИЦА</w:t>
      </w:r>
      <w:bookmarkEnd w:id="199"/>
    </w:p>
    <w:p w:rsidR="00F50689" w:rsidRPr="000D2768" w:rsidRDefault="005A36C4" w:rsidP="00F50689">
      <w:pPr>
        <w:pStyle w:val="HEADER2Part2"/>
      </w:pPr>
      <w:bookmarkStart w:id="201" w:name="_DMBM_127"/>
      <w:r>
        <w:t>СВЪРЗАНИ ЛИЦА</w:t>
      </w:r>
    </w:p>
    <w:p w:rsidR="00F50689" w:rsidRDefault="005A36C4" w:rsidP="00F50689">
      <w:pPr>
        <w:pStyle w:val="Textstand-alone"/>
      </w:pPr>
      <w:r>
        <w:t>Свързаните лица на ЕС са консолидираните субекти на ЕС и ключовият управленски персонал на тези субекти. Операциите между тези субекти се осъществяват като част от обичайните операции на ЕС и тъй като случаят е такъв, не са необходими специални изисквания от гледна точка на оповестяването за тези операции в съответствие със счетоводните правила на ЕС.</w:t>
      </w:r>
      <w:bookmarkEnd w:id="201"/>
    </w:p>
    <w:p w:rsidR="00F50689" w:rsidRPr="00D355BC" w:rsidRDefault="005A36C4" w:rsidP="00F50689">
      <w:pPr>
        <w:pStyle w:val="HEADER2Part2"/>
      </w:pPr>
      <w:r>
        <w:t>ФИНАНСОВИ ПРАВА НА СЛУЖИТЕЛИТЕ НА КЛЮЧОВА РЪКОВОДНА ДЛЪЖНОСТ</w:t>
      </w:r>
    </w:p>
    <w:p w:rsidR="00F50689" w:rsidRDefault="005A36C4" w:rsidP="00F50689">
      <w:pPr>
        <w:pStyle w:val="Textstand-alone"/>
      </w:pPr>
      <w:r>
        <w:t>За целите на представянето на информация за операциите на свързани лица във връзка с ключовото ръководство на ЕС, тук тези лица са показани в пет категории:</w:t>
      </w:r>
    </w:p>
    <w:p w:rsidR="00F50689" w:rsidRDefault="005A36C4" w:rsidP="00F50689">
      <w:pPr>
        <w:pStyle w:val="Textstand-alone"/>
      </w:pPr>
      <w:r>
        <w:rPr>
          <w:b/>
        </w:rPr>
        <w:t>Категория 1:</w:t>
      </w:r>
      <w:r>
        <w:t xml:space="preserve"> председателите на Европейския съвет, на Комисията и на Съда на Европейския съюз</w:t>
      </w:r>
    </w:p>
    <w:p w:rsidR="00F50689" w:rsidRDefault="005A36C4" w:rsidP="00F50689">
      <w:pPr>
        <w:pStyle w:val="Textstand-alone"/>
      </w:pPr>
      <w:r>
        <w:rPr>
          <w:b/>
        </w:rPr>
        <w:t xml:space="preserve">Категория 2: </w:t>
      </w:r>
      <w:r>
        <w:t>заместник-председателят на Комисията и върховен представител на ЕС за външните работи и политиката на сигурност и другите заместник-председатели на Комисията</w:t>
      </w:r>
    </w:p>
    <w:p w:rsidR="00F50689" w:rsidRDefault="005A36C4" w:rsidP="00F50689">
      <w:pPr>
        <w:pStyle w:val="Textstand-alone"/>
      </w:pPr>
      <w:r>
        <w:rPr>
          <w:b/>
        </w:rPr>
        <w:t>Категория 3:</w:t>
      </w:r>
      <w:r>
        <w:t xml:space="preserve"> генералният секретар на Съвета, членовете на Комисията, съдиите и генералните адвокати на Съда на Европейския съюз, председателят и членовете на Общия съд, председателят и членовете на Съда на публичната служба на Европейския съюз, Омбудсманът и Европейският надзорен орган по защита на данните</w:t>
      </w:r>
    </w:p>
    <w:p w:rsidR="00F50689" w:rsidRDefault="005A36C4" w:rsidP="00F50689">
      <w:pPr>
        <w:pStyle w:val="Textstand-alone"/>
      </w:pPr>
      <w:r>
        <w:rPr>
          <w:b/>
        </w:rPr>
        <w:t>Категория 4:</w:t>
      </w:r>
      <w:r>
        <w:t xml:space="preserve"> председателят и членовете на Европейската сметна палата</w:t>
      </w:r>
    </w:p>
    <w:p w:rsidR="00F50689" w:rsidRDefault="005A36C4" w:rsidP="00F50689">
      <w:pPr>
        <w:pStyle w:val="Textstand-alone"/>
      </w:pPr>
      <w:r>
        <w:rPr>
          <w:b/>
        </w:rPr>
        <w:t>Категория 5:</w:t>
      </w:r>
      <w:r>
        <w:t xml:space="preserve"> най-висшестоящите служители в институциите и агенциите</w:t>
      </w:r>
    </w:p>
    <w:p w:rsidR="00F50689" w:rsidRDefault="005A36C4" w:rsidP="00F50689">
      <w:pPr>
        <w:pStyle w:val="Textstand-alone"/>
      </w:pPr>
      <w:r>
        <w:t>Техните финансови права са обобщени по-долу, а допълнителна информация може да бъде намерена в Правилника за персонала, публикуван на уебсайта Europa и представляващ официалният документ, в който са описани правата и задълженията на всички служители на ЕС. Служителите на ключова ръководна длъжност не са получавали никакви заеми при преференциални условия от ЕС.</w:t>
      </w: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5A36C4" w:rsidP="00F50689">
      <w:pPr>
        <w:pStyle w:val="HEADERTABLE"/>
      </w:pPr>
      <w:r>
        <w:t>ФИНАНСОВИ ПРАВА НА СЛУЖИТЕЛИТЕ НА КЛЮЧОВА РЪКОВОДНА ДЛЪЖНОСТ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360"/>
        <w:gridCol w:w="1360"/>
        <w:gridCol w:w="1360"/>
        <w:gridCol w:w="1360"/>
        <w:gridCol w:w="1360"/>
      </w:tblGrid>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ItalicLeft"/>
              <w:rPr>
                <w:rFonts w:eastAsia="Verdana" w:cs="Verdana"/>
                <w:color w:val="FFFFFF"/>
              </w:rPr>
            </w:pPr>
            <w:r>
              <w:t xml:space="preserve"> </w:t>
            </w:r>
            <w:bookmarkStart w:id="202" w:name="DOC_TBL00089_1_1"/>
            <w:bookmarkEnd w:id="202"/>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Heading10pNormalCentered"/>
              <w:rPr>
                <w:rFonts w:eastAsia="Verdana" w:cs="Verdana"/>
                <w:color w:val="auto"/>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Heading10pNormalCentered"/>
              <w:rPr>
                <w:rFonts w:eastAsia="Verdana" w:cs="Verdana"/>
                <w:color w:val="auto"/>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Heading10pNormalCentered"/>
              <w:rPr>
                <w:rFonts w:eastAsia="Verdana" w:cs="Verdana"/>
                <w:color w:val="auto"/>
              </w:rPr>
            </w:pPr>
          </w:p>
        </w:tc>
        <w:tc>
          <w:tcPr>
            <w:tcW w:w="2720" w:type="dxa"/>
            <w:gridSpan w:val="2"/>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7pItalicRight025"/>
              <w:rPr>
                <w:rFonts w:eastAsia="Verdana" w:cs="Verdana"/>
              </w:rPr>
            </w:pPr>
            <w:r>
              <w:t>EUR</w:t>
            </w:r>
          </w:p>
        </w:tc>
      </w:tr>
      <w:tr w:rsidR="00E7728E" w:rsidTr="00F148BC">
        <w:tc>
          <w:tcPr>
            <w:tcW w:w="2947"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Left"/>
              <w:rPr>
                <w:rFonts w:eastAsia="Verdana" w:cs="Verdana"/>
              </w:rPr>
            </w:pPr>
            <w:r>
              <w:t>Финансово право (на служител)</w:t>
            </w:r>
          </w:p>
        </w:tc>
        <w:tc>
          <w:tcPr>
            <w:tcW w:w="1360"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rPr>
            </w:pPr>
            <w:r>
              <w:t>Категория 1</w:t>
            </w:r>
          </w:p>
        </w:tc>
        <w:tc>
          <w:tcPr>
            <w:tcW w:w="1360"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rPr>
            </w:pPr>
            <w:r>
              <w:t>Категория 2</w:t>
            </w:r>
          </w:p>
        </w:tc>
        <w:tc>
          <w:tcPr>
            <w:tcW w:w="1360"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rPr>
            </w:pPr>
            <w:r>
              <w:t>Категория 3</w:t>
            </w:r>
          </w:p>
        </w:tc>
        <w:tc>
          <w:tcPr>
            <w:tcW w:w="1360"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rPr>
            </w:pPr>
            <w:r>
              <w:t>Категория 4</w:t>
            </w:r>
          </w:p>
        </w:tc>
        <w:tc>
          <w:tcPr>
            <w:tcW w:w="1360"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rPr>
            </w:pPr>
            <w:r>
              <w:t>Категория 5</w:t>
            </w: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Основна заплата (на месец)</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25 352</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22 964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18 371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19 840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11 775 </w:t>
            </w: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Text8pBoldLeft"/>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 - 23 882</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 - 20 667</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 - 21 126</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 - 18 518</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 xml:space="preserve">Квартирна надбавка/Надбавка за експатриране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15 %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15 %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15 %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15 %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0—4 %—16 %</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Семейни надбавки:</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Домакинство (% от заплатата)</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2 % + 171,88</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2 % + 171,88</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2 % + 171,88</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2 % + 171,88</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2 % + 171,88</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Дете на издръжка</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375,59</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375,59</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375,59</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375,59</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375,59</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Предучилищно образование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91,75</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91,75</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91,75</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91,75</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91,75</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Образование или</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254,83</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254,83</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254,83</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254,83</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254,83</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образование извън мястото на работа</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509,66</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509,66</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509,66</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509,66</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509,66</w:t>
            </w: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Надбавка за председателстващи съдии</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554,17—607,71</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Надбавка за представителство</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1 418,07</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0—911,38</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554,17—607,71</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Годишни пътни разноски</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Трансфери към държава членка:</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Надбавка за образование*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Да</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Да</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Да</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Да</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Да</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 от заплатата*</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5 %</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 от заплатата без кк</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Макс. 25 %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Макс. 25 %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Макс. 25 %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Макс. 25 %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Макс. 25 %</w:t>
            </w: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Представителни разходи</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Възстановяват се</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Възстановяват се</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Възстановяват се</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Встъпване в длъжност:</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Разходи за настаняване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50 703,52</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45 927,10</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36 741,68</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39 681,02</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NormalLeft"/>
              <w:ind w:left="0"/>
              <w:rPr>
                <w:rFonts w:eastAsia="Verdana" w:cs="Verdana"/>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- 47 764,18</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- 41 334,40</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- 42 252,94</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rPr>
            </w:pP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Семейни пътни разноски</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Разходи за преместване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При напускане на длъжността:</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Разходи за пренастаняване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25 352</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22 964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18 371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19 840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NormalLeft"/>
              <w:ind w:left="0"/>
              <w:rPr>
                <w:rFonts w:eastAsia="Verdana" w:cs="Verdana"/>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 - 23 882</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 - 20 667</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 - 21 126</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rPr>
            </w:pP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Семейни пътни разноски</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Разходи за преместване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Възстановяват се</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Преход (% от заплатата)**</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40 %—65 %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40 %—65 %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40 %—65 %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40 %—65 %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N/A</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Здравно осигуряване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Покриват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Покриват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Покриват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Покриват се</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Покриват се</w:t>
            </w: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Пенсия (% от заплатата, преди облагане с данък)</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Макс. 70 %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Макс. 70 %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Макс. 70 %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Макс. 70 %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Макс. 70 %</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Удръжки:</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Данък върху заплатата</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8 %—45 %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8 %—45 %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8 %—45 %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8 %—45 %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8 %—45 %</w:t>
            </w: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Здравно осигуряване (% от заплатата)</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1,7 %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1,7 %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1,7 %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1,7 %</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1,7 %</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Специален налог върху заплатата</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rPr>
            </w:pPr>
            <w:r>
              <w:t>7 %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rPr>
            </w:pPr>
            <w:r>
              <w:t>7 %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rPr>
            </w:pPr>
            <w:r>
              <w:t>7 %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rPr>
            </w:pPr>
            <w:r>
              <w:t>7 %</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6—7 %</w:t>
            </w:r>
          </w:p>
        </w:tc>
      </w:tr>
      <w:tr w:rsidR="00E7728E" w:rsidTr="00F148BC">
        <w:tc>
          <w:tcPr>
            <w:tcW w:w="29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Удръжка за пенсия</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N/A</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N/A</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N/A</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N/A</w:t>
            </w:r>
          </w:p>
        </w:tc>
        <w:tc>
          <w:tcPr>
            <w:tcW w:w="136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10,9—10,1 %***</w:t>
            </w:r>
          </w:p>
        </w:tc>
      </w:tr>
      <w:tr w:rsidR="00E7728E" w:rsidTr="00F148BC">
        <w:tc>
          <w:tcPr>
            <w:tcW w:w="29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Брой лица към края на годината</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rPr>
            </w:pPr>
            <w:r>
              <w:t>3</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rPr>
            </w:pPr>
            <w:r>
              <w:t>8</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rPr>
            </w:pPr>
            <w:r>
              <w:t>93</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rPr>
            </w:pPr>
            <w:r>
              <w:t>28</w:t>
            </w:r>
          </w:p>
        </w:tc>
        <w:tc>
          <w:tcPr>
            <w:tcW w:w="136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rPr>
            </w:pPr>
            <w:r>
              <w:t>112</w:t>
            </w:r>
          </w:p>
        </w:tc>
      </w:tr>
    </w:tbl>
    <w:p w:rsidR="00F50689" w:rsidRPr="008A7D59" w:rsidRDefault="005A36C4" w:rsidP="008A7D59">
      <w:pPr>
        <w:pStyle w:val="Textstand-alone"/>
        <w:spacing w:before="60" w:after="0"/>
        <w:rPr>
          <w:i/>
          <w:sz w:val="14"/>
        </w:rPr>
      </w:pPr>
      <w:r>
        <w:rPr>
          <w:i/>
          <w:sz w:val="14"/>
        </w:rPr>
        <w:t>* С приложен корекционен коефициент („кк“).</w:t>
      </w:r>
    </w:p>
    <w:p w:rsidR="00F50689" w:rsidRPr="008A7D59" w:rsidRDefault="005A36C4" w:rsidP="008A7D59">
      <w:pPr>
        <w:pStyle w:val="Textstand-alone"/>
        <w:spacing w:before="60" w:after="0"/>
        <w:rPr>
          <w:i/>
          <w:sz w:val="14"/>
        </w:rPr>
      </w:pPr>
      <w:r>
        <w:rPr>
          <w:i/>
          <w:sz w:val="14"/>
        </w:rPr>
        <w:t>** Изплащат се в продължение на първите 3 години след напускане.</w:t>
      </w:r>
    </w:p>
    <w:p w:rsidR="00F50689" w:rsidRPr="008A7D59" w:rsidRDefault="005A36C4" w:rsidP="008A7D59">
      <w:pPr>
        <w:pStyle w:val="Textstand-alone"/>
        <w:spacing w:before="60"/>
        <w:rPr>
          <w:i/>
          <w:sz w:val="14"/>
        </w:rPr>
      </w:pPr>
      <w:r>
        <w:rPr>
          <w:i/>
          <w:sz w:val="14"/>
        </w:rPr>
        <w:t>*** 10,9 % за първата половина на 2014 г. и 10,1 % за втората половина на 2014 г.</w:t>
      </w:r>
    </w:p>
    <w:p w:rsidR="00F50689" w:rsidRPr="005E7229" w:rsidRDefault="005A36C4" w:rsidP="00F50689">
      <w:pPr>
        <w:pStyle w:val="Textstand-alone"/>
        <w:rPr>
          <w:i/>
        </w:rPr>
        <w:sectPr w:rsidR="00F50689" w:rsidRPr="005E7229" w:rsidSect="00F50689">
          <w:headerReference w:type="even" r:id="rId407"/>
          <w:headerReference w:type="default" r:id="rId408"/>
          <w:footerReference w:type="even" r:id="rId409"/>
          <w:footerReference w:type="default" r:id="rId410"/>
          <w:headerReference w:type="first" r:id="rId411"/>
          <w:footerReference w:type="first" r:id="rId412"/>
          <w:pgSz w:w="11906" w:h="16838"/>
          <w:pgMar w:top="1134" w:right="1134" w:bottom="1134" w:left="1134" w:header="709" w:footer="709" w:gutter="0"/>
          <w:cols w:space="708"/>
          <w:docGrid w:linePitch="360"/>
        </w:sectPr>
      </w:pPr>
      <w:r>
        <w:rPr>
          <w:i/>
        </w:rPr>
        <w:t xml:space="preserve"> </w:t>
      </w:r>
      <w:bookmarkEnd w:id="200"/>
    </w:p>
    <w:p w:rsidR="00F50689" w:rsidRPr="00D23F28" w:rsidRDefault="005A36C4" w:rsidP="00F50689">
      <w:pPr>
        <w:pStyle w:val="HEADER1Part2"/>
        <w:rPr>
          <w:rFonts w:eastAsia="Calibri"/>
        </w:rPr>
      </w:pPr>
      <w:bookmarkStart w:id="203" w:name="_Toc431304436"/>
      <w:bookmarkStart w:id="204" w:name="_DMBM_2610"/>
      <w:r>
        <w:t>СЪБИТИЯ СЛЕД ДАТАТА НА СЧЕТОВОДНИЯ БАЛАНС</w:t>
      </w:r>
      <w:bookmarkEnd w:id="203"/>
    </w:p>
    <w:p w:rsidR="00F50689" w:rsidRDefault="005A36C4" w:rsidP="00F50689">
      <w:pPr>
        <w:pStyle w:val="Textstand-alone"/>
      </w:pPr>
      <w:r>
        <w:t>Към датата на подписване на настоящите отчети нямаше съществени въпроси, към които трябваше да бъде привлечено вниманието на счетоводителя на Комисията или които му бяха съобщени, нуждаещи се от отделно оповестяване в този раздел. Отчетите и свързаните с тях бележки бяха изготвени, като бе използвана последната налична информация и това е отразено в представената информация.</w:t>
      </w:r>
    </w:p>
    <w:p w:rsidR="00F50689" w:rsidRDefault="005A36C4" w:rsidP="00F50689">
      <w:pPr>
        <w:pStyle w:val="Textstand-alone"/>
        <w:sectPr w:rsidR="00F50689" w:rsidSect="00F50689">
          <w:headerReference w:type="even" r:id="rId413"/>
          <w:headerReference w:type="default" r:id="rId414"/>
          <w:footerReference w:type="even" r:id="rId415"/>
          <w:footerReference w:type="default" r:id="rId416"/>
          <w:headerReference w:type="first" r:id="rId417"/>
          <w:footerReference w:type="first" r:id="rId418"/>
          <w:pgSz w:w="11906" w:h="16838"/>
          <w:pgMar w:top="1134" w:right="1134" w:bottom="1134" w:left="1134" w:header="709" w:footer="709" w:gutter="0"/>
          <w:cols w:space="708"/>
          <w:docGrid w:linePitch="360"/>
        </w:sectPr>
      </w:pPr>
      <w:r>
        <w:t xml:space="preserve"> </w:t>
      </w:r>
      <w:bookmarkEnd w:id="204"/>
    </w:p>
    <w:p w:rsidR="00F50689" w:rsidRDefault="005A36C4" w:rsidP="00DF38D4">
      <w:pPr>
        <w:pStyle w:val="HEADER1Part2"/>
        <w:spacing w:after="0"/>
      </w:pPr>
      <w:bookmarkStart w:id="205" w:name="_Toc431304437"/>
      <w:bookmarkStart w:id="206" w:name="_DMBM_2738"/>
      <w:r>
        <w:t>ОБХВАТ НА КОНСОЛИДАЦИЯТА</w:t>
      </w:r>
      <w:bookmarkEnd w:id="205"/>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4961"/>
      </w:tblGrid>
      <w:tr w:rsidR="00E7728E" w:rsidTr="00DF38D4">
        <w:trPr>
          <w:trHeight w:val="229"/>
        </w:trPr>
        <w:tc>
          <w:tcPr>
            <w:tcW w:w="524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cs="Verdana"/>
              </w:rPr>
            </w:pPr>
            <w:bookmarkStart w:id="207" w:name="DOC_TBL00090_1_1"/>
            <w:bookmarkEnd w:id="207"/>
            <w:r>
              <w:t>А. КОНТРОЛИРАНИ СУБЕКТИ (52)</w:t>
            </w:r>
          </w:p>
        </w:tc>
        <w:tc>
          <w:tcPr>
            <w:tcW w:w="496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rPr>
                <w:rFonts w:cs="Calibri"/>
              </w:rPr>
            </w:pPr>
          </w:p>
        </w:tc>
      </w:tr>
      <w:tr w:rsidR="00E7728E" w:rsidTr="00DF38D4">
        <w:tc>
          <w:tcPr>
            <w:tcW w:w="52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1. Институции и консултативни органи (11)</w:t>
            </w:r>
          </w:p>
        </w:tc>
        <w:tc>
          <w:tcPr>
            <w:tcW w:w="496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парламент</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Европейски надзорен орган по защита на данните</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съвет</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Европейски икономически и социален комитет</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Европейска комисия</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Европейски омбудсман</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Комитет на регионите</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Европейска сметна палата</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Съд на Европейския съюз</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Съвет на Европейския съюз</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Европейска служба за външна дейност</w:t>
            </w:r>
          </w:p>
        </w:tc>
        <w:tc>
          <w:tcPr>
            <w:tcW w:w="4961"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Pr="00DF38D4" w:rsidRDefault="00F50689" w:rsidP="00F50689">
            <w:pPr>
              <w:pStyle w:val="Text9pItalicLeft"/>
              <w:rPr>
                <w:rFonts w:cs="Verdana"/>
                <w:sz w:val="16"/>
                <w:szCs w:val="16"/>
              </w:rPr>
            </w:pPr>
          </w:p>
        </w:tc>
        <w:tc>
          <w:tcPr>
            <w:tcW w:w="4961" w:type="dxa"/>
            <w:tcBorders>
              <w:top w:val="nil"/>
              <w:left w:val="nil"/>
              <w:bottom w:val="nil"/>
              <w:right w:val="nil"/>
            </w:tcBorders>
            <w:tcMar>
              <w:top w:w="0" w:type="dxa"/>
              <w:left w:w="0" w:type="dxa"/>
              <w:bottom w:w="0" w:type="dxa"/>
              <w:right w:w="0" w:type="dxa"/>
            </w:tcMar>
          </w:tcPr>
          <w:p w:rsidR="00F50689" w:rsidRPr="00DF38D4" w:rsidRDefault="00F50689" w:rsidP="00F50689">
            <w:pPr>
              <w:pStyle w:val="Text9pItalicLeft025"/>
              <w:ind w:left="0"/>
              <w:rPr>
                <w:rFonts w:cs="Verdana"/>
                <w:sz w:val="16"/>
                <w:szCs w:val="16"/>
              </w:rPr>
            </w:pPr>
          </w:p>
        </w:tc>
      </w:tr>
      <w:tr w:rsidR="00E7728E" w:rsidTr="00DF38D4">
        <w:tc>
          <w:tcPr>
            <w:tcW w:w="52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2. Агенции на ЕС (39)</w:t>
            </w:r>
          </w:p>
        </w:tc>
        <w:tc>
          <w:tcPr>
            <w:tcW w:w="496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BoldLeft"/>
              <w:rPr>
                <w:rFonts w:eastAsia="Times New Roman" w:cs="Verdana"/>
              </w:rPr>
            </w:pPr>
            <w:r>
              <w:t>2.1. Изпълнителни агенции (6)</w:t>
            </w:r>
          </w:p>
        </w:tc>
        <w:tc>
          <w:tcPr>
            <w:tcW w:w="4961" w:type="dxa"/>
            <w:tcBorders>
              <w:top w:val="nil"/>
              <w:left w:val="nil"/>
              <w:bottom w:val="nil"/>
              <w:right w:val="nil"/>
            </w:tcBorders>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Изпълнителна агенция за образование, аудио-визия и култура</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Изпълнителна агенция за малките и средните предприятия</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Изпълнителна агенция за потребителите, здравеопазването, селското стопанство и храните</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Изпълнителна агенция за иновации и мрежи</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Изпълнителна агенция за научни изследвания</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Изпълнителна агенция на Европейския научноизследователски съвет</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Pr="00DF38D4" w:rsidRDefault="00F50689" w:rsidP="00F50689">
            <w:pPr>
              <w:pStyle w:val="Text9pItalicLeft"/>
              <w:rPr>
                <w:rFonts w:cs="Verdana"/>
                <w:sz w:val="16"/>
                <w:szCs w:val="16"/>
              </w:rPr>
            </w:pPr>
          </w:p>
        </w:tc>
        <w:tc>
          <w:tcPr>
            <w:tcW w:w="4961" w:type="dxa"/>
            <w:tcBorders>
              <w:top w:val="nil"/>
              <w:left w:val="nil"/>
              <w:bottom w:val="nil"/>
              <w:right w:val="nil"/>
            </w:tcBorders>
            <w:tcMar>
              <w:top w:w="0" w:type="dxa"/>
              <w:left w:w="0" w:type="dxa"/>
              <w:bottom w:w="0" w:type="dxa"/>
              <w:right w:w="0" w:type="dxa"/>
            </w:tcMar>
          </w:tcPr>
          <w:p w:rsidR="00F50689" w:rsidRPr="00DF38D4" w:rsidRDefault="00F50689" w:rsidP="00F50689">
            <w:pPr>
              <w:pStyle w:val="Text9pItalicLeft025"/>
              <w:ind w:left="0"/>
              <w:rPr>
                <w:rFonts w:cs="Verdana"/>
                <w:sz w:val="16"/>
                <w:szCs w:val="16"/>
              </w:rPr>
            </w:pP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BoldLeft"/>
              <w:rPr>
                <w:rFonts w:eastAsia="Times New Roman" w:cs="Verdana"/>
              </w:rPr>
            </w:pPr>
            <w:r>
              <w:t>2.2. Децентрализирани агенции (33)</w:t>
            </w:r>
          </w:p>
        </w:tc>
        <w:tc>
          <w:tcPr>
            <w:tcW w:w="4961" w:type="dxa"/>
            <w:tcBorders>
              <w:top w:val="nil"/>
              <w:left w:val="nil"/>
              <w:bottom w:val="nil"/>
              <w:right w:val="nil"/>
            </w:tcBorders>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Европейска агенция по морска безопасност</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Европейски орган за безопасност на храните</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Европейска агенция по лекарствата</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Европейска железопътна агенция</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надзорен орган на глобалната навигационна спътникова система (ГНСС)</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Служба на Общността за сортовете растения</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Европейска агенция по химикали</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Европейска агенция за контрол на рибарството</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Термоядрен синтез за енергия (европейско съвместно предприятие за ITER и развитие на термоядрената енергетика)</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Европейски център за мониторинг на наркотиците и наркоманиите</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Евроюст</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Европейски полицейски колеж (ЕПК)</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институт за равенство между половете</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Европейска полицейска служба (ЕВРОПОЛ)</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Pr="00DF38D4" w:rsidRDefault="005A36C4" w:rsidP="00F50689">
            <w:pPr>
              <w:pStyle w:val="Text9pItalicLeft"/>
              <w:rPr>
                <w:rFonts w:cs="Verdana"/>
                <w:spacing w:val="-6"/>
              </w:rPr>
            </w:pPr>
            <w:r w:rsidRPr="00DF38D4">
              <w:rPr>
                <w:spacing w:val="-6"/>
              </w:rPr>
              <w:t>Европейска агенция за безопасност и здраве при работа</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Европейска агенция за авиационна безопасност</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център за профилактика и контрол на заболяванията</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Европейска агенция за мрежова и информационна сигурност</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Европейска агенция за околната среда</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Агенция на Европейския съюз за основните права</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център за развитие на професионалното обучение</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Европейски орган за застраховане и професионално пенсионно осигуряване</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Pr="00DF38D4" w:rsidRDefault="005A36C4" w:rsidP="00F50689">
            <w:pPr>
              <w:pStyle w:val="Text9pItalicLeft"/>
              <w:rPr>
                <w:rFonts w:cs="Verdana"/>
                <w:spacing w:val="-8"/>
              </w:rPr>
            </w:pPr>
            <w:r w:rsidRPr="00DF38D4">
              <w:rPr>
                <w:spacing w:val="-8"/>
              </w:rPr>
              <w:t>Агенция за сътрудничество между регулаторите на енергия</w:t>
            </w:r>
          </w:p>
        </w:tc>
        <w:tc>
          <w:tcPr>
            <w:tcW w:w="4961" w:type="dxa"/>
            <w:tcBorders>
              <w:top w:val="nil"/>
              <w:left w:val="nil"/>
              <w:bottom w:val="nil"/>
              <w:right w:val="nil"/>
            </w:tcBorders>
            <w:tcMar>
              <w:top w:w="0" w:type="dxa"/>
              <w:left w:w="0" w:type="dxa"/>
              <w:bottom w:w="0" w:type="dxa"/>
              <w:right w:w="0" w:type="dxa"/>
            </w:tcMar>
          </w:tcPr>
          <w:p w:rsidR="00F50689" w:rsidRPr="00DF38D4" w:rsidRDefault="005A36C4" w:rsidP="00F50689">
            <w:pPr>
              <w:pStyle w:val="Text9pItalicLeft025"/>
              <w:ind w:left="0"/>
              <w:rPr>
                <w:rFonts w:cs="Verdana"/>
                <w:spacing w:val="-6"/>
              </w:rPr>
            </w:pPr>
            <w:r w:rsidRPr="00DF38D4">
              <w:rPr>
                <w:spacing w:val="-6"/>
              </w:rPr>
              <w:t>Център за преводи за органите на Европейския съюз</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Европейски банков орган</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Европейски орган за ценни книжа и пазари</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Европейска служба за подкрепа в областта на убежището</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Европейска фондация за обучение</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Служба на Органа на европейските регулатори в областта на електронните съобщения</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Европейска фондация за подобряване на условията на живот и труд</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Pr="00F148BC" w:rsidRDefault="005A36C4" w:rsidP="00F50689">
            <w:pPr>
              <w:pStyle w:val="Text9pItalicLeft"/>
              <w:rPr>
                <w:rFonts w:cs="Verdana"/>
                <w:spacing w:val="-4"/>
              </w:rPr>
            </w:pPr>
            <w:r w:rsidRPr="00F148BC">
              <w:rPr>
                <w:spacing w:val="-4"/>
              </w:rPr>
              <w:t>Европейска агенция за управление на оперативното сътрудничество по външните граници на държавите — членки на Европейския съюз</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Служба на ЕС за хармонизация във вътрешния пазар (марки и дизайни)</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Pr="00F148BC" w:rsidRDefault="005A36C4" w:rsidP="00F50689">
            <w:pPr>
              <w:pStyle w:val="Text9pItalicLeft"/>
              <w:rPr>
                <w:rFonts w:cs="Verdana"/>
                <w:spacing w:val="-6"/>
              </w:rPr>
            </w:pPr>
            <w:r w:rsidRPr="00F148BC">
              <w:rPr>
                <w:spacing w:val="-6"/>
              </w:rPr>
              <w:t>EU-LISA (Европейска агенция за оперативното управление на широкомащабни информационни системи в областта на свободата, сигурността и правосъдието)</w:t>
            </w:r>
          </w:p>
        </w:tc>
        <w:tc>
          <w:tcPr>
            <w:tcW w:w="4961"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Pr="00DF38D4" w:rsidRDefault="00F50689" w:rsidP="00F50689">
            <w:pPr>
              <w:pStyle w:val="Text9pItalicLeft"/>
              <w:rPr>
                <w:rFonts w:cs="Verdana"/>
                <w:sz w:val="16"/>
                <w:szCs w:val="16"/>
              </w:rPr>
            </w:pPr>
          </w:p>
        </w:tc>
        <w:tc>
          <w:tcPr>
            <w:tcW w:w="4961" w:type="dxa"/>
            <w:tcBorders>
              <w:top w:val="nil"/>
              <w:left w:val="nil"/>
              <w:bottom w:val="nil"/>
              <w:right w:val="nil"/>
            </w:tcBorders>
            <w:tcMar>
              <w:top w:w="0" w:type="dxa"/>
              <w:left w:w="0" w:type="dxa"/>
              <w:bottom w:w="0" w:type="dxa"/>
              <w:right w:w="0" w:type="dxa"/>
            </w:tcMar>
          </w:tcPr>
          <w:p w:rsidR="00F50689" w:rsidRPr="00DF38D4" w:rsidRDefault="00F50689" w:rsidP="00F50689">
            <w:pPr>
              <w:pStyle w:val="Text9pItalicLeft025"/>
              <w:ind w:left="0"/>
              <w:rPr>
                <w:rFonts w:cs="Verdana"/>
                <w:sz w:val="16"/>
                <w:szCs w:val="16"/>
              </w:rPr>
            </w:pPr>
          </w:p>
        </w:tc>
      </w:tr>
      <w:tr w:rsidR="00E7728E" w:rsidTr="00DF38D4">
        <w:tc>
          <w:tcPr>
            <w:tcW w:w="52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3. Други контролирани субекти (2)</w:t>
            </w:r>
          </w:p>
        </w:tc>
        <w:tc>
          <w:tcPr>
            <w:tcW w:w="496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Pr="00DF38D4" w:rsidRDefault="005A36C4" w:rsidP="00F50689">
            <w:pPr>
              <w:pStyle w:val="Text9pItalicLeft"/>
              <w:rPr>
                <w:rFonts w:cs="Verdana"/>
                <w:spacing w:val="-8"/>
              </w:rPr>
            </w:pPr>
            <w:r w:rsidRPr="00DF38D4">
              <w:rPr>
                <w:spacing w:val="-8"/>
              </w:rPr>
              <w:t>Европейска общност за въглища и стомана (в ликвидация)</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Европейски институт за иновации и технологии</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4961"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rsidTr="00DF38D4">
        <w:trPr>
          <w:trHeight w:val="229"/>
        </w:trPr>
        <w:tc>
          <w:tcPr>
            <w:tcW w:w="524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cs="Verdana"/>
              </w:rPr>
            </w:pPr>
            <w:r>
              <w:t>Б. СЪВМЕСТНИ ПРЕДПРИЯТИЯ (7)</w:t>
            </w:r>
          </w:p>
        </w:tc>
        <w:tc>
          <w:tcPr>
            <w:tcW w:w="496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rPr>
                <w:rFonts w:cs="Calibri"/>
              </w:rPr>
            </w:pP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Pr="00DF38D4" w:rsidRDefault="005A36C4" w:rsidP="00F50689">
            <w:pPr>
              <w:pStyle w:val="Text9pItalicLeft"/>
              <w:rPr>
                <w:rFonts w:cs="Verdana"/>
                <w:spacing w:val="-6"/>
              </w:rPr>
            </w:pPr>
            <w:r w:rsidRPr="00DF38D4">
              <w:rPr>
                <w:spacing w:val="-6"/>
              </w:rPr>
              <w:t>Международна организация по термоядрена енергия ITER</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Съвместно предприятие „Галилео“ в ликвидация</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Съвместно предприятие SESAR</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Съвместно предприятие „Инициатива за иновативни лекарства 2“</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Pr="00F148BC" w:rsidRDefault="005A36C4" w:rsidP="00F50689">
            <w:pPr>
              <w:pStyle w:val="Text9pItalicLeft"/>
              <w:rPr>
                <w:rFonts w:cs="Verdana"/>
                <w:spacing w:val="-6"/>
              </w:rPr>
            </w:pPr>
            <w:r w:rsidRPr="00F148BC">
              <w:rPr>
                <w:spacing w:val="-6"/>
              </w:rPr>
              <w:t>Съвместно предприятие „Горивни клетки и водород 2“</w:t>
            </w:r>
          </w:p>
        </w:tc>
        <w:tc>
          <w:tcPr>
            <w:tcW w:w="4961"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Съвместно предприятие ECSEL*</w:t>
            </w: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Съвместно предприятие „Чисто небе 2“</w:t>
            </w:r>
          </w:p>
        </w:tc>
        <w:tc>
          <w:tcPr>
            <w:tcW w:w="4961"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rsidTr="00DF38D4">
        <w:trPr>
          <w:trHeight w:val="229"/>
        </w:trPr>
        <w:tc>
          <w:tcPr>
            <w:tcW w:w="524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cs="Verdana"/>
              </w:rPr>
            </w:pPr>
            <w:r>
              <w:t>В. АСОЦИИРАНИ ПРЕДПРИЯТИЯ (1)</w:t>
            </w:r>
          </w:p>
        </w:tc>
        <w:tc>
          <w:tcPr>
            <w:tcW w:w="496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rPr>
                <w:rFonts w:cs="Calibri"/>
              </w:rPr>
            </w:pP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Европейски инвестиционен фонд </w:t>
            </w:r>
          </w:p>
        </w:tc>
        <w:tc>
          <w:tcPr>
            <w:tcW w:w="4961"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rsidTr="00DF38D4">
        <w:tc>
          <w:tcPr>
            <w:tcW w:w="5245" w:type="dxa"/>
            <w:tcBorders>
              <w:top w:val="nil"/>
              <w:left w:val="nil"/>
              <w:bottom w:val="nil"/>
              <w:right w:val="nil"/>
            </w:tcBorders>
            <w:tcMar>
              <w:top w:w="0" w:type="dxa"/>
              <w:left w:w="0" w:type="dxa"/>
              <w:bottom w:w="0" w:type="dxa"/>
              <w:right w:w="0" w:type="dxa"/>
            </w:tcMar>
          </w:tcPr>
          <w:p w:rsidR="00F50689" w:rsidRPr="00DF38D4" w:rsidRDefault="00F50689" w:rsidP="00F50689">
            <w:pPr>
              <w:pStyle w:val="Text9pItalicLeft"/>
              <w:rPr>
                <w:rFonts w:cs="Verdana"/>
                <w:sz w:val="16"/>
                <w:szCs w:val="16"/>
              </w:rPr>
            </w:pPr>
          </w:p>
        </w:tc>
        <w:tc>
          <w:tcPr>
            <w:tcW w:w="4961" w:type="dxa"/>
            <w:tcBorders>
              <w:top w:val="nil"/>
              <w:left w:val="nil"/>
              <w:bottom w:val="nil"/>
              <w:right w:val="nil"/>
            </w:tcBorders>
            <w:tcMar>
              <w:top w:w="0" w:type="dxa"/>
              <w:left w:w="0" w:type="dxa"/>
              <w:bottom w:w="0" w:type="dxa"/>
              <w:right w:w="0" w:type="dxa"/>
            </w:tcMar>
          </w:tcPr>
          <w:p w:rsidR="00F50689" w:rsidRPr="00DF38D4" w:rsidRDefault="00F50689" w:rsidP="00F50689">
            <w:pPr>
              <w:pStyle w:val="Text9pItalicLeft025"/>
              <w:ind w:left="0"/>
              <w:rPr>
                <w:rFonts w:cs="Verdana"/>
                <w:sz w:val="16"/>
                <w:szCs w:val="16"/>
              </w:rPr>
            </w:pPr>
          </w:p>
        </w:tc>
      </w:tr>
    </w:tbl>
    <w:p w:rsidR="00F50689" w:rsidRPr="008A7D59" w:rsidRDefault="005A36C4" w:rsidP="00DF38D4">
      <w:pPr>
        <w:pStyle w:val="Textstand-alone"/>
        <w:tabs>
          <w:tab w:val="left" w:pos="426"/>
        </w:tabs>
        <w:spacing w:before="0" w:after="0"/>
        <w:ind w:left="425" w:hanging="425"/>
        <w:rPr>
          <w:i/>
          <w:sz w:val="14"/>
        </w:rPr>
      </w:pPr>
      <w:r>
        <w:rPr>
          <w:i/>
          <w:sz w:val="14"/>
        </w:rPr>
        <w:t>*</w:t>
      </w:r>
      <w:r>
        <w:tab/>
      </w:r>
      <w:r>
        <w:rPr>
          <w:i/>
          <w:sz w:val="14"/>
        </w:rPr>
        <w:t>Съвместното предприятие ECSEL е образувано в резултат на сливането на съвместните предприятия ARTEMIS и ENIAC през 2014 финансова година.</w:t>
      </w:r>
    </w:p>
    <w:p w:rsidR="00F50689" w:rsidRPr="009D7F1A" w:rsidRDefault="005A36C4" w:rsidP="00F50689">
      <w:pPr>
        <w:pStyle w:val="Textstand-alone"/>
        <w:tabs>
          <w:tab w:val="left" w:pos="426"/>
        </w:tabs>
        <w:spacing w:before="360" w:after="360"/>
        <w:ind w:left="426" w:hanging="426"/>
        <w:rPr>
          <w:i/>
        </w:rPr>
        <w:sectPr w:rsidR="00F50689" w:rsidRPr="009D7F1A" w:rsidSect="00F50689">
          <w:headerReference w:type="even" r:id="rId419"/>
          <w:headerReference w:type="default" r:id="rId420"/>
          <w:footerReference w:type="even" r:id="rId421"/>
          <w:footerReference w:type="default" r:id="rId422"/>
          <w:headerReference w:type="first" r:id="rId423"/>
          <w:footerReference w:type="first" r:id="rId424"/>
          <w:pgSz w:w="11906" w:h="16838"/>
          <w:pgMar w:top="1134" w:right="1134" w:bottom="1134" w:left="1134" w:header="709" w:footer="709" w:gutter="0"/>
          <w:cols w:space="708"/>
          <w:docGrid w:linePitch="360"/>
        </w:sectPr>
      </w:pPr>
      <w:r>
        <w:rPr>
          <w:i/>
        </w:rPr>
        <w:t xml:space="preserve"> </w:t>
      </w:r>
      <w:bookmarkEnd w:id="206"/>
    </w:p>
    <w:p w:rsidR="00F50689" w:rsidRPr="00012B40" w:rsidRDefault="005A36C4" w:rsidP="00F50689">
      <w:pPr>
        <w:pStyle w:val="FinancialYear"/>
      </w:pPr>
      <w:bookmarkStart w:id="208" w:name="_DMBM_3455"/>
      <w:r>
        <w:t>ЕВРОПЕЙСКИ СЪЮЗ</w:t>
      </w:r>
    </w:p>
    <w:p w:rsidR="00F50689" w:rsidRDefault="005A36C4" w:rsidP="00F50689">
      <w:pPr>
        <w:pStyle w:val="FinancialYear"/>
      </w:pPr>
      <w:r>
        <w:t>2014 ФИНАНСОВА ГОДИНА</w:t>
      </w:r>
    </w:p>
    <w:p w:rsidR="00F50689" w:rsidRPr="006E18B4" w:rsidRDefault="00F50689" w:rsidP="00F50689">
      <w:pPr>
        <w:pStyle w:val="FIRSTCHAPTERPAGE2"/>
      </w:pPr>
    </w:p>
    <w:p w:rsidR="00F50689" w:rsidRPr="006E18B4" w:rsidRDefault="00F50689" w:rsidP="00F50689">
      <w:pPr>
        <w:pStyle w:val="FIRSTCHAPTERPAGE2"/>
      </w:pPr>
    </w:p>
    <w:p w:rsidR="00F50689" w:rsidRPr="006E18B4" w:rsidRDefault="00F50689" w:rsidP="00F50689">
      <w:pPr>
        <w:pStyle w:val="FIRSTCHAPTERPAGE2"/>
      </w:pPr>
    </w:p>
    <w:p w:rsidR="00F50689" w:rsidRPr="006E18B4" w:rsidRDefault="00F50689" w:rsidP="00F50689">
      <w:pPr>
        <w:pStyle w:val="FIRSTCHAPTERPAGE2"/>
      </w:pPr>
    </w:p>
    <w:p w:rsidR="00F50689" w:rsidRPr="00FE3ADE" w:rsidRDefault="005A36C4" w:rsidP="00F50689">
      <w:pPr>
        <w:pStyle w:val="FIRSTCHAPTERPAGE"/>
      </w:pPr>
      <w:bookmarkStart w:id="209" w:name="_Toc390968562"/>
      <w:bookmarkStart w:id="210" w:name="_Toc431302346"/>
      <w:r>
        <w:t>АГРЕГИРАНИ ОТЧЕТИ ЗА ИЗПЪЛНЕНИЕТО НА БЮДЖЕТА И ОБЯСНИТЕЛНИ БЕЛЕЖКИ</w:t>
      </w:r>
      <w:bookmarkEnd w:id="209"/>
      <w:bookmarkEnd w:id="210"/>
    </w:p>
    <w:p w:rsidR="00F50689" w:rsidRDefault="00F50689" w:rsidP="00F50689">
      <w:pPr>
        <w:pStyle w:val="FIRSTCHAPTERPAGE2"/>
      </w:pPr>
    </w:p>
    <w:p w:rsidR="00F50689" w:rsidRDefault="00F50689" w:rsidP="00F50689">
      <w:pPr>
        <w:pStyle w:val="FIRSTCHAPTERPAGE2"/>
      </w:pPr>
    </w:p>
    <w:p w:rsidR="00F50689" w:rsidRDefault="00F50689" w:rsidP="00F50689">
      <w:pPr>
        <w:pStyle w:val="FIRSTCHAPTERPAGE2"/>
      </w:pPr>
    </w:p>
    <w:p w:rsidR="00F50689" w:rsidRDefault="00F50689" w:rsidP="00F50689">
      <w:pPr>
        <w:pStyle w:val="FIRSTCHAPTERPAGE2"/>
      </w:pPr>
    </w:p>
    <w:p w:rsidR="00F50689" w:rsidRDefault="00F50689" w:rsidP="00F50689">
      <w:pPr>
        <w:pStyle w:val="FIRSTCHAPTERPAGE2"/>
      </w:pPr>
    </w:p>
    <w:p w:rsidR="00F50689" w:rsidRDefault="005A36C4" w:rsidP="00F50689">
      <w:pPr>
        <w:pStyle w:val="TOPHEADERNOTE"/>
        <w:sectPr w:rsidR="00F50689" w:rsidSect="00F50689">
          <w:headerReference w:type="even" r:id="rId425"/>
          <w:headerReference w:type="default" r:id="rId426"/>
          <w:footerReference w:type="even" r:id="rId427"/>
          <w:footerReference w:type="default" r:id="rId428"/>
          <w:headerReference w:type="first" r:id="rId429"/>
          <w:footerReference w:type="first" r:id="rId430"/>
          <w:pgSz w:w="11907" w:h="16840" w:code="9"/>
          <w:pgMar w:top="1134" w:right="1134" w:bottom="1134" w:left="1134" w:header="709" w:footer="709" w:gutter="0"/>
          <w:cols w:space="708"/>
          <w:docGrid w:linePitch="360"/>
        </w:sectPr>
      </w:pPr>
      <w:r>
        <w:t>Следва да се отбележи, че поради закръглянето на цифрите в милиони евро някои финансови данни в таблиците по-долу може да изглеждат грешни.</w:t>
      </w:r>
      <w:bookmarkEnd w:id="208"/>
    </w:p>
    <w:p w:rsidR="00F50689" w:rsidRDefault="005A36C4" w:rsidP="00F50689">
      <w:pPr>
        <w:pStyle w:val="HEADERTABLE"/>
      </w:pPr>
      <w:bookmarkStart w:id="211" w:name="_DMBM_3425"/>
      <w:r>
        <w:t>СЪДЪРЖАНИЕ</w:t>
      </w:r>
    </w:p>
    <w:p w:rsidR="00DF38D4" w:rsidRDefault="00DF38D4">
      <w:pPr>
        <w:pStyle w:val="TOC1"/>
        <w:rPr>
          <w:rFonts w:asciiTheme="minorHAnsi" w:eastAsiaTheme="minorEastAsia" w:hAnsiTheme="minorHAnsi" w:cstheme="minorBidi"/>
          <w:color w:val="auto"/>
          <w:szCs w:val="22"/>
          <w:lang w:val="en-GB" w:eastAsia="en-GB" w:bidi="ar-SA"/>
        </w:rPr>
      </w:pPr>
      <w:r>
        <w:rPr>
          <w:szCs w:val="24"/>
          <w:lang w:val="fr-BE"/>
        </w:rPr>
        <w:fldChar w:fldCharType="begin"/>
      </w:r>
      <w:r>
        <w:instrText xml:space="preserve"> TOC \h \z \t "HEADER 1_Part 3;1;HEADER 2_Part 3;2;HEADER_TITLE_2;1" </w:instrText>
      </w:r>
      <w:r>
        <w:rPr>
          <w:szCs w:val="24"/>
          <w:lang w:val="fr-BE"/>
        </w:rPr>
        <w:fldChar w:fldCharType="separate"/>
      </w:r>
      <w:hyperlink w:anchor="_Toc431307051" w:history="1">
        <w:r w:rsidRPr="009B1AB8">
          <w:rPr>
            <w:rStyle w:val="Hyperlink"/>
          </w:rPr>
          <w:t>БЮДЖЕТЕН РЕЗУЛТАТ</w:t>
        </w:r>
        <w:r>
          <w:rPr>
            <w:webHidden/>
          </w:rPr>
          <w:tab/>
        </w:r>
        <w:r>
          <w:rPr>
            <w:webHidden/>
          </w:rPr>
          <w:fldChar w:fldCharType="begin"/>
        </w:r>
        <w:r>
          <w:rPr>
            <w:webHidden/>
          </w:rPr>
          <w:instrText xml:space="preserve"> PAGEREF _Toc431307051 \h </w:instrText>
        </w:r>
        <w:r>
          <w:rPr>
            <w:webHidden/>
          </w:rPr>
        </w:r>
        <w:r>
          <w:rPr>
            <w:webHidden/>
          </w:rPr>
          <w:fldChar w:fldCharType="separate"/>
        </w:r>
        <w:r w:rsidR="009471AD">
          <w:rPr>
            <w:webHidden/>
          </w:rPr>
          <w:t>105</w:t>
        </w:r>
        <w:r>
          <w:rPr>
            <w:webHidden/>
          </w:rPr>
          <w:fldChar w:fldCharType="end"/>
        </w:r>
      </w:hyperlink>
    </w:p>
    <w:p w:rsidR="00DF38D4" w:rsidRDefault="00B55B79">
      <w:pPr>
        <w:pStyle w:val="TOC1"/>
        <w:rPr>
          <w:rFonts w:asciiTheme="minorHAnsi" w:eastAsiaTheme="minorEastAsia" w:hAnsiTheme="minorHAnsi" w:cstheme="minorBidi"/>
          <w:color w:val="auto"/>
          <w:szCs w:val="22"/>
          <w:lang w:val="en-GB" w:eastAsia="en-GB" w:bidi="ar-SA"/>
        </w:rPr>
      </w:pPr>
      <w:hyperlink w:anchor="_Toc431307052" w:history="1">
        <w:r w:rsidR="00DF38D4" w:rsidRPr="009B1AB8">
          <w:rPr>
            <w:rStyle w:val="Hyperlink"/>
          </w:rPr>
          <w:t>РАВНЕНИЕ НА ФИНАНСОВИЯ РЕЗУЛТАТ С БЮДЖЕТНИЯ РЕЗУЛТАТ</w:t>
        </w:r>
        <w:r w:rsidR="00DF38D4">
          <w:rPr>
            <w:webHidden/>
          </w:rPr>
          <w:tab/>
        </w:r>
        <w:r w:rsidR="00DF38D4">
          <w:rPr>
            <w:webHidden/>
          </w:rPr>
          <w:fldChar w:fldCharType="begin"/>
        </w:r>
        <w:r w:rsidR="00DF38D4">
          <w:rPr>
            <w:webHidden/>
          </w:rPr>
          <w:instrText xml:space="preserve"> PAGEREF _Toc431307052 \h </w:instrText>
        </w:r>
        <w:r w:rsidR="00DF38D4">
          <w:rPr>
            <w:webHidden/>
          </w:rPr>
        </w:r>
        <w:r w:rsidR="00DF38D4">
          <w:rPr>
            <w:webHidden/>
          </w:rPr>
          <w:fldChar w:fldCharType="separate"/>
        </w:r>
        <w:r w:rsidR="009471AD">
          <w:rPr>
            <w:webHidden/>
          </w:rPr>
          <w:t>106</w:t>
        </w:r>
        <w:r w:rsidR="00DF38D4">
          <w:rPr>
            <w:webHidden/>
          </w:rPr>
          <w:fldChar w:fldCharType="end"/>
        </w:r>
      </w:hyperlink>
    </w:p>
    <w:p w:rsidR="00DF38D4" w:rsidRDefault="00B55B79">
      <w:pPr>
        <w:pStyle w:val="TOC1"/>
        <w:rPr>
          <w:rFonts w:asciiTheme="minorHAnsi" w:eastAsiaTheme="minorEastAsia" w:hAnsiTheme="minorHAnsi" w:cstheme="minorBidi"/>
          <w:color w:val="auto"/>
          <w:szCs w:val="22"/>
          <w:lang w:val="en-GB" w:eastAsia="en-GB" w:bidi="ar-SA"/>
        </w:rPr>
      </w:pPr>
      <w:hyperlink w:anchor="_Toc431307053" w:history="1">
        <w:r w:rsidR="00DF38D4" w:rsidRPr="009B1AB8">
          <w:rPr>
            <w:rStyle w:val="Hyperlink"/>
          </w:rPr>
          <w:t>СЪПОСТАВКА НА БЮДЖЕТНИТЕ С РЕАЛНИТЕ СУМИ</w:t>
        </w:r>
        <w:r w:rsidR="00DF38D4">
          <w:rPr>
            <w:webHidden/>
          </w:rPr>
          <w:tab/>
        </w:r>
        <w:r w:rsidR="00DF38D4">
          <w:rPr>
            <w:webHidden/>
          </w:rPr>
          <w:fldChar w:fldCharType="begin"/>
        </w:r>
        <w:r w:rsidR="00DF38D4">
          <w:rPr>
            <w:webHidden/>
          </w:rPr>
          <w:instrText xml:space="preserve"> PAGEREF _Toc431307053 \h </w:instrText>
        </w:r>
        <w:r w:rsidR="00DF38D4">
          <w:rPr>
            <w:webHidden/>
          </w:rPr>
        </w:r>
        <w:r w:rsidR="00DF38D4">
          <w:rPr>
            <w:webHidden/>
          </w:rPr>
          <w:fldChar w:fldCharType="separate"/>
        </w:r>
        <w:r w:rsidR="009471AD">
          <w:rPr>
            <w:webHidden/>
          </w:rPr>
          <w:t>107</w:t>
        </w:r>
        <w:r w:rsidR="00DF38D4">
          <w:rPr>
            <w:webHidden/>
          </w:rPr>
          <w:fldChar w:fldCharType="end"/>
        </w:r>
      </w:hyperlink>
    </w:p>
    <w:p w:rsidR="00DF38D4" w:rsidRDefault="00B55B79">
      <w:pPr>
        <w:pStyle w:val="TOC1"/>
        <w:rPr>
          <w:rFonts w:asciiTheme="minorHAnsi" w:eastAsiaTheme="minorEastAsia" w:hAnsiTheme="minorHAnsi" w:cstheme="minorBidi"/>
          <w:color w:val="auto"/>
          <w:szCs w:val="22"/>
          <w:lang w:val="en-GB" w:eastAsia="en-GB" w:bidi="ar-SA"/>
        </w:rPr>
      </w:pPr>
      <w:hyperlink w:anchor="_Toc431307054" w:history="1">
        <w:r w:rsidR="00DF38D4" w:rsidRPr="009B1AB8">
          <w:rPr>
            <w:rStyle w:val="Hyperlink"/>
          </w:rPr>
          <w:t>БЕЛЕЖКИ КЪМ АГРЕГИРАНИТЕ ДОКЛАДИ ЗА ИЗПЪЛНЕНИЕТО НА БЮДЖЕТА</w:t>
        </w:r>
        <w:r w:rsidR="00DF38D4">
          <w:rPr>
            <w:webHidden/>
          </w:rPr>
          <w:tab/>
        </w:r>
        <w:r w:rsidR="00DF38D4">
          <w:rPr>
            <w:webHidden/>
          </w:rPr>
          <w:fldChar w:fldCharType="begin"/>
        </w:r>
        <w:r w:rsidR="00DF38D4">
          <w:rPr>
            <w:webHidden/>
          </w:rPr>
          <w:instrText xml:space="preserve"> PAGEREF _Toc431307054 \h </w:instrText>
        </w:r>
        <w:r w:rsidR="00DF38D4">
          <w:rPr>
            <w:webHidden/>
          </w:rPr>
        </w:r>
        <w:r w:rsidR="00DF38D4">
          <w:rPr>
            <w:webHidden/>
          </w:rPr>
          <w:fldChar w:fldCharType="separate"/>
        </w:r>
        <w:r w:rsidR="009471AD">
          <w:rPr>
            <w:webHidden/>
          </w:rPr>
          <w:t>110</w:t>
        </w:r>
        <w:r w:rsidR="00DF38D4">
          <w:rPr>
            <w:webHidden/>
          </w:rPr>
          <w:fldChar w:fldCharType="end"/>
        </w:r>
      </w:hyperlink>
    </w:p>
    <w:p w:rsidR="00DF38D4" w:rsidRDefault="00B55B79">
      <w:pPr>
        <w:pStyle w:val="TOC1"/>
        <w:tabs>
          <w:tab w:val="left" w:pos="567"/>
        </w:tabs>
        <w:rPr>
          <w:rFonts w:asciiTheme="minorHAnsi" w:eastAsiaTheme="minorEastAsia" w:hAnsiTheme="minorHAnsi" w:cstheme="minorBidi"/>
          <w:color w:val="auto"/>
          <w:szCs w:val="22"/>
          <w:lang w:val="en-GB" w:eastAsia="en-GB" w:bidi="ar-SA"/>
        </w:rPr>
      </w:pPr>
      <w:hyperlink w:anchor="_Toc431307055" w:history="1">
        <w:r w:rsidR="00DF38D4" w:rsidRPr="009B1AB8">
          <w:rPr>
            <w:rStyle w:val="Hyperlink"/>
          </w:rPr>
          <w:t>1.</w:t>
        </w:r>
        <w:r w:rsidR="00DF38D4">
          <w:rPr>
            <w:rFonts w:asciiTheme="minorHAnsi" w:eastAsiaTheme="minorEastAsia" w:hAnsiTheme="minorHAnsi" w:cstheme="minorBidi"/>
            <w:color w:val="auto"/>
            <w:szCs w:val="22"/>
            <w:lang w:val="en-GB" w:eastAsia="en-GB" w:bidi="ar-SA"/>
          </w:rPr>
          <w:tab/>
        </w:r>
        <w:r w:rsidR="00DF38D4" w:rsidRPr="009B1AB8">
          <w:rPr>
            <w:rStyle w:val="Hyperlink"/>
          </w:rPr>
          <w:t>ЦИКЪЛ НА БЮДЖЕТА НА ЕС</w:t>
        </w:r>
        <w:r w:rsidR="00DF38D4">
          <w:rPr>
            <w:webHidden/>
          </w:rPr>
          <w:tab/>
        </w:r>
        <w:r w:rsidR="00DF38D4">
          <w:rPr>
            <w:webHidden/>
          </w:rPr>
          <w:fldChar w:fldCharType="begin"/>
        </w:r>
        <w:r w:rsidR="00DF38D4">
          <w:rPr>
            <w:webHidden/>
          </w:rPr>
          <w:instrText xml:space="preserve"> PAGEREF _Toc431307055 \h </w:instrText>
        </w:r>
        <w:r w:rsidR="00DF38D4">
          <w:rPr>
            <w:webHidden/>
          </w:rPr>
        </w:r>
        <w:r w:rsidR="00DF38D4">
          <w:rPr>
            <w:webHidden/>
          </w:rPr>
          <w:fldChar w:fldCharType="separate"/>
        </w:r>
        <w:r w:rsidR="009471AD">
          <w:rPr>
            <w:webHidden/>
          </w:rPr>
          <w:t>110</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56" w:history="1">
        <w:r w:rsidR="00DF38D4" w:rsidRPr="009B1AB8">
          <w:rPr>
            <w:rStyle w:val="Hyperlink"/>
          </w:rPr>
          <w:t>1.1.</w:t>
        </w:r>
        <w:r w:rsidR="00DF38D4">
          <w:rPr>
            <w:rFonts w:asciiTheme="minorHAnsi" w:eastAsiaTheme="minorEastAsia" w:hAnsiTheme="minorHAnsi" w:cstheme="minorBidi"/>
            <w:color w:val="auto"/>
            <w:sz w:val="22"/>
            <w:lang w:val="en-GB" w:eastAsia="en-GB" w:bidi="ar-SA"/>
          </w:rPr>
          <w:tab/>
        </w:r>
        <w:r w:rsidR="00DF38D4" w:rsidRPr="009B1AB8">
          <w:rPr>
            <w:rStyle w:val="Hyperlink"/>
          </w:rPr>
          <w:t>МНОГОГОДИШНА ФИНАНСОВА РАМКА ЗА 2014—2020 Г.</w:t>
        </w:r>
        <w:r w:rsidR="00DF38D4">
          <w:rPr>
            <w:webHidden/>
          </w:rPr>
          <w:tab/>
        </w:r>
        <w:r w:rsidR="00DF38D4">
          <w:rPr>
            <w:webHidden/>
          </w:rPr>
          <w:fldChar w:fldCharType="begin"/>
        </w:r>
        <w:r w:rsidR="00DF38D4">
          <w:rPr>
            <w:webHidden/>
          </w:rPr>
          <w:instrText xml:space="preserve"> PAGEREF _Toc431307056 \h </w:instrText>
        </w:r>
        <w:r w:rsidR="00DF38D4">
          <w:rPr>
            <w:webHidden/>
          </w:rPr>
        </w:r>
        <w:r w:rsidR="00DF38D4">
          <w:rPr>
            <w:webHidden/>
          </w:rPr>
          <w:fldChar w:fldCharType="separate"/>
        </w:r>
        <w:r w:rsidR="009471AD">
          <w:rPr>
            <w:webHidden/>
          </w:rPr>
          <w:t>110</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57" w:history="1">
        <w:r w:rsidR="00DF38D4" w:rsidRPr="009B1AB8">
          <w:rPr>
            <w:rStyle w:val="Hyperlink"/>
          </w:rPr>
          <w:t>1.2.</w:t>
        </w:r>
        <w:r w:rsidR="00DF38D4">
          <w:rPr>
            <w:rFonts w:asciiTheme="minorHAnsi" w:eastAsiaTheme="minorEastAsia" w:hAnsiTheme="minorHAnsi" w:cstheme="minorBidi"/>
            <w:color w:val="auto"/>
            <w:sz w:val="22"/>
            <w:lang w:val="en-GB" w:eastAsia="en-GB" w:bidi="ar-SA"/>
          </w:rPr>
          <w:tab/>
        </w:r>
        <w:r w:rsidR="00DF38D4" w:rsidRPr="009B1AB8">
          <w:rPr>
            <w:rStyle w:val="Hyperlink"/>
          </w:rPr>
          <w:t>ОБЛАСТИ НА ПОЛИТИКАТА</w:t>
        </w:r>
        <w:r w:rsidR="00DF38D4">
          <w:rPr>
            <w:webHidden/>
          </w:rPr>
          <w:tab/>
        </w:r>
        <w:r w:rsidR="00DF38D4">
          <w:rPr>
            <w:webHidden/>
          </w:rPr>
          <w:fldChar w:fldCharType="begin"/>
        </w:r>
        <w:r w:rsidR="00DF38D4">
          <w:rPr>
            <w:webHidden/>
          </w:rPr>
          <w:instrText xml:space="preserve"> PAGEREF _Toc431307057 \h </w:instrText>
        </w:r>
        <w:r w:rsidR="00DF38D4">
          <w:rPr>
            <w:webHidden/>
          </w:rPr>
        </w:r>
        <w:r w:rsidR="00DF38D4">
          <w:rPr>
            <w:webHidden/>
          </w:rPr>
          <w:fldChar w:fldCharType="separate"/>
        </w:r>
        <w:r w:rsidR="009471AD">
          <w:rPr>
            <w:webHidden/>
          </w:rPr>
          <w:t>111</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58" w:history="1">
        <w:r w:rsidR="00DF38D4" w:rsidRPr="009B1AB8">
          <w:rPr>
            <w:rStyle w:val="Hyperlink"/>
          </w:rPr>
          <w:t>1.3.</w:t>
        </w:r>
        <w:r w:rsidR="00DF38D4">
          <w:rPr>
            <w:rFonts w:asciiTheme="minorHAnsi" w:eastAsiaTheme="minorEastAsia" w:hAnsiTheme="minorHAnsi" w:cstheme="minorBidi"/>
            <w:color w:val="auto"/>
            <w:sz w:val="22"/>
            <w:lang w:val="en-GB" w:eastAsia="en-GB" w:bidi="ar-SA"/>
          </w:rPr>
          <w:tab/>
        </w:r>
        <w:r w:rsidR="00DF38D4" w:rsidRPr="009B1AB8">
          <w:rPr>
            <w:rStyle w:val="Hyperlink"/>
          </w:rPr>
          <w:t>ГОДИШНИЯТ БЮДЖЕТ</w:t>
        </w:r>
        <w:r w:rsidR="00DF38D4">
          <w:rPr>
            <w:webHidden/>
          </w:rPr>
          <w:tab/>
        </w:r>
        <w:r w:rsidR="00DF38D4">
          <w:rPr>
            <w:webHidden/>
          </w:rPr>
          <w:fldChar w:fldCharType="begin"/>
        </w:r>
        <w:r w:rsidR="00DF38D4">
          <w:rPr>
            <w:webHidden/>
          </w:rPr>
          <w:instrText xml:space="preserve"> PAGEREF _Toc431307058 \h </w:instrText>
        </w:r>
        <w:r w:rsidR="00DF38D4">
          <w:rPr>
            <w:webHidden/>
          </w:rPr>
        </w:r>
        <w:r w:rsidR="00DF38D4">
          <w:rPr>
            <w:webHidden/>
          </w:rPr>
          <w:fldChar w:fldCharType="separate"/>
        </w:r>
        <w:r w:rsidR="009471AD">
          <w:rPr>
            <w:webHidden/>
          </w:rPr>
          <w:t>112</w:t>
        </w:r>
        <w:r w:rsidR="00DF38D4">
          <w:rPr>
            <w:webHidden/>
          </w:rPr>
          <w:fldChar w:fldCharType="end"/>
        </w:r>
      </w:hyperlink>
    </w:p>
    <w:p w:rsidR="00DF38D4" w:rsidRDefault="00B55B79">
      <w:pPr>
        <w:pStyle w:val="TOC1"/>
        <w:tabs>
          <w:tab w:val="left" w:pos="567"/>
        </w:tabs>
        <w:rPr>
          <w:rFonts w:asciiTheme="minorHAnsi" w:eastAsiaTheme="minorEastAsia" w:hAnsiTheme="minorHAnsi" w:cstheme="minorBidi"/>
          <w:color w:val="auto"/>
          <w:szCs w:val="22"/>
          <w:lang w:val="en-GB" w:eastAsia="en-GB" w:bidi="ar-SA"/>
        </w:rPr>
      </w:pPr>
      <w:hyperlink w:anchor="_Toc431307059" w:history="1">
        <w:r w:rsidR="00DF38D4" w:rsidRPr="009B1AB8">
          <w:rPr>
            <w:rStyle w:val="Hyperlink"/>
          </w:rPr>
          <w:t>2.</w:t>
        </w:r>
        <w:r w:rsidR="00DF38D4">
          <w:rPr>
            <w:rFonts w:asciiTheme="minorHAnsi" w:eastAsiaTheme="minorEastAsia" w:hAnsiTheme="minorHAnsi" w:cstheme="minorBidi"/>
            <w:color w:val="auto"/>
            <w:szCs w:val="22"/>
            <w:lang w:val="en-GB" w:eastAsia="en-GB" w:bidi="ar-SA"/>
          </w:rPr>
          <w:tab/>
        </w:r>
        <w:r w:rsidR="00DF38D4" w:rsidRPr="009B1AB8">
          <w:rPr>
            <w:rStyle w:val="Hyperlink"/>
          </w:rPr>
          <w:t>БЕЛЕЖКИ КЪМ РЕЗУЛТАТА ОТ ИЗПЪЛНЕНИЕТО НА БЮДЖЕТА НА ЕС</w:t>
        </w:r>
        <w:r w:rsidR="00DF38D4">
          <w:rPr>
            <w:webHidden/>
          </w:rPr>
          <w:tab/>
        </w:r>
        <w:r w:rsidR="00DF38D4">
          <w:rPr>
            <w:webHidden/>
          </w:rPr>
          <w:fldChar w:fldCharType="begin"/>
        </w:r>
        <w:r w:rsidR="00DF38D4">
          <w:rPr>
            <w:webHidden/>
          </w:rPr>
          <w:instrText xml:space="preserve"> PAGEREF _Toc431307059 \h </w:instrText>
        </w:r>
        <w:r w:rsidR="00DF38D4">
          <w:rPr>
            <w:webHidden/>
          </w:rPr>
        </w:r>
        <w:r w:rsidR="00DF38D4">
          <w:rPr>
            <w:webHidden/>
          </w:rPr>
          <w:fldChar w:fldCharType="separate"/>
        </w:r>
        <w:r w:rsidR="009471AD">
          <w:rPr>
            <w:webHidden/>
          </w:rPr>
          <w:t>113</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60" w:history="1">
        <w:r w:rsidR="00DF38D4" w:rsidRPr="009B1AB8">
          <w:rPr>
            <w:rStyle w:val="Hyperlink"/>
          </w:rPr>
          <w:t>2.1.</w:t>
        </w:r>
        <w:r w:rsidR="00DF38D4">
          <w:rPr>
            <w:rFonts w:asciiTheme="minorHAnsi" w:eastAsiaTheme="minorEastAsia" w:hAnsiTheme="minorHAnsi" w:cstheme="minorBidi"/>
            <w:color w:val="auto"/>
            <w:sz w:val="22"/>
            <w:lang w:val="en-GB" w:eastAsia="en-GB" w:bidi="ar-SA"/>
          </w:rPr>
          <w:tab/>
        </w:r>
        <w:r w:rsidR="00DF38D4" w:rsidRPr="009B1AB8">
          <w:rPr>
            <w:rStyle w:val="Hyperlink"/>
          </w:rPr>
          <w:t>ИЗЧИСЛЕНИЕ НА БЮДЖЕТНИЯ РЕЗУЛТАТ</w:t>
        </w:r>
        <w:r w:rsidR="00DF38D4">
          <w:rPr>
            <w:webHidden/>
          </w:rPr>
          <w:tab/>
        </w:r>
        <w:r w:rsidR="00DF38D4">
          <w:rPr>
            <w:webHidden/>
          </w:rPr>
          <w:fldChar w:fldCharType="begin"/>
        </w:r>
        <w:r w:rsidR="00DF38D4">
          <w:rPr>
            <w:webHidden/>
          </w:rPr>
          <w:instrText xml:space="preserve"> PAGEREF _Toc431307060 \h </w:instrText>
        </w:r>
        <w:r w:rsidR="00DF38D4">
          <w:rPr>
            <w:webHidden/>
          </w:rPr>
        </w:r>
        <w:r w:rsidR="00DF38D4">
          <w:rPr>
            <w:webHidden/>
          </w:rPr>
          <w:fldChar w:fldCharType="separate"/>
        </w:r>
        <w:r w:rsidR="009471AD">
          <w:rPr>
            <w:webHidden/>
          </w:rPr>
          <w:t>113</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61" w:history="1">
        <w:r w:rsidR="00DF38D4" w:rsidRPr="009B1AB8">
          <w:rPr>
            <w:rStyle w:val="Hyperlink"/>
          </w:rPr>
          <w:t>2.2.</w:t>
        </w:r>
        <w:r w:rsidR="00DF38D4">
          <w:rPr>
            <w:rFonts w:asciiTheme="minorHAnsi" w:eastAsiaTheme="minorEastAsia" w:hAnsiTheme="minorHAnsi" w:cstheme="minorBidi"/>
            <w:color w:val="auto"/>
            <w:sz w:val="22"/>
            <w:lang w:val="en-GB" w:eastAsia="en-GB" w:bidi="ar-SA"/>
          </w:rPr>
          <w:tab/>
        </w:r>
        <w:r w:rsidR="00DF38D4" w:rsidRPr="009B1AB8">
          <w:rPr>
            <w:rStyle w:val="Hyperlink"/>
          </w:rPr>
          <w:t>ИЗПЪЛНЕНИЕ НА БЮДЖЕТА НА ЕС ЗА 2014 Г.</w:t>
        </w:r>
        <w:r w:rsidR="00DF38D4">
          <w:rPr>
            <w:webHidden/>
          </w:rPr>
          <w:tab/>
        </w:r>
        <w:r w:rsidR="00DF38D4">
          <w:rPr>
            <w:webHidden/>
          </w:rPr>
          <w:fldChar w:fldCharType="begin"/>
        </w:r>
        <w:r w:rsidR="00DF38D4">
          <w:rPr>
            <w:webHidden/>
          </w:rPr>
          <w:instrText xml:space="preserve"> PAGEREF _Toc431307061 \h </w:instrText>
        </w:r>
        <w:r w:rsidR="00DF38D4">
          <w:rPr>
            <w:webHidden/>
          </w:rPr>
        </w:r>
        <w:r w:rsidR="00DF38D4">
          <w:rPr>
            <w:webHidden/>
          </w:rPr>
          <w:fldChar w:fldCharType="separate"/>
        </w:r>
        <w:r w:rsidR="009471AD">
          <w:rPr>
            <w:webHidden/>
          </w:rPr>
          <w:t>114</w:t>
        </w:r>
        <w:r w:rsidR="00DF38D4">
          <w:rPr>
            <w:webHidden/>
          </w:rPr>
          <w:fldChar w:fldCharType="end"/>
        </w:r>
      </w:hyperlink>
    </w:p>
    <w:p w:rsidR="00DF38D4" w:rsidRDefault="00B55B79" w:rsidP="00DF38D4">
      <w:pPr>
        <w:pStyle w:val="TOC1"/>
        <w:tabs>
          <w:tab w:val="left" w:pos="567"/>
        </w:tabs>
        <w:ind w:left="567" w:hanging="567"/>
        <w:rPr>
          <w:rFonts w:asciiTheme="minorHAnsi" w:eastAsiaTheme="minorEastAsia" w:hAnsiTheme="minorHAnsi" w:cstheme="minorBidi"/>
          <w:color w:val="auto"/>
          <w:szCs w:val="22"/>
          <w:lang w:val="en-GB" w:eastAsia="en-GB" w:bidi="ar-SA"/>
        </w:rPr>
      </w:pPr>
      <w:hyperlink w:anchor="_Toc431307062" w:history="1">
        <w:r w:rsidR="00DF38D4" w:rsidRPr="009B1AB8">
          <w:rPr>
            <w:rStyle w:val="Hyperlink"/>
          </w:rPr>
          <w:t>3.</w:t>
        </w:r>
        <w:r w:rsidR="00DF38D4">
          <w:rPr>
            <w:rFonts w:asciiTheme="minorHAnsi" w:eastAsiaTheme="minorEastAsia" w:hAnsiTheme="minorHAnsi" w:cstheme="minorBidi"/>
            <w:color w:val="auto"/>
            <w:szCs w:val="22"/>
            <w:lang w:val="en-GB" w:eastAsia="en-GB" w:bidi="ar-SA"/>
          </w:rPr>
          <w:tab/>
        </w:r>
        <w:r w:rsidR="00DF38D4" w:rsidRPr="009B1AB8">
          <w:rPr>
            <w:rStyle w:val="Hyperlink"/>
          </w:rPr>
          <w:t>БЕЛЕЖКИ КЪМ РАВНЕНИЕТО НА ФИНАНСОВИЯ РЕЗУЛТАТ С БЮДЖЕТНИЯ РЕЗУЛТАТ</w:t>
        </w:r>
        <w:r w:rsidR="00DF38D4">
          <w:rPr>
            <w:webHidden/>
          </w:rPr>
          <w:tab/>
        </w:r>
        <w:r w:rsidR="00DF38D4">
          <w:rPr>
            <w:webHidden/>
          </w:rPr>
          <w:fldChar w:fldCharType="begin"/>
        </w:r>
        <w:r w:rsidR="00DF38D4">
          <w:rPr>
            <w:webHidden/>
          </w:rPr>
          <w:instrText xml:space="preserve"> PAGEREF _Toc431307062 \h </w:instrText>
        </w:r>
        <w:r w:rsidR="00DF38D4">
          <w:rPr>
            <w:webHidden/>
          </w:rPr>
        </w:r>
        <w:r w:rsidR="00DF38D4">
          <w:rPr>
            <w:webHidden/>
          </w:rPr>
          <w:fldChar w:fldCharType="separate"/>
        </w:r>
        <w:r w:rsidR="009471AD">
          <w:rPr>
            <w:webHidden/>
          </w:rPr>
          <w:t>115</w:t>
        </w:r>
        <w:r w:rsidR="00DF38D4">
          <w:rPr>
            <w:webHidden/>
          </w:rPr>
          <w:fldChar w:fldCharType="end"/>
        </w:r>
      </w:hyperlink>
    </w:p>
    <w:p w:rsidR="00DF38D4" w:rsidRDefault="00B55B79">
      <w:pPr>
        <w:pStyle w:val="TOC1"/>
        <w:tabs>
          <w:tab w:val="left" w:pos="567"/>
        </w:tabs>
        <w:rPr>
          <w:rFonts w:asciiTheme="minorHAnsi" w:eastAsiaTheme="minorEastAsia" w:hAnsiTheme="minorHAnsi" w:cstheme="minorBidi"/>
          <w:color w:val="auto"/>
          <w:szCs w:val="22"/>
          <w:lang w:val="en-GB" w:eastAsia="en-GB" w:bidi="ar-SA"/>
        </w:rPr>
      </w:pPr>
      <w:hyperlink w:anchor="_Toc431307063" w:history="1">
        <w:r w:rsidR="00DF38D4" w:rsidRPr="009B1AB8">
          <w:rPr>
            <w:rStyle w:val="Hyperlink"/>
          </w:rPr>
          <w:t>4.</w:t>
        </w:r>
        <w:r w:rsidR="00DF38D4">
          <w:rPr>
            <w:rFonts w:asciiTheme="minorHAnsi" w:eastAsiaTheme="minorEastAsia" w:hAnsiTheme="minorHAnsi" w:cstheme="minorBidi"/>
            <w:color w:val="auto"/>
            <w:szCs w:val="22"/>
            <w:lang w:val="en-GB" w:eastAsia="en-GB" w:bidi="ar-SA"/>
          </w:rPr>
          <w:tab/>
        </w:r>
        <w:r w:rsidR="00DF38D4" w:rsidRPr="009B1AB8">
          <w:rPr>
            <w:rStyle w:val="Hyperlink"/>
          </w:rPr>
          <w:t>ИЗПЪЛНЕНИЕ НА ПРИХОДИТЕ В БЮДЖЕТА НА ЕС</w:t>
        </w:r>
        <w:r w:rsidR="00DF38D4">
          <w:rPr>
            <w:webHidden/>
          </w:rPr>
          <w:tab/>
        </w:r>
        <w:r w:rsidR="00DF38D4">
          <w:rPr>
            <w:webHidden/>
          </w:rPr>
          <w:fldChar w:fldCharType="begin"/>
        </w:r>
        <w:r w:rsidR="00DF38D4">
          <w:rPr>
            <w:webHidden/>
          </w:rPr>
          <w:instrText xml:space="preserve"> PAGEREF _Toc431307063 \h </w:instrText>
        </w:r>
        <w:r w:rsidR="00DF38D4">
          <w:rPr>
            <w:webHidden/>
          </w:rPr>
        </w:r>
        <w:r w:rsidR="00DF38D4">
          <w:rPr>
            <w:webHidden/>
          </w:rPr>
          <w:fldChar w:fldCharType="separate"/>
        </w:r>
        <w:r w:rsidR="009471AD">
          <w:rPr>
            <w:webHidden/>
          </w:rPr>
          <w:t>116</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64" w:history="1">
        <w:r w:rsidR="00DF38D4" w:rsidRPr="009B1AB8">
          <w:rPr>
            <w:rStyle w:val="Hyperlink"/>
          </w:rPr>
          <w:t>4.1.</w:t>
        </w:r>
        <w:r w:rsidR="00DF38D4">
          <w:rPr>
            <w:rFonts w:asciiTheme="minorHAnsi" w:eastAsiaTheme="minorEastAsia" w:hAnsiTheme="minorHAnsi" w:cstheme="minorBidi"/>
            <w:color w:val="auto"/>
            <w:sz w:val="22"/>
            <w:lang w:val="en-GB" w:eastAsia="en-GB" w:bidi="ar-SA"/>
          </w:rPr>
          <w:tab/>
        </w:r>
        <w:r w:rsidR="00DF38D4" w:rsidRPr="009B1AB8">
          <w:rPr>
            <w:rStyle w:val="Hyperlink"/>
          </w:rPr>
          <w:t>ОБОБЩЕНИЕ НА ИЗПЪЛНЕНИЕТО НА БЮДЖЕТНИТЕ ПРИХОДИ</w:t>
        </w:r>
        <w:r w:rsidR="00DF38D4">
          <w:rPr>
            <w:webHidden/>
          </w:rPr>
          <w:tab/>
        </w:r>
        <w:r w:rsidR="00DF38D4">
          <w:rPr>
            <w:webHidden/>
          </w:rPr>
          <w:fldChar w:fldCharType="begin"/>
        </w:r>
        <w:r w:rsidR="00DF38D4">
          <w:rPr>
            <w:webHidden/>
          </w:rPr>
          <w:instrText xml:space="preserve"> PAGEREF _Toc431307064 \h </w:instrText>
        </w:r>
        <w:r w:rsidR="00DF38D4">
          <w:rPr>
            <w:webHidden/>
          </w:rPr>
        </w:r>
        <w:r w:rsidR="00DF38D4">
          <w:rPr>
            <w:webHidden/>
          </w:rPr>
          <w:fldChar w:fldCharType="separate"/>
        </w:r>
        <w:r w:rsidR="009471AD">
          <w:rPr>
            <w:webHidden/>
          </w:rPr>
          <w:t>116</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65" w:history="1">
        <w:r w:rsidR="00DF38D4" w:rsidRPr="009B1AB8">
          <w:rPr>
            <w:rStyle w:val="Hyperlink"/>
          </w:rPr>
          <w:t>4.2.</w:t>
        </w:r>
        <w:r w:rsidR="00DF38D4">
          <w:rPr>
            <w:rFonts w:asciiTheme="minorHAnsi" w:eastAsiaTheme="minorEastAsia" w:hAnsiTheme="minorHAnsi" w:cstheme="minorBidi"/>
            <w:color w:val="auto"/>
            <w:sz w:val="22"/>
            <w:lang w:val="en-GB" w:eastAsia="en-GB" w:bidi="ar-SA"/>
          </w:rPr>
          <w:tab/>
        </w:r>
        <w:r w:rsidR="00DF38D4" w:rsidRPr="009B1AB8">
          <w:rPr>
            <w:rStyle w:val="Hyperlink"/>
          </w:rPr>
          <w:t>ИЗПЪЛНЕНИЕ НА ПРИХОДИТЕ</w:t>
        </w:r>
        <w:r w:rsidR="00DF38D4">
          <w:rPr>
            <w:webHidden/>
          </w:rPr>
          <w:tab/>
        </w:r>
        <w:r w:rsidR="00DF38D4">
          <w:rPr>
            <w:webHidden/>
          </w:rPr>
          <w:fldChar w:fldCharType="begin"/>
        </w:r>
        <w:r w:rsidR="00DF38D4">
          <w:rPr>
            <w:webHidden/>
          </w:rPr>
          <w:instrText xml:space="preserve"> PAGEREF _Toc431307065 \h </w:instrText>
        </w:r>
        <w:r w:rsidR="00DF38D4">
          <w:rPr>
            <w:webHidden/>
          </w:rPr>
        </w:r>
        <w:r w:rsidR="00DF38D4">
          <w:rPr>
            <w:webHidden/>
          </w:rPr>
          <w:fldChar w:fldCharType="separate"/>
        </w:r>
        <w:r w:rsidR="009471AD">
          <w:rPr>
            <w:webHidden/>
          </w:rPr>
          <w:t>118</w:t>
        </w:r>
        <w:r w:rsidR="00DF38D4">
          <w:rPr>
            <w:webHidden/>
          </w:rPr>
          <w:fldChar w:fldCharType="end"/>
        </w:r>
      </w:hyperlink>
    </w:p>
    <w:p w:rsidR="00DF38D4" w:rsidRDefault="00B55B79">
      <w:pPr>
        <w:pStyle w:val="TOC1"/>
        <w:tabs>
          <w:tab w:val="left" w:pos="567"/>
        </w:tabs>
        <w:rPr>
          <w:rFonts w:asciiTheme="minorHAnsi" w:eastAsiaTheme="minorEastAsia" w:hAnsiTheme="minorHAnsi" w:cstheme="minorBidi"/>
          <w:color w:val="auto"/>
          <w:szCs w:val="22"/>
          <w:lang w:val="en-GB" w:eastAsia="en-GB" w:bidi="ar-SA"/>
        </w:rPr>
      </w:pPr>
      <w:hyperlink w:anchor="_Toc431307066" w:history="1">
        <w:r w:rsidR="00DF38D4" w:rsidRPr="009B1AB8">
          <w:rPr>
            <w:rStyle w:val="Hyperlink"/>
          </w:rPr>
          <w:t>5.</w:t>
        </w:r>
        <w:r w:rsidR="00DF38D4">
          <w:rPr>
            <w:rFonts w:asciiTheme="minorHAnsi" w:eastAsiaTheme="minorEastAsia" w:hAnsiTheme="minorHAnsi" w:cstheme="minorBidi"/>
            <w:color w:val="auto"/>
            <w:szCs w:val="22"/>
            <w:lang w:val="en-GB" w:eastAsia="en-GB" w:bidi="ar-SA"/>
          </w:rPr>
          <w:tab/>
        </w:r>
        <w:r w:rsidR="00DF38D4" w:rsidRPr="009B1AB8">
          <w:rPr>
            <w:rStyle w:val="Hyperlink"/>
          </w:rPr>
          <w:t>ИЗПЪЛНЕНИЕ НА РАЗХОДИТЕ В БЮДЖЕТА НА ЕС</w:t>
        </w:r>
        <w:r w:rsidR="00DF38D4">
          <w:rPr>
            <w:webHidden/>
          </w:rPr>
          <w:tab/>
        </w:r>
        <w:r w:rsidR="00DF38D4">
          <w:rPr>
            <w:webHidden/>
          </w:rPr>
          <w:fldChar w:fldCharType="begin"/>
        </w:r>
        <w:r w:rsidR="00DF38D4">
          <w:rPr>
            <w:webHidden/>
          </w:rPr>
          <w:instrText xml:space="preserve"> PAGEREF _Toc431307066 \h </w:instrText>
        </w:r>
        <w:r w:rsidR="00DF38D4">
          <w:rPr>
            <w:webHidden/>
          </w:rPr>
        </w:r>
        <w:r w:rsidR="00DF38D4">
          <w:rPr>
            <w:webHidden/>
          </w:rPr>
          <w:fldChar w:fldCharType="separate"/>
        </w:r>
        <w:r w:rsidR="009471AD">
          <w:rPr>
            <w:webHidden/>
          </w:rPr>
          <w:t>122</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67" w:history="1">
        <w:r w:rsidR="00DF38D4" w:rsidRPr="009B1AB8">
          <w:rPr>
            <w:rStyle w:val="Hyperlink"/>
          </w:rPr>
          <w:t>5.1.</w:t>
        </w:r>
        <w:r w:rsidR="00DF38D4">
          <w:rPr>
            <w:rFonts w:asciiTheme="minorHAnsi" w:eastAsiaTheme="minorEastAsia" w:hAnsiTheme="minorHAnsi" w:cstheme="minorBidi"/>
            <w:color w:val="auto"/>
            <w:sz w:val="22"/>
            <w:lang w:val="en-GB" w:eastAsia="en-GB" w:bidi="ar-SA"/>
          </w:rPr>
          <w:tab/>
        </w:r>
        <w:r w:rsidR="00DF38D4" w:rsidRPr="009B1AB8">
          <w:rPr>
            <w:rStyle w:val="Hyperlink"/>
          </w:rPr>
          <w:t>МФР: РАЗБИВКА И ПРОМЕНИ НА БЮДЖЕТНИТЕ КРЕДИТИ ЗА ПОЕТИ ЗАДЪЛЖЕНИЯ И ЗА ПЛАЩАНИЯ</w:t>
        </w:r>
        <w:r w:rsidR="00DF38D4">
          <w:rPr>
            <w:webHidden/>
          </w:rPr>
          <w:tab/>
        </w:r>
        <w:r w:rsidR="00DF38D4">
          <w:rPr>
            <w:webHidden/>
          </w:rPr>
          <w:fldChar w:fldCharType="begin"/>
        </w:r>
        <w:r w:rsidR="00DF38D4">
          <w:rPr>
            <w:webHidden/>
          </w:rPr>
          <w:instrText xml:space="preserve"> PAGEREF _Toc431307067 \h </w:instrText>
        </w:r>
        <w:r w:rsidR="00DF38D4">
          <w:rPr>
            <w:webHidden/>
          </w:rPr>
        </w:r>
        <w:r w:rsidR="00DF38D4">
          <w:rPr>
            <w:webHidden/>
          </w:rPr>
          <w:fldChar w:fldCharType="separate"/>
        </w:r>
        <w:r w:rsidR="009471AD">
          <w:rPr>
            <w:webHidden/>
          </w:rPr>
          <w:t>122</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68" w:history="1">
        <w:r w:rsidR="00DF38D4" w:rsidRPr="009B1AB8">
          <w:rPr>
            <w:rStyle w:val="Hyperlink"/>
          </w:rPr>
          <w:t>5.2.</w:t>
        </w:r>
        <w:r w:rsidR="00DF38D4">
          <w:rPr>
            <w:rFonts w:asciiTheme="minorHAnsi" w:eastAsiaTheme="minorEastAsia" w:hAnsiTheme="minorHAnsi" w:cstheme="minorBidi"/>
            <w:color w:val="auto"/>
            <w:sz w:val="22"/>
            <w:lang w:val="en-GB" w:eastAsia="en-GB" w:bidi="ar-SA"/>
          </w:rPr>
          <w:tab/>
        </w:r>
        <w:r w:rsidR="00DF38D4" w:rsidRPr="009B1AB8">
          <w:rPr>
            <w:rStyle w:val="Hyperlink"/>
          </w:rPr>
          <w:t>МФР: ИЗПЪЛНЕНИЕ НА БЮДЖЕТНИТЕ КРЕДИТИ ЗА ПОЕТИ ЗАДЪЛЖЕНИЯ</w:t>
        </w:r>
        <w:r w:rsidR="00DF38D4">
          <w:rPr>
            <w:webHidden/>
          </w:rPr>
          <w:tab/>
        </w:r>
        <w:r w:rsidR="00DF38D4">
          <w:rPr>
            <w:webHidden/>
          </w:rPr>
          <w:fldChar w:fldCharType="begin"/>
        </w:r>
        <w:r w:rsidR="00DF38D4">
          <w:rPr>
            <w:webHidden/>
          </w:rPr>
          <w:instrText xml:space="preserve"> PAGEREF _Toc431307068 \h </w:instrText>
        </w:r>
        <w:r w:rsidR="00DF38D4">
          <w:rPr>
            <w:webHidden/>
          </w:rPr>
        </w:r>
        <w:r w:rsidR="00DF38D4">
          <w:rPr>
            <w:webHidden/>
          </w:rPr>
          <w:fldChar w:fldCharType="separate"/>
        </w:r>
        <w:r w:rsidR="009471AD">
          <w:rPr>
            <w:webHidden/>
          </w:rPr>
          <w:t>123</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69" w:history="1">
        <w:r w:rsidR="00DF38D4" w:rsidRPr="009B1AB8">
          <w:rPr>
            <w:rStyle w:val="Hyperlink"/>
          </w:rPr>
          <w:t>5.3.</w:t>
        </w:r>
        <w:r w:rsidR="00DF38D4">
          <w:rPr>
            <w:rFonts w:asciiTheme="minorHAnsi" w:eastAsiaTheme="minorEastAsia" w:hAnsiTheme="minorHAnsi" w:cstheme="minorBidi"/>
            <w:color w:val="auto"/>
            <w:sz w:val="22"/>
            <w:lang w:val="en-GB" w:eastAsia="en-GB" w:bidi="ar-SA"/>
          </w:rPr>
          <w:tab/>
        </w:r>
        <w:r w:rsidR="00DF38D4" w:rsidRPr="009B1AB8">
          <w:rPr>
            <w:rStyle w:val="Hyperlink"/>
          </w:rPr>
          <w:t>МФР: ИЗПЪЛНЕНИЕ НА БЮДЖЕТНИТЕ КРЕДИТИ ЗА ПЛАЩАНИЯ</w:t>
        </w:r>
        <w:r w:rsidR="00DF38D4">
          <w:rPr>
            <w:webHidden/>
          </w:rPr>
          <w:tab/>
        </w:r>
        <w:r w:rsidR="00DF38D4">
          <w:rPr>
            <w:webHidden/>
          </w:rPr>
          <w:fldChar w:fldCharType="begin"/>
        </w:r>
        <w:r w:rsidR="00DF38D4">
          <w:rPr>
            <w:webHidden/>
          </w:rPr>
          <w:instrText xml:space="preserve"> PAGEREF _Toc431307069 \h </w:instrText>
        </w:r>
        <w:r w:rsidR="00DF38D4">
          <w:rPr>
            <w:webHidden/>
          </w:rPr>
        </w:r>
        <w:r w:rsidR="00DF38D4">
          <w:rPr>
            <w:webHidden/>
          </w:rPr>
          <w:fldChar w:fldCharType="separate"/>
        </w:r>
        <w:r w:rsidR="009471AD">
          <w:rPr>
            <w:webHidden/>
          </w:rPr>
          <w:t>124</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70" w:history="1">
        <w:r w:rsidR="00DF38D4" w:rsidRPr="009B1AB8">
          <w:rPr>
            <w:rStyle w:val="Hyperlink"/>
          </w:rPr>
          <w:t>5.4.</w:t>
        </w:r>
        <w:r w:rsidR="00DF38D4">
          <w:rPr>
            <w:rFonts w:asciiTheme="minorHAnsi" w:eastAsiaTheme="minorEastAsia" w:hAnsiTheme="minorHAnsi" w:cstheme="minorBidi"/>
            <w:color w:val="auto"/>
            <w:sz w:val="22"/>
            <w:lang w:val="en-GB" w:eastAsia="en-GB" w:bidi="ar-SA"/>
          </w:rPr>
          <w:tab/>
        </w:r>
        <w:r w:rsidR="00DF38D4" w:rsidRPr="009B1AB8">
          <w:rPr>
            <w:rStyle w:val="Hyperlink"/>
          </w:rPr>
          <w:t>МФР: ДВИЖЕНИЯ НА НЕИЗПЪЛНЕНИТЕ ПОЕТИ ЗАДЪЛЖЕНИЯ (RAL)</w:t>
        </w:r>
        <w:r w:rsidR="00DF38D4">
          <w:rPr>
            <w:webHidden/>
          </w:rPr>
          <w:tab/>
        </w:r>
        <w:r w:rsidR="00DF38D4">
          <w:rPr>
            <w:webHidden/>
          </w:rPr>
          <w:fldChar w:fldCharType="begin"/>
        </w:r>
        <w:r w:rsidR="00DF38D4">
          <w:rPr>
            <w:webHidden/>
          </w:rPr>
          <w:instrText xml:space="preserve"> PAGEREF _Toc431307070 \h </w:instrText>
        </w:r>
        <w:r w:rsidR="00DF38D4">
          <w:rPr>
            <w:webHidden/>
          </w:rPr>
        </w:r>
        <w:r w:rsidR="00DF38D4">
          <w:rPr>
            <w:webHidden/>
          </w:rPr>
          <w:fldChar w:fldCharType="separate"/>
        </w:r>
        <w:r w:rsidR="009471AD">
          <w:rPr>
            <w:webHidden/>
          </w:rPr>
          <w:t>125</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71" w:history="1">
        <w:r w:rsidR="00DF38D4" w:rsidRPr="009B1AB8">
          <w:rPr>
            <w:rStyle w:val="Hyperlink"/>
          </w:rPr>
          <w:t>5.5.</w:t>
        </w:r>
        <w:r w:rsidR="00DF38D4">
          <w:rPr>
            <w:rFonts w:asciiTheme="minorHAnsi" w:eastAsiaTheme="minorEastAsia" w:hAnsiTheme="minorHAnsi" w:cstheme="minorBidi"/>
            <w:color w:val="auto"/>
            <w:sz w:val="22"/>
            <w:lang w:val="en-GB" w:eastAsia="en-GB" w:bidi="ar-SA"/>
          </w:rPr>
          <w:tab/>
        </w:r>
        <w:r w:rsidR="00DF38D4" w:rsidRPr="009B1AB8">
          <w:rPr>
            <w:rStyle w:val="Hyperlink"/>
          </w:rPr>
          <w:t>МФР: РАЗБИВКА НА НЕИЗПЪЛНЕНИТЕ ПОЕТИ ЗАДЪЛЖЕНИЯ ПО ГОДИНИ НА ВЪЗНИКВАНЕ</w:t>
        </w:r>
        <w:r w:rsidR="00DF38D4">
          <w:rPr>
            <w:webHidden/>
          </w:rPr>
          <w:tab/>
        </w:r>
        <w:r w:rsidR="00DF38D4">
          <w:rPr>
            <w:webHidden/>
          </w:rPr>
          <w:fldChar w:fldCharType="begin"/>
        </w:r>
        <w:r w:rsidR="00DF38D4">
          <w:rPr>
            <w:webHidden/>
          </w:rPr>
          <w:instrText xml:space="preserve"> PAGEREF _Toc431307071 \h </w:instrText>
        </w:r>
        <w:r w:rsidR="00DF38D4">
          <w:rPr>
            <w:webHidden/>
          </w:rPr>
        </w:r>
        <w:r w:rsidR="00DF38D4">
          <w:rPr>
            <w:webHidden/>
          </w:rPr>
          <w:fldChar w:fldCharType="separate"/>
        </w:r>
        <w:r w:rsidR="009471AD">
          <w:rPr>
            <w:webHidden/>
          </w:rPr>
          <w:t>126</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72" w:history="1">
        <w:r w:rsidR="00DF38D4" w:rsidRPr="009B1AB8">
          <w:rPr>
            <w:rStyle w:val="Hyperlink"/>
          </w:rPr>
          <w:t>5.6.</w:t>
        </w:r>
        <w:r w:rsidR="00DF38D4">
          <w:rPr>
            <w:rFonts w:asciiTheme="minorHAnsi" w:eastAsiaTheme="minorEastAsia" w:hAnsiTheme="minorHAnsi" w:cstheme="minorBidi"/>
            <w:color w:val="auto"/>
            <w:sz w:val="22"/>
            <w:lang w:val="en-GB" w:eastAsia="en-GB" w:bidi="ar-SA"/>
          </w:rPr>
          <w:tab/>
        </w:r>
        <w:r w:rsidR="00DF38D4" w:rsidRPr="009B1AB8">
          <w:rPr>
            <w:rStyle w:val="Hyperlink"/>
          </w:rPr>
          <w:t>ОБЛАСТ НА ПОЛИТИКАТА: РАЗБИВКА И ПРОМЕНИ НА БЮДЖЕТНИТЕ КРЕДИТИ ЗА ПОЕТИ ЗАДЪЛЖЕНИЯ И ЗА ПЛАЩАНИЯ</w:t>
        </w:r>
        <w:r w:rsidR="00DF38D4">
          <w:rPr>
            <w:webHidden/>
          </w:rPr>
          <w:tab/>
        </w:r>
        <w:r w:rsidR="00DF38D4">
          <w:rPr>
            <w:webHidden/>
          </w:rPr>
          <w:fldChar w:fldCharType="begin"/>
        </w:r>
        <w:r w:rsidR="00DF38D4">
          <w:rPr>
            <w:webHidden/>
          </w:rPr>
          <w:instrText xml:space="preserve"> PAGEREF _Toc431307072 \h </w:instrText>
        </w:r>
        <w:r w:rsidR="00DF38D4">
          <w:rPr>
            <w:webHidden/>
          </w:rPr>
        </w:r>
        <w:r w:rsidR="00DF38D4">
          <w:rPr>
            <w:webHidden/>
          </w:rPr>
          <w:fldChar w:fldCharType="separate"/>
        </w:r>
        <w:r w:rsidR="009471AD">
          <w:rPr>
            <w:webHidden/>
          </w:rPr>
          <w:t>127</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73" w:history="1">
        <w:r w:rsidR="00DF38D4" w:rsidRPr="009B1AB8">
          <w:rPr>
            <w:rStyle w:val="Hyperlink"/>
          </w:rPr>
          <w:t>5.7.</w:t>
        </w:r>
        <w:r w:rsidR="00DF38D4">
          <w:rPr>
            <w:rFonts w:asciiTheme="minorHAnsi" w:eastAsiaTheme="minorEastAsia" w:hAnsiTheme="minorHAnsi" w:cstheme="minorBidi"/>
            <w:color w:val="auto"/>
            <w:sz w:val="22"/>
            <w:lang w:val="en-GB" w:eastAsia="en-GB" w:bidi="ar-SA"/>
          </w:rPr>
          <w:tab/>
        </w:r>
        <w:r w:rsidR="00DF38D4" w:rsidRPr="009B1AB8">
          <w:rPr>
            <w:rStyle w:val="Hyperlink"/>
          </w:rPr>
          <w:t>ОБЛАСТ НА ПОЛИТИКАТА: ИЗПЪЛНЕНИЕ НА БЮДЖЕТНИТЕ КРЕДИТИ ЗА ПОЕТИ ЗАДЪЛЖЕНИЯ</w:t>
        </w:r>
        <w:r w:rsidR="00DF38D4">
          <w:rPr>
            <w:webHidden/>
          </w:rPr>
          <w:tab/>
        </w:r>
        <w:r w:rsidR="00DF38D4">
          <w:rPr>
            <w:webHidden/>
          </w:rPr>
          <w:fldChar w:fldCharType="begin"/>
        </w:r>
        <w:r w:rsidR="00DF38D4">
          <w:rPr>
            <w:webHidden/>
          </w:rPr>
          <w:instrText xml:space="preserve"> PAGEREF _Toc431307073 \h </w:instrText>
        </w:r>
        <w:r w:rsidR="00DF38D4">
          <w:rPr>
            <w:webHidden/>
          </w:rPr>
        </w:r>
        <w:r w:rsidR="00DF38D4">
          <w:rPr>
            <w:webHidden/>
          </w:rPr>
          <w:fldChar w:fldCharType="separate"/>
        </w:r>
        <w:r w:rsidR="009471AD">
          <w:rPr>
            <w:webHidden/>
          </w:rPr>
          <w:t>130</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74" w:history="1">
        <w:r w:rsidR="00DF38D4" w:rsidRPr="009B1AB8">
          <w:rPr>
            <w:rStyle w:val="Hyperlink"/>
          </w:rPr>
          <w:t>5.8.</w:t>
        </w:r>
        <w:r w:rsidR="00DF38D4">
          <w:rPr>
            <w:rFonts w:asciiTheme="minorHAnsi" w:eastAsiaTheme="minorEastAsia" w:hAnsiTheme="minorHAnsi" w:cstheme="minorBidi"/>
            <w:color w:val="auto"/>
            <w:sz w:val="22"/>
            <w:lang w:val="en-GB" w:eastAsia="en-GB" w:bidi="ar-SA"/>
          </w:rPr>
          <w:tab/>
        </w:r>
        <w:r w:rsidR="00DF38D4" w:rsidRPr="009B1AB8">
          <w:rPr>
            <w:rStyle w:val="Hyperlink"/>
          </w:rPr>
          <w:t>ОБЛАСТ НА ПОЛИТИКАТА: ИЗПЪЛНЕНИЕ НА БЮДЖЕТНИТЕ КРЕДИТИ ЗА ПЛАЩАНИЯ</w:t>
        </w:r>
        <w:r w:rsidR="00DF38D4">
          <w:rPr>
            <w:webHidden/>
          </w:rPr>
          <w:tab/>
        </w:r>
        <w:r w:rsidR="00DF38D4">
          <w:rPr>
            <w:webHidden/>
          </w:rPr>
          <w:fldChar w:fldCharType="begin"/>
        </w:r>
        <w:r w:rsidR="00DF38D4">
          <w:rPr>
            <w:webHidden/>
          </w:rPr>
          <w:instrText xml:space="preserve"> PAGEREF _Toc431307074 \h </w:instrText>
        </w:r>
        <w:r w:rsidR="00DF38D4">
          <w:rPr>
            <w:webHidden/>
          </w:rPr>
        </w:r>
        <w:r w:rsidR="00DF38D4">
          <w:rPr>
            <w:webHidden/>
          </w:rPr>
          <w:fldChar w:fldCharType="separate"/>
        </w:r>
        <w:r w:rsidR="009471AD">
          <w:rPr>
            <w:webHidden/>
          </w:rPr>
          <w:t>132</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75" w:history="1">
        <w:r w:rsidR="00DF38D4" w:rsidRPr="009B1AB8">
          <w:rPr>
            <w:rStyle w:val="Hyperlink"/>
          </w:rPr>
          <w:t>5.9.</w:t>
        </w:r>
        <w:r w:rsidR="00DF38D4">
          <w:rPr>
            <w:rFonts w:asciiTheme="minorHAnsi" w:eastAsiaTheme="minorEastAsia" w:hAnsiTheme="minorHAnsi" w:cstheme="minorBidi"/>
            <w:color w:val="auto"/>
            <w:sz w:val="22"/>
            <w:lang w:val="en-GB" w:eastAsia="en-GB" w:bidi="ar-SA"/>
          </w:rPr>
          <w:tab/>
        </w:r>
        <w:r w:rsidR="00DF38D4" w:rsidRPr="009B1AB8">
          <w:rPr>
            <w:rStyle w:val="Hyperlink"/>
          </w:rPr>
          <w:t>ОБЛАСТ НА ПОЛИТИКАТА: ДВИЖЕНИЯ НА НЕИЗПЪЛНЕНИТЕ ПОЕТИ ЗАДЪЛЖЕНИЯ</w:t>
        </w:r>
        <w:r w:rsidR="00DF38D4">
          <w:rPr>
            <w:webHidden/>
          </w:rPr>
          <w:tab/>
        </w:r>
        <w:r w:rsidR="00DF38D4">
          <w:rPr>
            <w:webHidden/>
          </w:rPr>
          <w:fldChar w:fldCharType="begin"/>
        </w:r>
        <w:r w:rsidR="00DF38D4">
          <w:rPr>
            <w:webHidden/>
          </w:rPr>
          <w:instrText xml:space="preserve"> PAGEREF _Toc431307075 \h </w:instrText>
        </w:r>
        <w:r w:rsidR="00DF38D4">
          <w:rPr>
            <w:webHidden/>
          </w:rPr>
        </w:r>
        <w:r w:rsidR="00DF38D4">
          <w:rPr>
            <w:webHidden/>
          </w:rPr>
          <w:fldChar w:fldCharType="separate"/>
        </w:r>
        <w:r w:rsidR="009471AD">
          <w:rPr>
            <w:webHidden/>
          </w:rPr>
          <w:t>133</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76" w:history="1">
        <w:r w:rsidR="00DF38D4" w:rsidRPr="009B1AB8">
          <w:rPr>
            <w:rStyle w:val="Hyperlink"/>
          </w:rPr>
          <w:t>5.10.</w:t>
        </w:r>
        <w:r w:rsidR="00DF38D4">
          <w:rPr>
            <w:rFonts w:asciiTheme="minorHAnsi" w:eastAsiaTheme="minorEastAsia" w:hAnsiTheme="minorHAnsi" w:cstheme="minorBidi"/>
            <w:color w:val="auto"/>
            <w:sz w:val="22"/>
            <w:lang w:val="en-GB" w:eastAsia="en-GB" w:bidi="ar-SA"/>
          </w:rPr>
          <w:tab/>
        </w:r>
        <w:r w:rsidR="00DF38D4" w:rsidRPr="009B1AB8">
          <w:rPr>
            <w:rStyle w:val="Hyperlink"/>
          </w:rPr>
          <w:t>ОБЛАСТ НА ПОЛИТИКАТА: РАЗБИВКА НА НЕИЗПЪЛНЕНИТЕ ПОЕТИ ЗАДЪЛЖЕНИЯ ПО ГОДИНИ НА ВЪЗНИКВАНЕ</w:t>
        </w:r>
        <w:r w:rsidR="00DF38D4">
          <w:rPr>
            <w:webHidden/>
          </w:rPr>
          <w:tab/>
        </w:r>
        <w:r w:rsidR="00DF38D4">
          <w:rPr>
            <w:webHidden/>
          </w:rPr>
          <w:fldChar w:fldCharType="begin"/>
        </w:r>
        <w:r w:rsidR="00DF38D4">
          <w:rPr>
            <w:webHidden/>
          </w:rPr>
          <w:instrText xml:space="preserve"> PAGEREF _Toc431307076 \h </w:instrText>
        </w:r>
        <w:r w:rsidR="00DF38D4">
          <w:rPr>
            <w:webHidden/>
          </w:rPr>
        </w:r>
        <w:r w:rsidR="00DF38D4">
          <w:rPr>
            <w:webHidden/>
          </w:rPr>
          <w:fldChar w:fldCharType="separate"/>
        </w:r>
        <w:r w:rsidR="009471AD">
          <w:rPr>
            <w:webHidden/>
          </w:rPr>
          <w:t>134</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77" w:history="1">
        <w:r w:rsidR="00DF38D4" w:rsidRPr="009B1AB8">
          <w:rPr>
            <w:rStyle w:val="Hyperlink"/>
          </w:rPr>
          <w:t>5.11.</w:t>
        </w:r>
        <w:r w:rsidR="00DF38D4">
          <w:rPr>
            <w:rFonts w:asciiTheme="minorHAnsi" w:eastAsiaTheme="minorEastAsia" w:hAnsiTheme="minorHAnsi" w:cstheme="minorBidi"/>
            <w:color w:val="auto"/>
            <w:sz w:val="22"/>
            <w:lang w:val="en-GB" w:eastAsia="en-GB" w:bidi="ar-SA"/>
          </w:rPr>
          <w:tab/>
        </w:r>
        <w:r w:rsidR="00DF38D4" w:rsidRPr="009B1AB8">
          <w:rPr>
            <w:rStyle w:val="Hyperlink"/>
          </w:rPr>
          <w:t>ИЗПЪЛНЕНИЕ НА РАЗХОДИТЕ ЗА 2014 Г.</w:t>
        </w:r>
        <w:r w:rsidR="00DF38D4">
          <w:rPr>
            <w:webHidden/>
          </w:rPr>
          <w:tab/>
        </w:r>
        <w:r w:rsidR="00DF38D4">
          <w:rPr>
            <w:webHidden/>
          </w:rPr>
          <w:fldChar w:fldCharType="begin"/>
        </w:r>
        <w:r w:rsidR="00DF38D4">
          <w:rPr>
            <w:webHidden/>
          </w:rPr>
          <w:instrText xml:space="preserve"> PAGEREF _Toc431307077 \h </w:instrText>
        </w:r>
        <w:r w:rsidR="00DF38D4">
          <w:rPr>
            <w:webHidden/>
          </w:rPr>
        </w:r>
        <w:r w:rsidR="00DF38D4">
          <w:rPr>
            <w:webHidden/>
          </w:rPr>
          <w:fldChar w:fldCharType="separate"/>
        </w:r>
        <w:r w:rsidR="009471AD">
          <w:rPr>
            <w:webHidden/>
          </w:rPr>
          <w:t>135</w:t>
        </w:r>
        <w:r w:rsidR="00DF38D4">
          <w:rPr>
            <w:webHidden/>
          </w:rPr>
          <w:fldChar w:fldCharType="end"/>
        </w:r>
      </w:hyperlink>
    </w:p>
    <w:p w:rsidR="00DF38D4" w:rsidRDefault="00B55B79">
      <w:pPr>
        <w:pStyle w:val="TOC1"/>
        <w:tabs>
          <w:tab w:val="left" w:pos="567"/>
        </w:tabs>
        <w:rPr>
          <w:rFonts w:asciiTheme="minorHAnsi" w:eastAsiaTheme="minorEastAsia" w:hAnsiTheme="minorHAnsi" w:cstheme="minorBidi"/>
          <w:color w:val="auto"/>
          <w:szCs w:val="22"/>
          <w:lang w:val="en-GB" w:eastAsia="en-GB" w:bidi="ar-SA"/>
        </w:rPr>
      </w:pPr>
      <w:hyperlink w:anchor="_Toc431307078" w:history="1">
        <w:r w:rsidR="00DF38D4" w:rsidRPr="009B1AB8">
          <w:rPr>
            <w:rStyle w:val="Hyperlink"/>
          </w:rPr>
          <w:t>6.</w:t>
        </w:r>
        <w:r w:rsidR="00DF38D4">
          <w:rPr>
            <w:rFonts w:asciiTheme="minorHAnsi" w:eastAsiaTheme="minorEastAsia" w:hAnsiTheme="minorHAnsi" w:cstheme="minorBidi"/>
            <w:color w:val="auto"/>
            <w:szCs w:val="22"/>
            <w:lang w:val="en-GB" w:eastAsia="en-GB" w:bidi="ar-SA"/>
          </w:rPr>
          <w:tab/>
        </w:r>
        <w:r w:rsidR="00DF38D4" w:rsidRPr="009B1AB8">
          <w:rPr>
            <w:rStyle w:val="Hyperlink"/>
          </w:rPr>
          <w:t>ИЗПЪЛНЕНИЕ НА БЮДЖЕТА НА ИНСТИТУЦИИТЕ И АГЕНЦИИТЕ</w:t>
        </w:r>
        <w:r w:rsidR="00DF38D4">
          <w:rPr>
            <w:webHidden/>
          </w:rPr>
          <w:tab/>
        </w:r>
        <w:r w:rsidR="00DF38D4">
          <w:rPr>
            <w:webHidden/>
          </w:rPr>
          <w:fldChar w:fldCharType="begin"/>
        </w:r>
        <w:r w:rsidR="00DF38D4">
          <w:rPr>
            <w:webHidden/>
          </w:rPr>
          <w:instrText xml:space="preserve"> PAGEREF _Toc431307078 \h </w:instrText>
        </w:r>
        <w:r w:rsidR="00DF38D4">
          <w:rPr>
            <w:webHidden/>
          </w:rPr>
        </w:r>
        <w:r w:rsidR="00DF38D4">
          <w:rPr>
            <w:webHidden/>
          </w:rPr>
          <w:fldChar w:fldCharType="separate"/>
        </w:r>
        <w:r w:rsidR="009471AD">
          <w:rPr>
            <w:webHidden/>
          </w:rPr>
          <w:t>136</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79" w:history="1">
        <w:r w:rsidR="00DF38D4" w:rsidRPr="009B1AB8">
          <w:rPr>
            <w:rStyle w:val="Hyperlink"/>
          </w:rPr>
          <w:t>6.1.</w:t>
        </w:r>
        <w:r w:rsidR="00DF38D4">
          <w:rPr>
            <w:rFonts w:asciiTheme="minorHAnsi" w:eastAsiaTheme="minorEastAsia" w:hAnsiTheme="minorHAnsi" w:cstheme="minorBidi"/>
            <w:color w:val="auto"/>
            <w:sz w:val="22"/>
            <w:lang w:val="en-GB" w:eastAsia="en-GB" w:bidi="ar-SA"/>
          </w:rPr>
          <w:tab/>
        </w:r>
        <w:r w:rsidR="00DF38D4" w:rsidRPr="009B1AB8">
          <w:rPr>
            <w:rStyle w:val="Hyperlink"/>
          </w:rPr>
          <w:t>ИНСТИТУЦИИ: ОБОБЩЕНИЕ НА ИЗПЪЛНЕНИЕТО НА БЮДЖЕТНИТЕ ПРИХОДИ</w:t>
        </w:r>
        <w:r w:rsidR="00DF38D4">
          <w:rPr>
            <w:webHidden/>
          </w:rPr>
          <w:tab/>
        </w:r>
        <w:r w:rsidR="00DF38D4">
          <w:rPr>
            <w:webHidden/>
          </w:rPr>
          <w:fldChar w:fldCharType="begin"/>
        </w:r>
        <w:r w:rsidR="00DF38D4">
          <w:rPr>
            <w:webHidden/>
          </w:rPr>
          <w:instrText xml:space="preserve"> PAGEREF _Toc431307079 \h </w:instrText>
        </w:r>
        <w:r w:rsidR="00DF38D4">
          <w:rPr>
            <w:webHidden/>
          </w:rPr>
        </w:r>
        <w:r w:rsidR="00DF38D4">
          <w:rPr>
            <w:webHidden/>
          </w:rPr>
          <w:fldChar w:fldCharType="separate"/>
        </w:r>
        <w:r w:rsidR="009471AD">
          <w:rPr>
            <w:webHidden/>
          </w:rPr>
          <w:t>136</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80" w:history="1">
        <w:r w:rsidR="00DF38D4" w:rsidRPr="009B1AB8">
          <w:rPr>
            <w:rStyle w:val="Hyperlink"/>
          </w:rPr>
          <w:t>6.2.</w:t>
        </w:r>
        <w:r w:rsidR="00DF38D4">
          <w:rPr>
            <w:rFonts w:asciiTheme="minorHAnsi" w:eastAsiaTheme="minorEastAsia" w:hAnsiTheme="minorHAnsi" w:cstheme="minorBidi"/>
            <w:color w:val="auto"/>
            <w:sz w:val="22"/>
            <w:lang w:val="en-GB" w:eastAsia="en-GB" w:bidi="ar-SA"/>
          </w:rPr>
          <w:tab/>
        </w:r>
        <w:r w:rsidR="00DF38D4" w:rsidRPr="009B1AB8">
          <w:rPr>
            <w:rStyle w:val="Hyperlink"/>
          </w:rPr>
          <w:t>ИНСТИТУЦИИ: ИЗПЪЛНЕНИЕ НА БЮДЖЕТНИТЕ КРЕДИТИ ЗА ПОЕТИ ЗАДЪЛЖЕНИЯ И ЗА ПЛАЩАНИЯ</w:t>
        </w:r>
        <w:r w:rsidR="00DF38D4">
          <w:rPr>
            <w:webHidden/>
          </w:rPr>
          <w:tab/>
        </w:r>
        <w:r w:rsidR="00DF38D4">
          <w:rPr>
            <w:webHidden/>
          </w:rPr>
          <w:fldChar w:fldCharType="begin"/>
        </w:r>
        <w:r w:rsidR="00DF38D4">
          <w:rPr>
            <w:webHidden/>
          </w:rPr>
          <w:instrText xml:space="preserve"> PAGEREF _Toc431307080 \h </w:instrText>
        </w:r>
        <w:r w:rsidR="00DF38D4">
          <w:rPr>
            <w:webHidden/>
          </w:rPr>
        </w:r>
        <w:r w:rsidR="00DF38D4">
          <w:rPr>
            <w:webHidden/>
          </w:rPr>
          <w:fldChar w:fldCharType="separate"/>
        </w:r>
        <w:r w:rsidR="009471AD">
          <w:rPr>
            <w:webHidden/>
          </w:rPr>
          <w:t>137</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81" w:history="1">
        <w:r w:rsidR="00DF38D4" w:rsidRPr="009B1AB8">
          <w:rPr>
            <w:rStyle w:val="Hyperlink"/>
          </w:rPr>
          <w:t>6.3.</w:t>
        </w:r>
        <w:r w:rsidR="00DF38D4">
          <w:rPr>
            <w:rFonts w:asciiTheme="minorHAnsi" w:eastAsiaTheme="minorEastAsia" w:hAnsiTheme="minorHAnsi" w:cstheme="minorBidi"/>
            <w:color w:val="auto"/>
            <w:sz w:val="22"/>
            <w:lang w:val="en-GB" w:eastAsia="en-GB" w:bidi="ar-SA"/>
          </w:rPr>
          <w:tab/>
        </w:r>
        <w:r w:rsidR="00DF38D4" w:rsidRPr="009B1AB8">
          <w:rPr>
            <w:rStyle w:val="Hyperlink"/>
          </w:rPr>
          <w:t>ПРИХОДИ НА АГЕНЦИИТЕ: БЮДЖЕТНИ ПРОГНОЗИ, ВЗЕМАНИЯ И ПОЛУЧЕНИ СУМИ</w:t>
        </w:r>
        <w:r w:rsidR="00DF38D4">
          <w:rPr>
            <w:webHidden/>
          </w:rPr>
          <w:tab/>
        </w:r>
        <w:r w:rsidR="00DF38D4">
          <w:rPr>
            <w:webHidden/>
          </w:rPr>
          <w:fldChar w:fldCharType="begin"/>
        </w:r>
        <w:r w:rsidR="00DF38D4">
          <w:rPr>
            <w:webHidden/>
          </w:rPr>
          <w:instrText xml:space="preserve"> PAGEREF _Toc431307081 \h </w:instrText>
        </w:r>
        <w:r w:rsidR="00DF38D4">
          <w:rPr>
            <w:webHidden/>
          </w:rPr>
        </w:r>
        <w:r w:rsidR="00DF38D4">
          <w:rPr>
            <w:webHidden/>
          </w:rPr>
          <w:fldChar w:fldCharType="separate"/>
        </w:r>
        <w:r w:rsidR="009471AD">
          <w:rPr>
            <w:webHidden/>
          </w:rPr>
          <w:t>139</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82" w:history="1">
        <w:r w:rsidR="00DF38D4" w:rsidRPr="009B1AB8">
          <w:rPr>
            <w:rStyle w:val="Hyperlink"/>
          </w:rPr>
          <w:t>6.4.</w:t>
        </w:r>
        <w:r w:rsidR="00DF38D4">
          <w:rPr>
            <w:rFonts w:asciiTheme="minorHAnsi" w:eastAsiaTheme="minorEastAsia" w:hAnsiTheme="minorHAnsi" w:cstheme="minorBidi"/>
            <w:color w:val="auto"/>
            <w:sz w:val="22"/>
            <w:lang w:val="en-GB" w:eastAsia="en-GB" w:bidi="ar-SA"/>
          </w:rPr>
          <w:tab/>
        </w:r>
        <w:r w:rsidR="00DF38D4" w:rsidRPr="009B1AB8">
          <w:rPr>
            <w:rStyle w:val="Hyperlink"/>
          </w:rPr>
          <w:t>БЮДЖЕТНИ КРЕДИТИ ЗА ПОЕТИ ЗАДЪЛЖЕНИЯ И ЗА ПЛАЩАНИЯ ПО АГЕНЦИИ</w:t>
        </w:r>
        <w:r w:rsidR="00DF38D4">
          <w:rPr>
            <w:webHidden/>
          </w:rPr>
          <w:tab/>
        </w:r>
        <w:r w:rsidR="00DF38D4">
          <w:rPr>
            <w:webHidden/>
          </w:rPr>
          <w:fldChar w:fldCharType="begin"/>
        </w:r>
        <w:r w:rsidR="00DF38D4">
          <w:rPr>
            <w:webHidden/>
          </w:rPr>
          <w:instrText xml:space="preserve"> PAGEREF _Toc431307082 \h </w:instrText>
        </w:r>
        <w:r w:rsidR="00DF38D4">
          <w:rPr>
            <w:webHidden/>
          </w:rPr>
        </w:r>
        <w:r w:rsidR="00DF38D4">
          <w:rPr>
            <w:webHidden/>
          </w:rPr>
          <w:fldChar w:fldCharType="separate"/>
        </w:r>
        <w:r w:rsidR="009471AD">
          <w:rPr>
            <w:webHidden/>
          </w:rPr>
          <w:t>140</w:t>
        </w:r>
        <w:r w:rsidR="00DF38D4">
          <w:rPr>
            <w:webHidden/>
          </w:rPr>
          <w:fldChar w:fldCharType="end"/>
        </w:r>
      </w:hyperlink>
    </w:p>
    <w:p w:rsidR="00DF38D4" w:rsidRDefault="00B55B79">
      <w:pPr>
        <w:pStyle w:val="TOC2"/>
        <w:rPr>
          <w:rFonts w:asciiTheme="minorHAnsi" w:eastAsiaTheme="minorEastAsia" w:hAnsiTheme="minorHAnsi" w:cstheme="minorBidi"/>
          <w:color w:val="auto"/>
          <w:sz w:val="22"/>
          <w:lang w:val="en-GB" w:eastAsia="en-GB" w:bidi="ar-SA"/>
        </w:rPr>
      </w:pPr>
      <w:hyperlink w:anchor="_Toc431307083" w:history="1">
        <w:r w:rsidR="00DF38D4" w:rsidRPr="009B1AB8">
          <w:rPr>
            <w:rStyle w:val="Hyperlink"/>
          </w:rPr>
          <w:t>6.5.</w:t>
        </w:r>
        <w:r w:rsidR="00DF38D4">
          <w:rPr>
            <w:rFonts w:asciiTheme="minorHAnsi" w:eastAsiaTheme="minorEastAsia" w:hAnsiTheme="minorHAnsi" w:cstheme="minorBidi"/>
            <w:color w:val="auto"/>
            <w:sz w:val="22"/>
            <w:lang w:val="en-GB" w:eastAsia="en-GB" w:bidi="ar-SA"/>
          </w:rPr>
          <w:tab/>
        </w:r>
        <w:r w:rsidR="00DF38D4" w:rsidRPr="009B1AB8">
          <w:rPr>
            <w:rStyle w:val="Hyperlink"/>
          </w:rPr>
          <w:t>БЮДЖЕТЕН РЕЗУЛТАТ, ВКЛЮЧВАЩ АГЕНЦИИТЕ</w:t>
        </w:r>
        <w:r w:rsidR="00DF38D4">
          <w:rPr>
            <w:webHidden/>
          </w:rPr>
          <w:tab/>
        </w:r>
        <w:r w:rsidR="00DF38D4">
          <w:rPr>
            <w:webHidden/>
          </w:rPr>
          <w:fldChar w:fldCharType="begin"/>
        </w:r>
        <w:r w:rsidR="00DF38D4">
          <w:rPr>
            <w:webHidden/>
          </w:rPr>
          <w:instrText xml:space="preserve"> PAGEREF _Toc431307083 \h </w:instrText>
        </w:r>
        <w:r w:rsidR="00DF38D4">
          <w:rPr>
            <w:webHidden/>
          </w:rPr>
        </w:r>
        <w:r w:rsidR="00DF38D4">
          <w:rPr>
            <w:webHidden/>
          </w:rPr>
          <w:fldChar w:fldCharType="separate"/>
        </w:r>
        <w:r w:rsidR="009471AD">
          <w:rPr>
            <w:webHidden/>
          </w:rPr>
          <w:t>141</w:t>
        </w:r>
        <w:r w:rsidR="00DF38D4">
          <w:rPr>
            <w:webHidden/>
          </w:rPr>
          <w:fldChar w:fldCharType="end"/>
        </w:r>
      </w:hyperlink>
    </w:p>
    <w:p w:rsidR="0004057B" w:rsidRDefault="00DF38D4" w:rsidP="00DF38D4">
      <w:pPr>
        <w:pStyle w:val="TOC1"/>
        <w:rPr>
          <w:rFonts w:asciiTheme="minorHAnsi" w:eastAsiaTheme="minorEastAsia" w:hAnsiTheme="minorHAnsi" w:cstheme="minorBidi"/>
          <w:color w:val="auto"/>
          <w:szCs w:val="22"/>
        </w:rPr>
      </w:pPr>
      <w:r>
        <w:fldChar w:fldCharType="end"/>
      </w:r>
    </w:p>
    <w:bookmarkEnd w:id="211"/>
    <w:p w:rsidR="00F50689" w:rsidRDefault="00F50689" w:rsidP="00F50689">
      <w:pPr>
        <w:sectPr w:rsidR="00F50689" w:rsidSect="00F50689">
          <w:headerReference w:type="even" r:id="rId431"/>
          <w:headerReference w:type="default" r:id="rId432"/>
          <w:footerReference w:type="even" r:id="rId433"/>
          <w:footerReference w:type="default" r:id="rId434"/>
          <w:headerReference w:type="first" r:id="rId435"/>
          <w:footerReference w:type="first" r:id="rId436"/>
          <w:pgSz w:w="11907" w:h="16840"/>
          <w:pgMar w:top="1134" w:right="1134" w:bottom="1134" w:left="1134" w:header="709" w:footer="709" w:gutter="0"/>
          <w:cols w:space="708"/>
          <w:docGrid w:linePitch="360"/>
        </w:sectPr>
      </w:pPr>
    </w:p>
    <w:p w:rsidR="00F50689" w:rsidRPr="00015051" w:rsidRDefault="005A36C4" w:rsidP="00F50689">
      <w:pPr>
        <w:pStyle w:val="HEADERTITLE2"/>
      </w:pPr>
      <w:bookmarkStart w:id="212" w:name="_Toc431307051"/>
      <w:bookmarkStart w:id="213" w:name="_DMBM_3428"/>
      <w:r>
        <w:t>БЮДЖЕТЕН РЕЗУЛТАТ</w:t>
      </w:r>
      <w:bookmarkEnd w:id="21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1040"/>
        <w:gridCol w:w="1811"/>
        <w:gridCol w:w="1812"/>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8pItalicLeft"/>
              <w:rPr>
                <w:rFonts w:eastAsia="Verdana" w:cs="Verdana"/>
                <w:color w:val="FFFFFF"/>
              </w:rPr>
            </w:pPr>
            <w:bookmarkStart w:id="214" w:name="DOC_TBL00091_1_1"/>
            <w:bookmarkEnd w:id="214"/>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8pItalicRight025EUR"/>
              <w:rPr>
                <w:rFonts w:eastAsia="Verdana" w:cs="Verdana"/>
              </w:rPr>
            </w:pPr>
            <w:r>
              <w:t>млн. EUR</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Pr="00C52E40"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Pr="00C52E40" w:rsidRDefault="005A36C4" w:rsidP="00F50689">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Pr="00C52E40" w:rsidRDefault="005A36C4" w:rsidP="00F50689">
            <w:pPr>
              <w:pStyle w:val="Heading10pNormalRight025"/>
              <w:rPr>
                <w:rFonts w:eastAsia="Verdana" w:cs="Verdana"/>
              </w:rPr>
            </w:pPr>
            <w:r>
              <w:t>2014 г.</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Pr="00C52E40" w:rsidRDefault="005A36C4" w:rsidP="00F50689">
            <w:pPr>
              <w:pStyle w:val="Heading10pNormalRight025"/>
              <w:rPr>
                <w:rFonts w:eastAsia="Verdana" w:cs="Verdana"/>
              </w:rPr>
            </w:pPr>
            <w:r>
              <w:t>2013 г.</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Приходи за финансовата година</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Centered"/>
              <w:rPr>
                <w:rFonts w:eastAsia="Verdana" w:cs="Verdana"/>
              </w:rPr>
            </w:pPr>
            <w:r>
              <w:t>4.1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143 940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149 504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Плащания спрямо бюджетните кредити за текущата година</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Centered"/>
              <w:rPr>
                <w:rFonts w:eastAsia="Verdana" w:cs="Verdana"/>
              </w:rPr>
            </w:pPr>
            <w:r>
              <w:t>5.3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(141 193)</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(147 567)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Бюджетни кредити за плащания, пренесени за година N+1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(1 787)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(1 329)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Отмяна на неусвоени бюджетни кредити за плащания, пренесени от година N-1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34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Промяна на целевите приходи</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336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403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Курсови разлики за годината</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110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(42)</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Text9pBoldLeft"/>
              <w:rPr>
                <w:rFonts w:eastAsia="Verdana" w:cs="Verdana"/>
              </w:rPr>
            </w:pPr>
            <w:r>
              <w:t>Бюджетен резултат*</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Text9pItalicCentered"/>
              <w:rPr>
                <w:rFonts w:eastAsia="Verdana" w:cs="Verdana"/>
                <w:i w:val="0"/>
              </w:rPr>
            </w:pPr>
            <w:r>
              <w:rPr>
                <w:i w:val="0"/>
              </w:rPr>
              <w:t>2.2</w:t>
            </w: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Figures9pBoldRight025"/>
              <w:rPr>
                <w:rFonts w:eastAsia="Verdana" w:cs="Verdana"/>
              </w:rPr>
            </w:pPr>
            <w:r>
              <w:t>1 432</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Figures9pBoldRight025"/>
              <w:rPr>
                <w:rFonts w:eastAsia="Verdana" w:cs="Verdana"/>
              </w:rPr>
            </w:pPr>
            <w:r>
              <w:t>1 002</w:t>
            </w:r>
          </w:p>
        </w:tc>
      </w:tr>
    </w:tbl>
    <w:p w:rsidR="00F50689" w:rsidRPr="008A7D59" w:rsidRDefault="005A36C4" w:rsidP="008A7D59">
      <w:pPr>
        <w:pStyle w:val="Textstand-alone"/>
        <w:spacing w:before="60"/>
        <w:rPr>
          <w:i/>
          <w:sz w:val="14"/>
        </w:rPr>
      </w:pPr>
      <w:r>
        <w:rPr>
          <w:i/>
          <w:sz w:val="14"/>
        </w:rPr>
        <w:t>* От който резултатът на ЕАСТ е (3) млн. EUR за 2014 г. и (4) млн. EUR за 2013 г.</w:t>
      </w:r>
    </w:p>
    <w:p w:rsidR="00F50689" w:rsidRPr="00C52E40" w:rsidRDefault="005A36C4" w:rsidP="00F50689">
      <w:pPr>
        <w:pStyle w:val="Textstand-alone"/>
        <w:sectPr w:rsidR="00F50689" w:rsidRPr="00C52E40" w:rsidSect="00F50689">
          <w:headerReference w:type="even" r:id="rId437"/>
          <w:headerReference w:type="default" r:id="rId438"/>
          <w:footerReference w:type="even" r:id="rId439"/>
          <w:footerReference w:type="default" r:id="rId440"/>
          <w:headerReference w:type="first" r:id="rId441"/>
          <w:footerReference w:type="first" r:id="rId442"/>
          <w:pgSz w:w="11907" w:h="16840"/>
          <w:pgMar w:top="1134" w:right="1134" w:bottom="1134" w:left="1134" w:header="709" w:footer="709" w:gutter="0"/>
          <w:cols w:space="708"/>
          <w:docGrid w:linePitch="360"/>
        </w:sectPr>
      </w:pPr>
      <w:r>
        <w:t xml:space="preserve"> </w:t>
      </w:r>
      <w:bookmarkEnd w:id="213"/>
    </w:p>
    <w:p w:rsidR="00F50689" w:rsidRDefault="005A36C4" w:rsidP="00F50689">
      <w:pPr>
        <w:pStyle w:val="HEADERTITLE2"/>
      </w:pPr>
      <w:bookmarkStart w:id="215" w:name="_Toc431307052"/>
      <w:bookmarkStart w:id="216" w:name="_DMBM_3429"/>
      <w:r>
        <w:t>РАВНЕНИЕ НА ФИНАНСОВИЯ РЕЗУЛТАТ С БЮДЖЕТНИЯ РЕЗУЛТАТ</w:t>
      </w:r>
      <w:bookmarkEnd w:id="215"/>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17" w:name="DOC_TBL00092_1_1"/>
            <w:bookmarkEnd w:id="217"/>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млн. EUR</w:t>
            </w:r>
          </w:p>
        </w:tc>
      </w:tr>
      <w:tr w:rsidR="00E7728E">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 г.</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 г.</w:t>
            </w: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ФИНАНСОВ РЕЗУЛТАТ ЗА ГОДИНАТА</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(11 280)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(4 365)</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Приходи</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Вземания, установени през текущата година, но все още несъбрани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(6 573)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(2 071)</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Вземания, установени през предходни години и събрани през текущата година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4 809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3 357</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Начислени приходи (нетни)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(4 877)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(134)</w:t>
            </w: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Разходи</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Начислени разходи (нетни)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9 223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3 216</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Разходи от предходната година, платени през текущата година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(821)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(1 123)</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Ефект „нето“ на предварителното финансиране</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457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(902)</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Бюджетни кредити за плащания, пренесени за следващата година</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(1 979)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(1 528)</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Плащания, извършени с пренесени суми, и отмяна на неизползвани бюджетни кредити за плащания</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1 858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1 538</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Движение на провизиите</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12 164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4 136</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Други</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(1 719)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(1 027)</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Финансов резултат на агенциите и ЕОВС</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170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(93)</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БЮДЖЕТЕН РЕЗУЛТАТ ЗА ГОДИНАТА</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1 432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1 002</w:t>
            </w:r>
          </w:p>
        </w:tc>
      </w:tr>
    </w:tbl>
    <w:p w:rsidR="00F50689" w:rsidRDefault="005A36C4" w:rsidP="00F50689">
      <w:pPr>
        <w:pStyle w:val="Textstand-alone"/>
      </w:pPr>
      <w:r>
        <w:t xml:space="preserve">За допълнителни разяснения относно равняването на финансовия с бюджетния резултат вж. бележка </w:t>
      </w:r>
      <w:r>
        <w:rPr>
          <w:b/>
        </w:rPr>
        <w:t>3</w:t>
      </w:r>
      <w:r>
        <w:t>.</w:t>
      </w:r>
    </w:p>
    <w:p w:rsidR="00F50689" w:rsidRDefault="005A36C4" w:rsidP="00F50689">
      <w:pPr>
        <w:pStyle w:val="Textstand-alone"/>
        <w:sectPr w:rsidR="00F50689" w:rsidSect="00F50689">
          <w:headerReference w:type="even" r:id="rId443"/>
          <w:headerReference w:type="default" r:id="rId444"/>
          <w:footerReference w:type="even" r:id="rId445"/>
          <w:footerReference w:type="default" r:id="rId446"/>
          <w:headerReference w:type="first" r:id="rId447"/>
          <w:footerReference w:type="first" r:id="rId448"/>
          <w:pgSz w:w="11907" w:h="16840" w:code="9"/>
          <w:pgMar w:top="1134" w:right="1134" w:bottom="1134" w:left="1134" w:header="709" w:footer="709" w:gutter="0"/>
          <w:cols w:space="708"/>
          <w:docGrid w:linePitch="360"/>
        </w:sectPr>
      </w:pPr>
      <w:r>
        <w:t xml:space="preserve"> </w:t>
      </w:r>
      <w:bookmarkEnd w:id="216"/>
    </w:p>
    <w:p w:rsidR="00F50689" w:rsidRDefault="005A36C4" w:rsidP="00F50689">
      <w:pPr>
        <w:pStyle w:val="HEADERTITLE2"/>
      </w:pPr>
      <w:bookmarkStart w:id="218" w:name="_Toc431307053"/>
      <w:bookmarkStart w:id="219" w:name="_DMBM_3431"/>
      <w:r>
        <w:t>СЪПОСТАВКА НА БЮДЖЕТНИТЕ С РЕАЛНИТЕ СУМИ</w:t>
      </w:r>
      <w:bookmarkEnd w:id="218"/>
    </w:p>
    <w:p w:rsidR="00F50689" w:rsidRPr="009E7E05" w:rsidRDefault="005A36C4" w:rsidP="00F50689">
      <w:pPr>
        <w:pStyle w:val="HEADERTITLE3"/>
      </w:pPr>
      <w:r>
        <w:t>БЮДЖЕТНИ ПРИХОДИ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559"/>
        <w:gridCol w:w="1701"/>
        <w:gridCol w:w="1418"/>
        <w:gridCol w:w="1275"/>
      </w:tblGrid>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20" w:name="DOC_TBL00093_1_1"/>
            <w:bookmarkEnd w:id="220"/>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rPr>
          <w:cantSplit/>
        </w:trPr>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340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color w:val="auto"/>
              </w:rPr>
            </w:pP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rPr>
            </w:pPr>
            <w:r>
              <w:t>Първоначален приет бюджет</w:t>
            </w:r>
          </w:p>
        </w:tc>
        <w:tc>
          <w:tcPr>
            <w:tcW w:w="170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rPr>
            </w:pPr>
            <w:r>
              <w:t>Коригиращи бюджети</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rPr>
            </w:pPr>
            <w:r>
              <w:t>Окончателен приет бюджет</w:t>
            </w:r>
          </w:p>
        </w:tc>
        <w:tc>
          <w:tcPr>
            <w:tcW w:w="127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rPr>
            </w:pPr>
            <w:r>
              <w:t>Приходи</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1.</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Собствени ресурси</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133 960</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(5 572)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128 388</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128 867</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rPr>
            </w:pP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 xml:space="preserve">   От които мита</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16 186</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16 174</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16 499</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rPr>
            </w:pP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 xml:space="preserve">   От които ДДС</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17 882</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(192)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17 690</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17 746</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rPr>
            </w:pP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 xml:space="preserve">   От които БНД</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99 767</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(5 154)</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94 614</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94 863</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3.</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Излишъци, салда и корекции</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5 101</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5 101</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5 100</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4.</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Приходи от лица, работещи към институциите и към други органи на Съюза</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1 275</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1 275</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1 251</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5.</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Приходи от административната дейност на институциите</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54</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54</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578</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6.</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Вноски и възстановени средства във връзка със споразумения и програми на Съюза</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60</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60</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3 225</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7.</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Лихви за забава и глоби</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123</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3 850</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3 973</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4 607</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8.</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Операции по получаване и отпускане на заеми</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151</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153</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297</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9.</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Разни приходи</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30</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30</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w:t>
            </w:r>
          </w:p>
        </w:tc>
      </w:tr>
      <w:tr w:rsidR="00E7728E">
        <w:trPr>
          <w:cantSplit/>
        </w:trPr>
        <w:tc>
          <w:tcPr>
            <w:tcW w:w="3794" w:type="dxa"/>
            <w:gridSpan w:val="2"/>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eastAsia="Verdana" w:cs="Verdana"/>
              </w:rPr>
            </w:pPr>
            <w:r>
              <w:t>Общо</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135 505</w:t>
            </w:r>
          </w:p>
        </w:tc>
        <w:tc>
          <w:tcPr>
            <w:tcW w:w="1701"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3 530</w:t>
            </w:r>
          </w:p>
        </w:tc>
        <w:tc>
          <w:tcPr>
            <w:tcW w:w="1418"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139 034</w:t>
            </w:r>
          </w:p>
        </w:tc>
        <w:tc>
          <w:tcPr>
            <w:tcW w:w="1275"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143 940</w:t>
            </w:r>
          </w:p>
        </w:tc>
      </w:tr>
    </w:tbl>
    <w:p w:rsidR="00F50689" w:rsidRDefault="005A36C4" w:rsidP="00F50689">
      <w:pPr>
        <w:pStyle w:val="Textstand-alone"/>
      </w:pPr>
      <w:r>
        <w:t>За информация относно изпълнението на приходите за 2014 г. вж. бележка </w:t>
      </w:r>
      <w:r>
        <w:rPr>
          <w:b/>
        </w:rPr>
        <w:t>4</w:t>
      </w:r>
      <w:r>
        <w:t>.</w:t>
      </w:r>
    </w:p>
    <w:p w:rsidR="00F50689" w:rsidRDefault="00F50689" w:rsidP="00F50689">
      <w:pPr>
        <w:pStyle w:val="Textstand-alone"/>
      </w:pPr>
    </w:p>
    <w:bookmarkEnd w:id="219"/>
    <w:p w:rsidR="00F50689" w:rsidRDefault="00F50689" w:rsidP="00F50689">
      <w:pPr>
        <w:pStyle w:val="Textstand-alone"/>
        <w:sectPr w:rsidR="00F50689" w:rsidSect="00F50689">
          <w:headerReference w:type="even" r:id="rId449"/>
          <w:headerReference w:type="default" r:id="rId450"/>
          <w:footerReference w:type="even" r:id="rId451"/>
          <w:footerReference w:type="default" r:id="rId452"/>
          <w:headerReference w:type="first" r:id="rId453"/>
          <w:footerReference w:type="first" r:id="rId454"/>
          <w:pgSz w:w="11907" w:h="16840" w:code="9"/>
          <w:pgMar w:top="1134" w:right="1134" w:bottom="1134" w:left="1134" w:header="709" w:footer="709" w:gutter="0"/>
          <w:cols w:space="708"/>
          <w:docGrid w:linePitch="360"/>
        </w:sectPr>
      </w:pPr>
    </w:p>
    <w:p w:rsidR="00F50689" w:rsidRPr="009E7E05" w:rsidRDefault="005A36C4" w:rsidP="00F50689">
      <w:pPr>
        <w:pStyle w:val="HEADERTITLE3"/>
      </w:pPr>
      <w:bookmarkStart w:id="221" w:name="_DMBM_3457"/>
      <w:r>
        <w:t>БЮДЖЕТНИ РАЗХОДИ: ПОЕТИ ЗАДЪЛЖЕНИЯ ПО ФУНКЦИИ ОТ МНОГОГОДИШНАТА ФИНАНСОВА РАМКА (МФР)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trPr>
          <w:cantSplit/>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Left"/>
              <w:rPr>
                <w:rFonts w:eastAsia="Verdana" w:cs="Verdana"/>
              </w:rPr>
            </w:pPr>
            <w:bookmarkStart w:id="222" w:name="DOC_TBL00094_1_1"/>
            <w:bookmarkEnd w:id="222"/>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jc w:val="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8pItalicRight025EUR"/>
              <w:rPr>
                <w:rFonts w:eastAsia="Verdana" w:cs="Verdana"/>
              </w:rPr>
            </w:pPr>
            <w:r>
              <w:t>млн. EUR</w:t>
            </w:r>
          </w:p>
        </w:tc>
      </w:tr>
      <w:tr w:rsidR="00E7728E">
        <w:trPr>
          <w:cantSplit/>
        </w:trPr>
        <w:tc>
          <w:tcPr>
            <w:tcW w:w="250"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10pNormalLeft"/>
              <w:rPr>
                <w:rFonts w:eastAsia="Verdana" w:cs="Verdana"/>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9pNormalCentered"/>
              <w:jc w:val="left"/>
              <w:rPr>
                <w:rFonts w:eastAsia="Verdana" w:cs="Verdana"/>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Първоначален приет бюджет</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Коригиращи бюджети и трансфери</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Окончателен приет бюджет</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Допълнителни</w:t>
            </w:r>
          </w:p>
          <w:p w:rsidR="00F50689" w:rsidRPr="00AA69B7" w:rsidRDefault="005A36C4" w:rsidP="00F50689">
            <w:pPr>
              <w:pStyle w:val="Heading9pNormalCentered"/>
              <w:rPr>
                <w:rFonts w:eastAsia="Verdana" w:cs="Verdana"/>
              </w:rPr>
            </w:pPr>
            <w:r>
              <w:t>бюджетни кредити*</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Общо налични бюджетни кредити</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Поети задължения</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Интелигентен и приобщаващ растеж</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63 986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63 986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3 625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67 611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45 972</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1a: Конкурентоспособност за растеж и работни места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16 484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16 484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2 645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19 129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18 018</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1б: Икономическо, социално и териториално сближаване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47 502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47 502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980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48 482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27 954</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Устойчив растеж: природни ресурси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59 267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(76)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59 191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2 105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61 296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48 263</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от които: разходи, свързани с пазара, и преки плащания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43 778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43 778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1 724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45 502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44 293</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Сигурност и гражданство</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2 172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2 172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84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2 256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1 507</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Глобална Европа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8 325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98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577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9 000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8 489</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Администрация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8 405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766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9 171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8 884</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от които: административни разходи на институциите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400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3 931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3 789</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Компенсации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Отрицателен резерв</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Специални инструменти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456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485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92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577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64</w:t>
            </w:r>
          </w:p>
        </w:tc>
      </w:tr>
      <w:tr w:rsidR="00E7728E">
        <w:trPr>
          <w:cantSplit/>
        </w:trPr>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jc w:val="left"/>
              <w:rPr>
                <w:rFonts w:eastAsia="Verdana" w:cs="Verdana"/>
              </w:rPr>
            </w:pPr>
            <w:r>
              <w:t>Общо</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142 640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 xml:space="preserve"> 50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142 690</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7 249</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149 939</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113 208</w:t>
            </w:r>
          </w:p>
        </w:tc>
      </w:tr>
    </w:tbl>
    <w:p w:rsidR="00F50689" w:rsidRPr="008A7D59" w:rsidRDefault="005A36C4" w:rsidP="008A7D59">
      <w:pPr>
        <w:pStyle w:val="Textstand-alone"/>
        <w:spacing w:before="60"/>
        <w:rPr>
          <w:i/>
          <w:sz w:val="14"/>
        </w:rPr>
      </w:pPr>
      <w:r>
        <w:rPr>
          <w:i/>
          <w:sz w:val="14"/>
        </w:rPr>
        <w:t>* Допълнителните бюджетни кредити включват бюджетните кредити, пренесени от предходната година, целевите приходи и бюджетните кредити, които стават налични вследствие на отмени.</w:t>
      </w:r>
    </w:p>
    <w:p w:rsidR="00F12CBE" w:rsidRDefault="00F12CBE">
      <w:pPr>
        <w:rPr>
          <w:rFonts w:ascii="Verdana" w:hAnsi="Verdana"/>
          <w:b/>
          <w:noProof/>
          <w:color w:val="016794"/>
          <w:szCs w:val="18"/>
        </w:rPr>
      </w:pPr>
      <w:r>
        <w:br w:type="page"/>
      </w:r>
    </w:p>
    <w:p w:rsidR="00F50689" w:rsidRDefault="005A36C4" w:rsidP="00F50689">
      <w:pPr>
        <w:pStyle w:val="HEADERTITLE3"/>
      </w:pPr>
      <w:r>
        <w:t>БЮДЖЕТНИ РАЗХОДИ: ПЛАЩАНИЯ ПО ФУНКЦИИ ОТ МНОГОГОДИШНАТА ФИНАНСОВА РАМКА (МФР)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Left"/>
              <w:rPr>
                <w:rFonts w:eastAsia="Verdana" w:cs="Verdana"/>
              </w:rPr>
            </w:pPr>
            <w:bookmarkStart w:id="223" w:name="DOC_TBL00095_1_1"/>
            <w:bookmarkEnd w:id="223"/>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jc w:val="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8pItalicRight025EUR"/>
              <w:rPr>
                <w:rFonts w:eastAsia="Verdana" w:cs="Verdana"/>
              </w:rPr>
            </w:pPr>
            <w:r>
              <w:t>млн. EUR</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10pNormalLeft"/>
              <w:rPr>
                <w:rFonts w:eastAsia="Verdana" w:cs="Verdana"/>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9pNormalCentered"/>
              <w:jc w:val="left"/>
              <w:rPr>
                <w:rFonts w:eastAsia="Verdana" w:cs="Verdana"/>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Първоначален приет бюджет</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Коригиращи бюджети и трансфери</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Окончателен приет бюджет</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Допълнителни</w:t>
            </w:r>
          </w:p>
          <w:p w:rsidR="00F50689" w:rsidRPr="00AA69B7" w:rsidRDefault="005A36C4" w:rsidP="00F50689">
            <w:pPr>
              <w:pStyle w:val="Heading9pNormalCentered"/>
              <w:rPr>
                <w:rFonts w:eastAsia="Verdana" w:cs="Verdana"/>
              </w:rPr>
            </w:pPr>
            <w:r>
              <w:t>бюджетни кредити*</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Общо налични бюджетни кредити</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Извършени плащания</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Интелигентен и приобщаващ растеж</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62 393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3 470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65 863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3 836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69 699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67 683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1a: Конкурентоспособност за растеж и работни места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11 441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415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11 857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3 451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15 308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13 331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1б: Икономическо, социално и териториално сближаване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50 951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3 055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54 006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385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54 392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54 352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Устойчив растеж: природни ресурси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56 459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(500)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55 959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2 003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57 962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56 584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от които: разходи, свързани с пазара, и преки плащания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43 777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43 776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1 738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45 514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44 287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Сигурност и гражданство</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1 677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(17)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1 660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88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1 747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1 711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Глобална Европа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6 191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734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6 925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556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7 481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7 206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Администрация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8 406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1 634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10 040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8 819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от които: административни разходи на институциите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944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4 475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3 729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Компенсации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Отрицателен резерв</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Специални инструменти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350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(157)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193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344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536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465</w:t>
            </w:r>
          </w:p>
        </w:tc>
      </w:tr>
      <w:tr w:rsidR="00E7728E">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jc w:val="left"/>
              <w:rPr>
                <w:rFonts w:eastAsia="Verdana" w:cs="Verdana"/>
              </w:rPr>
            </w:pPr>
            <w:r>
              <w:t>Общо</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135 505</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3 530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139 034</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8 460</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147 495</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142 497</w:t>
            </w:r>
          </w:p>
        </w:tc>
      </w:tr>
    </w:tbl>
    <w:p w:rsidR="00F50689" w:rsidRPr="008A7D59" w:rsidRDefault="005A36C4" w:rsidP="008A7D59">
      <w:pPr>
        <w:pStyle w:val="Textstand-alone"/>
        <w:spacing w:before="60"/>
        <w:rPr>
          <w:i/>
          <w:sz w:val="14"/>
        </w:rPr>
      </w:pPr>
      <w:r>
        <w:rPr>
          <w:i/>
          <w:sz w:val="14"/>
        </w:rPr>
        <w:t>* Допълнителните бюджетни кредити включват бюджетните кредити, пренесени от предходната година, целевите приходи и бюджетните кредити, които стават налични вследствие на отмени.</w:t>
      </w:r>
    </w:p>
    <w:p w:rsidR="00F50689" w:rsidRDefault="005A36C4" w:rsidP="00F50689">
      <w:pPr>
        <w:pStyle w:val="Textstand-alone"/>
        <w:spacing w:after="0"/>
      </w:pPr>
      <w:r>
        <w:t xml:space="preserve">За повече информация за изпълнението на разходите за 2014 г. вж. бележка </w:t>
      </w:r>
      <w:r>
        <w:rPr>
          <w:b/>
        </w:rPr>
        <w:t>5</w:t>
      </w:r>
      <w:r>
        <w:t xml:space="preserve">, а за обяснението вж. бележка </w:t>
      </w:r>
      <w:r>
        <w:rPr>
          <w:b/>
        </w:rPr>
        <w:t>5.11</w:t>
      </w:r>
      <w:r>
        <w:t>.</w:t>
      </w:r>
    </w:p>
    <w:p w:rsidR="00F50689" w:rsidRPr="00AA69B7" w:rsidRDefault="005A36C4" w:rsidP="00F50689">
      <w:pPr>
        <w:pStyle w:val="Textstand-alone"/>
        <w:spacing w:before="0" w:after="0"/>
        <w:sectPr w:rsidR="00F50689" w:rsidRPr="00AA69B7" w:rsidSect="00F50689">
          <w:headerReference w:type="even" r:id="rId455"/>
          <w:headerReference w:type="default" r:id="rId456"/>
          <w:footerReference w:type="even" r:id="rId457"/>
          <w:footerReference w:type="default" r:id="rId458"/>
          <w:headerReference w:type="first" r:id="rId459"/>
          <w:footerReference w:type="first" r:id="rId460"/>
          <w:pgSz w:w="11907" w:h="16840" w:code="9"/>
          <w:pgMar w:top="1134" w:right="1134" w:bottom="1134" w:left="1134" w:header="709" w:footer="709" w:gutter="0"/>
          <w:cols w:space="708"/>
          <w:docGrid w:linePitch="360"/>
        </w:sectPr>
      </w:pPr>
      <w:r>
        <w:t xml:space="preserve"> </w:t>
      </w:r>
      <w:bookmarkEnd w:id="221"/>
    </w:p>
    <w:p w:rsidR="00F50689" w:rsidRPr="000C54D7" w:rsidRDefault="005A36C4" w:rsidP="00F50689">
      <w:pPr>
        <w:pStyle w:val="HEADERTITLE2"/>
      </w:pPr>
      <w:bookmarkStart w:id="224" w:name="_Toc431307054"/>
      <w:bookmarkStart w:id="225" w:name="_DMBM_3427"/>
      <w:r>
        <w:t>БЕЛЕЖКИ КЪМ АГРЕГИРАНИТЕ ДОКЛАДИ ЗА ИЗПЪЛНЕНИЕТО НА БЮДЖЕТА</w:t>
      </w:r>
      <w:bookmarkEnd w:id="224"/>
      <w:r>
        <w:t xml:space="preserve"> </w:t>
      </w:r>
    </w:p>
    <w:p w:rsidR="00F50689" w:rsidRDefault="005A36C4" w:rsidP="00F50689">
      <w:pPr>
        <w:pStyle w:val="HEADER1Part3"/>
      </w:pPr>
      <w:bookmarkStart w:id="226" w:name="_Toc431307055"/>
      <w:r>
        <w:t>ЦИКЪЛ НА БЮДЖЕТА НА ЕС</w:t>
      </w:r>
      <w:bookmarkEnd w:id="226"/>
    </w:p>
    <w:p w:rsidR="00F50689" w:rsidRDefault="005A36C4" w:rsidP="00F50689">
      <w:pPr>
        <w:pStyle w:val="Textstand-alone"/>
      </w:pPr>
      <w:r>
        <w:t>Бюджетното счетоводство се води в съответствие с Финансовия регламент (ФР) и правилата за неговото прилагане. Общият бюджет, основният инструмент на финансовата политика на Съюза, е инструментът, който всяка година предвижда и разрешава приходите и разходите на Съюза. В съответствие с ФР съществуват два основни елемента: многогодишната финансова рамка (МФР), в която се определят основните тавани за период от 7 години, и годишната бюджетна процедура.</w:t>
      </w:r>
    </w:p>
    <w:p w:rsidR="00F50689" w:rsidRDefault="005A36C4" w:rsidP="00F50689">
      <w:pPr>
        <w:pStyle w:val="HEADER2Part3"/>
      </w:pPr>
      <w:bookmarkStart w:id="227" w:name="_Toc431307056"/>
      <w:r>
        <w:t>МНОГОГОДИШНА ФИНАНСОВА РАМКА ЗА 2014—2020 Г.</w:t>
      </w:r>
      <w:bookmarkEnd w:id="22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900"/>
        <w:gridCol w:w="900"/>
        <w:gridCol w:w="900"/>
        <w:gridCol w:w="900"/>
        <w:gridCol w:w="900"/>
        <w:gridCol w:w="900"/>
        <w:gridCol w:w="900"/>
        <w:gridCol w:w="999"/>
      </w:tblGrid>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28" w:name="DOC_TBL00096_1_1"/>
            <w:bookmarkEnd w:id="228"/>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99"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Right01"/>
              <w:rPr>
                <w:rFonts w:eastAsia="Verdana" w:cs="Verdana"/>
              </w:rPr>
            </w:pP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2014 г.</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2015 г.</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2016 г.</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2017 г.</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2018 г.</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2019 г.</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2020 г.</w:t>
            </w:r>
          </w:p>
        </w:tc>
        <w:tc>
          <w:tcPr>
            <w:tcW w:w="99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Общо</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1. Интелигентен и приобщаващ растеж</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63 973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66 813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69 304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72 342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75 271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78 752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82 466</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508 921</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1.а Конкурентоспособност за растеж и работни места</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16 560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17 666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18 467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19 925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21 239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23 082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25 191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142 130</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1.б Икономическо, социално и териториално сближаване</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47 413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49 147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50 837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52 417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54 032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55 670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57 275</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366 791</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2. Устойчив растеж: природни ресурси</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59 303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59 599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59 909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60 191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60 267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60 344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60 421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420 034</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разходи, свързани с пазара, и преки плащания</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43 779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44 313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44 624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44 859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44 885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44 912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44 937</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312 309</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3. Сигурност и гражданство</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2 179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2 246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2 378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2 514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2 656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2 801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2 951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17 725</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4. Глобална Европа</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8 335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8 749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9 143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9 432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9 825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10 268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10 510</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66 262</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5. Администрация</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8 721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9 076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9 483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9 918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10 346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10 786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11 254</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69 584</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административни разходи на институциите</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7 056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7 351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7 679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8 007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8 360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8 700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9 071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56 224</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6. Компенсации</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29</w:t>
            </w: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Бюджетни кредити за поети задължения:</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142 540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146 483</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150 217</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154 397</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158 365</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162 951</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167 602</w:t>
            </w:r>
          </w:p>
        </w:tc>
        <w:tc>
          <w:tcPr>
            <w:tcW w:w="9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1 082 555</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Общ размер на бюджетните кредити за плащания:</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135 866</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141 901</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144 685</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142 771</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149 074</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153 362</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156 295</w:t>
            </w:r>
          </w:p>
        </w:tc>
        <w:tc>
          <w:tcPr>
            <w:tcW w:w="9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1 023 954</w:t>
            </w:r>
          </w:p>
        </w:tc>
      </w:tr>
    </w:tbl>
    <w:p w:rsidR="00F50689" w:rsidRDefault="00F50689" w:rsidP="00F50689">
      <w:pPr>
        <w:pStyle w:val="Textstand-alone"/>
      </w:pPr>
    </w:p>
    <w:p w:rsidR="00F50689" w:rsidRDefault="005A36C4" w:rsidP="00F50689">
      <w:pPr>
        <w:pStyle w:val="Textstand-alone"/>
      </w:pPr>
      <w:r>
        <w:t>Таблицата по-горе показва таваните в МФР по текущи цени. 2014 година бе първата финансова година от новата МФР за периода 2014—2020 г. Общият таван за бюджетните кредити за поети задължения за 2014 г. бе 142 540 млн. EUR, което се равнява на 1,06 % от БНД, докато съответният таван за бюджетните кредити за плащания бе 135 866 млн. EUR, или 1,01 % от БНД.</w:t>
      </w:r>
    </w:p>
    <w:p w:rsidR="00F50689" w:rsidRDefault="005A36C4" w:rsidP="00F50689">
      <w:pPr>
        <w:pStyle w:val="Textstand-alone"/>
      </w:pPr>
      <w:r>
        <w:t>За МФР за периода 2014—2020 г. са договорени нови разпоредби за гъвкавост. Една от новите разпоредби е възможността за мобилизиране на маржа за непредвидени обстоятелства (при изключителни обстоятелства). Това позволява да бъдат мобилизирани бюджетни кредити над таваните за дадена година със съответно намаление на средствата за други години, за да не се увеличи общият размер на бюджетните кредити за плащания и бюджетните кредити за поети задължения през целия период 2014—2020 г. Маржът за непредвидени обстоятелства бе мобилизиран през 2014 г., за да бъдат осигурени 3 168 млн. EUR бюджетни кредити за плащания над тавана за плащанията за 2014 г.</w:t>
      </w:r>
    </w:p>
    <w:p w:rsidR="00F50689" w:rsidRDefault="005A36C4" w:rsidP="00F50689">
      <w:pPr>
        <w:pStyle w:val="Textstand-alone"/>
      </w:pPr>
      <w:r>
        <w:t>Препрограмирането на неусвоените бюджетни кредити за поети задължения от 2014 г. за 2015 и 2016 г. (съгласно член 19 от МФР) бе договорено през април 2015 г. и включва преразглеждане на таваните в МФР и приемане на съответен коригиращ бюджет за 2015 г. Основните промени през 2015 г. са във функция 1б (11,2 млрд. EUR) и функция 2 (5 млрд. EUR), a за 2016 г. основната промяна е във функция 2 (4,4 млрд. EUR).</w:t>
      </w:r>
    </w:p>
    <w:p w:rsidR="00F50689" w:rsidRDefault="005A36C4" w:rsidP="00F50689">
      <w:pPr>
        <w:pStyle w:val="Textstand-alone"/>
      </w:pPr>
      <w:r>
        <w:t>Обяснение на различните функции на МФР е дадено по-долу:</w:t>
      </w:r>
    </w:p>
    <w:p w:rsidR="00F50689" w:rsidRDefault="005A36C4" w:rsidP="00F50689">
      <w:pPr>
        <w:pStyle w:val="HEADER5"/>
      </w:pPr>
      <w:r>
        <w:t>Функция 1 — Интелигентен и приобщаващ растеж</w:t>
      </w:r>
    </w:p>
    <w:p w:rsidR="00F50689" w:rsidRDefault="005A36C4" w:rsidP="00F50689">
      <w:pPr>
        <w:pStyle w:val="Textstand-alone"/>
      </w:pPr>
      <w:r>
        <w:t>Тази функция е разделена на два отделни, но взаимосвързани компонента:</w:t>
      </w:r>
    </w:p>
    <w:p w:rsidR="00F50689" w:rsidRDefault="005A36C4" w:rsidP="0072577F">
      <w:pPr>
        <w:pStyle w:val="Textstand-alonenumberingJustified"/>
        <w:numPr>
          <w:ilvl w:val="0"/>
          <w:numId w:val="28"/>
        </w:numPr>
        <w:ind w:left="567" w:hanging="567"/>
      </w:pPr>
      <w:r>
        <w:t>„Конкурентоспособност за растеж и работни места“, обхващащ разходите за научни изследвания и иновации, образование и обучение, Механизма за свързване на Европа, социалната политика, вътрешния пазар и съпътстващите ги политики.</w:t>
      </w:r>
    </w:p>
    <w:p w:rsidR="00F50689" w:rsidRDefault="005A36C4" w:rsidP="0072577F">
      <w:pPr>
        <w:pStyle w:val="Textstand-alonenumberingJustified"/>
        <w:numPr>
          <w:ilvl w:val="0"/>
          <w:numId w:val="28"/>
        </w:numPr>
        <w:ind w:left="567" w:hanging="567"/>
      </w:pPr>
      <w:r>
        <w:t>„Икономическо, социално и териториално сближаване“, предназначен за подобряване на сближаването на най-слабо развитите държави членки и региони, за допълване на стратегията на ЕС за устойчиво развитие извън по-бедните региони и за подкрепа на междурегионалното сътрудничество.</w:t>
      </w:r>
    </w:p>
    <w:p w:rsidR="00F50689" w:rsidRDefault="005A36C4" w:rsidP="00F50689">
      <w:pPr>
        <w:pStyle w:val="HEADER5"/>
      </w:pPr>
      <w:r>
        <w:t>Функция 2 — Устойчив растеж: природни ресурси</w:t>
      </w:r>
    </w:p>
    <w:p w:rsidR="00F50689" w:rsidRDefault="005A36C4" w:rsidP="00F50689">
      <w:pPr>
        <w:pStyle w:val="Textstand-alone"/>
      </w:pPr>
      <w:r>
        <w:t>Функция 2 включва общата селскостопанска политика и общата политика в областта на рибарството, развитието на селските райони и мерките за околната среда, и по-специално „Натура 2000“.</w:t>
      </w:r>
    </w:p>
    <w:p w:rsidR="00F50689" w:rsidRDefault="005A36C4" w:rsidP="00F50689">
      <w:pPr>
        <w:pStyle w:val="HEADER5"/>
      </w:pPr>
      <w:r>
        <w:t>Функция 3 — Сигурност и гражданство</w:t>
      </w:r>
    </w:p>
    <w:p w:rsidR="00F50689" w:rsidRDefault="005A36C4" w:rsidP="00F50689">
      <w:pPr>
        <w:pStyle w:val="Textstand-alone"/>
      </w:pPr>
      <w:r>
        <w:t>Функция 3 (Сигурност и гражданство) отразява нарастващото значение, което се отдава на някои сфери, в които на ЕС са възложени конкретни задачи — правосъдие и вътрешни работи, гранична защита, политика в областта на имиграцията и убежището, обществено здравеопазване и защита на потребителите, култура, младеж, информация и диалог с гражданите.</w:t>
      </w:r>
    </w:p>
    <w:p w:rsidR="00F50689" w:rsidRDefault="005A36C4" w:rsidP="00F50689">
      <w:pPr>
        <w:pStyle w:val="HEADER5"/>
      </w:pPr>
      <w:r>
        <w:t>Функция 4 — Глобална Европа</w:t>
      </w:r>
    </w:p>
    <w:p w:rsidR="00F50689" w:rsidRDefault="005A36C4" w:rsidP="00F50689">
      <w:pPr>
        <w:pStyle w:val="Textstand-alone"/>
      </w:pPr>
      <w:r>
        <w:t>Функция 4 обхваща всички външни действия, включително сътрудничеството за развитие, хуманитарната помощ, инструментите за предприсъединителна помощ и инструментите в областта на съседските отношения. ЕФР продължава да е извън обхвата на бюджета на ЕС и не е включен в МФР.</w:t>
      </w:r>
    </w:p>
    <w:p w:rsidR="00F50689" w:rsidRDefault="005A36C4" w:rsidP="00F50689">
      <w:pPr>
        <w:pStyle w:val="HEADER5"/>
      </w:pPr>
      <w:r>
        <w:t>Функция 5 — Администрация</w:t>
      </w:r>
    </w:p>
    <w:p w:rsidR="00F50689" w:rsidRDefault="005A36C4" w:rsidP="00F50689">
      <w:pPr>
        <w:pStyle w:val="Textstand-alone"/>
      </w:pPr>
      <w:r>
        <w:t>Тази функция обхваща административните разходи за всички институции, пенсиите и европейските училища. За институциите, различни от Комисията, тези разходи представляват всички техни разходи.</w:t>
      </w:r>
    </w:p>
    <w:p w:rsidR="00F50689" w:rsidRDefault="005A36C4" w:rsidP="00F50689">
      <w:pPr>
        <w:pStyle w:val="HEADER5"/>
      </w:pPr>
      <w:r>
        <w:t>Функция 6 — Компенсации</w:t>
      </w:r>
    </w:p>
    <w:p w:rsidR="00F50689" w:rsidRDefault="005A36C4" w:rsidP="00F50689">
      <w:pPr>
        <w:pStyle w:val="Textstand-alone"/>
      </w:pPr>
      <w:r>
        <w:t>В съответствие с политическото споразумение, според което новите държави членки не трябва да правят нетни вноски в бюджета в самото начало на своето членство, по тази функция беше предвидена компенсация. Тази сума им беше предоставяна като трансфери за балансиране на сумите, които получават от бюджета, и вноските им в него.</w:t>
      </w:r>
    </w:p>
    <w:p w:rsidR="00F50689" w:rsidRPr="00DF449A" w:rsidRDefault="005A36C4" w:rsidP="00F50689">
      <w:pPr>
        <w:pStyle w:val="HEADER2Part3"/>
      </w:pPr>
      <w:bookmarkStart w:id="229" w:name="_Toc431307057"/>
      <w:r>
        <w:t>ОБЛАСТИ НА ПОЛИТИКАТА</w:t>
      </w:r>
      <w:bookmarkEnd w:id="229"/>
    </w:p>
    <w:p w:rsidR="00F50689" w:rsidRDefault="005A36C4" w:rsidP="00F50689">
      <w:pPr>
        <w:pStyle w:val="Textstand-alone"/>
      </w:pPr>
      <w:r>
        <w:t>Като част от прилагането на управление, основано на дейностите (ABM), Комисията извършва бюджетиране, основано на дейностите (ABB), в своите процеси на планиране и управление. При ABB се използва бюджетна структура, при която бюджетните дялове съответстват на области на политиката, а бюджетните глави — на дейности. ABB има за цел да предостави ясна рамка за превръщане в действие на целите на политиката на Комисията чрез законодателни, финансови или всякакви други средства на публичната политика. Чрез структуриране на работата на Комисията от гледна точка на дейностите се получава ясна картина на начинанията на Комисията и в същото време се създава обща рамка за определяне на приоритетите. По време на бюджетната процедура средствата се разпределят по приоритети, използвайки дейностите като градивни елементи за целите на бюджетирането. Като създава такава връзка между дейностите и средствата, отпуснати за тях, ABB се стреми да увеличи ефикасността и ефективността при използването на средства в Комисията.</w:t>
      </w:r>
    </w:p>
    <w:p w:rsidR="00F50689" w:rsidRDefault="005A36C4" w:rsidP="00F50689">
      <w:pPr>
        <w:pStyle w:val="Textstand-alone"/>
      </w:pPr>
      <w:r>
        <w:t>Една област на политиката може да бъде дефинирана като хомогенна група от дейности, представляващи части от работата на Комисията и които са от значение за процеса на вземане на решения. Всяка област на политика по принцип съответства на генерална дирекция и обхваща средно около 6 или 7 отделни дейности. Областите на политиката са предимно оперативни, тъй като техните основни дейности са насочени към трета страна бенефициер в съответната сфера на дейност. Оперативният бюджет се допълва с необходимите административни разходи за всяка област на политиката.</w:t>
      </w:r>
    </w:p>
    <w:p w:rsidR="00F50689" w:rsidRPr="00324E96" w:rsidRDefault="005A36C4" w:rsidP="00F50689">
      <w:pPr>
        <w:pStyle w:val="HEADER2Part3"/>
      </w:pPr>
      <w:bookmarkStart w:id="230" w:name="_Toc431307058"/>
      <w:r>
        <w:t>ГОДИШНИЯТ БЮДЖЕТ</w:t>
      </w:r>
      <w:bookmarkEnd w:id="230"/>
    </w:p>
    <w:p w:rsidR="00F50689" w:rsidRDefault="005A36C4" w:rsidP="00F50689">
      <w:pPr>
        <w:pStyle w:val="Textstand-alone"/>
      </w:pPr>
      <w:r>
        <w:t>Всяка година Комисията оценява приходите и разходите на всички институции за годината и изготвя проектобюджет, който изпраща на бюджетния орган. Въз основа на този проектобюджет Съветът излиза с позиция, по която след това се провеждат преговори между двата клона на бюджетния орган. Председателят на Парламента обявява, че съвместният проект е окончателно приет, с което бюджетът влиза в сила. В хода на въпросната година се приемат коригиращи бюджети. Задачата за изпълнението на бюджета е основно отговорност на Комисията.</w:t>
      </w:r>
    </w:p>
    <w:p w:rsidR="00F50689" w:rsidRDefault="005A36C4" w:rsidP="00F50689">
      <w:pPr>
        <w:pStyle w:val="Textstand-alone"/>
      </w:pPr>
      <w:r>
        <w:t>За Комисията бюджетната структура се състои от бюджетни кредити за административни разходи и от бюджетни кредити за оперативни разходи. Другите институции имат само бюджетни кредити за административни разходи. Освен това в бюджета се прави разграничение между два вида бюджетни кредити: едногодишни и многогодишни. Едногодишните бюджетни кредити се използват за финансиране на операции с годишен характер (които са в съответствие с принципа на ежегодност на бюджета). Многогодишните бюджетни кредити се използват, за да бъде съгласуван принципът на ежегодност с необходимостта от управление на многогодишните операции. Многогодишните бюджетни кредити се разделят на бюджетни кредити за поети задължения и бюджетни кредити за плащания:</w:t>
      </w:r>
    </w:p>
    <w:p w:rsidR="00F50689" w:rsidRDefault="005A36C4" w:rsidP="00F50689">
      <w:pPr>
        <w:pStyle w:val="Textstand-aloneBulletpoint"/>
        <w:ind w:left="357" w:hanging="357"/>
        <w:jc w:val="both"/>
      </w:pPr>
      <w:r>
        <w:rPr>
          <w:b/>
        </w:rPr>
        <w:t>бюджетни кредити за поети задължения</w:t>
      </w:r>
      <w:r>
        <w:t>: обхващат общия размер на разходите по правните задължения, поети за текущата финансова година за операции, протичащи в рамките на няколко години. Въпреки това бюджетните задължения за дейности, които надхвърлят една финансова година, могат да се разделят за няколко години под формата на годишни вноски, когато това е предвидено в основния акт.</w:t>
      </w:r>
    </w:p>
    <w:p w:rsidR="00F50689" w:rsidRDefault="00F50689" w:rsidP="00F50689">
      <w:pPr>
        <w:pStyle w:val="Textstand-aloneBulletpoint"/>
        <w:numPr>
          <w:ilvl w:val="0"/>
          <w:numId w:val="0"/>
        </w:numPr>
        <w:ind w:left="1080" w:hanging="360"/>
      </w:pPr>
    </w:p>
    <w:p w:rsidR="00F50689" w:rsidRDefault="005A36C4" w:rsidP="00F50689">
      <w:pPr>
        <w:pStyle w:val="Textstand-aloneBulletpoint"/>
        <w:ind w:left="357" w:hanging="357"/>
        <w:jc w:val="both"/>
      </w:pPr>
      <w:r>
        <w:rPr>
          <w:b/>
        </w:rPr>
        <w:t>бюджетни кредити за плащания</w:t>
      </w:r>
      <w:r>
        <w:t>: обхващат разходите, възникващи от задължения, поети през текущата финансова година и/или предходни финансови години.</w:t>
      </w:r>
    </w:p>
    <w:p w:rsidR="00F50689" w:rsidRPr="00A6015C" w:rsidRDefault="005A36C4" w:rsidP="00F50689">
      <w:pPr>
        <w:pStyle w:val="Textstand-alone"/>
        <w:rPr>
          <w:b/>
        </w:rPr>
      </w:pPr>
      <w:r>
        <w:rPr>
          <w:b/>
        </w:rPr>
        <w:t>Произход на бюджетните кредити</w:t>
      </w:r>
    </w:p>
    <w:p w:rsidR="00F50689" w:rsidRDefault="005A36C4" w:rsidP="00F50689">
      <w:pPr>
        <w:pStyle w:val="Textstand-alone"/>
      </w:pPr>
      <w:r>
        <w:t>Основният източник на бюджетни кредити е приетият бюджет на Съюза за текущата година. Въпреки това обаче има и други видове бюджетни кредити, произтичащи от разпоредбите на Финансовия регламент. Те идват от предходни финансови години или от външни източници:</w:t>
      </w:r>
    </w:p>
    <w:p w:rsidR="00F50689" w:rsidRDefault="005A36C4" w:rsidP="00F50689">
      <w:pPr>
        <w:numPr>
          <w:ilvl w:val="0"/>
          <w:numId w:val="21"/>
        </w:numPr>
        <w:tabs>
          <w:tab w:val="clear" w:pos="0"/>
        </w:tabs>
        <w:ind w:left="357" w:hanging="357"/>
        <w:jc w:val="both"/>
        <w:rPr>
          <w:rFonts w:ascii="Verdana" w:hAnsi="Verdana"/>
          <w:sz w:val="18"/>
          <w:szCs w:val="18"/>
        </w:rPr>
      </w:pPr>
      <w:r>
        <w:rPr>
          <w:rFonts w:ascii="Verdana" w:hAnsi="Verdana"/>
          <w:b/>
          <w:sz w:val="18"/>
        </w:rPr>
        <w:t xml:space="preserve">бюджетни кредити </w:t>
      </w:r>
      <w:r>
        <w:rPr>
          <w:rFonts w:ascii="Verdana" w:hAnsi="Verdana"/>
          <w:sz w:val="18"/>
        </w:rPr>
        <w:t>от първоначално приетия бюджет и от коригиращи бюджети;</w:t>
      </w:r>
    </w:p>
    <w:p w:rsidR="00F50689" w:rsidRPr="00A6015C" w:rsidRDefault="005A36C4" w:rsidP="00F50689">
      <w:pPr>
        <w:numPr>
          <w:ilvl w:val="0"/>
          <w:numId w:val="21"/>
        </w:numPr>
        <w:tabs>
          <w:tab w:val="clear" w:pos="0"/>
        </w:tabs>
        <w:ind w:left="357" w:hanging="357"/>
        <w:jc w:val="both"/>
        <w:rPr>
          <w:rFonts w:ascii="Verdana" w:hAnsi="Verdana"/>
          <w:b/>
          <w:sz w:val="18"/>
          <w:szCs w:val="18"/>
        </w:rPr>
      </w:pPr>
      <w:r>
        <w:rPr>
          <w:rFonts w:ascii="Verdana" w:hAnsi="Verdana"/>
          <w:b/>
          <w:sz w:val="18"/>
        </w:rPr>
        <w:t>бюджетни кредити, пренесени</w:t>
      </w:r>
      <w:r>
        <w:rPr>
          <w:rFonts w:ascii="Verdana" w:hAnsi="Verdana"/>
          <w:sz w:val="18"/>
        </w:rPr>
        <w:t xml:space="preserve"> от предходната година;</w:t>
      </w:r>
    </w:p>
    <w:p w:rsidR="00F50689" w:rsidRDefault="005A36C4" w:rsidP="00F50689">
      <w:pPr>
        <w:numPr>
          <w:ilvl w:val="0"/>
          <w:numId w:val="21"/>
        </w:numPr>
        <w:tabs>
          <w:tab w:val="clear" w:pos="0"/>
        </w:tabs>
        <w:ind w:left="357" w:hanging="357"/>
        <w:jc w:val="both"/>
        <w:rPr>
          <w:rFonts w:ascii="Verdana" w:hAnsi="Verdana"/>
          <w:sz w:val="18"/>
          <w:szCs w:val="18"/>
        </w:rPr>
      </w:pPr>
      <w:r>
        <w:rPr>
          <w:rFonts w:ascii="Verdana" w:hAnsi="Verdana"/>
          <w:b/>
          <w:sz w:val="18"/>
        </w:rPr>
        <w:t>целеви приходи</w:t>
      </w:r>
      <w:r>
        <w:rPr>
          <w:rFonts w:ascii="Verdana" w:hAnsi="Verdana"/>
          <w:sz w:val="18"/>
        </w:rPr>
        <w:t>, които включват възстановени средства, бюджетни кредити от ЕАСТ, приходи от трети страни/други държави и от работа за трети страни и бюджетни кредити, предоставени отново в резултат на възстановяване на предплати.</w:t>
      </w:r>
    </w:p>
    <w:p w:rsidR="00F50689" w:rsidRPr="00A6015C" w:rsidRDefault="005A36C4" w:rsidP="00F50689">
      <w:pPr>
        <w:pStyle w:val="Textstand-alone"/>
        <w:rPr>
          <w:b/>
        </w:rPr>
      </w:pPr>
      <w:r>
        <w:rPr>
          <w:b/>
        </w:rPr>
        <w:t>Състав на общия наличен бюджет</w:t>
      </w:r>
    </w:p>
    <w:p w:rsidR="00F50689" w:rsidRPr="005B5C3C" w:rsidRDefault="005A36C4" w:rsidP="00F50689">
      <w:pPr>
        <w:numPr>
          <w:ilvl w:val="0"/>
          <w:numId w:val="21"/>
        </w:numPr>
        <w:tabs>
          <w:tab w:val="clear" w:pos="0"/>
        </w:tabs>
        <w:ind w:left="357" w:hanging="357"/>
        <w:jc w:val="both"/>
        <w:rPr>
          <w:rFonts w:ascii="Verdana" w:hAnsi="Verdana"/>
          <w:sz w:val="18"/>
          <w:szCs w:val="18"/>
        </w:rPr>
      </w:pPr>
      <w:r>
        <w:rPr>
          <w:rFonts w:ascii="Verdana" w:hAnsi="Verdana"/>
          <w:sz w:val="18"/>
        </w:rPr>
        <w:t>първоначален приет бюджет = бюджетните кредити, гласувани през година N-1;</w:t>
      </w:r>
    </w:p>
    <w:p w:rsidR="00F50689" w:rsidRPr="005B5C3C" w:rsidRDefault="005A36C4" w:rsidP="00F50689">
      <w:pPr>
        <w:numPr>
          <w:ilvl w:val="0"/>
          <w:numId w:val="21"/>
        </w:numPr>
        <w:tabs>
          <w:tab w:val="clear" w:pos="0"/>
        </w:tabs>
        <w:ind w:left="357" w:hanging="357"/>
        <w:jc w:val="both"/>
        <w:rPr>
          <w:rFonts w:ascii="Verdana" w:hAnsi="Verdana"/>
          <w:sz w:val="18"/>
          <w:szCs w:val="18"/>
        </w:rPr>
      </w:pPr>
      <w:r>
        <w:rPr>
          <w:rFonts w:ascii="Verdana" w:hAnsi="Verdana"/>
          <w:sz w:val="18"/>
        </w:rPr>
        <w:t>приети коригиращи бюджети;</w:t>
      </w:r>
    </w:p>
    <w:p w:rsidR="00F50689" w:rsidRPr="005B5C3C" w:rsidRDefault="005A36C4" w:rsidP="00F50689">
      <w:pPr>
        <w:numPr>
          <w:ilvl w:val="0"/>
          <w:numId w:val="21"/>
        </w:numPr>
        <w:tabs>
          <w:tab w:val="clear" w:pos="0"/>
        </w:tabs>
        <w:ind w:left="357" w:hanging="357"/>
        <w:jc w:val="both"/>
        <w:rPr>
          <w:rFonts w:ascii="Verdana" w:hAnsi="Verdana"/>
          <w:sz w:val="18"/>
          <w:szCs w:val="18"/>
        </w:rPr>
      </w:pPr>
      <w:r>
        <w:rPr>
          <w:rFonts w:ascii="Verdana" w:hAnsi="Verdana"/>
          <w:sz w:val="18"/>
        </w:rPr>
        <w:t>допълнителни бюджетни кредити = целеви приходи + бюджетни кредити, пренесени от предходната финансова година или отново предоставени след отмяна на бюджетни кредити.</w:t>
      </w:r>
    </w:p>
    <w:p w:rsidR="00F50689" w:rsidRDefault="00F50689" w:rsidP="00F50689">
      <w:pPr>
        <w:pStyle w:val="Textstand-aloneBulletpoint"/>
        <w:numPr>
          <w:ilvl w:val="0"/>
          <w:numId w:val="0"/>
        </w:numPr>
      </w:pPr>
    </w:p>
    <w:p w:rsidR="00F50689" w:rsidRDefault="00F50689" w:rsidP="00F50689"/>
    <w:p w:rsidR="00F50689" w:rsidRPr="003527CC" w:rsidRDefault="005A36C4" w:rsidP="00F50689">
      <w:pPr>
        <w:sectPr w:rsidR="00F50689" w:rsidRPr="003527CC" w:rsidSect="00F50689">
          <w:headerReference w:type="even" r:id="rId461"/>
          <w:headerReference w:type="default" r:id="rId462"/>
          <w:footerReference w:type="even" r:id="rId463"/>
          <w:footerReference w:type="default" r:id="rId464"/>
          <w:headerReference w:type="first" r:id="rId465"/>
          <w:footerReference w:type="first" r:id="rId466"/>
          <w:pgSz w:w="11907" w:h="16840" w:code="9"/>
          <w:pgMar w:top="1134" w:right="1134" w:bottom="1134" w:left="1134" w:header="709" w:footer="709" w:gutter="0"/>
          <w:cols w:space="708"/>
          <w:docGrid w:linePitch="360"/>
        </w:sectPr>
      </w:pPr>
      <w:r>
        <w:t xml:space="preserve"> </w:t>
      </w:r>
      <w:bookmarkEnd w:id="225"/>
    </w:p>
    <w:p w:rsidR="00F50689" w:rsidRDefault="005A36C4" w:rsidP="00F50689">
      <w:pPr>
        <w:pStyle w:val="HEADER1Part3"/>
      </w:pPr>
      <w:bookmarkStart w:id="231" w:name="_Toc431307059"/>
      <w:bookmarkStart w:id="232" w:name="_DMBM_3458"/>
      <w:r>
        <w:t>БЕЛЕЖКИ КЪМ РЕЗУЛТАТА ОТ ИЗПЪЛНЕНИЕТО НА БЮДЖЕТА НА ЕС</w:t>
      </w:r>
      <w:bookmarkEnd w:id="231"/>
    </w:p>
    <w:p w:rsidR="00F50689" w:rsidRDefault="005A36C4" w:rsidP="00F50689">
      <w:pPr>
        <w:pStyle w:val="HEADER2Part3"/>
      </w:pPr>
      <w:bookmarkStart w:id="233" w:name="_Toc431307060"/>
      <w:r>
        <w:t>ИЗЧИСЛЕНИЕ НА БЮДЖЕТНИЯ РЕЗУЛТАТ</w:t>
      </w:r>
      <w:bookmarkEnd w:id="233"/>
    </w:p>
    <w:p w:rsidR="00F50689" w:rsidRDefault="005A36C4" w:rsidP="00F50689">
      <w:pPr>
        <w:pStyle w:val="Textstand-alone"/>
      </w:pPr>
      <w:r>
        <w:t>Бюджетният резултат на ЕС се връща на държавите членки през следващата година чрез приспадането му от дължимите от тях суми за тази година.</w:t>
      </w:r>
    </w:p>
    <w:p w:rsidR="00F50689" w:rsidRDefault="005A36C4" w:rsidP="00F50689">
      <w:pPr>
        <w:pStyle w:val="Textstand-alone"/>
      </w:pPr>
      <w:r>
        <w:t>Сумите собствени ресурси, записани в отчетите, са сумите, кредитирани в течение на годината в сметките, открити на името на Комисията от правителствата на държавите членки. Приходите обхващат също, в случай на излишък, бюджетния резултат за предходната финансова година. Другите приходи, записани в отчетите, са действително получената в хода на годината сума.</w:t>
      </w:r>
    </w:p>
    <w:p w:rsidR="00F50689" w:rsidRDefault="005A36C4" w:rsidP="00F50689">
      <w:pPr>
        <w:pStyle w:val="Textstand-alone"/>
      </w:pPr>
      <w:r>
        <w:t>За целите на изчисляването на бюджетния резултат за годината разходите се състоят от плащанията, направени спрямо бюджетните кредити за годината, плюс всички бюджетни кредити за тази година, които са пренесени за следващата година. Под плащания, извършени спрямо бюджетните кредити за годината, се разбира плащанията, които са извършени от счетоводителя до 31 декември на финансовата година. Що се отнася до ЕФГЗ, плащанията са тези плащания, които са извършени от държавите членки между 16 октомври на година N-1 и 15 октомври на година N, при условие че счетоводителят бъде уведомен за поетото задължение и за разрешението до 31 януари на година N+1. Разходите по ЕФГЗ могат да бъдат предмет на решение за съответствие след провеждането на проверки в държавите членки.</w:t>
      </w:r>
    </w:p>
    <w:p w:rsidR="00F50689" w:rsidRDefault="005A36C4" w:rsidP="00F50689">
      <w:pPr>
        <w:pStyle w:val="Textstand-alone"/>
      </w:pPr>
      <w:r>
        <w:t>Бюджетният резултат се състои от два елемента: резултата на ЕС и резултата от участието на страните от ЕАСТ, които са част от ЕИП. В съответствие с член 15 от Регламент № 1150/2000 за собствените ресурси този резултат представлява разликата между:</w:t>
      </w:r>
    </w:p>
    <w:p w:rsidR="00F50689" w:rsidRDefault="005A36C4" w:rsidP="00F50689">
      <w:pPr>
        <w:pStyle w:val="Textstand-aloneBulletpoint"/>
        <w:spacing w:after="120"/>
      </w:pPr>
      <w:r>
        <w:t>общия размер на приходите, получени за финансовата година; и</w:t>
      </w:r>
    </w:p>
    <w:p w:rsidR="00F50689" w:rsidRDefault="00F50689" w:rsidP="00F50689">
      <w:pPr>
        <w:pStyle w:val="Textstand-aloneBulletpoint"/>
        <w:numPr>
          <w:ilvl w:val="0"/>
          <w:numId w:val="0"/>
        </w:numPr>
        <w:spacing w:after="120"/>
        <w:ind w:left="1080"/>
      </w:pPr>
    </w:p>
    <w:p w:rsidR="00F50689" w:rsidRDefault="005A36C4" w:rsidP="00F50689">
      <w:pPr>
        <w:pStyle w:val="Textstand-aloneBulletpoint"/>
      </w:pPr>
      <w:r>
        <w:t>общия размер на плащанията, извършени спрямо бюджетните кредити за текущата година, плюс общия размер на бюджетните кредити за тази година, пренесени за следващата година.</w:t>
      </w:r>
    </w:p>
    <w:p w:rsidR="00F50689" w:rsidRDefault="005A36C4" w:rsidP="00F50689">
      <w:pPr>
        <w:pStyle w:val="Textstand-alone"/>
      </w:pPr>
      <w:r>
        <w:t>Към така получената цифра се добавя или от нея се приспада следното:</w:t>
      </w:r>
    </w:p>
    <w:p w:rsidR="00F50689" w:rsidRDefault="005A36C4" w:rsidP="00F50689">
      <w:pPr>
        <w:pStyle w:val="Textstand-aloneBulletpoint"/>
      </w:pPr>
      <w:r>
        <w:t xml:space="preserve">нетното салдо на отменените бюджетни кредити за плащания, пренесени от предходни години, и всички плащания, които поради колебанията на курса на еврото надвишават едногодишните бюджетни кредити, пренесени от предходната година; </w:t>
      </w:r>
    </w:p>
    <w:p w:rsidR="00F50689" w:rsidRDefault="00F50689" w:rsidP="00F50689">
      <w:pPr>
        <w:pStyle w:val="Textstand-aloneBulletpoint"/>
        <w:numPr>
          <w:ilvl w:val="0"/>
          <w:numId w:val="0"/>
        </w:numPr>
        <w:ind w:left="1080"/>
      </w:pPr>
    </w:p>
    <w:p w:rsidR="00F50689" w:rsidRDefault="005A36C4" w:rsidP="00F50689">
      <w:pPr>
        <w:pStyle w:val="Textstand-aloneBulletpoint"/>
      </w:pPr>
      <w:r>
        <w:t>промяната на целевите приходи; и</w:t>
      </w:r>
    </w:p>
    <w:p w:rsidR="00F50689" w:rsidRDefault="00F50689" w:rsidP="00F50689">
      <w:pPr>
        <w:pStyle w:val="Textstand-aloneBulletpoint"/>
        <w:numPr>
          <w:ilvl w:val="0"/>
          <w:numId w:val="0"/>
        </w:numPr>
        <w:ind w:left="1080"/>
      </w:pPr>
    </w:p>
    <w:p w:rsidR="00F50689" w:rsidRDefault="005A36C4" w:rsidP="00F50689">
      <w:pPr>
        <w:pStyle w:val="Textstand-aloneBulletpoint"/>
      </w:pPr>
      <w:r>
        <w:t>нетните печалби или загуби от валутния курс, записани през годината.</w:t>
      </w:r>
    </w:p>
    <w:p w:rsidR="00F50689" w:rsidRDefault="005A36C4" w:rsidP="00F50689">
      <w:pPr>
        <w:pStyle w:val="Textstand-alone"/>
      </w:pPr>
      <w:r>
        <w:t>Бюджетните кредити, пренесени от предходната финансова година, във връзка с вноските от трети страни и работата за трети страни, които по дефиниция никога не губят сила, се включват като допълнителни бюджетни кредити за финансовата година. Това обяснява разликата между пренесените от предходната година суми в отчетите за изпълнението на бюджета за 2014 г. и сумите, пренесени за следващата година, в отчетите за изпълнението на бюджета за 2013 г. При изчисляването на бюджетния резултат не се вземат предвид бюджетните кредити, отново предоставени след възстановяването на предплати.</w:t>
      </w:r>
    </w:p>
    <w:p w:rsidR="00F50689" w:rsidRDefault="005A36C4" w:rsidP="00F50689">
      <w:pPr>
        <w:pStyle w:val="Textstand-alone"/>
      </w:pPr>
      <w:r>
        <w:t>Пренесените бюджетни кредити за плащания включват: автоматично пренесени суми и суми, пренесени с решение. Отмяната на неизползвани бюджетни кредити за плащания, пренесени от предходната година, показва отмените на бюджетни кредити, пренесени автоматично и с решение.</w:t>
      </w:r>
    </w:p>
    <w:p w:rsidR="00BD5073" w:rsidRDefault="00BD5073">
      <w:pPr>
        <w:rPr>
          <w:rFonts w:ascii="Verdana" w:hAnsi="Verdana"/>
          <w:b/>
          <w:noProof/>
          <w:color w:val="016794"/>
          <w:sz w:val="28"/>
          <w:szCs w:val="30"/>
        </w:rPr>
      </w:pPr>
      <w:r>
        <w:br w:type="page"/>
      </w:r>
    </w:p>
    <w:p w:rsidR="00F50689" w:rsidRPr="001571C6" w:rsidRDefault="005A36C4" w:rsidP="00F50689">
      <w:pPr>
        <w:pStyle w:val="HEADER2Part3"/>
      </w:pPr>
      <w:bookmarkStart w:id="234" w:name="_Toc431307061"/>
      <w:r>
        <w:t>ИЗПЪЛНЕНИЕ НА БЮДЖЕТА НА ЕС ЗА 2014 Г.</w:t>
      </w:r>
      <w:bookmarkEnd w:id="234"/>
    </w:p>
    <w:p w:rsidR="00F50689" w:rsidRPr="00CC012A" w:rsidRDefault="005A36C4" w:rsidP="00F50689">
      <w:pPr>
        <w:pStyle w:val="Textstand-alone"/>
        <w:rPr>
          <w:b/>
        </w:rPr>
      </w:pPr>
      <w:r>
        <w:rPr>
          <w:b/>
        </w:rPr>
        <w:t>Бюджетен излишък от 1,4 млрд. EUR:</w:t>
      </w:r>
    </w:p>
    <w:p w:rsidR="00F50689" w:rsidRDefault="005A36C4" w:rsidP="00F50689">
      <w:pPr>
        <w:pStyle w:val="Textstand-alone"/>
        <w:numPr>
          <w:ilvl w:val="0"/>
          <w:numId w:val="22"/>
        </w:numPr>
      </w:pPr>
      <w:r>
        <w:t>излишъкът се дължи предимно на приходите (1,2 млрд. EUR), на събраните над очакваните мита (0,5 млрд. EUR) и на допълнителните, непредвидени в бюджета, глоби (0,6 млрд. EUR);</w:t>
      </w:r>
    </w:p>
    <w:p w:rsidR="00F50689" w:rsidRDefault="005A36C4" w:rsidP="00F50689">
      <w:pPr>
        <w:pStyle w:val="Textstand-alone"/>
        <w:numPr>
          <w:ilvl w:val="0"/>
          <w:numId w:val="22"/>
        </w:numPr>
      </w:pPr>
      <w:r>
        <w:t>незначителният по размер излишък при разходите (142 млн. EUR) идва главно от другите институции, тъй като Комисията е усвоила на практика 100 % от средствата;</w:t>
      </w:r>
    </w:p>
    <w:p w:rsidR="00F50689" w:rsidRDefault="005A36C4" w:rsidP="00F50689">
      <w:pPr>
        <w:pStyle w:val="Textstand-alone"/>
        <w:numPr>
          <w:ilvl w:val="0"/>
          <w:numId w:val="22"/>
        </w:numPr>
      </w:pPr>
      <w:r>
        <w:t>оставащите 110 млн. EUR излишък идват от печалби от курсови разлики.</w:t>
      </w:r>
    </w:p>
    <w:p w:rsidR="00F50689" w:rsidRPr="00D73ABB" w:rsidRDefault="005A36C4" w:rsidP="00F50689">
      <w:pPr>
        <w:pStyle w:val="Textstand-alone"/>
        <w:rPr>
          <w:b/>
        </w:rPr>
      </w:pPr>
      <w:r>
        <w:rPr>
          <w:b/>
        </w:rPr>
        <w:t>Приходи:</w:t>
      </w:r>
    </w:p>
    <w:p w:rsidR="00F50689" w:rsidRPr="00EB4E0D" w:rsidRDefault="005A36C4" w:rsidP="00F50689">
      <w:pPr>
        <w:pStyle w:val="Textstand-alone"/>
        <w:numPr>
          <w:ilvl w:val="0"/>
          <w:numId w:val="22"/>
        </w:numPr>
      </w:pPr>
      <w:r>
        <w:t xml:space="preserve">приходите (общо 143,9 млрд. EUR) бяха с 4,9 млрд. EUR по-високи от окончателно приетия бюджет, което се дължи предимно на целевите приходи по функции 5 и 6 (вж. таблица </w:t>
      </w:r>
      <w:r>
        <w:rPr>
          <w:b/>
        </w:rPr>
        <w:t>4.1</w:t>
      </w:r>
      <w:r>
        <w:t xml:space="preserve"> по-долу);</w:t>
      </w:r>
    </w:p>
    <w:p w:rsidR="00F50689" w:rsidRPr="00EB4E0D" w:rsidRDefault="005A36C4" w:rsidP="00F50689">
      <w:pPr>
        <w:pStyle w:val="Textstand-alone"/>
        <w:numPr>
          <w:ilvl w:val="0"/>
          <w:numId w:val="22"/>
        </w:numPr>
      </w:pPr>
      <w:r>
        <w:t>приходите от глоби в размер на 4,2 млрд. EUR бяха използвани за финансиране на нарасналите нужди от бюджетни кредити за плащания;</w:t>
      </w:r>
    </w:p>
    <w:p w:rsidR="00F50689" w:rsidRDefault="005A36C4" w:rsidP="00F50689">
      <w:pPr>
        <w:pStyle w:val="Textstand-alone"/>
        <w:numPr>
          <w:ilvl w:val="0"/>
          <w:numId w:val="22"/>
        </w:numPr>
      </w:pPr>
      <w:r>
        <w:t>през 2014 г. бе направена изключително голяма по размер промяна на собствените ресурси от БНД (9,5 млрд. EUR), обхващащa периода назад до 2002 г. Тя обаче имаше незначително отражение върху приходите в бюджета за 2014 г., тъй като сумите реално бяха коригирани между държавите членки (някои от тях следва да получат средства, а други — да внесат средства) и освен това повечето суми бяха отложени за 2015 г.</w:t>
      </w:r>
    </w:p>
    <w:p w:rsidR="00F50689" w:rsidRPr="00D73ABB" w:rsidRDefault="005A36C4" w:rsidP="00F50689">
      <w:pPr>
        <w:pStyle w:val="Textstand-alone"/>
        <w:rPr>
          <w:b/>
        </w:rPr>
      </w:pPr>
      <w:r>
        <w:rPr>
          <w:b/>
        </w:rPr>
        <w:t>Разходи:</w:t>
      </w:r>
    </w:p>
    <w:p w:rsidR="00F50689" w:rsidRPr="00EB4E0D" w:rsidRDefault="005A36C4" w:rsidP="00F50689">
      <w:pPr>
        <w:pStyle w:val="Textstand-alone"/>
        <w:numPr>
          <w:ilvl w:val="0"/>
          <w:numId w:val="22"/>
        </w:numPr>
      </w:pPr>
      <w:r>
        <w:t>първоначалните бюджетни кредити за плащания (135,5 млрд. EUR) бяха изключително ниски — с 6 % по-ниски от окончателно приетия бюджет за 2013 г. В крайна сметка с коригиращи бюджети окончателно приетите бюджетни кредити бяха увеличени на 139 мл</w:t>
      </w:r>
      <w:r w:rsidR="007C2CFA">
        <w:t>рд</w:t>
      </w:r>
      <w:r>
        <w:t xml:space="preserve">. EUR (вж. таблица </w:t>
      </w:r>
      <w:r>
        <w:rPr>
          <w:b/>
        </w:rPr>
        <w:t>5.1</w:t>
      </w:r>
      <w:r>
        <w:t>);</w:t>
      </w:r>
    </w:p>
    <w:p w:rsidR="00F50689" w:rsidRDefault="005A36C4" w:rsidP="00F50689">
      <w:pPr>
        <w:pStyle w:val="Textstand-alone"/>
        <w:numPr>
          <w:ilvl w:val="0"/>
          <w:numId w:val="22"/>
        </w:numPr>
      </w:pPr>
      <w:r>
        <w:t xml:space="preserve">общият размер на плащанията бе 142,5 млрд. EUR (2013 г.: 148,5 млрд. EUR) (вж. таблица </w:t>
      </w:r>
      <w:r>
        <w:rPr>
          <w:b/>
        </w:rPr>
        <w:t>5.3</w:t>
      </w:r>
      <w:r>
        <w:t>);</w:t>
      </w:r>
    </w:p>
    <w:p w:rsidR="00F50689" w:rsidRDefault="005A36C4" w:rsidP="00F50689">
      <w:pPr>
        <w:pStyle w:val="Textstand-alone"/>
        <w:numPr>
          <w:ilvl w:val="0"/>
          <w:numId w:val="22"/>
        </w:numPr>
      </w:pPr>
      <w:r>
        <w:t>равнището на неусвоените плащания (след преноси) от 32 млн. EUR е едно от най-ниските отчетени до момента, което потвърждава строгите ограничения, наложени за бюджетните кредити за плащания.</w:t>
      </w:r>
    </w:p>
    <w:p w:rsidR="00F50689" w:rsidRPr="00D73ABB" w:rsidRDefault="005A36C4" w:rsidP="00F50689">
      <w:pPr>
        <w:pStyle w:val="Textstand-alone"/>
        <w:rPr>
          <w:b/>
        </w:rPr>
      </w:pPr>
      <w:r>
        <w:rPr>
          <w:b/>
        </w:rPr>
        <w:t>Поети задължения и RAL:</w:t>
      </w:r>
    </w:p>
    <w:p w:rsidR="00F50689" w:rsidRDefault="005A36C4" w:rsidP="00F50689">
      <w:pPr>
        <w:pStyle w:val="Textstand-alone"/>
        <w:numPr>
          <w:ilvl w:val="0"/>
          <w:numId w:val="22"/>
        </w:numPr>
      </w:pPr>
      <w:r>
        <w:t xml:space="preserve">наличните бюджетни кредити за поети задължения в размер на 149,9 млрд. EUR бяха изпълнени само до общо равнище от 76 % и голяма част от бюджетните кредити бяха пренесени или препрограмирани за 2015 г. (вж. таблица </w:t>
      </w:r>
      <w:r>
        <w:rPr>
          <w:b/>
        </w:rPr>
        <w:t>5.2</w:t>
      </w:r>
      <w:r>
        <w:t>);</w:t>
      </w:r>
    </w:p>
    <w:p w:rsidR="00F50689" w:rsidRPr="00EB4E0D" w:rsidRDefault="005A36C4" w:rsidP="00F50689">
      <w:pPr>
        <w:pStyle w:val="Textstand-alone"/>
        <w:numPr>
          <w:ilvl w:val="0"/>
          <w:numId w:val="22"/>
        </w:numPr>
      </w:pPr>
      <w:r>
        <w:t xml:space="preserve">неизпълнените поети задължения (RAL) намаляха значително от 222,4 млрд. EUR в края на 2013 г. на 189,6 млрд. EUR в края на 2014 г. (вж. таблица </w:t>
      </w:r>
      <w:r>
        <w:rPr>
          <w:b/>
        </w:rPr>
        <w:t>5.9</w:t>
      </w:r>
      <w:r>
        <w:t>). Това отразява ниското изпълнение на поетите задължения в началото на новия период на програмиране — ако за всички бюджетни кредити за новите програми бе поето задължение през 2014 г., RAL щяха да останат на равнище, близко до това през 2013 г.</w:t>
      </w:r>
    </w:p>
    <w:p w:rsidR="00F50689" w:rsidRDefault="00F50689" w:rsidP="00F50689">
      <w:pPr>
        <w:pStyle w:val="Textstand-alone"/>
      </w:pPr>
    </w:p>
    <w:p w:rsidR="00F50689" w:rsidRDefault="005A36C4" w:rsidP="00F50689">
      <w:pPr>
        <w:pStyle w:val="Textstand-alone"/>
      </w:pPr>
      <w:r>
        <w:t>По-подробен анализ на бюджетните корекции, техния съответен контекст, тяхната обосновка и тяхното отражение е представен в доклада на Комисията за бюджетното и финансовото управление за 2014 г., част А, която прави преглед на бюджетно равнище, и част Б, която разглежда всяка функция от многогодишната финансова рамка.</w:t>
      </w:r>
    </w:p>
    <w:p w:rsidR="00F50689" w:rsidRDefault="005A36C4" w:rsidP="00F50689">
      <w:pPr>
        <w:pStyle w:val="Textstand-alone"/>
        <w:sectPr w:rsidR="00F50689" w:rsidSect="00F50689">
          <w:headerReference w:type="even" r:id="rId467"/>
          <w:headerReference w:type="default" r:id="rId468"/>
          <w:footerReference w:type="even" r:id="rId469"/>
          <w:footerReference w:type="default" r:id="rId470"/>
          <w:headerReference w:type="first" r:id="rId471"/>
          <w:footerReference w:type="first" r:id="rId472"/>
          <w:pgSz w:w="11907" w:h="16840" w:code="9"/>
          <w:pgMar w:top="1134" w:right="1134" w:bottom="1134" w:left="1134" w:header="709" w:footer="709" w:gutter="0"/>
          <w:cols w:space="708"/>
          <w:docGrid w:linePitch="360"/>
        </w:sectPr>
      </w:pPr>
      <w:r>
        <w:t xml:space="preserve"> </w:t>
      </w:r>
      <w:bookmarkEnd w:id="232"/>
    </w:p>
    <w:p w:rsidR="00F50689" w:rsidRDefault="005A36C4" w:rsidP="00F50689">
      <w:pPr>
        <w:pStyle w:val="HEADER1Part3"/>
      </w:pPr>
      <w:bookmarkStart w:id="235" w:name="_Toc431307062"/>
      <w:bookmarkStart w:id="236" w:name="_DMBM_3459"/>
      <w:r>
        <w:t>БЕЛЕЖКИ КЪМ РАВНЕНИЕТО НА ФИНАНСОВИЯ РЕЗУЛТАТ С БЮДЖЕТНИЯ РЕЗУЛТАТ</w:t>
      </w:r>
      <w:bookmarkEnd w:id="235"/>
    </w:p>
    <w:p w:rsidR="00F50689" w:rsidRDefault="005A36C4" w:rsidP="00F50689">
      <w:pPr>
        <w:pStyle w:val="Textstand-alone"/>
      </w:pPr>
      <w:r>
        <w:t xml:space="preserve">В съответствие с Финансовия регламент финансовият резултат за годината се изчислява въз основа на принципите на счетоводната отчетност на базата на текущо начисляване, а бюджетният резултат се основава на модифицирани правила за касова отчетност. Тъй като финансовият и бюджетният резултат обхващат едни и същи операции, гарантирането на тяхната равняемост представлява полезна проверка. </w:t>
      </w:r>
    </w:p>
    <w:p w:rsidR="00F50689" w:rsidRPr="00663B51" w:rsidRDefault="005A36C4" w:rsidP="00F50689">
      <w:pPr>
        <w:pStyle w:val="Textstand-alone"/>
        <w:rPr>
          <w:b/>
        </w:rPr>
      </w:pPr>
      <w:r>
        <w:rPr>
          <w:b/>
        </w:rPr>
        <w:t>Равняване на позиции — Приходи</w:t>
      </w:r>
    </w:p>
    <w:p w:rsidR="00F50689" w:rsidRDefault="005A36C4" w:rsidP="00F50689">
      <w:pPr>
        <w:pStyle w:val="Textstand-alone"/>
      </w:pPr>
      <w:r>
        <w:t xml:space="preserve">Реалните бюджетни приходи за дадена финансова година съответстват на събраните приходи от вземанията, установени в хода на годината, и на събраните суми от вземанията, установени през предходни години. Поради това вземанията, установени през текущата година, но все още несъбрани, трябва да бъдат приспаднати от финансовия резултат за целите на равняването, тъй като не са част от бюджетните приходи. Обратно, вземанията, установени през предходни години и събрани през текущата година, трябва да бъдат добавени към финансовия резултат за целите на равняването. </w:t>
      </w:r>
    </w:p>
    <w:p w:rsidR="00F50689" w:rsidRDefault="005A36C4" w:rsidP="00F50689">
      <w:pPr>
        <w:pStyle w:val="Textstand-alone"/>
      </w:pPr>
      <w:r>
        <w:t xml:space="preserve">Нетните начислени приходи се състоят предимно от начислените приходи за селското стопанство, собствени ресурси и лихви и дивиденти. Взема се предвид само ефектът „нето“, т.е. начислените приходи за текущата година минус сторнираните начислени приходи от предходната година. </w:t>
      </w:r>
    </w:p>
    <w:p w:rsidR="00F50689" w:rsidRPr="00663B51" w:rsidRDefault="005A36C4" w:rsidP="00F50689">
      <w:pPr>
        <w:pStyle w:val="Textstand-alone"/>
        <w:rPr>
          <w:b/>
        </w:rPr>
      </w:pPr>
      <w:r>
        <w:rPr>
          <w:b/>
        </w:rPr>
        <w:t xml:space="preserve">Равняване на позиции — Разходи </w:t>
      </w:r>
    </w:p>
    <w:p w:rsidR="00F50689" w:rsidRDefault="005A36C4" w:rsidP="00F50689">
      <w:pPr>
        <w:pStyle w:val="Textstand-alone"/>
      </w:pPr>
      <w:r>
        <w:t>Нетните начислени разходи се състоят предимно от начисленията, направени за целите на разделянето на финансовите периоди в края на годината, т.е. допустимите разходи, направени от бенефициерите на средства от ЕС, но за които все още не е съобщено на Комисията. Въпреки че начислените разходи не се считат за бюджетни разходи, плащанията, извършени през текущата година и свързани с фактури, регистрирани през предходни години, са част от бюджетните разходи за текущата година.</w:t>
      </w:r>
    </w:p>
    <w:p w:rsidR="00F50689" w:rsidRDefault="005A36C4" w:rsidP="00F50689">
      <w:pPr>
        <w:pStyle w:val="Textstand-alone"/>
      </w:pPr>
      <w:r>
        <w:t xml:space="preserve">Ефектът „нето“ на предварителното финансиране е комбинация от 1) новите суми по предварително финансиране, платени през текущата година и признати като бюджетни разходи за годината, и 2) изчистването на предварителното финансиране, платено през текущата година или предходни години, чрез приемането на допустимите разходи. Последните представляват разход от гледна точка на начисляването, но не и в бюджетните сметки, тъй като плащането на първоначалната сума по предварителното финансиране вече е било счетено за бюджетен разход в момента на извършването на плащането. </w:t>
      </w:r>
    </w:p>
    <w:p w:rsidR="00F50689" w:rsidRDefault="005A36C4" w:rsidP="00F50689">
      <w:pPr>
        <w:pStyle w:val="Textstand-alone"/>
      </w:pPr>
      <w:r>
        <w:t>Освен плащанията, извършени спрямо бюджетните кредити за годината, бюджетните кредити за тази година, които са пренесени за следващата година, също трябва да бъдат взети предвид при изчисляването на бюджетния резултат за годината (в съответствие с член 15 от Регламент № 1150/2000). Същото важи и за бюджетните плащания, извършени през текущата година от пренесени суми от предходни години, и за отменените неизползвани бюджетни кредити за плащания.</w:t>
      </w:r>
    </w:p>
    <w:p w:rsidR="00F50689" w:rsidRDefault="005A36C4" w:rsidP="00F50689">
      <w:pPr>
        <w:pStyle w:val="Textstand-alone"/>
      </w:pPr>
      <w:r>
        <w:t>Движението на провизиите е свързано с приблизителните оценки в края на годината, направени във финансовите отчети (основно на доходите на заети лица), които нямат отражение върху бюджетните сметки. Други равняващи се суми включват различни елементи като амортизацията на активи, придобиването на активи, плащанията по финансов лизинг и финансовите участия, за които бюджетното третиране и счетоводното отчитане на базата на текущо начисляване се различават.</w:t>
      </w:r>
    </w:p>
    <w:p w:rsidR="00F50689" w:rsidRDefault="005A36C4" w:rsidP="00F50689">
      <w:pPr>
        <w:pStyle w:val="Textstand-alone"/>
        <w:sectPr w:rsidR="00F50689" w:rsidSect="00F50689">
          <w:headerReference w:type="even" r:id="rId473"/>
          <w:headerReference w:type="default" r:id="rId474"/>
          <w:footerReference w:type="even" r:id="rId475"/>
          <w:footerReference w:type="default" r:id="rId476"/>
          <w:headerReference w:type="first" r:id="rId477"/>
          <w:footerReference w:type="first" r:id="rId478"/>
          <w:pgSz w:w="11907" w:h="16840" w:code="9"/>
          <w:pgMar w:top="1134" w:right="1134" w:bottom="1134" w:left="1134" w:header="709" w:footer="709" w:gutter="0"/>
          <w:cols w:space="708"/>
          <w:docGrid w:linePitch="360"/>
        </w:sectPr>
      </w:pPr>
      <w:r>
        <w:t xml:space="preserve"> </w:t>
      </w:r>
      <w:bookmarkEnd w:id="236"/>
    </w:p>
    <w:p w:rsidR="00F50689" w:rsidRDefault="005A36C4" w:rsidP="00F50689">
      <w:pPr>
        <w:pStyle w:val="HEADER1Part3"/>
        <w:spacing w:after="0"/>
      </w:pPr>
      <w:bookmarkStart w:id="237" w:name="_Toc431307063"/>
      <w:bookmarkStart w:id="238" w:name="_DMBM_3432"/>
      <w:r>
        <w:t>ИЗПЪЛНЕНИЕ НА ПРИХОДИТЕ В БЮДЖЕТА НА ЕС</w:t>
      </w:r>
      <w:bookmarkEnd w:id="237"/>
    </w:p>
    <w:p w:rsidR="00F50689" w:rsidRDefault="005A36C4" w:rsidP="00F50689">
      <w:pPr>
        <w:pStyle w:val="HEADER5"/>
        <w:sectPr w:rsidR="00F50689" w:rsidSect="00F50689">
          <w:headerReference w:type="even" r:id="rId479"/>
          <w:headerReference w:type="default" r:id="rId480"/>
          <w:footerReference w:type="even" r:id="rId481"/>
          <w:footerReference w:type="default" r:id="rId482"/>
          <w:headerReference w:type="first" r:id="rId483"/>
          <w:footerReference w:type="first" r:id="rId484"/>
          <w:type w:val="continuous"/>
          <w:pgSz w:w="16840" w:h="11907" w:orient="landscape" w:code="9"/>
          <w:pgMar w:top="1134" w:right="1134" w:bottom="1134" w:left="1134" w:header="708" w:footer="708" w:gutter="0"/>
          <w:cols w:space="708"/>
          <w:docGrid w:linePitch="360"/>
        </w:sectPr>
      </w:pPr>
      <w:r>
        <w:t xml:space="preserve"> </w:t>
      </w:r>
      <w:bookmarkEnd w:id="238"/>
    </w:p>
    <w:p w:rsidR="00F50689" w:rsidRDefault="005A36C4" w:rsidP="00F50689">
      <w:pPr>
        <w:pStyle w:val="HEADER2Part3"/>
      </w:pPr>
      <w:bookmarkStart w:id="239" w:name="_Toc431307064"/>
      <w:bookmarkStart w:id="240" w:name="_DMBM_3433"/>
      <w:r>
        <w:t>ОБОБЩЕНИЕ НА ИЗПЪЛНЕНИЕТО НА БЮДЖЕТНИТЕ ПРИХОДИ</w:t>
      </w:r>
      <w:bookmarkEnd w:id="239"/>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41" w:name="DOC_TBL00098_1_1"/>
            <w:bookmarkEnd w:id="241"/>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Дял</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Бюджетни кредити от приходи</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Установени вземания</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Приходи</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jc w:val="left"/>
              <w:rPr>
                <w:rFonts w:eastAsia="Verdana" w:cs="Verdana"/>
              </w:rPr>
            </w:pPr>
            <w:r>
              <w:t xml:space="preserve">Приходи като </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Неизплатени суми</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8pNormalCentered"/>
              <w:rPr>
                <w:rFonts w:eastAsia="Verdana" w:cs="Verdana"/>
                <w:color w:val="auto"/>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Първоначален приет бюджет</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Окончателен приет бюджет</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Текуща година</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Пренесени</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Общо</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От вземания за текущата година</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От пренесени вземания</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Общо</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 от бюджета</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rPr>
            </w:pP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Собствени ресурси</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133 960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128 388</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128 853</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128 899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128 841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128 867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100,37 %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32</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Излишъци, салда и корекции</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5 101</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10 507</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10 507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5 100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5 100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99,98 %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5 407</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4.</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Приходи от лица, работещи към институциите и други органи на Съюза</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1 275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1 275</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1 248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12</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1 260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1 240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11</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1 251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98,14 %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5.</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Приходи от административната дейност на институциите</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54</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578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599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563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 xml:space="preserve"> 578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1075,46 %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6.</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Вноски и възстановени средства във връзка със споразумения и програми на Съюза</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3 267</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228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3 496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3 120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3 225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5374,97 %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271</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7.</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Лихви за забава и глоби</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3 973</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2 206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10 416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12 622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1 131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3 475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4 607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115,95 %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8 016</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8.</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Операции по получаване и отпускане на заеми</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153</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301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254</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 xml:space="preserve"> 297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193,72 %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9.</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Разни приходи</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50,01 %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w:t>
            </w:r>
          </w:p>
        </w:tc>
      </w:tr>
      <w:tr w:rsidR="00E7728E">
        <w:tc>
          <w:tcPr>
            <w:tcW w:w="56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135 505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139 034</w:t>
            </w:r>
          </w:p>
        </w:tc>
        <w:tc>
          <w:tcPr>
            <w:tcW w:w="108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146 721</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10 988</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157 709</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140 052</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3 888</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143 940</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103,53 %</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13 769</w:t>
            </w:r>
          </w:p>
        </w:tc>
      </w:tr>
    </w:tbl>
    <w:p w:rsidR="00F50689" w:rsidRDefault="00F50689" w:rsidP="00F50689">
      <w:pPr>
        <w:pStyle w:val="Textstand-alone"/>
      </w:pPr>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42" w:name="DOC_TBL00099_1_1"/>
            <w:bookmarkEnd w:id="242"/>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14743" w:type="dxa"/>
            <w:gridSpan w:val="12"/>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Heading9pBoldCentered"/>
              <w:rPr>
                <w:rFonts w:eastAsia="Verdana" w:cs="Verdana"/>
              </w:rPr>
            </w:pPr>
            <w:r>
              <w:t>Подробно дял 1: Собствени ресурси</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Глава</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Бюджетни кредити от приходи</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Установени вземания</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Приходи</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jc w:val="left"/>
              <w:rPr>
                <w:rFonts w:eastAsia="Verdana" w:cs="Verdana"/>
              </w:rPr>
            </w:pPr>
            <w:r>
              <w:t xml:space="preserve">Приходи като </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Неизплатени суми</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8pNormalCentered"/>
              <w:rPr>
                <w:rFonts w:eastAsia="Verdana" w:cs="Verdana"/>
                <w:color w:val="auto"/>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Първоначален гласуван бюджет</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Окончателен приет бюджет</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Текуща година</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Пренесени</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Общо</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От вземания за текущата година</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От пренесени вземания</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 xml:space="preserve"> Общо </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 от бюджета</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rPr>
            </w:pP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11.</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Налози върху захарта</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(69)</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77,12 %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12.</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Мита</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16 186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16 174</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16 485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16 531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16 473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16 499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102,01 %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32</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13.</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ДДС</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17 882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17 690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17 746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17 746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17 746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17 746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100,32 %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14.</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БНД</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99 767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94 614</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94 863</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94 863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94 863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94 863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100,26 %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15.</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Корекция на бюджетни дисбаланси</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(172)</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0,00 %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133 960</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128 388</w:t>
            </w:r>
          </w:p>
        </w:tc>
        <w:tc>
          <w:tcPr>
            <w:tcW w:w="108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128 853</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 xml:space="preserve"> 46</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128 899</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128 841</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 xml:space="preserve"> 25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128 867</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100,37 %</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 xml:space="preserve"> 32</w:t>
            </w:r>
          </w:p>
        </w:tc>
      </w:tr>
    </w:tbl>
    <w:p w:rsidR="00F50689" w:rsidRDefault="00F50689" w:rsidP="00F50689">
      <w:pPr>
        <w:pStyle w:val="Textstand-alone"/>
      </w:pPr>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43" w:name="DOC_TBL00097_1_1"/>
            <w:bookmarkEnd w:id="243"/>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14743" w:type="dxa"/>
            <w:gridSpan w:val="12"/>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Heading9pBoldCentered"/>
              <w:rPr>
                <w:rFonts w:eastAsia="Verdana" w:cs="Verdana"/>
              </w:rPr>
            </w:pPr>
            <w:r>
              <w:t>Подробно дял 3: Излишъци, салда и корекции на собствените ресурси</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Глава</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Бюджетни кредити от приходи</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Установени вземания</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Приходи</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jc w:val="left"/>
              <w:rPr>
                <w:rFonts w:eastAsia="Verdana" w:cs="Verdana"/>
              </w:rPr>
            </w:pPr>
            <w:r>
              <w:t xml:space="preserve">Приходи като </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Неизплатени суми</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8pNormalCentered"/>
              <w:rPr>
                <w:rFonts w:eastAsia="Verdana" w:cs="Verdana"/>
                <w:color w:val="auto"/>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Първоначален гласуван бюджет</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Окончателен приет бюджет</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Текуща година</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Пренесени</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Общо</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От вземанията за текущата година</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От пренесени вземания</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Общо</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 от бюджета</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rPr>
            </w:pP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30.</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Излишък от предходната година</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1 005</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1 005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1 005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1 005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1 005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100,00 %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31.</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Салда по ДДС</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(81)</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(284)</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(284)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97,59 %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(205)</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32.</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Салда по БНД</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4 176</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9 825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9 825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4 212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4 212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100,87 %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5 613</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34.</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Корекция за неучастие в политиката в областта на правосъдието и вътрешните работи</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0,00 %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35.</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Корекция за Обединеното кралство — Корекции</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0,00 %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36.</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Корекция за Обединеното кралство — Междинно изчисление</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0,00 %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5 101</w:t>
            </w:r>
          </w:p>
        </w:tc>
        <w:tc>
          <w:tcPr>
            <w:tcW w:w="108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10 507</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10 507</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5 100</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5 100</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99,98 %</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5 407</w:t>
            </w:r>
          </w:p>
        </w:tc>
      </w:tr>
    </w:tbl>
    <w:p w:rsidR="00F50689" w:rsidRDefault="005A36C4" w:rsidP="00F50689">
      <w:pPr>
        <w:pStyle w:val="Textstand-alone"/>
        <w:sectPr w:rsidR="00F50689" w:rsidSect="00F50689">
          <w:headerReference w:type="even" r:id="rId485"/>
          <w:headerReference w:type="default" r:id="rId486"/>
          <w:footerReference w:type="even" r:id="rId487"/>
          <w:footerReference w:type="default" r:id="rId488"/>
          <w:headerReference w:type="first" r:id="rId489"/>
          <w:footerReference w:type="first" r:id="rId490"/>
          <w:type w:val="continuous"/>
          <w:pgSz w:w="16840" w:h="11907" w:orient="landscape" w:code="9"/>
          <w:pgMar w:top="1134" w:right="1134" w:bottom="1134" w:left="1134" w:header="708" w:footer="708" w:gutter="0"/>
          <w:cols w:space="708"/>
          <w:docGrid w:linePitch="360"/>
        </w:sectPr>
      </w:pPr>
      <w:r>
        <w:t xml:space="preserve"> </w:t>
      </w:r>
      <w:bookmarkEnd w:id="240"/>
    </w:p>
    <w:p w:rsidR="00F50689" w:rsidRPr="00087998" w:rsidRDefault="005A36C4" w:rsidP="00F50689">
      <w:pPr>
        <w:pStyle w:val="HEADER2Part3"/>
      </w:pPr>
      <w:bookmarkStart w:id="244" w:name="_Toc406426450"/>
      <w:bookmarkStart w:id="245" w:name="_Toc431307065"/>
      <w:bookmarkStart w:id="246" w:name="_DMBM_3461"/>
      <w:r>
        <w:t>ИЗПЪЛНЕНИЕ НА ПРИХОДИТЕ</w:t>
      </w:r>
      <w:bookmarkEnd w:id="244"/>
      <w:bookmarkEnd w:id="245"/>
    </w:p>
    <w:p w:rsidR="00F50689" w:rsidRPr="00C72D18" w:rsidRDefault="005A36C4" w:rsidP="00F50689">
      <w:pPr>
        <w:pStyle w:val="HEADER3Part3"/>
      </w:pPr>
      <w:r>
        <w:t>Преглед на приходите за 2014 г.</w:t>
      </w:r>
    </w:p>
    <w:p w:rsidR="00F50689" w:rsidRPr="005F4D1B" w:rsidRDefault="005A36C4" w:rsidP="00F50689">
      <w:pPr>
        <w:pStyle w:val="DGTextstand-alone"/>
      </w:pPr>
      <w:r>
        <w:t>В първоначално приетия бюджет на ЕС, подписан от председателя на Европейския парламент на 20 ноември 2013 г., размерът на бюджетните кредити за плащания бе 135 505 млн. EUR, а сумата, която трябва да се финансира със собствени ресурси, възлизаше на 133 960 млн. EUR. Прогнозите за приходите и за разходите в първоначалния бюджет по принцип се коригират през бюджетната година, като тези корекции се представят в коригиращи бюджети. Корекциите на собствените ресурси на база БНД гарантират, че включените в бюджета приходи съответстват точно на включените в бюджета разходи. В съответствие с принципа на балансираност бюджетните приходи и разходи (бюджетните кредити за плащания) трябва да са балансирани.</w:t>
      </w:r>
    </w:p>
    <w:p w:rsidR="00F50689" w:rsidRPr="005F4D1B" w:rsidRDefault="005A36C4" w:rsidP="00F50689">
      <w:pPr>
        <w:pStyle w:val="DGTextstand-alone"/>
      </w:pPr>
      <w:r>
        <w:t>През 2014 г. бяха приети седем коригиращи бюджета. След вземането им под внимание общият окончателен размер на приетите приходи за 2014 г. възлезе на 139 034 млн. EUR. Тази сума бе финансирана със собствени ресурси в размер на общо 128 388 млн. EUR (следователно с 5 572 млн. EUR по-малко от първоначално прогнозираната сума), а останалата част — с други приходи. Увеличената нужда от средства за финансиране на бюджетните кредити за плащания бе задоволена предимно с приходи от глоби. Освен това излишъкът от предходната финансова година и извънредните приходи вследствие на корекциите на ДДС и на БНД за предходните години доведоха до значително намаляване на изравнителната вноска по БНД на държавите членки.</w:t>
      </w:r>
    </w:p>
    <w:p w:rsidR="00F50689" w:rsidRPr="005F4D1B" w:rsidRDefault="005A36C4" w:rsidP="00F50689">
      <w:pPr>
        <w:pStyle w:val="DGTextstand-alone"/>
      </w:pPr>
      <w:r>
        <w:t>Коригиращи бюджети № 2 и № 3/2014 съдържаха глоби, наложени на предприятия, и свързаните с тях лихви на обща стойност 3 850 млн. EUR, които бяха известни към момента на изготвяне на съответния проект на коригиращ бюджет. До 31 декември 2014 г. други глоби станаха окончателни — след окончателно решение на Съда или поради това че предприятията не обжалваха новите решения за налагане на глоба.</w:t>
      </w:r>
    </w:p>
    <w:p w:rsidR="00F50689" w:rsidRPr="005F4D1B" w:rsidRDefault="005A36C4" w:rsidP="00F50689">
      <w:pPr>
        <w:pStyle w:val="DGTextstand-alone"/>
      </w:pPr>
      <w:r>
        <w:t>Приходите, вноските и възстановените средства във връзка със споразумения и програми на ЕС възлизат на общо 3 225 млн. EUR. Основните суми се отнасят до ЕФГЗ и ЕЗФРСР (и по-конкретно до уравняването на сметки и до нередности), участието на трети държави в научноизследователските програми и други вноски и възстановени средства в полза на програми и дейности на ЕС. Значителна част от тази обща сума представлява заделени приходи, които по принцип водят до записването на допълнителни бюджетни кредити в разходната част на бюджета.</w:t>
      </w:r>
    </w:p>
    <w:p w:rsidR="00F50689" w:rsidRPr="005F4D1B" w:rsidRDefault="005A36C4" w:rsidP="00F50689">
      <w:pPr>
        <w:pStyle w:val="DGTextstand-alone"/>
      </w:pPr>
      <w:r>
        <w:t>Що се отнася до резултата за собствените ресурси, събраните традиционни собствени ресурси бяха близки до прогнозираните суми. Това се дължи предимно на факта, че бюджетните прогнози, които бяха променени по време на съставянето на проект на коригиращ бюджет № 4/2014 (бяха намалени с 646 млн. EUR съгласно новите прогнози от пролетта на 2014 г.), бяха отново променени в проект на коригиращ бюджет № 6/2014, за да бъде взет под внимание реалният ритъм на събиране. Вследствие на това те бяха увеличени с 420 млн. EUR.</w:t>
      </w:r>
    </w:p>
    <w:p w:rsidR="00F50689" w:rsidRPr="005F4D1B" w:rsidRDefault="005A36C4" w:rsidP="00F50689">
      <w:pPr>
        <w:pStyle w:val="DGTextstand-alone"/>
      </w:pPr>
      <w:r>
        <w:t>Окончателните плащания на базата на ДДС и на БНД на държавите членки също са близки до окончателната бюджетна прогноза. Разликите между прогнозираните суми и реално платените суми се дължат на разликите между курсовете на еврото, използвани за бюджетни цели, и курсовете в сила в момента, в който държавите членки, които не са част от ИПС, реално са извършили своите плащания.</w:t>
      </w:r>
    </w:p>
    <w:p w:rsidR="00F50689" w:rsidRDefault="005A36C4" w:rsidP="00F50689">
      <w:pPr>
        <w:pStyle w:val="DGTextstand-alone"/>
      </w:pPr>
      <w:r>
        <w:t>Корекцията през 2014 г. включи големи промени в БНД за годините назад до 2002 г. По тази причина корекцията беше безпрецедентна по размер, възлизайки на 9,5 млрд. EUR общо за всички държави — членки на ЕС. За да се реагира на извънредната ситуация, на 18 декември Съветът прие предложение на Комисията (Регламент (ЕС, Евратом) № 1377/2014 на Съвета от 18 декември 2014 г.), което позволява на държавите членки да отсрочват плащането, без да се начисляват лихви и при строги условия, до 1 септември 2015 г. В съответствие с това 6 държави членки избраха да платят своите корекции през 2015 г. Отсроченото плащане възлиза на 5,4 млрд. EUR.</w:t>
      </w:r>
    </w:p>
    <w:p w:rsidR="00F50689" w:rsidRDefault="005A36C4" w:rsidP="00F50689">
      <w:pPr>
        <w:pStyle w:val="DGTextstand-alone"/>
      </w:pPr>
      <w:r>
        <w:t>Размерът на собствените ресурси, които следва да бъдат получени, е свързан с коригиращи бюджети № 2—7/2014, приети на 17 декември 2014 г. Съгласно член 10 от Регламент № 1150/2000 на Съвета от 22 май 2000 г. (ОВ L 130, 31.5.2000 г., стр. 1) вписванията, съответстващи на корекциите на вноските собствени ресурси, бяха извършени на първия работен ден на месец февруари 2015 г. Корекциите на националните вноски на база ДДС и БНД на държавите членки в бюджета на ЕС се извършват всяка година на първия работен ден на месец декември.</w:t>
      </w:r>
    </w:p>
    <w:p w:rsidR="00F50689" w:rsidRPr="00514E98" w:rsidRDefault="00F50689" w:rsidP="00F50689">
      <w:pPr>
        <w:pStyle w:val="DGTextstand-alone"/>
      </w:pPr>
    </w:p>
    <w:p w:rsidR="00F50689" w:rsidRPr="00C72D18" w:rsidRDefault="005A36C4" w:rsidP="00F50689">
      <w:pPr>
        <w:pStyle w:val="HEADER3Part3"/>
      </w:pPr>
      <w:r>
        <w:t>Приходи от собствени ресурси</w:t>
      </w:r>
    </w:p>
    <w:p w:rsidR="00F50689" w:rsidRDefault="005A36C4" w:rsidP="00F50689">
      <w:pPr>
        <w:pStyle w:val="DGTextstand-alone"/>
      </w:pPr>
      <w:r>
        <w:t xml:space="preserve">Основната част от приходите идват от собствени ресурси. Това е посочено в член 311 от Договора за функционирането на ЕС, който гласи, че: „Без да се засягат другите приходи, бюджетът се финансира изцяло от собствени ресурси.“ Основната част от бюджетните разходи се финансират със собствени ресурси. </w:t>
      </w:r>
    </w:p>
    <w:p w:rsidR="00F50689" w:rsidRPr="00C72D18" w:rsidRDefault="005A36C4" w:rsidP="00F50689">
      <w:pPr>
        <w:pStyle w:val="DGTextStand-alonebulletpoint"/>
      </w:pPr>
      <w:r>
        <w:t>Собствените ресурси могат да бъдат разделени на следните категории:</w:t>
      </w:r>
    </w:p>
    <w:p w:rsidR="00F50689" w:rsidRPr="00C72D18" w:rsidRDefault="005A36C4" w:rsidP="00F50689">
      <w:pPr>
        <w:pStyle w:val="DGTextStand-alonebulletpoint"/>
      </w:pPr>
      <w:r>
        <w:t>1)</w:t>
      </w:r>
      <w:r>
        <w:tab/>
        <w:t>Традиционните собствени ресурси (ТСР) се състоят от мита и налози върху захарта. Тези собствени ресурси са за сметка на икономическите оператори и се събират от държавите членки от името на ЕС. При все това държавите членки задържат 25 % като компенсация за разходите, които са извършили по събирането (20 % от 2014 г.). Митата се начисляват върху вноса на продукти от трети държави по ставки въз основа на Общата митническа тарифа. Налозите върху захарта се плащат от производителите на захар за финансиране на възстановяванията при износ за захарта. ТСР обикновено представляват приблизително 13 % от приходите от собствени ресурси.</w:t>
      </w:r>
    </w:p>
    <w:p w:rsidR="00F50689" w:rsidRPr="00C72D18" w:rsidRDefault="005A36C4" w:rsidP="00F50689">
      <w:pPr>
        <w:pStyle w:val="DGTextStand-alonebulletpoint"/>
      </w:pPr>
      <w:r>
        <w:t>2)</w:t>
      </w:r>
      <w:r>
        <w:tab/>
        <w:t>Собствените ресурси на база данък върху добавената стойност (ДДС) се събират от базите за ДДС на държавите членки, които се хармонизират за тази цел в съответствие с разпоредбите на ЕС. Спрямо хармонизираната база на всяка държава членка се прилага един и същ процент. При все това базата за ДДС, която се взема под внимание, е ограничена до 50 % от БНД на всяка държава членка. Ресурсът на база ДДС обикновено представлява около 12 % от приходите от собствени ресурси.</w:t>
      </w:r>
    </w:p>
    <w:p w:rsidR="00F50689" w:rsidRPr="00C72D18" w:rsidRDefault="005A36C4" w:rsidP="00F50689">
      <w:pPr>
        <w:pStyle w:val="DGTextStand-alonebulletpoint"/>
      </w:pPr>
      <w:r>
        <w:t>3)</w:t>
      </w:r>
      <w:r>
        <w:tab/>
        <w:t>Ресурсът на база брутен национален доход (БНД) се използва за балансиране на бюджетните приходи и разходи, т.е. за финансиране на тази част от бюджета, която не е покрита от никакви други източници на приходи. Спрямо БНД на всяка държава членка се прилага един и същ процент, който се определя в съответствие с разпоредбите на ЕС. Ресурсът на база БНД обикновено представлява около 75 % от приходите от собствени ресурси.</w:t>
      </w:r>
    </w:p>
    <w:p w:rsidR="00F50689" w:rsidRDefault="005A36C4" w:rsidP="00F50689">
      <w:pPr>
        <w:pStyle w:val="DGTextstand-alone"/>
      </w:pPr>
      <w:r>
        <w:t>Разпределянето на собствените ресурси се извършва в съответствие с правилата, залегнали в Решение 2007/436/ЕО, Евратом на Съвета от 7 юни 2007 г. относно системата на собствените ресурси на ЕС (РСР 2007). За периода 2014—2020 г. бе прието ново решение за определяне на системата на собствените ресурси на ЕС (РСР 2014: Решение 2014/335/ЕС, Евратом на Съвета от 26 май 2014 г.). РСР 2014 ще влезе в сила, след като бъде ратифицирано от всички държави членки съгласно техните конституционни правила (очаква се това да стане в началото на 2016 г.). Дотогава остава в сила РСР 2007. Последиците със задна дата (РСР 2014 ще се прилага от 1 януари 2014 г.) ще бъдат взети предвид през бюджетната година, през която решението влиза в сила.</w:t>
      </w:r>
    </w:p>
    <w:p w:rsidR="00F50689" w:rsidRPr="00C72D18" w:rsidRDefault="005A36C4" w:rsidP="00F50689">
      <w:pPr>
        <w:pStyle w:val="HEADER3Part3"/>
      </w:pPr>
      <w:r>
        <w:t>Традиционни собствени ресурси</w:t>
      </w:r>
    </w:p>
    <w:p w:rsidR="00F50689" w:rsidRDefault="005A36C4" w:rsidP="00F50689">
      <w:pPr>
        <w:pStyle w:val="DGTextstand-alone"/>
      </w:pPr>
      <w:r>
        <w:t>Традиционни собствени ресурси: всички установени суми традиционни собствени ресурси трябва да бъдат записани в една или друга от сметките, водени от компетентните органи.</w:t>
      </w:r>
    </w:p>
    <w:p w:rsidR="00F50689" w:rsidRPr="00FA3EA7" w:rsidRDefault="005A36C4" w:rsidP="00F50689">
      <w:pPr>
        <w:pStyle w:val="Textstand-aloneBulletpoint"/>
      </w:pPr>
      <w:r>
        <w:t>В обикновената сметка, предвидена в член 6, параграф 3, буква а) от Регламент № 1150/2000: всички събрани или обезпечени суми.</w:t>
      </w:r>
    </w:p>
    <w:p w:rsidR="00F50689" w:rsidRDefault="005A36C4" w:rsidP="00F50689">
      <w:pPr>
        <w:pStyle w:val="Textstand-aloneBulletpoint"/>
      </w:pPr>
      <w:r>
        <w:t>В отделната сметка, предвидена в член 6, параграф 3, буква б) от Регламент № 1150/2000: всички суми, които все още не са събрани и/или не са обезпечени; сумите, които са обезпечени, но са оспорени, също могат да бъдат вписани в тази сметка.</w:t>
      </w:r>
    </w:p>
    <w:p w:rsidR="00F50689" w:rsidRDefault="005A36C4" w:rsidP="00F50689">
      <w:pPr>
        <w:pStyle w:val="DGTextstand-alone"/>
      </w:pPr>
      <w:r>
        <w:t>За отделната сметка тримесечният отчет на държавите членки за Комисията включва:</w:t>
      </w:r>
    </w:p>
    <w:p w:rsidR="00F50689" w:rsidRDefault="005A36C4" w:rsidP="00F50689">
      <w:pPr>
        <w:pStyle w:val="Textstand-aloneBulletpoint"/>
      </w:pPr>
      <w:r>
        <w:t>салдото, подлежащо на събиране през предходното тримесечие,</w:t>
      </w:r>
    </w:p>
    <w:p w:rsidR="00F50689" w:rsidRDefault="005A36C4" w:rsidP="00F50689">
      <w:pPr>
        <w:pStyle w:val="Textstand-aloneBulletpoint"/>
      </w:pPr>
      <w:r>
        <w:t>констатираните вземания през въпросното тримесечие,</w:t>
      </w:r>
    </w:p>
    <w:p w:rsidR="00F50689" w:rsidRDefault="005A36C4" w:rsidP="00F50689">
      <w:pPr>
        <w:pStyle w:val="Textstand-aloneBulletpoint"/>
      </w:pPr>
      <w:r>
        <w:t>поправките на базата (корекции/отмени) през въпросното тримесечие,</w:t>
      </w:r>
    </w:p>
    <w:p w:rsidR="00F50689" w:rsidRDefault="005A36C4" w:rsidP="00F50689">
      <w:pPr>
        <w:pStyle w:val="Textstand-aloneBulletpoint"/>
      </w:pPr>
      <w:r>
        <w:t>отписаните суми (които не могат да бъдат предоставени съгласно член 17, параграф 2 от Регламент № 1150/2000),</w:t>
      </w:r>
    </w:p>
    <w:p w:rsidR="00F50689" w:rsidRDefault="005A36C4" w:rsidP="00F50689">
      <w:pPr>
        <w:pStyle w:val="Textstand-aloneBulletpoint"/>
      </w:pPr>
      <w:r>
        <w:t>сумите, събрани през въпросното тримесечие,</w:t>
      </w:r>
    </w:p>
    <w:p w:rsidR="00F50689" w:rsidRDefault="005A36C4" w:rsidP="00F50689">
      <w:pPr>
        <w:pStyle w:val="Textstand-aloneBulletpoint"/>
      </w:pPr>
      <w:r>
        <w:t>салдото, което подлежи на събиране в края на въпросното тримесечие.</w:t>
      </w:r>
    </w:p>
    <w:p w:rsidR="00F50689" w:rsidRDefault="005A36C4" w:rsidP="00F50689">
      <w:pPr>
        <w:pStyle w:val="DGTextstand-alone"/>
      </w:pPr>
      <w:r>
        <w:t>Традиционните собствени ресурси трябва да бъдат записани в сметката на Комисията към министерството на финансите или определения от държавата членка орган най-късно на първия работен ден след 19-ия ден на втория месец след месеца, през който вземането е било установено (или в случая на отделната сметка — събрано). Държавите членки задържат 25 % от традиционните собствени ресурси като разходи по събирането (20 % съгласно РСР 2014). Условните вземания на собствени ресурси се коригират въз основа на вероятността да бъдат събрани.</w:t>
      </w:r>
    </w:p>
    <w:p w:rsidR="00F50689" w:rsidRPr="00C72D18" w:rsidRDefault="005A36C4" w:rsidP="00F50689">
      <w:pPr>
        <w:pStyle w:val="HEADER3Part3"/>
      </w:pPr>
      <w:r>
        <w:t>Ресурси на база ДДС и ресурси на база БНД</w:t>
      </w:r>
    </w:p>
    <w:p w:rsidR="00F50689" w:rsidRDefault="005A36C4" w:rsidP="00F50689">
      <w:pPr>
        <w:pStyle w:val="DGTextstand-alone"/>
      </w:pPr>
      <w:r>
        <w:t>Собствените ресурси на база ДДС произтичат от прилагането на унифицирана ставка за всички държави членки към хармонизираната база за ДДС, определена в съответствие с разпоредбите на член 2, параграф 1, буква б) от РСР 2007. Унифицираната ставка е фиксирана на 0,30 %, освен за периода 2007—2013 г., за който изискуемата ставка за Австрия бе фиксирана на 0,225 %, за Германия — на 0,15 %, а за Нидерландия и Швеция — на 0,10 %. Базата за ДДС не може да надвишава 50 % от БНД за всички държави членки. Съгласно РСР 2014 изискуемата ставка ще остане 0,3 %, освен за периода 2014—2020 г., за който изискуемата ставка за Германия, Нидерландия и Швеция ще бъде 0,15 %.</w:t>
      </w:r>
    </w:p>
    <w:p w:rsidR="00F50689" w:rsidRPr="002E1AFE" w:rsidRDefault="005A36C4" w:rsidP="00F50689">
      <w:pPr>
        <w:pStyle w:val="DGTextstand-alone"/>
        <w:rPr>
          <w:spacing w:val="4"/>
        </w:rPr>
      </w:pPr>
      <w:r w:rsidRPr="002E1AFE">
        <w:rPr>
          <w:spacing w:val="4"/>
        </w:rPr>
        <w:t>Ресурсът на база БНД е променлив ресурс, предназначен да осигури необходимите приходи всяка година за покриване на разходите, надвишаващи сумата, събрана от традиционните собствени ресурси, ресурсите от ДДС и разни приходи. Приходите произтичат от прилагането на унифицирана ставка към съвкупния БНД на всички държави членки. Ресурсите на база ДДС и БНД се определят въз основа на прогнози за базите за ДДС и за БНД, направени при изготвянето на проектобюджета. Тези прогнози впоследствие се преразглеждат. Цифрите се актуализират през въпросната бюджетна година чрез коригиращ бюджет. Реалните цифри за базите за ДДС и за БНД са на разположение в хода на годината, следваща въпросната бюджетна година. Комисията изчислява разликите между дължимите от държавите членки суми, базирайки се на реалните бази, и реално платените суми въз основа на (преразгледаните) прогнози. Комисията изисква тези салда по ДДС и БНД, били те положителни или отрицателни, от държавите членки за първия работен ден на месец декември на годината, следваща въпросната бюджетна година. На 18 декември 2014 г. Съветът прие Регламент (ЕС, Евратом) № 1377/2014, който дава възможност на държавите членки при определени условия да отсрочат предоставянето на салдата по ДДС и по БНД до първия работен ден на месец септември на следващата година.</w:t>
      </w:r>
      <w:r w:rsidRPr="002E1AFE">
        <w:rPr>
          <w:rFonts w:ascii="Book Antiqua" w:hAnsi="Book Antiqua"/>
          <w:spacing w:val="4"/>
          <w:sz w:val="16"/>
        </w:rPr>
        <w:t xml:space="preserve"> </w:t>
      </w:r>
      <w:r w:rsidRPr="002E1AFE">
        <w:rPr>
          <w:spacing w:val="4"/>
        </w:rPr>
        <w:t>Корекции могат все още да се правят на реалните бази за ДДС и за БНД през следващите четири години, освен ако не бъде изразена резерва. Изчислените по-рано салда се коригират и разликата се изисква по същото време като салдата по ДДС и по БНД за предходната бюджетна година.</w:t>
      </w:r>
    </w:p>
    <w:p w:rsidR="00F50689" w:rsidRPr="002E1AFE" w:rsidRDefault="005A36C4" w:rsidP="00F50689">
      <w:pPr>
        <w:pStyle w:val="DGTextstand-alone"/>
        <w:rPr>
          <w:spacing w:val="4"/>
        </w:rPr>
      </w:pPr>
      <w:r w:rsidRPr="002E1AFE">
        <w:rPr>
          <w:spacing w:val="4"/>
        </w:rPr>
        <w:t>Когато извършва проверки на декларациите за ДДС и на данните за БНД, Комисията може да изрази резерви пред държавите членки по отношение на някои въпроси, които могат да имат последствия за техните вноски собствени ресурси. Тези въпроси могат да се дължат например на липсата на приемливи данни или на нуждата от разработване на подходяща методика. Тези резерви трябва да бъдат разглеждани като потенциални искания към държавите членки за неопределени суми, тъй като финансовото им отражение не може да бъде оценено с точност. Когато е възможно да бъде определен точният размер, съответните ресурси на база ДДС и БНД се изискват или във връзка със салдата по ДДС и по БНД, или посредством индивидуални покани за внасяне на средства.</w:t>
      </w:r>
    </w:p>
    <w:p w:rsidR="00F50689" w:rsidRPr="00C72D18" w:rsidRDefault="005A36C4" w:rsidP="00F50689">
      <w:pPr>
        <w:pStyle w:val="HEADER3Part3"/>
      </w:pPr>
      <w:r>
        <w:t>Корекция за Обединеното кралство</w:t>
      </w:r>
    </w:p>
    <w:p w:rsidR="00F50689" w:rsidRPr="002E1AFE" w:rsidRDefault="005A36C4" w:rsidP="00F50689">
      <w:pPr>
        <w:pStyle w:val="DGTextstand-alone"/>
        <w:rPr>
          <w:spacing w:val="4"/>
        </w:rPr>
      </w:pPr>
      <w:r w:rsidRPr="002E1AFE">
        <w:rPr>
          <w:spacing w:val="4"/>
        </w:rPr>
        <w:t>Този механизъм намалява плащанията по собствените ресурси на Обединеното кралство пропорционално на неговия т.нар. „бюджетен дисбаланс“ и увеличава съответно плащанията по собствените ресурси на другите държави членки. Механизмът за корекция на бюджетния дисбаланс в полза на Обединеното кралство беше въведен от Европейския съвет във Фонтенбло (юни 1984 г.) и с произтеклото от тази среща решение за собствените ресурси от 7 май 1985 г. Целта на механизма бе да се намали бюджетният дисбаланс на Обединеното кралство чрез намаляване на неговите плащания към ЕС. Германия, Австрия, Швеция и Нидерландия се ползват от намалено финансиране на корекцията (ограничено до една четвърт от обичайната им сума).</w:t>
      </w:r>
    </w:p>
    <w:p w:rsidR="00F50689" w:rsidRPr="00C72D18" w:rsidRDefault="005A36C4" w:rsidP="00BD5073">
      <w:pPr>
        <w:pStyle w:val="HEADER3Part3"/>
        <w:spacing w:after="240"/>
      </w:pPr>
      <w:r>
        <w:t>Брутно намаление</w:t>
      </w:r>
    </w:p>
    <w:p w:rsidR="00F50689" w:rsidRDefault="005A36C4" w:rsidP="00F50689">
      <w:pPr>
        <w:pStyle w:val="DGTextstand-alone"/>
        <w:spacing w:after="0"/>
      </w:pPr>
      <w:r>
        <w:t>На заседанието на Европейския съвет от 15 и 16 декември 2005 г. бе заключено, че Нидерландия и Швеция ще се ползват от брутни намаления на годишните си вноски на база БНД през периода 2007—2013 г. В съответствие с тези заключения РСР 2007 предвижда Нидерландия да се ползва от брутно намаление на годишната си вноска по БНД в размер на 605 млн. EUR, а Швеция — от брутно намаление на годишната си вноска по БНД в размер на 150 млн. EUR, изчислени по цени от 2004 г. На заседанието на Европейския съвет от 7 и 8 февруари 2013 г. бе заключено, че Дания, Нидерландия и Швеция следва да се ползват от брутни намаления на годишните си вноски на база брутния национален доход (БНД) само през периода 2014—2020 г. и че Австрия следва да се ползва от брутни намаления на годишните си вноски на база БНД само през периода 2014—2016 г. Дания, Нидерландия и Швеция ще се ползват от брутни намаления на годишната си вноска на база БНД съответно в размер на 130 млн. EUR, 695 млн. EUR и 185 млн. EUR. Австрия ще се ползва от брутно намаление на годишната си вноска на база БНД на стойност 30 млн. EUR през 2014 г., 20  млн. EUR през 2015 г. и 10 млн. EUR през 2016 г. (всички суми са изчислени по цени от 2011 г.). Тези разпоредби бяха включени в РСР 2014 и ще бъдат прилагани (със задна дата) след влизането му в сила.</w:t>
      </w:r>
    </w:p>
    <w:p w:rsidR="00F50689" w:rsidRPr="00191FF5" w:rsidRDefault="005A36C4" w:rsidP="00F50689">
      <w:pPr>
        <w:pStyle w:val="DGTextstand-alone"/>
        <w:spacing w:before="0" w:after="0"/>
        <w:sectPr w:rsidR="00F50689" w:rsidRPr="00191FF5" w:rsidSect="00F50689">
          <w:headerReference w:type="even" r:id="rId491"/>
          <w:headerReference w:type="default" r:id="rId492"/>
          <w:footerReference w:type="even" r:id="rId493"/>
          <w:footerReference w:type="default" r:id="rId494"/>
          <w:headerReference w:type="first" r:id="rId495"/>
          <w:footerReference w:type="first" r:id="rId496"/>
          <w:pgSz w:w="11907" w:h="16840" w:code="9"/>
          <w:pgMar w:top="1134" w:right="1134" w:bottom="1134" w:left="1134" w:header="709" w:footer="709" w:gutter="0"/>
          <w:cols w:space="708"/>
          <w:docGrid w:linePitch="360"/>
        </w:sectPr>
      </w:pPr>
      <w:r>
        <w:t xml:space="preserve"> </w:t>
      </w:r>
      <w:bookmarkEnd w:id="246"/>
    </w:p>
    <w:p w:rsidR="00F50689" w:rsidRDefault="005A36C4" w:rsidP="00F50689">
      <w:pPr>
        <w:pStyle w:val="HEADER1Part3"/>
        <w:spacing w:after="0"/>
      </w:pPr>
      <w:bookmarkStart w:id="247" w:name="_Toc431307066"/>
      <w:bookmarkStart w:id="248" w:name="_DMBM_3435"/>
      <w:r>
        <w:t>ИЗПЪЛНЕНИЕ НА РАЗХОДИТЕ В БЮДЖЕТА НА ЕС</w:t>
      </w:r>
      <w:bookmarkEnd w:id="247"/>
    </w:p>
    <w:p w:rsidR="00F50689" w:rsidRPr="0039458F" w:rsidRDefault="005A36C4" w:rsidP="00F50689">
      <w:pPr>
        <w:pStyle w:val="HEADER5"/>
        <w:sectPr w:rsidR="00F50689" w:rsidRPr="0039458F" w:rsidSect="00F50689">
          <w:headerReference w:type="even" r:id="rId497"/>
          <w:headerReference w:type="default" r:id="rId498"/>
          <w:footerReference w:type="even" r:id="rId499"/>
          <w:footerReference w:type="default" r:id="rId500"/>
          <w:headerReference w:type="first" r:id="rId501"/>
          <w:footerReference w:type="first" r:id="rId502"/>
          <w:type w:val="continuous"/>
          <w:pgSz w:w="16840" w:h="11907" w:orient="landscape"/>
          <w:pgMar w:top="1134" w:right="1134" w:bottom="1134" w:left="1134" w:header="708" w:footer="708" w:gutter="0"/>
          <w:cols w:space="708"/>
          <w:docGrid w:linePitch="360"/>
        </w:sectPr>
      </w:pPr>
      <w:r>
        <w:t xml:space="preserve"> </w:t>
      </w:r>
      <w:bookmarkEnd w:id="248"/>
    </w:p>
    <w:p w:rsidR="00F50689" w:rsidRDefault="005A36C4" w:rsidP="00F50689">
      <w:pPr>
        <w:pStyle w:val="HEADER2Part3"/>
      </w:pPr>
      <w:bookmarkStart w:id="249" w:name="_Toc431307067"/>
      <w:bookmarkStart w:id="250" w:name="_DMBM_3436"/>
      <w:r>
        <w:t>МФР: РАЗБИВКА И ПРОМЕНИ НА БЮДЖЕТНИТЕ КРЕДИТИ ЗА ПОЕТИ ЗАДЪЛЖЕНИЯ И ЗА ПЛАЩАНИЯ</w:t>
      </w:r>
      <w:bookmarkEnd w:id="249"/>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2"/>
        <w:gridCol w:w="1135"/>
        <w:gridCol w:w="1132"/>
        <w:gridCol w:w="995"/>
        <w:gridCol w:w="853"/>
        <w:gridCol w:w="995"/>
        <w:gridCol w:w="1138"/>
        <w:gridCol w:w="1274"/>
        <w:gridCol w:w="1132"/>
        <w:gridCol w:w="995"/>
        <w:gridCol w:w="992"/>
        <w:gridCol w:w="992"/>
        <w:gridCol w:w="1126"/>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color w:val="FFFFFF"/>
              </w:rPr>
            </w:pPr>
            <w:bookmarkStart w:id="251" w:name="DOC_TBL00100_1_1"/>
            <w:bookmarkEnd w:id="251"/>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2118"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млн. EUR</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6248"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Бюджетни кредити за поети задължения</w:t>
            </w:r>
          </w:p>
        </w:tc>
        <w:tc>
          <w:tcPr>
            <w:tcW w:w="6511"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Бюджетни кредити за плащания</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F50689" w:rsidP="00F50689">
            <w:pPr>
              <w:pStyle w:val="Heading7pNormalCentered"/>
              <w:rPr>
                <w:rFonts w:eastAsia="Verdana" w:cs="Verdana"/>
              </w:rPr>
            </w:pPr>
          </w:p>
        </w:tc>
        <w:tc>
          <w:tcPr>
            <w:tcW w:w="3262"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Бюджетни кредити</w:t>
            </w:r>
          </w:p>
        </w:tc>
        <w:tc>
          <w:tcPr>
            <w:tcW w:w="1848"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Допълнителни бюджетни кредити</w:t>
            </w:r>
          </w:p>
        </w:tc>
        <w:tc>
          <w:tcPr>
            <w:tcW w:w="1138"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Общо бюджетни</w:t>
            </w:r>
          </w:p>
          <w:p w:rsidR="00F50689" w:rsidRDefault="005A36C4" w:rsidP="00F50689">
            <w:pPr>
              <w:pStyle w:val="Heading8pNormalCentered"/>
              <w:rPr>
                <w:rFonts w:eastAsia="Verdana" w:cs="Verdana"/>
              </w:rPr>
            </w:pPr>
            <w:r>
              <w:t>кредити</w:t>
            </w:r>
          </w:p>
        </w:tc>
        <w:tc>
          <w:tcPr>
            <w:tcW w:w="3401"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Бюджетни кредити</w:t>
            </w:r>
          </w:p>
        </w:tc>
        <w:tc>
          <w:tcPr>
            <w:tcW w:w="198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Допълнителни бюджетни кредити</w:t>
            </w:r>
          </w:p>
        </w:tc>
        <w:tc>
          <w:tcPr>
            <w:tcW w:w="1126"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Общо бюджетни</w:t>
            </w:r>
          </w:p>
          <w:p w:rsidR="00F50689" w:rsidRDefault="005A36C4" w:rsidP="00F50689">
            <w:pPr>
              <w:pStyle w:val="Heading8pNormalCentered"/>
              <w:rPr>
                <w:rFonts w:eastAsia="Verdana" w:cs="Verdana"/>
              </w:rPr>
            </w:pPr>
            <w:r>
              <w:t>кредити</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Функция от МФР</w:t>
            </w: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Първоначален приет бюджет</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Коригиращи бюджети и трансфери</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Окончателен приет бюджет</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 xml:space="preserve">Пренасяния </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Целеви приходи</w:t>
            </w:r>
          </w:p>
        </w:tc>
        <w:tc>
          <w:tcPr>
            <w:tcW w:w="113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налични</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Първоначален приет бюджет</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Коригиращи бюджети и трансфери</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Окончателен приет бюджет</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 xml:space="preserve">Пренасяния </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Целеви приходи</w:t>
            </w:r>
          </w:p>
        </w:tc>
        <w:tc>
          <w:tcPr>
            <w:tcW w:w="1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налични</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3=1+2</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4</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5</w:t>
            </w:r>
          </w:p>
        </w:tc>
        <w:tc>
          <w:tcPr>
            <w:tcW w:w="1138"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rPr>
            </w:pPr>
            <w:r>
              <w:t>6=3+4+5</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7</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8</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9=7+8</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10</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11</w:t>
            </w:r>
          </w:p>
        </w:tc>
        <w:tc>
          <w:tcPr>
            <w:tcW w:w="112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rPr>
            </w:pPr>
            <w:r>
              <w:t>12=9+10+11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Интелигентен и приобщаващ растеж</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63 986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63 986</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3 474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67 611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62 393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3 470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65 863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289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3 548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69 699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1a: Конкурентоспособност за растеж и работни места</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16 484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16 484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2 645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19 129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11 441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415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11 857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128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3 323</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15 308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1б: Икономическо, социално и териториално сближаване</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47 502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47 502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830</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48 482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50 951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3 055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54 006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224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54 392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 xml:space="preserve">2. </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Устойчив растеж: природни ресурси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59 267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59 191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2 105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61 296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56 459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55 959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1 968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57 962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разходи, свързани с пазара, и преки плащания</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43 778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43 778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1 724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45 502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43 777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43 776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1 724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45 514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Сигурност и гражданство</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2 172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2 172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2 256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1 677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1 747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Глобална Европа</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8 325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8 423</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9 000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6 191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6 925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7 481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Администрация</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8 405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8 405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9 171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8 406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10 040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административни разходи на институциите</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3 531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399</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3 931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492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4 475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Компенсации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Отрицателен резерв</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Специални инструменти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485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577</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536</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c>
          <w:tcPr>
            <w:tcW w:w="170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Общо</w:t>
            </w:r>
          </w:p>
        </w:tc>
        <w:tc>
          <w:tcPr>
            <w:tcW w:w="113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142 640</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50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142 690</w:t>
            </w:r>
          </w:p>
        </w:tc>
        <w:tc>
          <w:tcPr>
            <w:tcW w:w="8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179</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7 070</w:t>
            </w:r>
          </w:p>
        </w:tc>
        <w:tc>
          <w:tcPr>
            <w:tcW w:w="113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149 939</w:t>
            </w:r>
          </w:p>
        </w:tc>
        <w:tc>
          <w:tcPr>
            <w:tcW w:w="127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135 505</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3 530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139 034</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1 410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7 050</w:t>
            </w:r>
          </w:p>
        </w:tc>
        <w:tc>
          <w:tcPr>
            <w:tcW w:w="1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147 495</w:t>
            </w:r>
          </w:p>
        </w:tc>
      </w:tr>
    </w:tbl>
    <w:p w:rsidR="00F50689" w:rsidRDefault="005A36C4" w:rsidP="00F50689">
      <w:pPr>
        <w:pStyle w:val="Textstand-alone"/>
        <w:sectPr w:rsidR="00F50689" w:rsidSect="00F50689">
          <w:headerReference w:type="even" r:id="rId503"/>
          <w:headerReference w:type="default" r:id="rId504"/>
          <w:footerReference w:type="even" r:id="rId505"/>
          <w:footerReference w:type="default" r:id="rId506"/>
          <w:headerReference w:type="first" r:id="rId507"/>
          <w:footerReference w:type="first" r:id="rId508"/>
          <w:type w:val="continuous"/>
          <w:pgSz w:w="16840" w:h="11907" w:orient="landscape"/>
          <w:pgMar w:top="1134" w:right="1134" w:bottom="1134" w:left="1134" w:header="708" w:footer="708" w:gutter="0"/>
          <w:cols w:space="708"/>
          <w:docGrid w:linePitch="360"/>
        </w:sectPr>
      </w:pPr>
      <w:r>
        <w:t xml:space="preserve"> </w:t>
      </w:r>
      <w:bookmarkEnd w:id="250"/>
    </w:p>
    <w:p w:rsidR="00F50689" w:rsidRDefault="005A36C4" w:rsidP="00F50689">
      <w:pPr>
        <w:pStyle w:val="HEADER2Part3"/>
      </w:pPr>
      <w:bookmarkStart w:id="252" w:name="_Toc431307068"/>
      <w:bookmarkStart w:id="253" w:name="_DMBM_3437"/>
      <w:r>
        <w:t>МФР: ИЗПЪЛНЕНИЕ НА БЮДЖЕТНИТЕ КРЕДИТИ ЗА ПОЕТИ ЗАДЪЛЖЕНИЯ</w:t>
      </w:r>
      <w:bookmarkEnd w:id="252"/>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68"/>
        <w:gridCol w:w="992"/>
        <w:gridCol w:w="1134"/>
        <w:gridCol w:w="709"/>
        <w:gridCol w:w="851"/>
        <w:gridCol w:w="850"/>
        <w:gridCol w:w="851"/>
        <w:gridCol w:w="850"/>
        <w:gridCol w:w="851"/>
        <w:gridCol w:w="708"/>
        <w:gridCol w:w="851"/>
        <w:gridCol w:w="992"/>
        <w:gridCol w:w="709"/>
        <w:gridCol w:w="850"/>
        <w:gridCol w:w="709"/>
        <w:gridCol w:w="851"/>
      </w:tblGrid>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color w:val="FFFFFF"/>
              </w:rPr>
            </w:pPr>
            <w:bookmarkStart w:id="254" w:name="DOC_TBL00101_1_1"/>
            <w:bookmarkEnd w:id="254"/>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2410" w:type="dxa"/>
            <w:gridSpan w:val="3"/>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млн. EUR</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2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4395"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Поети задължения</w:t>
            </w:r>
          </w:p>
        </w:tc>
        <w:tc>
          <w:tcPr>
            <w:tcW w:w="326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Бюджетни кредити, пренесени за 2015 г.</w:t>
            </w: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Бюджетни кредити, които губят сила</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26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Функция от МФР</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Общо налични бюджетни кредити</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 окончателния приет бюджет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 пренасяния</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 целеви приходи</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Общо</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Целеви приходи</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Пренасяния с решение</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Общо</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 окончателния приет бюджет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 пренасяния</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Целеви приходи (ЕАСТ)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Общо</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r>
      <w:tr w:rsidR="00E7728E">
        <w:tc>
          <w:tcPr>
            <w:tcW w:w="250"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Verdana" w:cs="Verdana"/>
              </w:rPr>
            </w:pPr>
          </w:p>
        </w:tc>
        <w:tc>
          <w:tcPr>
            <w:tcW w:w="2268"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Text7pItalicLeft"/>
              <w:jc w:val="center"/>
              <w:rPr>
                <w:rFonts w:eastAsia="Verdana" w:cs="Verdana"/>
                <w:i w:val="0"/>
              </w:rPr>
            </w:pP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1</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2</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4</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5=2+3+4</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6=5/1</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7</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8</w:t>
            </w:r>
          </w:p>
        </w:tc>
        <w:tc>
          <w:tcPr>
            <w:tcW w:w="708"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9=7+8</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10=9/1</w:t>
            </w:r>
          </w:p>
        </w:tc>
        <w:tc>
          <w:tcPr>
            <w:tcW w:w="99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11</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12</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13</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14=11+12+13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15=14/1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Интелигентен и приобщаващ растеж</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67 611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44 260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1 561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45 972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67,99 %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1 913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8 480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10 392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15,37 %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11 246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11 247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16,63 %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1a: Конкурентоспособност за растеж и работни места</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19 129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16 466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1 552</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18 018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94,19 %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1 092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1 092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5,71 %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0,10 %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1б: Икономическо, социално и териториално сближаване</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48 482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27 794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150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9</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27 954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57,66 %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820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8 480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9 300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19,18 %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11 228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11 228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23,16 %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 xml:space="preserve">2. </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Устойчив растеж: природни ресурси</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61 296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46 866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1 397</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48 263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78,74 %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2 866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3 575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5,83 %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9 458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9 458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15,43 %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разходи, свързани с пазара, и преки плащания</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45 502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42 910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1 383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44 293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97,34 %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341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868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1 209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2,66 %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Сигурност и гражданство</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2 256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1 463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1 507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66,81 %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13,02 %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20,17 %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Глобална Европа</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9 000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8 280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8 489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94,32 %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5,60 %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0,07 %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5.</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Администрация</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9 171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8 313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8 884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96,87 %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2,17 %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0,96 %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административни разходи на институциите</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3 931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3 445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343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3 789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96,40 %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56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0,00 %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2,09 %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6.</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Компенсации</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100,00 %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8.</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Отрицателен резерв</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Специални инструменти</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577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64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11,06 %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75,37 %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13,57 %</w:t>
            </w:r>
          </w:p>
        </w:tc>
      </w:tr>
      <w:tr w:rsidR="00E7728E">
        <w:tc>
          <w:tcPr>
            <w:tcW w:w="250"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7pBoldRight025"/>
              <w:rPr>
                <w:rFonts w:eastAsia="Verdana" w:cs="Verdana"/>
              </w:rPr>
            </w:pPr>
          </w:p>
        </w:tc>
        <w:tc>
          <w:tcPr>
            <w:tcW w:w="226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Общо</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149 939</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109 256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179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3 772</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113 208</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75,50 %</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3 297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12 101</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15 399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10,27 %</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21 333</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0</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21 333</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14,23 %</w:t>
            </w:r>
          </w:p>
        </w:tc>
      </w:tr>
    </w:tbl>
    <w:p w:rsidR="00F50689" w:rsidRDefault="005A36C4" w:rsidP="00F50689">
      <w:pPr>
        <w:pStyle w:val="Textstand-alone"/>
        <w:sectPr w:rsidR="00F50689" w:rsidSect="00F50689">
          <w:headerReference w:type="even" r:id="rId509"/>
          <w:headerReference w:type="default" r:id="rId510"/>
          <w:footerReference w:type="even" r:id="rId511"/>
          <w:footerReference w:type="default" r:id="rId512"/>
          <w:headerReference w:type="first" r:id="rId513"/>
          <w:footerReference w:type="first" r:id="rId514"/>
          <w:pgSz w:w="16840" w:h="11907" w:orient="landscape" w:code="9"/>
          <w:pgMar w:top="1134" w:right="1134" w:bottom="1134" w:left="1134" w:header="708" w:footer="708" w:gutter="0"/>
          <w:cols w:space="708"/>
          <w:docGrid w:linePitch="360"/>
        </w:sectPr>
      </w:pPr>
      <w:r>
        <w:t xml:space="preserve"> </w:t>
      </w:r>
      <w:bookmarkEnd w:id="253"/>
    </w:p>
    <w:p w:rsidR="00F50689" w:rsidRDefault="005A36C4" w:rsidP="00F50689">
      <w:pPr>
        <w:pStyle w:val="HEADER2Part3"/>
      </w:pPr>
      <w:bookmarkStart w:id="255" w:name="_Toc431307069"/>
      <w:bookmarkStart w:id="256" w:name="_DMBM_3438"/>
      <w:r>
        <w:t>МФР: ИЗПЪЛНЕНИЕ НА БЮДЖЕТНИТЕ КРЕДИТИ ЗА ПЛАЩАНИЯ</w:t>
      </w:r>
      <w:bookmarkEnd w:id="255"/>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1392"/>
        <w:gridCol w:w="821"/>
        <w:gridCol w:w="821"/>
        <w:gridCol w:w="821"/>
        <w:gridCol w:w="821"/>
        <w:gridCol w:w="821"/>
        <w:gridCol w:w="821"/>
        <w:gridCol w:w="822"/>
        <w:gridCol w:w="822"/>
        <w:gridCol w:w="822"/>
        <w:gridCol w:w="822"/>
        <w:gridCol w:w="822"/>
        <w:gridCol w:w="822"/>
        <w:gridCol w:w="822"/>
        <w:gridCol w:w="822"/>
        <w:gridCol w:w="822"/>
        <w:gridCol w:w="822"/>
      </w:tblGrid>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bookmarkStart w:id="257" w:name="DOC_TBL00102_1_1"/>
            <w:bookmarkEnd w:id="257"/>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1644"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млн. EUR</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1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8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rPr>
            </w:pPr>
          </w:p>
        </w:tc>
        <w:tc>
          <w:tcPr>
            <w:tcW w:w="4105"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Извършени плащания</w:t>
            </w:r>
          </w:p>
        </w:tc>
        <w:tc>
          <w:tcPr>
            <w:tcW w:w="4110"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Пренесени бюджетни кредити</w:t>
            </w:r>
          </w:p>
        </w:tc>
        <w:tc>
          <w:tcPr>
            <w:tcW w:w="4110"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Бюджетни кредити, които губят сила</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13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Функция от МФР</w:t>
            </w:r>
          </w:p>
        </w:tc>
        <w:tc>
          <w:tcPr>
            <w:tcW w:w="82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Общо налични бюджетни кредити</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 окончателния приет бюджет</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 пренасяния</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 целеви приходи</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Общо</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Автоматични пренасяния</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Пренасяния с решение</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Целеви приходи</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Общо</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 окончателния приет бюджет</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 пренасяния</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Целеви приходи (ЕАСТ)</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Общо</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r>
      <w:tr w:rsidR="00E7728E">
        <w:tc>
          <w:tcPr>
            <w:tcW w:w="250"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Verdana" w:cs="Verdana"/>
              </w:rPr>
            </w:pPr>
          </w:p>
        </w:tc>
        <w:tc>
          <w:tcPr>
            <w:tcW w:w="1392"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Verdana" w:cs="Verdana"/>
              </w:rPr>
            </w:pPr>
          </w:p>
        </w:tc>
        <w:tc>
          <w:tcPr>
            <w:tcW w:w="82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1</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2</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3</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4</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5=2+3+4</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6=5/1</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7</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8</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9</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10=7+8+9</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11=10/1</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12</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13</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14</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15=12+ 13+14</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16= 15/1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Интелигентен и приобщаващ растеж</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69 699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65 730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1 686</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67 683</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97,11 %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1 860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1 980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2,84 %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0,05 %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1a: Конкурентоспособност за растеж и работни места</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15 308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11 740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108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1 483</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13 331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87,09 %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104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1 838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1 943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12,69 %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0,22 %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1б: Икономическо, социално и териториално сближаване</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54 392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53 990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159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203</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54 352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99,93 %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0,07 %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 xml:space="preserve">2. </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Устойчив растеж: природни ресурси</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57 962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55 050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33</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1 502</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56 584</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97,62 %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467</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1 369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2,36 %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0,02 %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разходи, свързани с пазара, и преки плащания</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45 514</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42 891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1 383</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44 287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97,30 %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868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341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1 226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2,69 %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Сигурност и гражданство</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1 747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1 648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1 711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97,94 %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1,75 %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0,31 %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Глобална Европа</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7 481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6 880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297</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7 206</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96,32 %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267</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3,57 %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5.</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Администрация</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10 040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7 643</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697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480</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8 819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87,84 %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673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1 060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10,55 %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75</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административни разходи на институциите</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4 475</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3 027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402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300</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3 729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83,33 %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418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192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614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13,72 %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50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132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2,94 %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6.</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Компенсации</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100,00 %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8.</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Отрицателен резерв</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Специални инструменти</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536</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465</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86,70 %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13,28 %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0,02 %</w:t>
            </w:r>
          </w:p>
        </w:tc>
      </w:tr>
      <w:tr w:rsidR="00E7728E">
        <w:tc>
          <w:tcPr>
            <w:tcW w:w="250"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NormalLeft"/>
              <w:ind w:left="0"/>
              <w:rPr>
                <w:rFonts w:eastAsia="Verdana" w:cs="Verdana"/>
              </w:rPr>
            </w:pPr>
          </w:p>
        </w:tc>
        <w:tc>
          <w:tcPr>
            <w:tcW w:w="13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Общо</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147 495</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137 136</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1 304</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4 057</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142 497</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96,61 %</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870</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917</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2 991</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4 778</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3,24 %</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112</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106</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2</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220</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0,15 %</w:t>
            </w:r>
          </w:p>
        </w:tc>
      </w:tr>
    </w:tbl>
    <w:p w:rsidR="00F50689" w:rsidRDefault="005A36C4" w:rsidP="00F50689">
      <w:pPr>
        <w:pStyle w:val="Textstand-alone"/>
        <w:sectPr w:rsidR="00F50689" w:rsidSect="00F50689">
          <w:headerReference w:type="even" r:id="rId515"/>
          <w:headerReference w:type="default" r:id="rId516"/>
          <w:footerReference w:type="even" r:id="rId517"/>
          <w:footerReference w:type="default" r:id="rId518"/>
          <w:headerReference w:type="first" r:id="rId519"/>
          <w:footerReference w:type="first" r:id="rId520"/>
          <w:pgSz w:w="16840" w:h="11907" w:orient="landscape" w:code="9"/>
          <w:pgMar w:top="1134" w:right="1134" w:bottom="1134" w:left="1134" w:header="708" w:footer="708" w:gutter="0"/>
          <w:cols w:space="708"/>
          <w:docGrid w:linePitch="360"/>
        </w:sectPr>
      </w:pPr>
      <w:r>
        <w:t xml:space="preserve"> </w:t>
      </w:r>
      <w:bookmarkEnd w:id="256"/>
    </w:p>
    <w:p w:rsidR="00F50689" w:rsidRDefault="005A36C4" w:rsidP="00F50689">
      <w:pPr>
        <w:pStyle w:val="HEADER2Part3"/>
      </w:pPr>
      <w:bookmarkStart w:id="258" w:name="_Toc431307070"/>
      <w:bookmarkStart w:id="259" w:name="_DMBM_3439"/>
      <w:r>
        <w:t>МФР: ДВИЖЕНИЯ НА НЕИЗПЪЛНЕНИТЕ ПОЕТИ ЗАДЪЛЖЕНИЯ (RAL)</w:t>
      </w:r>
      <w:bookmarkEnd w:id="258"/>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60" w:name="DOC_TBL00103_1_1"/>
            <w:bookmarkEnd w:id="260"/>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5274"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Неизпълнени поети задължения в края на предходната година</w:t>
            </w:r>
          </w:p>
        </w:tc>
        <w:tc>
          <w:tcPr>
            <w:tcW w:w="5146"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Поети задължения за годината</w:t>
            </w:r>
          </w:p>
        </w:tc>
        <w:tc>
          <w:tcPr>
            <w:tcW w:w="130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rPr>
            </w:pP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Функция от МФР</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Задължения, пренесени от предходната година</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Отменени задължения/преоценки/отмени</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 xml:space="preserve">Плащания </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Неизпълнени поети задължения към края на годината</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Задължения, поети през годината</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Плащания</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Отмяна на поетите задължения, които не могат да бъдат пренесени</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Неизпълнени поети задължения към края на годината</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Общо неизпълнени поети задължения към края на годината</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Интелигентен и приобщаващ растеж</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166 761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(2 037)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(60 662)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104 062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45 972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(7 021)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38 947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143 009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1a: Конкурентоспособност за растеж и работни места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29 657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(808)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(8 167)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20 681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18 018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(5 164)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12 850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33 532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1б: Икономическо, социално и териториално сближаване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137 105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(1 229)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(52 494)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83 381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27 954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(1 857)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26 096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109 477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 xml:space="preserve">2. </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Устойчив растеж: природни ресурси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27 978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(11 930)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15 773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48 263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(44 655)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3 609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19 382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разходи, свързани с пазара, и преки плащания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44 293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(44 266)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Сигурност и гражданство</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3 092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1 841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1 507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2 582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Глобална Европа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23 285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(721)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(5 490)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17 075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(1 716)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6 772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23 846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Администрация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8 884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(8 110)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административни разходи на институциите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557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(156)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(402)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3 789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(3 328)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453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Компенсации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Отрицателен резерв</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Специални инструменти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rPr>
            </w:pPr>
          </w:p>
        </w:tc>
        <w:tc>
          <w:tcPr>
            <w:tcW w:w="26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Общо</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222 410</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(3 522)</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(80 136)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138 753</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113 208</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(62 361)</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(14)</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189 585</w:t>
            </w:r>
          </w:p>
        </w:tc>
      </w:tr>
    </w:tbl>
    <w:p w:rsidR="00F50689" w:rsidRPr="00B72FC6" w:rsidRDefault="005A36C4" w:rsidP="00F50689">
      <w:pPr>
        <w:pStyle w:val="Textstand-alone"/>
        <w:sectPr w:rsidR="00F50689" w:rsidRPr="00B72FC6" w:rsidSect="00F50689">
          <w:headerReference w:type="even" r:id="rId521"/>
          <w:headerReference w:type="default" r:id="rId522"/>
          <w:footerReference w:type="even" r:id="rId523"/>
          <w:footerReference w:type="default" r:id="rId524"/>
          <w:headerReference w:type="first" r:id="rId525"/>
          <w:footerReference w:type="first" r:id="rId526"/>
          <w:pgSz w:w="16840" w:h="11907" w:orient="landscape"/>
          <w:pgMar w:top="1134" w:right="1134" w:bottom="1134" w:left="1134" w:header="708" w:footer="708" w:gutter="0"/>
          <w:cols w:space="708"/>
          <w:docGrid w:linePitch="360"/>
        </w:sectPr>
      </w:pPr>
      <w:r>
        <w:t xml:space="preserve"> </w:t>
      </w:r>
      <w:bookmarkEnd w:id="259"/>
    </w:p>
    <w:p w:rsidR="00F50689" w:rsidRDefault="005A36C4" w:rsidP="00F50689">
      <w:pPr>
        <w:pStyle w:val="HEADER2Part3"/>
      </w:pPr>
      <w:bookmarkStart w:id="261" w:name="_Toc431307071"/>
      <w:bookmarkStart w:id="262" w:name="_DMBM_3440"/>
      <w:r>
        <w:t>МФР: РАЗБИВКА НА НЕИЗПЪЛНЕНИТЕ ПОЕТИ ЗАДЪЛЖЕНИЯ ПО ГОДИНИ НА ВЪЗНИКВАНЕ</w:t>
      </w:r>
      <w:bookmarkEnd w:id="261"/>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63" w:name="DOC_TBL00104_1_1"/>
            <w:bookmarkEnd w:id="263"/>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Функция от МФР</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&lt;2008 г.</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2008 г.</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2009 г.</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2010 г.</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2011 г.</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2012 г.</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2013 г.</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2014 г.</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Общо</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Интелигентен и приобщаващ растеж</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2 915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1 578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4 327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11 007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27 951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55 870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38 947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143 009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1a: Конкурентоспособност за растеж и работни места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255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1 260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2 274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3 001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5 451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8 230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12 850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33 532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1б: Икономическо, социално и териториално сближаване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2 660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203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318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2 053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8 007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22 500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47 640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26 096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109 477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 xml:space="preserve">2. </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Устойчив растеж: природни ресурси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338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11 459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3 609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19 382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разходи, свързани с пазара, и преки плащания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7</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Сигурност и гражданство</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807</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2 582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Глобална Европа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1 336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2 800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4 686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5 928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6 772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23 846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Администрация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от които: административни разходи на институциите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453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Компенсации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Отрицателен резерв</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Специални инструменти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rPr>
            </w:pPr>
          </w:p>
        </w:tc>
        <w:tc>
          <w:tcPr>
            <w:tcW w:w="26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Общо</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4 211</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1 034</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2 586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5 937</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14 261</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36 658</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74 066</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189 585</w:t>
            </w:r>
          </w:p>
        </w:tc>
      </w:tr>
    </w:tbl>
    <w:p w:rsidR="00F50689" w:rsidRDefault="005A36C4" w:rsidP="00F50689">
      <w:pPr>
        <w:pStyle w:val="Textstand-alone"/>
        <w:sectPr w:rsidR="00F50689" w:rsidSect="00F50689">
          <w:headerReference w:type="even" r:id="rId527"/>
          <w:headerReference w:type="default" r:id="rId528"/>
          <w:footerReference w:type="even" r:id="rId529"/>
          <w:footerReference w:type="default" r:id="rId530"/>
          <w:headerReference w:type="first" r:id="rId531"/>
          <w:footerReference w:type="first" r:id="rId532"/>
          <w:pgSz w:w="16840" w:h="11907" w:orient="landscape"/>
          <w:pgMar w:top="1134" w:right="1134" w:bottom="1134" w:left="1134" w:header="708" w:footer="708" w:gutter="0"/>
          <w:cols w:space="708"/>
          <w:docGrid w:linePitch="360"/>
        </w:sectPr>
      </w:pPr>
      <w:r>
        <w:t xml:space="preserve"> </w:t>
      </w:r>
      <w:bookmarkEnd w:id="262"/>
    </w:p>
    <w:p w:rsidR="00F50689" w:rsidRDefault="005A36C4" w:rsidP="00F50689">
      <w:pPr>
        <w:pStyle w:val="HEADER2Part3"/>
        <w:spacing w:before="0" w:after="120"/>
      </w:pPr>
      <w:bookmarkStart w:id="264" w:name="_Toc431307072"/>
      <w:bookmarkStart w:id="265" w:name="_DMBM_3441"/>
      <w:r>
        <w:t>ОБЛАСТ НА ПОЛИТИКАТА: РАЗБИВКА И ПРОМЕНИ НА БЮДЖЕТНИТЕ КРЕДИТИ ЗА ПОЕТИ ЗАДЪЛЖЕНИЯ И ЗА ПЛАЩАНИЯ</w:t>
      </w:r>
      <w:bookmarkEnd w:id="264"/>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2"/>
        <w:gridCol w:w="1135"/>
        <w:gridCol w:w="1132"/>
        <w:gridCol w:w="995"/>
        <w:gridCol w:w="853"/>
        <w:gridCol w:w="995"/>
        <w:gridCol w:w="1138"/>
        <w:gridCol w:w="1274"/>
        <w:gridCol w:w="1132"/>
        <w:gridCol w:w="995"/>
        <w:gridCol w:w="992"/>
        <w:gridCol w:w="992"/>
        <w:gridCol w:w="1126"/>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color w:val="FFFFFF"/>
              </w:rPr>
            </w:pPr>
            <w:bookmarkStart w:id="266" w:name="DOC_TBL00105_1_1"/>
            <w:bookmarkEnd w:id="266"/>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2118"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млн. EUR</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6248"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Бюджетни кредити за поети задължения</w:t>
            </w:r>
          </w:p>
        </w:tc>
        <w:tc>
          <w:tcPr>
            <w:tcW w:w="6511"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Бюджетни кредити за плащания</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F50689" w:rsidP="00F50689">
            <w:pPr>
              <w:pStyle w:val="Heading7pNormalCentered"/>
              <w:rPr>
                <w:rFonts w:eastAsia="Verdana" w:cs="Verdana"/>
              </w:rPr>
            </w:pPr>
          </w:p>
        </w:tc>
        <w:tc>
          <w:tcPr>
            <w:tcW w:w="3262"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Бюджетни кредити</w:t>
            </w:r>
          </w:p>
        </w:tc>
        <w:tc>
          <w:tcPr>
            <w:tcW w:w="1848"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Допълнителни бюджетни кредити</w:t>
            </w:r>
          </w:p>
        </w:tc>
        <w:tc>
          <w:tcPr>
            <w:tcW w:w="1138"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Общо бюджетни кредити</w:t>
            </w:r>
          </w:p>
        </w:tc>
        <w:tc>
          <w:tcPr>
            <w:tcW w:w="3401"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Бюджетни кредити</w:t>
            </w:r>
          </w:p>
        </w:tc>
        <w:tc>
          <w:tcPr>
            <w:tcW w:w="198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Допълнителни бюджетни кредити</w:t>
            </w:r>
          </w:p>
        </w:tc>
        <w:tc>
          <w:tcPr>
            <w:tcW w:w="1126"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Общо бюджетни кредити</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Област на политиката</w:t>
            </w: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Първоначален приет бюджет</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Коригиращи бюджети и трансфери</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Окончателен приет бюджет</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Пренесени</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Целеви приходи</w:t>
            </w:r>
          </w:p>
        </w:tc>
        <w:tc>
          <w:tcPr>
            <w:tcW w:w="113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налични</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Първоначален приет бюджет</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Коригиращи бюджети и трансфери</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Окончателен приет бюджет</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Пренесени</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Целеви приходи</w:t>
            </w:r>
          </w:p>
        </w:tc>
        <w:tc>
          <w:tcPr>
            <w:tcW w:w="1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налични</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3=1+2</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4</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5</w:t>
            </w:r>
          </w:p>
        </w:tc>
        <w:tc>
          <w:tcPr>
            <w:tcW w:w="1138"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rPr>
            </w:pPr>
            <w:r>
              <w:t>6=3+4+5</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7</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8</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9=7+8</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10</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11</w:t>
            </w:r>
          </w:p>
        </w:tc>
        <w:tc>
          <w:tcPr>
            <w:tcW w:w="112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rPr>
            </w:pPr>
            <w:r>
              <w:t>12=9+10+11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Икономически и финансови въпроси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233</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Предприятия и промишленост</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2 536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2 526</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2 754</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2 105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2 165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2 486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Конкуренция</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93</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Заетост, социални въпроси и приобщаване</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13 839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13 929</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14 678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11 622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11 280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11 522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Земеделие и развитие на селските райони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58 047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58 025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2 117</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60 141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55 635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55 117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1 981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57 120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Мобилност и транспорт</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2 867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2 860</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2 931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1 003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1 089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07</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Околна среда</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Научни изследвания и иновации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6 215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6 162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1 031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7 193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4 107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4 096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1 490</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5 621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Комуникационни мрежи, съдържание и технологии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1 637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1 612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1 759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259</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1 343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Преки научни изследвания</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580</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982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497</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Рибарство и морско дело</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1 066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991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1 021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823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Вътрешен пазар и услуги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Регионална и градска политика</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33 073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33 154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33 508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40 223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3 244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43 467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136</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43 995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Данъчно облагане и митнически съюз</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164</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Образование и култура</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2 820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2 877</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3 330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2 242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2 420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537</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2 969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Комуникация</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17</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Здравеопазване и защита на потребителите</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618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616</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643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567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Вътрешни работи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1 201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1 202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1 243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Инструменти в областта на външната политика</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678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463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Търговия</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119</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Развитие и сътрудничество</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5 084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5 204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5 469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3 658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286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3 944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4 192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Разширяване</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1 520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1 475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1 488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Хуманитарна помощ и гражданска защита</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1 006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1 164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1 240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851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564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75</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Борба с измамите</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Координиране на политиките на Комисията и правни съвети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205</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Администрация на Комисията</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1 001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162</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1 124</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991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1 285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27</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Бюджет</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Одит</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Статистика</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Пенсии и свързаните с тях разходи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1 495</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Езикови служби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87</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478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87</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Енергетика</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933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958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1 086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Правосъдие</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Действия по климата</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40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Резерви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(179)</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277</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277</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90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Други институции</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3 531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399</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3 931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4 475</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c>
          <w:tcPr>
            <w:tcW w:w="170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Общо</w:t>
            </w:r>
          </w:p>
        </w:tc>
        <w:tc>
          <w:tcPr>
            <w:tcW w:w="113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142 640</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50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142 690</w:t>
            </w:r>
          </w:p>
        </w:tc>
        <w:tc>
          <w:tcPr>
            <w:tcW w:w="8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179</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7 070</w:t>
            </w:r>
          </w:p>
        </w:tc>
        <w:tc>
          <w:tcPr>
            <w:tcW w:w="113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149 939</w:t>
            </w:r>
          </w:p>
        </w:tc>
        <w:tc>
          <w:tcPr>
            <w:tcW w:w="127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135 505</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3 530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139 034</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1 410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7 050</w:t>
            </w:r>
          </w:p>
        </w:tc>
        <w:tc>
          <w:tcPr>
            <w:tcW w:w="1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147 495</w:t>
            </w:r>
          </w:p>
        </w:tc>
      </w:tr>
    </w:tbl>
    <w:p w:rsidR="00F50689" w:rsidRDefault="005A36C4" w:rsidP="00F50689">
      <w:pPr>
        <w:pStyle w:val="Textstand-alone"/>
        <w:sectPr w:rsidR="00F50689" w:rsidSect="00F50689">
          <w:headerReference w:type="even" r:id="rId533"/>
          <w:headerReference w:type="default" r:id="rId534"/>
          <w:footerReference w:type="even" r:id="rId535"/>
          <w:footerReference w:type="default" r:id="rId536"/>
          <w:headerReference w:type="first" r:id="rId537"/>
          <w:footerReference w:type="first" r:id="rId538"/>
          <w:pgSz w:w="16840" w:h="11907" w:orient="landscape" w:code="9"/>
          <w:pgMar w:top="1134" w:right="1134" w:bottom="1134" w:left="1134" w:header="708" w:footer="708" w:gutter="0"/>
          <w:cols w:space="708"/>
          <w:docGrid w:linePitch="360"/>
        </w:sectPr>
      </w:pPr>
      <w:r>
        <w:t xml:space="preserve"> </w:t>
      </w:r>
      <w:bookmarkEnd w:id="265"/>
    </w:p>
    <w:p w:rsidR="00F50689" w:rsidRDefault="005A36C4" w:rsidP="00F50689">
      <w:pPr>
        <w:pStyle w:val="HEADER3Part3"/>
      </w:pPr>
      <w:bookmarkStart w:id="267" w:name="_DMBM_3462"/>
      <w:r>
        <w:t>ОБЛАСТ НА ПОЛИТИКАТА: СЪПОСТАВКА НА БЮДЖЕТНИТЕ С РЕАЛНИТЕ ПОЕТИ ЗАДЪЛЖЕНИЯ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rsidRPr="00F75541">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8pItalicLeft"/>
              <w:rPr>
                <w:rFonts w:eastAsia="Verdana" w:cs="Verdana"/>
                <w:spacing w:val="-4"/>
              </w:rPr>
            </w:pPr>
            <w:bookmarkStart w:id="268" w:name="DOC_TBL00106_1_1"/>
            <w:bookmarkEnd w:id="268"/>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8pItalicRight025EUR"/>
              <w:jc w:val="left"/>
              <w:rPr>
                <w:rFonts w:eastAsia="Verdana" w:cs="Verdana"/>
                <w:i w:val="0"/>
                <w:spacing w:val="-4"/>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8pItalicRight025EUR"/>
              <w:rPr>
                <w:rFonts w:eastAsia="Verdana" w:cs="Verdana"/>
                <w:i w:val="0"/>
                <w:spacing w:val="-4"/>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8pItalicRight025EUR"/>
              <w:rPr>
                <w:rFonts w:eastAsia="Verdana" w:cs="Verdana"/>
                <w:i w:val="0"/>
                <w:spacing w:val="-4"/>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8pItalicRight025EUR"/>
              <w:rPr>
                <w:rFonts w:eastAsia="Verdana" w:cs="Verdana"/>
                <w:i w:val="0"/>
                <w:spacing w:val="-4"/>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8pItalicRight025EUR"/>
              <w:rPr>
                <w:rFonts w:eastAsia="Verdana" w:cs="Verdana"/>
                <w:i w:val="0"/>
                <w:spacing w:val="-4"/>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8pItalicRight025EUR"/>
              <w:rPr>
                <w:rFonts w:eastAsia="Verdana" w:cs="Verdana"/>
                <w:i w:val="0"/>
                <w:spacing w:val="-4"/>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8pItalicRight025EUR"/>
              <w:rPr>
                <w:rFonts w:eastAsia="Verdana" w:cs="Verdana"/>
                <w:spacing w:val="-4"/>
              </w:rPr>
            </w:pPr>
            <w:r w:rsidRPr="00F75541">
              <w:rPr>
                <w:spacing w:val="-4"/>
              </w:rPr>
              <w:t>млн. EUR</w:t>
            </w:r>
          </w:p>
        </w:tc>
      </w:tr>
      <w:tr w:rsidR="00E7728E" w:rsidRPr="00F75541">
        <w:tc>
          <w:tcPr>
            <w:tcW w:w="250" w:type="dxa"/>
            <w:tcBorders>
              <w:top w:val="nil"/>
              <w:left w:val="nil"/>
              <w:bottom w:val="nil"/>
              <w:right w:val="nil"/>
            </w:tcBorders>
            <w:shd w:val="clear" w:color="auto" w:fill="016794"/>
            <w:tcMar>
              <w:top w:w="0" w:type="dxa"/>
              <w:left w:w="0" w:type="dxa"/>
              <w:bottom w:w="0" w:type="dxa"/>
              <w:right w:w="0" w:type="dxa"/>
            </w:tcMar>
          </w:tcPr>
          <w:p w:rsidR="00F50689" w:rsidRPr="00F75541" w:rsidRDefault="00F50689" w:rsidP="00F50689">
            <w:pPr>
              <w:pStyle w:val="Heading10pNormalLeft"/>
              <w:rPr>
                <w:rFonts w:eastAsia="Verdana" w:cs="Verdana"/>
                <w:spacing w:val="-4"/>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9pNormalCentered"/>
              <w:jc w:val="left"/>
              <w:rPr>
                <w:rFonts w:eastAsia="Verdana" w:cs="Verdana"/>
                <w:spacing w:val="-4"/>
              </w:rPr>
            </w:pPr>
            <w:r w:rsidRPr="00F75541">
              <w:rPr>
                <w:spacing w:val="-4"/>
              </w:rPr>
              <w:t>Област на политиката</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9pNormalCentered"/>
              <w:rPr>
                <w:rFonts w:eastAsia="Verdana" w:cs="Verdana"/>
                <w:spacing w:val="-4"/>
              </w:rPr>
            </w:pPr>
            <w:r w:rsidRPr="00F75541">
              <w:rPr>
                <w:spacing w:val="-4"/>
              </w:rPr>
              <w:t>Първоначален приет бюджет</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9pNormalCentered"/>
              <w:rPr>
                <w:rFonts w:eastAsia="Verdana" w:cs="Verdana"/>
                <w:spacing w:val="-4"/>
              </w:rPr>
            </w:pPr>
            <w:r w:rsidRPr="00F75541">
              <w:rPr>
                <w:spacing w:val="-4"/>
              </w:rPr>
              <w:t>Коригиращи бюджети и трансфери</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9pNormalCentered"/>
              <w:rPr>
                <w:rFonts w:eastAsia="Verdana" w:cs="Verdana"/>
                <w:spacing w:val="-4"/>
              </w:rPr>
            </w:pPr>
            <w:r w:rsidRPr="00F75541">
              <w:rPr>
                <w:spacing w:val="-4"/>
              </w:rPr>
              <w:t>Окончателен приет бюджет</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9pNormalCentered"/>
              <w:rPr>
                <w:rFonts w:eastAsia="Verdana" w:cs="Verdana"/>
                <w:spacing w:val="-4"/>
              </w:rPr>
            </w:pPr>
            <w:r w:rsidRPr="00F75541">
              <w:rPr>
                <w:spacing w:val="-4"/>
              </w:rPr>
              <w:t>Допълнителни</w:t>
            </w:r>
          </w:p>
          <w:p w:rsidR="00F50689" w:rsidRPr="00F75541" w:rsidRDefault="005A36C4" w:rsidP="00F50689">
            <w:pPr>
              <w:pStyle w:val="Heading9pNormalCentered"/>
              <w:rPr>
                <w:rFonts w:eastAsia="Verdana" w:cs="Verdana"/>
                <w:spacing w:val="-4"/>
              </w:rPr>
            </w:pPr>
            <w:r w:rsidRPr="00F75541">
              <w:rPr>
                <w:spacing w:val="-4"/>
              </w:rPr>
              <w:t>бюджетни кредити*</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9pNormalCentered"/>
              <w:rPr>
                <w:rFonts w:eastAsia="Verdana" w:cs="Verdana"/>
                <w:spacing w:val="-4"/>
              </w:rPr>
            </w:pPr>
            <w:r w:rsidRPr="00F75541">
              <w:rPr>
                <w:spacing w:val="-4"/>
              </w:rPr>
              <w:t>Общо налични бюджетни кредити</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9pNormalCentered"/>
              <w:rPr>
                <w:rFonts w:eastAsia="Verdana" w:cs="Verdana"/>
                <w:spacing w:val="-4"/>
              </w:rPr>
            </w:pPr>
            <w:r w:rsidRPr="00F75541">
              <w:rPr>
                <w:spacing w:val="-4"/>
              </w:rPr>
              <w:t>Поети задължения</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01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Икономически и финансови въпроси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213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118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351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236</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02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Предприятия и промишленост</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2 536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2 526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2 754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2 608</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03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Конкуренция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100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97</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04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Заетост, социални въпроси и приобщаване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13 839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13 929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750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14 678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10 312</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05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Земеделие и развитие на селските райони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58 047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58 025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2 117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60 141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47 789</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06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Мобилност и транспорт</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2 867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2 860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2 931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2 879</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07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Околна среда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408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430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423</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08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Научни изследвания и иновации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6 215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(53)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6 162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1 031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7 193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7 002</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09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Комуникационни мрежи, съдържание и технологии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1 637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1 612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148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1 759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1 708</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10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Преки научни изследвания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401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580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982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535</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11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Рибарство и морско дело</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1 066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30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1 021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218</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12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Вътрешен пазар и услуги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117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133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123</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13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Регионална и градска политика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33 073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81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33 154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354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33 508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17 078</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14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Данъчно облагане и митнически съюз</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157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164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160</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15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Образование и култура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2 820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57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2 877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453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3 330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3 223</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16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Комуникация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248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259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252</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17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Здравеопазване и защита на потребителите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618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616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643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624</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18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Вътрешни работи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1 201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1 202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1 243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523</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19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Инструменти в областта на външната политика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733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(55)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678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61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739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687</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20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Търговия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119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120</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21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Развитие и сътрудничество</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5 084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5 204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264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5 469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5 353</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22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Разширяване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1 520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1 475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1 488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1 440</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23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Хуманитарна помощ и гражданска защита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1 006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158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1 164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1 240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1 187</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24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Борба с измамите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77</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25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Координиране на политиките на Комисията и правни съвети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194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205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198</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26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Администрация на Комисията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1 001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162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1 124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1 070</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27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Бюджет</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89</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28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Одит</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29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Статистика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132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146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140</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30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Пенсии и свързаните с тях разходи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1 450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1 494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1 495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1 493</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31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Езикови служби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388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87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478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444</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32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Енергетика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933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1 086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990</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33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Правосъдие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203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205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216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209</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34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Действия по климата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122</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40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Резерви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456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(179)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277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277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w:t>
            </w:r>
          </w:p>
        </w:tc>
      </w:tr>
      <w:tr w:rsidR="00E7728E" w:rsidRPr="00F75541">
        <w:tc>
          <w:tcPr>
            <w:tcW w:w="2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BoldLeft"/>
              <w:rPr>
                <w:rFonts w:eastAsia="Verdana" w:cs="Verdana"/>
                <w:b w:val="0"/>
                <w:spacing w:val="-4"/>
              </w:rPr>
            </w:pPr>
            <w:r w:rsidRPr="00F75541">
              <w:rPr>
                <w:b w:val="0"/>
                <w:spacing w:val="-4"/>
              </w:rPr>
              <w:t>90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9pNormalLeft"/>
              <w:rPr>
                <w:rFonts w:eastAsia="Verdana" w:cs="Verdana"/>
                <w:spacing w:val="-4"/>
              </w:rPr>
            </w:pPr>
            <w:r w:rsidRPr="00F75541">
              <w:rPr>
                <w:spacing w:val="-4"/>
              </w:rPr>
              <w:t>Други институции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 xml:space="preserve"> 400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3 931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9pNormalRight025"/>
              <w:rPr>
                <w:rFonts w:eastAsia="Verdana" w:cs="Verdana"/>
                <w:spacing w:val="-4"/>
              </w:rPr>
            </w:pPr>
            <w:r w:rsidRPr="00F75541">
              <w:rPr>
                <w:spacing w:val="-4"/>
              </w:rPr>
              <w:t>3 789</w:t>
            </w:r>
          </w:p>
        </w:tc>
      </w:tr>
      <w:tr w:rsidR="00E7728E" w:rsidRPr="00F75541">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Pr="00F75541" w:rsidRDefault="005A36C4" w:rsidP="00F50689">
            <w:pPr>
              <w:pStyle w:val="Figures9pBoldRight025"/>
              <w:jc w:val="left"/>
              <w:rPr>
                <w:rFonts w:eastAsia="Verdana" w:cs="Verdana"/>
                <w:spacing w:val="-4"/>
              </w:rPr>
            </w:pPr>
            <w:r w:rsidRPr="00F75541">
              <w:rPr>
                <w:spacing w:val="-4"/>
              </w:rPr>
              <w:t>Общо</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F75541" w:rsidRDefault="005A36C4" w:rsidP="00F50689">
            <w:pPr>
              <w:pStyle w:val="Figures9pBoldRight025"/>
              <w:rPr>
                <w:rFonts w:eastAsia="Verdana" w:cs="Verdana"/>
                <w:spacing w:val="-4"/>
              </w:rPr>
            </w:pPr>
            <w:r w:rsidRPr="00F75541">
              <w:rPr>
                <w:spacing w:val="-4"/>
              </w:rPr>
              <w:t>142 640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F75541" w:rsidRDefault="005A36C4" w:rsidP="00F50689">
            <w:pPr>
              <w:pStyle w:val="Figures9pBoldRight025"/>
              <w:rPr>
                <w:rFonts w:eastAsia="Verdana" w:cs="Verdana"/>
                <w:spacing w:val="-4"/>
              </w:rPr>
            </w:pPr>
            <w:r w:rsidRPr="00F75541">
              <w:rPr>
                <w:spacing w:val="-4"/>
              </w:rPr>
              <w:t xml:space="preserve"> 50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F75541" w:rsidRDefault="005A36C4" w:rsidP="00F50689">
            <w:pPr>
              <w:pStyle w:val="Figures9pBoldRight025"/>
              <w:rPr>
                <w:rFonts w:eastAsia="Verdana" w:cs="Verdana"/>
                <w:spacing w:val="-4"/>
              </w:rPr>
            </w:pPr>
            <w:r w:rsidRPr="00F75541">
              <w:rPr>
                <w:spacing w:val="-4"/>
              </w:rPr>
              <w:t>142 690</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F75541" w:rsidRDefault="005A36C4" w:rsidP="00F50689">
            <w:pPr>
              <w:pStyle w:val="Figures9pBoldRight025"/>
              <w:rPr>
                <w:rFonts w:eastAsia="Verdana" w:cs="Verdana"/>
                <w:spacing w:val="-4"/>
              </w:rPr>
            </w:pPr>
            <w:r w:rsidRPr="00F75541">
              <w:rPr>
                <w:spacing w:val="-4"/>
              </w:rPr>
              <w:t>7 249</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Pr="00F75541" w:rsidRDefault="005A36C4" w:rsidP="00F50689">
            <w:pPr>
              <w:pStyle w:val="Figures9pBoldRight025"/>
              <w:rPr>
                <w:rFonts w:eastAsia="Verdana" w:cs="Verdana"/>
                <w:spacing w:val="-4"/>
              </w:rPr>
            </w:pPr>
            <w:r w:rsidRPr="00F75541">
              <w:rPr>
                <w:spacing w:val="-4"/>
              </w:rPr>
              <w:t>149 939</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Pr="00F75541" w:rsidRDefault="005A36C4" w:rsidP="00F50689">
            <w:pPr>
              <w:pStyle w:val="Figures9pBoldRight025"/>
              <w:rPr>
                <w:rFonts w:eastAsia="Verdana" w:cs="Verdana"/>
                <w:spacing w:val="-4"/>
              </w:rPr>
            </w:pPr>
            <w:r w:rsidRPr="00F75541">
              <w:rPr>
                <w:spacing w:val="-4"/>
              </w:rPr>
              <w:t>113 208</w:t>
            </w:r>
          </w:p>
        </w:tc>
      </w:tr>
    </w:tbl>
    <w:p w:rsidR="00F50689" w:rsidRDefault="00F50689" w:rsidP="00F50689">
      <w:pPr>
        <w:pStyle w:val="Textstand-alone"/>
        <w:spacing w:before="0" w:after="0"/>
        <w:rPr>
          <w:i/>
        </w:rPr>
      </w:pPr>
    </w:p>
    <w:p w:rsidR="00F50689" w:rsidRPr="008A7D59" w:rsidRDefault="005A36C4" w:rsidP="008A7D59">
      <w:pPr>
        <w:pStyle w:val="Textstand-alone"/>
        <w:spacing w:before="60" w:after="0"/>
        <w:rPr>
          <w:i/>
          <w:sz w:val="14"/>
        </w:rPr>
      </w:pPr>
      <w:r>
        <w:rPr>
          <w:i/>
          <w:sz w:val="14"/>
        </w:rPr>
        <w:t>* Допълнителните бюджетни кредити включват бюджетните кредити, пренесени от предходната година, целевите приходи и бюджетните кредити, предоставени отново вследствие на отмени.</w:t>
      </w:r>
    </w:p>
    <w:p w:rsidR="00F50689" w:rsidRPr="00693D35" w:rsidRDefault="005A36C4" w:rsidP="00F50689">
      <w:pPr>
        <w:pStyle w:val="Textstand-alone"/>
        <w:spacing w:before="0" w:after="0"/>
        <w:rPr>
          <w:i/>
        </w:rPr>
        <w:sectPr w:rsidR="00F50689" w:rsidRPr="00693D35" w:rsidSect="00F50689">
          <w:headerReference w:type="even" r:id="rId539"/>
          <w:headerReference w:type="default" r:id="rId540"/>
          <w:footerReference w:type="even" r:id="rId541"/>
          <w:footerReference w:type="default" r:id="rId542"/>
          <w:headerReference w:type="first" r:id="rId543"/>
          <w:footerReference w:type="first" r:id="rId544"/>
          <w:pgSz w:w="11907" w:h="16840" w:code="9"/>
          <w:pgMar w:top="1134" w:right="1134" w:bottom="1134" w:left="1134" w:header="709" w:footer="709" w:gutter="0"/>
          <w:cols w:space="708"/>
          <w:docGrid w:linePitch="360"/>
        </w:sectPr>
      </w:pPr>
      <w:r>
        <w:rPr>
          <w:i/>
        </w:rPr>
        <w:t xml:space="preserve"> </w:t>
      </w:r>
      <w:bookmarkEnd w:id="267"/>
    </w:p>
    <w:p w:rsidR="00F50689" w:rsidRPr="00F75541" w:rsidRDefault="005A36C4" w:rsidP="00830B7F">
      <w:pPr>
        <w:pStyle w:val="HEADER2Part3"/>
        <w:tabs>
          <w:tab w:val="clear" w:pos="907"/>
        </w:tabs>
        <w:spacing w:before="0" w:after="0"/>
        <w:ind w:left="567" w:right="-879" w:hanging="567"/>
        <w:rPr>
          <w:spacing w:val="-6"/>
          <w:sz w:val="27"/>
          <w:szCs w:val="27"/>
        </w:rPr>
      </w:pPr>
      <w:bookmarkStart w:id="269" w:name="_Toc431307073"/>
      <w:bookmarkStart w:id="270" w:name="_DMBM_3442"/>
      <w:r w:rsidRPr="00F75541">
        <w:rPr>
          <w:spacing w:val="-6"/>
          <w:sz w:val="27"/>
          <w:szCs w:val="27"/>
        </w:rPr>
        <w:t>ОБЛАСТ НА ПОЛИТИКАТА: ИЗПЪЛНЕНИЕ НА БЮДЖЕТНИТЕ КРЕДИТИ ЗА ПОЕТИ ЗАДЪЛЖЕНИЯ</w:t>
      </w:r>
      <w:bookmarkEnd w:id="269"/>
    </w:p>
    <w:tbl>
      <w:tblPr>
        <w:tblW w:w="1559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552"/>
        <w:gridCol w:w="992"/>
        <w:gridCol w:w="1134"/>
        <w:gridCol w:w="709"/>
        <w:gridCol w:w="851"/>
        <w:gridCol w:w="850"/>
        <w:gridCol w:w="851"/>
        <w:gridCol w:w="850"/>
        <w:gridCol w:w="851"/>
        <w:gridCol w:w="708"/>
        <w:gridCol w:w="851"/>
        <w:gridCol w:w="992"/>
        <w:gridCol w:w="709"/>
        <w:gridCol w:w="850"/>
        <w:gridCol w:w="709"/>
        <w:gridCol w:w="851"/>
      </w:tblGrid>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Left"/>
              <w:rPr>
                <w:rFonts w:eastAsia="Verdana" w:cs="Verdana"/>
                <w:color w:val="FFFFFF"/>
                <w:spacing w:val="-2"/>
              </w:rPr>
            </w:pPr>
            <w:bookmarkStart w:id="271" w:name="DOC_TBL00107_1_1"/>
            <w:bookmarkEnd w:id="271"/>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F50689" w:rsidP="00F50689">
            <w:pPr>
              <w:pStyle w:val="Text7pItalicRight025"/>
              <w:rPr>
                <w:rFonts w:eastAsia="Verdana" w:cs="Verdana"/>
                <w:i w:val="0"/>
                <w:spacing w:val="-2"/>
              </w:rPr>
            </w:pPr>
          </w:p>
        </w:tc>
        <w:tc>
          <w:tcPr>
            <w:tcW w:w="2410" w:type="dxa"/>
            <w:gridSpan w:val="3"/>
            <w:tcBorders>
              <w:top w:val="nil"/>
              <w:left w:val="nil"/>
              <w:bottom w:val="nil"/>
              <w:right w:val="nil"/>
            </w:tcBorders>
            <w:shd w:val="clear" w:color="auto" w:fill="auto"/>
            <w:tcMar>
              <w:top w:w="0" w:type="dxa"/>
              <w:left w:w="0" w:type="dxa"/>
              <w:bottom w:w="0" w:type="dxa"/>
              <w:right w:w="0" w:type="dxa"/>
            </w:tcMar>
          </w:tcPr>
          <w:p w:rsidR="00F50689" w:rsidRPr="00F75541" w:rsidRDefault="001C635F" w:rsidP="00F50689">
            <w:pPr>
              <w:pStyle w:val="Text7pItalicRight025"/>
              <w:rPr>
                <w:rFonts w:eastAsia="Verdana" w:cs="Verdana"/>
                <w:spacing w:val="-2"/>
              </w:rPr>
            </w:pPr>
            <w:r w:rsidRPr="00F75541">
              <w:rPr>
                <w:spacing w:val="-2"/>
              </w:rPr>
              <w:t>млн. EUR</w:t>
            </w:r>
          </w:p>
        </w:tc>
      </w:tr>
      <w:tr w:rsidR="00E7728E" w:rsidRPr="00F75541" w:rsidTr="00830B7F">
        <w:tc>
          <w:tcPr>
            <w:tcW w:w="284" w:type="dxa"/>
            <w:tcBorders>
              <w:top w:val="nil"/>
              <w:left w:val="nil"/>
              <w:bottom w:val="nil"/>
              <w:right w:val="nil"/>
            </w:tcBorders>
            <w:shd w:val="clear" w:color="auto" w:fill="016794"/>
            <w:tcMar>
              <w:top w:w="0" w:type="dxa"/>
              <w:left w:w="0" w:type="dxa"/>
              <w:bottom w:w="0" w:type="dxa"/>
              <w:right w:w="0" w:type="dxa"/>
            </w:tcMar>
          </w:tcPr>
          <w:p w:rsidR="00F50689" w:rsidRPr="00F75541" w:rsidRDefault="00F50689" w:rsidP="00F50689">
            <w:pPr>
              <w:pStyle w:val="Heading7pNormalCentered"/>
              <w:rPr>
                <w:rFonts w:eastAsia="Verdana" w:cs="Verdana"/>
                <w:spacing w:val="-2"/>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Област на политиката</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F75541" w:rsidRDefault="00F50689" w:rsidP="00F50689">
            <w:pPr>
              <w:pStyle w:val="Heading7pNormalCentered"/>
              <w:rPr>
                <w:rFonts w:eastAsia="Verdana" w:cs="Verdana"/>
                <w:spacing w:val="-2"/>
              </w:rPr>
            </w:pPr>
          </w:p>
        </w:tc>
        <w:tc>
          <w:tcPr>
            <w:tcW w:w="4395" w:type="dxa"/>
            <w:gridSpan w:val="5"/>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Поети задължения</w:t>
            </w:r>
          </w:p>
        </w:tc>
        <w:tc>
          <w:tcPr>
            <w:tcW w:w="3260" w:type="dxa"/>
            <w:gridSpan w:val="4"/>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Бюджетни кредити, пренесени за 2015 г.</w:t>
            </w: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Бюджетни кредити, които губят сила</w:t>
            </w:r>
          </w:p>
        </w:tc>
      </w:tr>
      <w:tr w:rsidR="00E7728E" w:rsidRPr="00F75541" w:rsidTr="00830B7F">
        <w:tc>
          <w:tcPr>
            <w:tcW w:w="284" w:type="dxa"/>
            <w:tcBorders>
              <w:top w:val="nil"/>
              <w:left w:val="nil"/>
              <w:bottom w:val="nil"/>
              <w:right w:val="nil"/>
            </w:tcBorders>
            <w:shd w:val="clear" w:color="auto" w:fill="016794"/>
            <w:tcMar>
              <w:top w:w="0" w:type="dxa"/>
              <w:left w:w="0" w:type="dxa"/>
              <w:bottom w:w="0" w:type="dxa"/>
              <w:right w:w="0" w:type="dxa"/>
            </w:tcMar>
          </w:tcPr>
          <w:p w:rsidR="00F50689" w:rsidRPr="00F75541" w:rsidRDefault="00F50689" w:rsidP="00F50689">
            <w:pPr>
              <w:pStyle w:val="Heading7pNormalCentered"/>
              <w:rPr>
                <w:rFonts w:eastAsia="Verdana" w:cs="Verdana"/>
                <w:spacing w:val="-2"/>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F75541" w:rsidRDefault="00F50689" w:rsidP="00830B7F">
            <w:pPr>
              <w:pStyle w:val="Heading7pNormalCentered"/>
              <w:ind w:right="-176"/>
              <w:rPr>
                <w:rFonts w:eastAsia="Verdana" w:cs="Verdana"/>
                <w:spacing w:val="-2"/>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Общо налични бюджетни кредити</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От окончателния приет бюджет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От пренасяния</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От целеви приходи</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Общо</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Целеви приходи</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Пренасяния с решение</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Общо</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От окончателния приет бюджет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От пренасяния</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Целеви приходи (ЕАСТ)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Общо</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F75541" w:rsidRDefault="005A36C4" w:rsidP="00F50689">
            <w:pPr>
              <w:pStyle w:val="Heading7pNormalCentered"/>
              <w:rPr>
                <w:rFonts w:eastAsia="Verdana" w:cs="Verdana"/>
                <w:spacing w:val="-2"/>
              </w:rPr>
            </w:pPr>
            <w:r w:rsidRPr="00F75541">
              <w:rPr>
                <w:spacing w:val="-2"/>
              </w:rPr>
              <w:t>%</w:t>
            </w:r>
          </w:p>
        </w:tc>
      </w:tr>
      <w:tr w:rsidR="00E7728E" w:rsidRPr="00F75541" w:rsidTr="00830B7F">
        <w:tc>
          <w:tcPr>
            <w:tcW w:w="284" w:type="dxa"/>
            <w:tcBorders>
              <w:top w:val="nil"/>
              <w:left w:val="nil"/>
              <w:bottom w:val="nil"/>
              <w:right w:val="nil"/>
            </w:tcBorders>
            <w:shd w:val="clear" w:color="auto" w:fill="016794"/>
            <w:tcMar>
              <w:top w:w="0" w:type="dxa"/>
              <w:left w:w="0" w:type="dxa"/>
              <w:bottom w:w="0" w:type="dxa"/>
              <w:right w:w="0" w:type="dxa"/>
            </w:tcMar>
            <w:vAlign w:val="center"/>
          </w:tcPr>
          <w:p w:rsidR="00F50689" w:rsidRPr="00F75541" w:rsidRDefault="00F50689" w:rsidP="00F50689">
            <w:pPr>
              <w:pStyle w:val="Heading7pNormalCentered"/>
              <w:rPr>
                <w:rFonts w:eastAsia="Verdana" w:cs="Verdana"/>
                <w:spacing w:val="-2"/>
              </w:rPr>
            </w:pPr>
          </w:p>
        </w:tc>
        <w:tc>
          <w:tcPr>
            <w:tcW w:w="2552" w:type="dxa"/>
            <w:tcBorders>
              <w:top w:val="nil"/>
              <w:left w:val="nil"/>
              <w:bottom w:val="nil"/>
              <w:right w:val="nil"/>
            </w:tcBorders>
            <w:shd w:val="clear" w:color="auto" w:fill="016794"/>
            <w:tcMar>
              <w:top w:w="0" w:type="dxa"/>
              <w:left w:w="0" w:type="dxa"/>
              <w:bottom w:w="0" w:type="dxa"/>
              <w:right w:w="0" w:type="dxa"/>
            </w:tcMar>
            <w:vAlign w:val="center"/>
          </w:tcPr>
          <w:p w:rsidR="00F50689" w:rsidRPr="00F75541" w:rsidRDefault="00F50689" w:rsidP="00F50689">
            <w:pPr>
              <w:pStyle w:val="Text7pItalicLeft"/>
              <w:jc w:val="center"/>
              <w:rPr>
                <w:rFonts w:eastAsia="Verdana" w:cs="Verdana"/>
                <w:i w:val="0"/>
                <w:spacing w:val="-2"/>
              </w:rPr>
            </w:pP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1</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2</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4</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5=2+3+4</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6=5/1</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7</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8</w:t>
            </w:r>
          </w:p>
        </w:tc>
        <w:tc>
          <w:tcPr>
            <w:tcW w:w="708"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9=7+8</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10=9/1</w:t>
            </w:r>
          </w:p>
        </w:tc>
        <w:tc>
          <w:tcPr>
            <w:tcW w:w="992"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11</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12</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13</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14=11+12+13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F75541" w:rsidRDefault="005A36C4" w:rsidP="00F50689">
            <w:pPr>
              <w:pStyle w:val="Heading7pNormalCentered"/>
              <w:rPr>
                <w:rFonts w:eastAsia="Verdana" w:cs="Verdana"/>
                <w:spacing w:val="-2"/>
              </w:rPr>
            </w:pPr>
            <w:r w:rsidRPr="00F75541">
              <w:rPr>
                <w:spacing w:val="-2"/>
              </w:rPr>
              <w:t>15=14/1</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01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830B7F" w:rsidRDefault="005A36C4" w:rsidP="00F50689">
            <w:pPr>
              <w:pStyle w:val="Text7pNormalLeft"/>
              <w:ind w:left="0"/>
              <w:rPr>
                <w:rFonts w:eastAsia="Verdana" w:cs="Verdana"/>
                <w:spacing w:val="-6"/>
              </w:rPr>
            </w:pPr>
            <w:r w:rsidRPr="00830B7F">
              <w:rPr>
                <w:spacing w:val="-6"/>
              </w:rPr>
              <w:t>Икономически и финансови въпроси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233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236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67,1 %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115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115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32,9 %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0,1 %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02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Предприятия и промишленост</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2 754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2 526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82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2 608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94,7 %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5,3 %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0,0 %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03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Конкуренция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97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97,2 %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2,8 %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0,1 %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04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Заетост, социални въпроси и приобщаване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14 678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10 139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168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10 312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70,3 %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576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2 161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2 737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18,6 %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1 629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1 629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11,1 %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05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Земеделие и развитие на селските райони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60 141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46 400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1 389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47 789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79,5 %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728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2 912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3 640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6,1 %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8 712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8 712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14,5 %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06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Мобилност и транспорт</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2 931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2 854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2 879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98,2 %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0,2 %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07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Околна среда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407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98,3 %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0,3 %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08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830B7F" w:rsidRDefault="005A36C4" w:rsidP="00F50689">
            <w:pPr>
              <w:pStyle w:val="Text7pNormalLeft"/>
              <w:ind w:left="0"/>
              <w:rPr>
                <w:rFonts w:eastAsia="Verdana" w:cs="Verdana"/>
                <w:spacing w:val="-6"/>
              </w:rPr>
            </w:pPr>
            <w:r w:rsidRPr="00830B7F">
              <w:rPr>
                <w:spacing w:val="-6"/>
              </w:rPr>
              <w:t>Научни изследвания и иновации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7 193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6 162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840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7 002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97,3 %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191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191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0,0 %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09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Комуникационни мрежи, съдържание и технологии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1 759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1 612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97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1 708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97,1 %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2,9 %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0,0 %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10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Преки научни изследвания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982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401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134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535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54,5 %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45,5 %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0,0 %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11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Рибарство и морско дело</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1 021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216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21,4 %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5,5 %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746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73,1 %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12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Вътрешен пазар и услуги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133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92,3 %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7,5 %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0,1 %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13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Регионална и градска политика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33 508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17 066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17 078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51,0 %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343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6 481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6 824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20,4 %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9 607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9 607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28,7 %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14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Данъчно облагане и митнически съюз</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164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157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97,2 %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2,8 %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0,0 %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15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Образование и култура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3 330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2 877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347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3 223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96,8 %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106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106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3,2 %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0,0 %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16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Комуникация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259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246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97,3 %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1,8 %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1,0 %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17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Здравеопазване и защита на потребителите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643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604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97,0 %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0,9 %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18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Вътрешни работи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1 243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508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42,1 %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247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273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22,0 %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447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36,0 %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19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Инструменти в областта на външната политика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739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661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687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93,1 %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6,6 %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0,3 %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20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Търговия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120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97,9 %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0,7 %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21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Развитие и сътрудничество</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5 469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5 195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157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5 353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97,9 %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114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0,0 %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22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Разширяване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1 488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1 434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1 440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96,8 %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0,1 %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23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Хуманитарна помощ и гражданска защита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1 240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1 163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1 187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95,8 %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4,2 %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0,1 %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24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Борба с измамите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98,9 %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0,1 %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25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Координиране на политиките на Комисията и правни съвети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192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198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96,6 %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0,8 %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26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Администрация на Комисията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1 124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960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110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1 070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95,3 %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4,6 %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0,1 %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27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Budget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92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84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96,6 %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0,1 %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28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Одит</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96,6 %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3,2 %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0,2 %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29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Статистика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131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95,7 %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0,6 %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30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Пенсии и свързаните с тях разходи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1 495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1 493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1 493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99,8 %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0,0 %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31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Езикови служби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391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444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92,9 %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7,1 %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0,0 %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32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Енергетика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1 086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955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990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91,1 %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94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94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8,6 %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0,3 %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33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Правосъдие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216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205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209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96,5 %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3,2 %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0,4 %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34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Действия по климата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121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99,4 %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0,2 %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40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Резерви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277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0,0 %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199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199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71,8 %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78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28,2 %</w:t>
            </w:r>
          </w:p>
        </w:tc>
      </w:tr>
      <w:tr w:rsidR="00E7728E" w:rsidRPr="00F75541" w:rsidTr="00830B7F">
        <w:tc>
          <w:tcPr>
            <w:tcW w:w="28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90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Text7pNormalLeft"/>
              <w:ind w:left="0"/>
              <w:rPr>
                <w:rFonts w:eastAsia="Verdana" w:cs="Verdana"/>
                <w:spacing w:val="-2"/>
              </w:rPr>
            </w:pPr>
            <w:r w:rsidRPr="00F75541">
              <w:rPr>
                <w:spacing w:val="-2"/>
              </w:rPr>
              <w:t>Други институции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3 931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3 445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343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3 789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96,4 %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56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1,5 %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82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 xml:space="preserve"> 82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F75541" w:rsidRDefault="005A36C4" w:rsidP="00F50689">
            <w:pPr>
              <w:pStyle w:val="Figures7pNormalRight025"/>
              <w:rPr>
                <w:rFonts w:eastAsia="Verdana" w:cs="Verdana"/>
                <w:spacing w:val="-2"/>
              </w:rPr>
            </w:pPr>
            <w:r w:rsidRPr="00F75541">
              <w:rPr>
                <w:spacing w:val="-2"/>
              </w:rPr>
              <w:t>2,1 %</w:t>
            </w:r>
          </w:p>
        </w:tc>
      </w:tr>
      <w:tr w:rsidR="00E7728E" w:rsidRPr="00F75541" w:rsidTr="00830B7F">
        <w:tc>
          <w:tcPr>
            <w:tcW w:w="284" w:type="dxa"/>
            <w:tcBorders>
              <w:top w:val="nil"/>
              <w:left w:val="nil"/>
              <w:bottom w:val="nil"/>
              <w:right w:val="nil"/>
            </w:tcBorders>
            <w:shd w:val="clear" w:color="auto" w:fill="CCE1EA"/>
            <w:tcMar>
              <w:top w:w="0" w:type="dxa"/>
              <w:left w:w="0" w:type="dxa"/>
              <w:bottom w:w="0" w:type="dxa"/>
              <w:right w:w="0" w:type="dxa"/>
            </w:tcMar>
          </w:tcPr>
          <w:p w:rsidR="00F50689" w:rsidRPr="00F75541" w:rsidRDefault="00F50689" w:rsidP="00F50689">
            <w:pPr>
              <w:pStyle w:val="Figures7pBoldRight025"/>
              <w:rPr>
                <w:rFonts w:eastAsia="Verdana" w:cs="Verdana"/>
                <w:spacing w:val="-2"/>
              </w:rPr>
            </w:pPr>
          </w:p>
        </w:tc>
        <w:tc>
          <w:tcPr>
            <w:tcW w:w="2552"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Text7pBoldLeft"/>
              <w:rPr>
                <w:rFonts w:eastAsia="Verdana" w:cs="Verdana"/>
                <w:spacing w:val="-2"/>
              </w:rPr>
            </w:pPr>
            <w:r w:rsidRPr="00F75541">
              <w:rPr>
                <w:spacing w:val="-2"/>
              </w:rPr>
              <w:t>Общо</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149 939</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109 256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 xml:space="preserve"> 179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3 772</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113 208</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75,5 %</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3 297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12 101</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15 399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10,3 %</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21 333</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 xml:space="preserve"> 0</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21 333</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F75541" w:rsidRDefault="005A36C4" w:rsidP="00F50689">
            <w:pPr>
              <w:pStyle w:val="Figures7pBoldRight025"/>
              <w:rPr>
                <w:rFonts w:eastAsia="Verdana" w:cs="Verdana"/>
                <w:spacing w:val="-2"/>
              </w:rPr>
            </w:pPr>
            <w:r w:rsidRPr="00F75541">
              <w:rPr>
                <w:spacing w:val="-2"/>
              </w:rPr>
              <w:t>14,2 %</w:t>
            </w:r>
          </w:p>
        </w:tc>
      </w:tr>
      <w:bookmarkEnd w:id="270"/>
    </w:tbl>
    <w:p w:rsidR="00F50689" w:rsidRPr="00991442" w:rsidRDefault="00F50689" w:rsidP="00F50689">
      <w:pPr>
        <w:pStyle w:val="Textstand-alone"/>
        <w:sectPr w:rsidR="00F50689" w:rsidRPr="00991442" w:rsidSect="00F75541">
          <w:headerReference w:type="even" r:id="rId545"/>
          <w:headerReference w:type="default" r:id="rId546"/>
          <w:footerReference w:type="even" r:id="rId547"/>
          <w:footerReference w:type="default" r:id="rId548"/>
          <w:headerReference w:type="first" r:id="rId549"/>
          <w:footerReference w:type="first" r:id="rId550"/>
          <w:pgSz w:w="16840" w:h="11907" w:orient="landscape" w:code="9"/>
          <w:pgMar w:top="1134" w:right="397" w:bottom="1134" w:left="1134" w:header="708" w:footer="708" w:gutter="0"/>
          <w:cols w:space="708"/>
          <w:docGrid w:linePitch="360"/>
        </w:sectPr>
      </w:pPr>
    </w:p>
    <w:p w:rsidR="00F50689" w:rsidRDefault="005A36C4" w:rsidP="00A82E61">
      <w:pPr>
        <w:pStyle w:val="HEADER3Part3"/>
        <w:spacing w:before="240" w:after="120"/>
      </w:pPr>
      <w:bookmarkStart w:id="272" w:name="_DMBM_3463"/>
      <w:r>
        <w:t>ОБЛАСТ НА ПОЛИТИКАТА: СЪПОСТАВКА НА БЮДЖЕТНИТЕ С РЕАЛНИТЕ ПЛАЩАНИЯ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rPr>
            </w:pPr>
            <w:bookmarkStart w:id="273" w:name="DOC_TBL00108_1_1"/>
            <w:bookmarkEnd w:id="273"/>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jc w:val="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jc w:val="left"/>
              <w:rPr>
                <w:rFonts w:eastAsia="Verdana" w:cs="Verdana"/>
              </w:rPr>
            </w:pPr>
            <w:r>
              <w:t>Област на политиката</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Първоначален приет бюджет</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Коригиращи бюджети и трансфери</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Окончателен приет бюджет</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Допълнителни</w:t>
            </w:r>
          </w:p>
          <w:p w:rsidR="00F50689" w:rsidRDefault="005A36C4" w:rsidP="00F50689">
            <w:pPr>
              <w:pStyle w:val="Heading9pNormalCentered"/>
              <w:rPr>
                <w:rFonts w:eastAsia="Verdana" w:cs="Verdana"/>
              </w:rPr>
            </w:pPr>
            <w:r>
              <w:t>бюджетни кредити*</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Общо налични бюджетни кредити</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Извършени плащания</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Икономически и финансови въпроси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297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300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306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Предприятия и промишленост</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2 105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2 165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322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2 486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2 237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Конкуренция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Заетост, социални въпроси и приобщаване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11 622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(341)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11 280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242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11 522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11 403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Земеделие и развитие на селските райони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55 635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(518)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55 117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2 003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57 120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55 766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Мобилност и транспорт</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1 003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1 089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1 037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Околна среда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347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384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362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Научни изследвания и иновации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4 107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4 096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1 525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5 621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4 918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Комуникационни мрежи, съдържание и технологии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961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275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1 343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1 184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Преки научни изследвания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949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Рибарство и морско дело</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780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788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823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805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Вътрешен пазар и услуги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Регионална и градска политика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40 223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3 244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43 467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43 995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43 979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Данъчно облагане и митнически съюз</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Образование и култура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2 242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2 420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549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2 969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2 673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Комуникация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245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276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257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Здравеопазване и защита на потребителите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590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571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Вътрешни работи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763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803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789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Инструменти в областта на външната политика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463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537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593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Търговия</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Развитие и сътрудничество</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3 658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3 944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248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4 192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4 133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Разширяване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904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892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908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898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Хуманитарна помощ и гражданска защита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564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1 498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1 430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Борба с измамите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Координиране на политиките на Комисията и правни съвети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221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Администрация на Комисията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991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324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1 285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1 060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Бюджет</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Одит</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Статистика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160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Пенсии и свързаните с тях разходи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1 495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1 493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Езикови служби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498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445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Енергетика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805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733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Правосъдие</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Действия по климата</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40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Резерви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90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Други институции</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944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4 475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3 729</w:t>
            </w:r>
          </w:p>
        </w:tc>
      </w:tr>
      <w:tr w:rsidR="00E7728E">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jc w:val="left"/>
              <w:rPr>
                <w:rFonts w:eastAsia="Verdana" w:cs="Verdana"/>
              </w:rPr>
            </w:pPr>
            <w:r>
              <w:t>Общо</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135 505</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3 530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139 034</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8 460</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147 495</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142 497</w:t>
            </w:r>
          </w:p>
        </w:tc>
      </w:tr>
    </w:tbl>
    <w:p w:rsidR="00F50689" w:rsidRPr="008A7D59" w:rsidRDefault="005A36C4" w:rsidP="008A7D59">
      <w:pPr>
        <w:pStyle w:val="Textstand-alone"/>
        <w:spacing w:before="60" w:after="0"/>
        <w:rPr>
          <w:i/>
          <w:sz w:val="14"/>
        </w:rPr>
      </w:pPr>
      <w:r>
        <w:rPr>
          <w:i/>
          <w:sz w:val="14"/>
        </w:rPr>
        <w:t>* Допълнителните бюджетни кредити включват бюджетните кредити, пренесени от предходната година, целевите приходи и бюджетните кредити, предоставени отново вследствие на отмени.</w:t>
      </w:r>
    </w:p>
    <w:p w:rsidR="00F50689" w:rsidRPr="00693D35" w:rsidRDefault="005A36C4" w:rsidP="00F50689">
      <w:pPr>
        <w:pStyle w:val="Textstand-alone"/>
        <w:spacing w:before="0" w:after="0"/>
        <w:rPr>
          <w:i/>
        </w:rPr>
      </w:pPr>
      <w:r>
        <w:rPr>
          <w:i/>
        </w:rPr>
        <w:t xml:space="preserve"> </w:t>
      </w:r>
    </w:p>
    <w:p w:rsidR="00F50689" w:rsidRPr="00693D35" w:rsidRDefault="005A36C4" w:rsidP="00F50689">
      <w:pPr>
        <w:pStyle w:val="Textstand-alone"/>
        <w:spacing w:before="0" w:after="0"/>
        <w:rPr>
          <w:i/>
        </w:rPr>
        <w:sectPr w:rsidR="00F50689" w:rsidRPr="00693D35" w:rsidSect="00F50689">
          <w:headerReference w:type="even" r:id="rId551"/>
          <w:headerReference w:type="default" r:id="rId552"/>
          <w:footerReference w:type="even" r:id="rId553"/>
          <w:footerReference w:type="default" r:id="rId554"/>
          <w:headerReference w:type="first" r:id="rId555"/>
          <w:footerReference w:type="first" r:id="rId556"/>
          <w:pgSz w:w="11907" w:h="16840" w:code="9"/>
          <w:pgMar w:top="1134" w:right="1134" w:bottom="1134" w:left="1134" w:header="709" w:footer="709" w:gutter="0"/>
          <w:cols w:space="708"/>
          <w:docGrid w:linePitch="360"/>
        </w:sectPr>
      </w:pPr>
      <w:r>
        <w:rPr>
          <w:i/>
        </w:rPr>
        <w:t xml:space="preserve"> </w:t>
      </w:r>
      <w:bookmarkEnd w:id="272"/>
    </w:p>
    <w:p w:rsidR="00F50689" w:rsidRPr="00A82E61" w:rsidRDefault="005A36C4" w:rsidP="00A82E61">
      <w:pPr>
        <w:pStyle w:val="HEADER2Part3"/>
        <w:spacing w:before="0" w:after="0"/>
        <w:rPr>
          <w:spacing w:val="-6"/>
        </w:rPr>
      </w:pPr>
      <w:bookmarkStart w:id="274" w:name="_Toc431307074"/>
      <w:bookmarkStart w:id="275" w:name="_DMBM_3443"/>
      <w:r w:rsidRPr="00A82E61">
        <w:rPr>
          <w:spacing w:val="-6"/>
        </w:rPr>
        <w:t>ОБЛАСТ НА ПОЛИТИКАТА: ИЗПЪЛНЕНИЕ НА БЮДЖЕТНИТЕ КРЕДИТИ ЗА ПЛАЩАНИЯ</w:t>
      </w:r>
      <w:bookmarkEnd w:id="274"/>
    </w:p>
    <w:tbl>
      <w:tblPr>
        <w:tblW w:w="1559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552"/>
        <w:gridCol w:w="850"/>
        <w:gridCol w:w="851"/>
        <w:gridCol w:w="709"/>
        <w:gridCol w:w="850"/>
        <w:gridCol w:w="851"/>
        <w:gridCol w:w="850"/>
        <w:gridCol w:w="851"/>
        <w:gridCol w:w="850"/>
        <w:gridCol w:w="709"/>
        <w:gridCol w:w="709"/>
        <w:gridCol w:w="708"/>
        <w:gridCol w:w="993"/>
        <w:gridCol w:w="708"/>
        <w:gridCol w:w="851"/>
        <w:gridCol w:w="709"/>
        <w:gridCol w:w="708"/>
      </w:tblGrid>
      <w:tr w:rsidR="00BD5073"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Left"/>
              <w:rPr>
                <w:rFonts w:eastAsia="Verdana" w:cs="Verdana"/>
                <w:spacing w:val="-4"/>
              </w:rPr>
            </w:pPr>
            <w:bookmarkStart w:id="276" w:name="DOC_TBL00109_1_1"/>
            <w:bookmarkEnd w:id="276"/>
          </w:p>
        </w:tc>
        <w:tc>
          <w:tcPr>
            <w:tcW w:w="2552"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851"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709"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851"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851"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709"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709"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708"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i w:val="0"/>
                <w:spacing w:val="-4"/>
              </w:rPr>
            </w:pPr>
          </w:p>
        </w:tc>
        <w:tc>
          <w:tcPr>
            <w:tcW w:w="993"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spacing w:val="-4"/>
              </w:rPr>
            </w:pPr>
          </w:p>
        </w:tc>
        <w:tc>
          <w:tcPr>
            <w:tcW w:w="708" w:type="dxa"/>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spacing w:val="-4"/>
              </w:rPr>
            </w:pPr>
          </w:p>
        </w:tc>
        <w:tc>
          <w:tcPr>
            <w:tcW w:w="2268" w:type="dxa"/>
            <w:gridSpan w:val="3"/>
            <w:tcBorders>
              <w:top w:val="nil"/>
              <w:left w:val="nil"/>
              <w:bottom w:val="nil"/>
              <w:right w:val="nil"/>
            </w:tcBorders>
            <w:shd w:val="clear" w:color="auto" w:fill="auto"/>
            <w:tcMar>
              <w:top w:w="0" w:type="dxa"/>
              <w:left w:w="0" w:type="dxa"/>
              <w:bottom w:w="0" w:type="dxa"/>
              <w:right w:w="0" w:type="dxa"/>
            </w:tcMar>
          </w:tcPr>
          <w:p w:rsidR="00BD5073" w:rsidRPr="00A82E61" w:rsidRDefault="00BD5073" w:rsidP="00F50689">
            <w:pPr>
              <w:pStyle w:val="Text7pItalicRight025"/>
              <w:rPr>
                <w:rFonts w:eastAsia="Verdana" w:cs="Verdana"/>
                <w:spacing w:val="-4"/>
              </w:rPr>
            </w:pPr>
            <w:r w:rsidRPr="00A82E61">
              <w:rPr>
                <w:spacing w:val="-4"/>
              </w:rPr>
              <w:t>млн. EUR</w:t>
            </w:r>
          </w:p>
        </w:tc>
      </w:tr>
      <w:tr w:rsidR="00E7728E" w:rsidRPr="00A82E61" w:rsidTr="00A82E61">
        <w:tc>
          <w:tcPr>
            <w:tcW w:w="284" w:type="dxa"/>
            <w:tcBorders>
              <w:top w:val="nil"/>
              <w:left w:val="nil"/>
              <w:bottom w:val="nil"/>
              <w:right w:val="nil"/>
            </w:tcBorders>
            <w:shd w:val="clear" w:color="auto" w:fill="016794"/>
            <w:tcMar>
              <w:top w:w="0" w:type="dxa"/>
              <w:left w:w="0" w:type="dxa"/>
              <w:bottom w:w="0" w:type="dxa"/>
              <w:right w:w="0" w:type="dxa"/>
            </w:tcMar>
          </w:tcPr>
          <w:p w:rsidR="00F50689" w:rsidRPr="00A82E61" w:rsidRDefault="00F50689" w:rsidP="00F50689">
            <w:pPr>
              <w:pStyle w:val="Heading7pNormalCentered"/>
              <w:rPr>
                <w:rFonts w:eastAsia="Verdana" w:cs="Verdana"/>
                <w:spacing w:val="-4"/>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Област на политиката</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Pr="00A82E61" w:rsidRDefault="00F50689" w:rsidP="00F50689">
            <w:pPr>
              <w:pStyle w:val="Heading7pNormalCentered"/>
              <w:rPr>
                <w:rFonts w:eastAsia="Verdana" w:cs="Verdana"/>
                <w:spacing w:val="-4"/>
              </w:rPr>
            </w:pP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Извършени плащания</w:t>
            </w:r>
          </w:p>
        </w:tc>
        <w:tc>
          <w:tcPr>
            <w:tcW w:w="3827" w:type="dxa"/>
            <w:gridSpan w:val="5"/>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Пренесени бюджетни кредити</w:t>
            </w:r>
          </w:p>
        </w:tc>
        <w:tc>
          <w:tcPr>
            <w:tcW w:w="3969" w:type="dxa"/>
            <w:gridSpan w:val="5"/>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7pNormalCentered"/>
              <w:rPr>
                <w:rFonts w:eastAsia="Verdana" w:cs="Verdana"/>
                <w:i/>
                <w:spacing w:val="-4"/>
              </w:rPr>
            </w:pPr>
            <w:r w:rsidRPr="00A82E61">
              <w:rPr>
                <w:i/>
                <w:spacing w:val="-4"/>
              </w:rPr>
              <w:t>Бюджетни кредити, които губят сила</w:t>
            </w:r>
          </w:p>
        </w:tc>
      </w:tr>
      <w:tr w:rsidR="00E7728E" w:rsidRPr="00A82E61" w:rsidTr="00A82E61">
        <w:tc>
          <w:tcPr>
            <w:tcW w:w="284" w:type="dxa"/>
            <w:tcBorders>
              <w:top w:val="nil"/>
              <w:left w:val="nil"/>
              <w:bottom w:val="nil"/>
              <w:right w:val="nil"/>
            </w:tcBorders>
            <w:shd w:val="clear" w:color="auto" w:fill="016794"/>
            <w:tcMar>
              <w:top w:w="0" w:type="dxa"/>
              <w:left w:w="0" w:type="dxa"/>
              <w:bottom w:w="0" w:type="dxa"/>
              <w:right w:w="0" w:type="dxa"/>
            </w:tcMar>
          </w:tcPr>
          <w:p w:rsidR="00F50689" w:rsidRPr="00A82E61" w:rsidRDefault="00F50689" w:rsidP="00F50689">
            <w:pPr>
              <w:pStyle w:val="Heading7pNormalCentered"/>
              <w:rPr>
                <w:rFonts w:eastAsia="Verdana" w:cs="Verdana"/>
                <w:spacing w:val="-4"/>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A82E61" w:rsidRDefault="00F50689" w:rsidP="00F50689">
            <w:pPr>
              <w:spacing w:after="200" w:line="276" w:lineRule="auto"/>
              <w:rPr>
                <w:rFonts w:ascii="Calibri" w:eastAsia="Calibri" w:hAnsi="Calibri" w:cs="Calibri"/>
                <w:spacing w:val="-4"/>
                <w:sz w:val="22"/>
              </w:rPr>
            </w:pPr>
          </w:p>
        </w:tc>
        <w:tc>
          <w:tcPr>
            <w:tcW w:w="850" w:type="dxa"/>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Общо налични бюджетни кредити</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От окончателния приет бюджет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От пренасяния</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От целеви приходи</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Общо</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Автоматични пренасяния</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Пренасяния с решение</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Целеви приходи</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Общо</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От окончателния приет бюджет</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От пренасяния</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Целеви приходи (ЕАСТ)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Общо</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w:t>
            </w:r>
          </w:p>
        </w:tc>
      </w:tr>
      <w:tr w:rsidR="00E7728E" w:rsidRPr="00A82E61" w:rsidTr="00A82E61">
        <w:tc>
          <w:tcPr>
            <w:tcW w:w="284" w:type="dxa"/>
            <w:tcBorders>
              <w:top w:val="nil"/>
              <w:left w:val="nil"/>
              <w:bottom w:val="nil"/>
              <w:right w:val="nil"/>
            </w:tcBorders>
            <w:shd w:val="clear" w:color="auto" w:fill="016794"/>
            <w:tcMar>
              <w:top w:w="0" w:type="dxa"/>
              <w:left w:w="0" w:type="dxa"/>
              <w:bottom w:w="0" w:type="dxa"/>
              <w:right w:w="0" w:type="dxa"/>
            </w:tcMar>
          </w:tcPr>
          <w:p w:rsidR="00F50689" w:rsidRPr="00A82E61" w:rsidRDefault="00F50689" w:rsidP="00F50689">
            <w:pPr>
              <w:pStyle w:val="Heading7pNormalCentered"/>
              <w:rPr>
                <w:rFonts w:eastAsia="Verdana" w:cs="Verdana"/>
                <w:spacing w:val="-4"/>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A82E61" w:rsidRDefault="00F50689" w:rsidP="00F50689">
            <w:pPr>
              <w:spacing w:after="200" w:line="276" w:lineRule="auto"/>
              <w:rPr>
                <w:rFonts w:ascii="Calibri" w:eastAsia="Calibri" w:hAnsi="Calibri" w:cs="Calibri"/>
                <w:spacing w:val="-4"/>
                <w:sz w:val="22"/>
              </w:rPr>
            </w:pPr>
          </w:p>
        </w:tc>
        <w:tc>
          <w:tcPr>
            <w:tcW w:w="850" w:type="dxa"/>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1</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4</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5=2+3+4</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6=5/1</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 xml:space="preserve"> 7</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 xml:space="preserve"> 8</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 xml:space="preserve"> 9</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10=7+8+9</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11=10/1</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12</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13</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14</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15=</w:t>
            </w:r>
          </w:p>
          <w:p w:rsidR="00F50689" w:rsidRPr="00A82E61" w:rsidRDefault="005A36C4" w:rsidP="00F50689">
            <w:pPr>
              <w:pStyle w:val="Heading7pNormalCentered"/>
              <w:rPr>
                <w:rFonts w:eastAsia="Verdana" w:cs="Verdana"/>
                <w:spacing w:val="-4"/>
              </w:rPr>
            </w:pPr>
            <w:r w:rsidRPr="00A82E61">
              <w:rPr>
                <w:spacing w:val="-4"/>
              </w:rPr>
              <w:t>12+13</w:t>
            </w:r>
          </w:p>
          <w:p w:rsidR="00F50689" w:rsidRPr="00A82E61" w:rsidRDefault="005A36C4" w:rsidP="00F50689">
            <w:pPr>
              <w:pStyle w:val="Heading7pNormalCentered"/>
              <w:rPr>
                <w:rFonts w:eastAsia="Verdana" w:cs="Verdana"/>
                <w:spacing w:val="-4"/>
              </w:rPr>
            </w:pPr>
            <w:r w:rsidRPr="00A82E61">
              <w:rPr>
                <w:spacing w:val="-4"/>
              </w:rPr>
              <w:t>+14</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7pNormalCentered"/>
              <w:rPr>
                <w:rFonts w:eastAsia="Verdana" w:cs="Verdana"/>
                <w:spacing w:val="-4"/>
              </w:rPr>
            </w:pPr>
            <w:r w:rsidRPr="00A82E61">
              <w:rPr>
                <w:spacing w:val="-4"/>
              </w:rPr>
              <w:t>16=15/1</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01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6"/>
              </w:rPr>
            </w:pPr>
            <w:r w:rsidRPr="00A82E61">
              <w:rPr>
                <w:spacing w:val="-6"/>
              </w:rPr>
              <w:t>Икономически и финансови въпроси</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306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71,2 %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122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28,5 %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0,3 %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02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Предприятия и промишленост</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2 486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2 144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2 237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90,0 %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245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9,9 %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0,2 %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03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Конкуренция</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96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90,0 %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0,5 %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04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Заетост, социални въпроси и приобщаване</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11 522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11 226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11 403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99,0 %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0,1 %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05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Земеделие и развитие на селските райони</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57 120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54 224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1 522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55 766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97,6 %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868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459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1 350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2,4 %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0,0 %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06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Мобилност и транспорт</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1 089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997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1 037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95,2 %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0,2 %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07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Околна среда</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384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330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362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94,5 %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5,2 %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0,3 %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08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Научни изследвания и иновации</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5 621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4 080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4 918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87,5 %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696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12,4 %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0,1 %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09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Комуникационни мрежи, съдържание и технологии</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1 343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1 052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1 184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88,2 %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142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158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11,7 %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0,1 %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10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Преки научни изследвания</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949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353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508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53,6 %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389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433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45,6 %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0,8 %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11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Рибарство и морско дело</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782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805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97,8 %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0,5 %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12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Вътрешен пазар и услуги</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109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88,6 %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10,1 %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1,3 %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13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Регионална и градска политика</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43 995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43 456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390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133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43 979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100,0 %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0,0 %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14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8"/>
              </w:rPr>
            </w:pPr>
            <w:r w:rsidRPr="00A82E61">
              <w:rPr>
                <w:spacing w:val="-8"/>
              </w:rPr>
              <w:t>Данъчно облагане и митнически съюз</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128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138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94,7 %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5,1 %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0,2 %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15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Образование и култура</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2 969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2 405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257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2 673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90,1 %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293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9,9 %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0,1 %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16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Комуникация</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276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241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257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93,3 %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6,2 %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0,5 %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17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Здравеопазване и защита на потребителите</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590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543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571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96,7 %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3,0 %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0,3 %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18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Вътрешни работи</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803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762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789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98,2 %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0,4 %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19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Инструменти в областта на външната политика</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552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93,2 %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6,6 %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0,2 %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20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Търговия</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95,9 %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3,9 %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0,3 %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21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Развитие и сътрудничество</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4 192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3 917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4 133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98,6 %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1,3 %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0,1 %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22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Разширяване</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908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885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898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98,8 %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0,2 %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23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Хуманитарна помощ и гражданска защита</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1 498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1 405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1 430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95,4 %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0,1 %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24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Борба с измамите</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88,6 %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8,8 %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2,7 %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25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Координиране на политиките на Комисията и правни съвети</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221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199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90,1 %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1,4 %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26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Администрация на Комисията</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1 285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833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150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1 060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82,5 %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128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215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16,7 %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0,8 %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27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Бюджет</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99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89,2 %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10,3 %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0,5 %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28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Одит</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92,6 %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6,7 %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0,8 %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29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Статистика</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126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139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86,9 %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12,2 %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0,8 %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30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Пенсии и свързаните с тях разходи</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1 495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1 493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1 493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99,8 %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0,1 %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0,0 %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31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Езикови служби</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498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377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445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89,5 %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10,4 %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0,2 %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32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Енергетика</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805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650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733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91,0 %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0,4 %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33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Правосъдие</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202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183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193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95,1 %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4,1 %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0,8 %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34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Действия по климата</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91,1 %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6,4 %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2,4 %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40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Резерви</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0,0 %</w:t>
            </w:r>
          </w:p>
        </w:tc>
      </w:tr>
      <w:tr w:rsidR="00E7728E" w:rsidRPr="00A82E61" w:rsidTr="00A82E61">
        <w:tc>
          <w:tcPr>
            <w:tcW w:w="28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90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4"/>
              </w:rPr>
            </w:pPr>
            <w:r w:rsidRPr="00A82E61">
              <w:rPr>
                <w:spacing w:val="-4"/>
              </w:rPr>
              <w:t>Други институции</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4 475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3 027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402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300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3 729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83,3 %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192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614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13,7 %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82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50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 xml:space="preserve"> 132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7pNormalRight025"/>
              <w:rPr>
                <w:rFonts w:eastAsia="Verdana" w:cs="Verdana"/>
                <w:spacing w:val="-4"/>
              </w:rPr>
            </w:pPr>
            <w:r w:rsidRPr="00A82E61">
              <w:rPr>
                <w:spacing w:val="-4"/>
              </w:rPr>
              <w:t>2,9 %</w:t>
            </w:r>
          </w:p>
        </w:tc>
      </w:tr>
      <w:tr w:rsidR="00E7728E" w:rsidRPr="00A82E61" w:rsidTr="00A82E61">
        <w:tc>
          <w:tcPr>
            <w:tcW w:w="284" w:type="dxa"/>
            <w:tcBorders>
              <w:top w:val="nil"/>
              <w:left w:val="nil"/>
              <w:bottom w:val="nil"/>
              <w:right w:val="nil"/>
            </w:tcBorders>
            <w:shd w:val="clear" w:color="auto" w:fill="CCE1EA"/>
            <w:tcMar>
              <w:top w:w="0" w:type="dxa"/>
              <w:left w:w="0" w:type="dxa"/>
              <w:bottom w:w="0" w:type="dxa"/>
              <w:right w:w="0" w:type="dxa"/>
            </w:tcMar>
          </w:tcPr>
          <w:p w:rsidR="00F50689" w:rsidRPr="00A82E61" w:rsidRDefault="00F50689" w:rsidP="00F50689">
            <w:pPr>
              <w:pStyle w:val="Figures7pBoldRight025"/>
              <w:rPr>
                <w:rFonts w:eastAsia="Verdana" w:cs="Verdana"/>
                <w:spacing w:val="-4"/>
              </w:rPr>
            </w:pPr>
          </w:p>
        </w:tc>
        <w:tc>
          <w:tcPr>
            <w:tcW w:w="2552"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Text7pBoldLeft"/>
              <w:rPr>
                <w:rFonts w:eastAsia="Verdana" w:cs="Verdana"/>
                <w:spacing w:val="-4"/>
              </w:rPr>
            </w:pPr>
            <w:r w:rsidRPr="00A82E61">
              <w:rPr>
                <w:spacing w:val="-4"/>
              </w:rPr>
              <w:t>Общо</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147 495</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137 136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1 304</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4 057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142 497</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96,6 %</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 xml:space="preserve"> 870</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 xml:space="preserve"> 917</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2 991</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4 778</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3,2 %</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 xml:space="preserve"> 112</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 xml:space="preserve"> 106</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 xml:space="preserve"> 2</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 xml:space="preserve"> 220</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7pBoldRight025"/>
              <w:rPr>
                <w:rFonts w:eastAsia="Verdana" w:cs="Verdana"/>
                <w:spacing w:val="-4"/>
              </w:rPr>
            </w:pPr>
            <w:r w:rsidRPr="00A82E61">
              <w:rPr>
                <w:spacing w:val="-4"/>
              </w:rPr>
              <w:t>0,1 %</w:t>
            </w:r>
          </w:p>
        </w:tc>
      </w:tr>
    </w:tbl>
    <w:p w:rsidR="00F50689" w:rsidRDefault="005A36C4" w:rsidP="00F50689">
      <w:pPr>
        <w:pStyle w:val="Textstand-alone"/>
        <w:spacing w:before="0" w:after="0"/>
        <w:sectPr w:rsidR="00F50689" w:rsidSect="00F50689">
          <w:headerReference w:type="even" r:id="rId557"/>
          <w:headerReference w:type="default" r:id="rId558"/>
          <w:footerReference w:type="even" r:id="rId559"/>
          <w:footerReference w:type="default" r:id="rId560"/>
          <w:headerReference w:type="first" r:id="rId561"/>
          <w:footerReference w:type="first" r:id="rId562"/>
          <w:pgSz w:w="16840" w:h="11907" w:orient="landscape" w:code="9"/>
          <w:pgMar w:top="1134" w:right="1134" w:bottom="1134" w:left="1134" w:header="708" w:footer="708" w:gutter="0"/>
          <w:cols w:space="708"/>
          <w:docGrid w:linePitch="360"/>
        </w:sectPr>
      </w:pPr>
      <w:r>
        <w:t xml:space="preserve"> </w:t>
      </w:r>
      <w:bookmarkEnd w:id="275"/>
    </w:p>
    <w:p w:rsidR="00F50689" w:rsidRDefault="005A36C4" w:rsidP="00A82E61">
      <w:pPr>
        <w:pStyle w:val="HEADER2Part3"/>
        <w:spacing w:before="120" w:after="0"/>
      </w:pPr>
      <w:bookmarkStart w:id="277" w:name="_Toc431307075"/>
      <w:bookmarkStart w:id="278" w:name="_DMBM_3444"/>
      <w:r>
        <w:t>ОБЛАСТ НА ПОЛИТИКАТА: ДВИЖЕНИЯ НА НЕИЗПЪЛНЕНИТЕ ПОЕТИ ЗАДЪЛЖЕНИЯ</w:t>
      </w:r>
      <w:bookmarkEnd w:id="277"/>
    </w:p>
    <w:tbl>
      <w:tblPr>
        <w:tblW w:w="1492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781"/>
        <w:gridCol w:w="1306"/>
        <w:gridCol w:w="1431"/>
        <w:gridCol w:w="1230"/>
        <w:gridCol w:w="1307"/>
        <w:gridCol w:w="1307"/>
        <w:gridCol w:w="1230"/>
        <w:gridCol w:w="1301"/>
        <w:gridCol w:w="1308"/>
        <w:gridCol w:w="1301"/>
      </w:tblGrid>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79" w:name="DOC_TBL00110_1_1"/>
            <w:bookmarkEnd w:id="279"/>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rsidTr="00A82E61">
        <w:tc>
          <w:tcPr>
            <w:tcW w:w="42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78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5274"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Неизпълнени поети задължения в края на предходната година</w:t>
            </w:r>
          </w:p>
        </w:tc>
        <w:tc>
          <w:tcPr>
            <w:tcW w:w="5146"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Поети задължения за годината</w:t>
            </w:r>
          </w:p>
        </w:tc>
        <w:tc>
          <w:tcPr>
            <w:tcW w:w="130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rPr>
            </w:pPr>
          </w:p>
        </w:tc>
      </w:tr>
      <w:tr w:rsidR="00E7728E" w:rsidTr="00A82E61">
        <w:tc>
          <w:tcPr>
            <w:tcW w:w="42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78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Област на политиката</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Задължения, пренесени от предходната година</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Отменени задължения/преоценки/отмени</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 xml:space="preserve">Плащания </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Неизпълнени поети задължения към края на годината</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Задължения, поети през годината</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Плащания</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Отмяна на поетите задължения, които не могат да бъдат пренесени</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Неизпълнени поети задължения към края на годината</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Общо неизпълнени поети задължения към края на годината</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01</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Икономически и финансови въпроси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739</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615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667</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02</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Предприятия и промишленост</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1 855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(724)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1 109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2 608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(1 513)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1 095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2 204</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03</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Конкуренция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04</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Заетост, социални въпроси и приобщаване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27 559</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(10 165)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17 049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10 312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(1 238)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9 074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26 124</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05</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Земеделие и развитие на селските райони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25 354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(11 148)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14 136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47 789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(44 618)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3 171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17 308</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06</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Мобилност и транспорт</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3 994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2 939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2 879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2 708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5 647</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07</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Околна среда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1 055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1 093</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08</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Научни изследвания и иновации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12 907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(3 551)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9 194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7 002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(1 367)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5 631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14 826</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09</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Комуникационни мрежи, съдържание и технологии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2 823</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(1 000)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1 708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3 305</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10</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Преки научни изследвания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208</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11</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Рибарство и морско дело</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2 360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(683)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1 475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1 571</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12</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Вътрешен пазар и услуги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13</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Регионална и градска политика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112 172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(1 033)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(43 087)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68 052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17 078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84 237</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14</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7pNormalLeft"/>
              <w:ind w:left="0"/>
              <w:rPr>
                <w:rFonts w:eastAsia="Verdana" w:cs="Verdana"/>
                <w:spacing w:val="-6"/>
              </w:rPr>
            </w:pPr>
            <w:r w:rsidRPr="00A82E61">
              <w:rPr>
                <w:spacing w:val="-6"/>
              </w:rPr>
              <w:t>Данъчно облагане и митнически съюз</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15</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Образование и култура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2 387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(989)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1 341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(1 684)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1 539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2 879</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16</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Комуникация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110</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17</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Здравеопазване и защита на потребителите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616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624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535</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18</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Вътрешни работи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1 992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1 421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1 586</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19</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Инструменти в областта на външната политика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687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862</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20</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Търговия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21</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Развитие и сътрудничество</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15 617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(3 266)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11 894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5 353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16 379</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22</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Разширяване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3 206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2 323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1 440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1 346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3 669</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23</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Хуманитарна помощ и гражданска защита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918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(654)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1 187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671</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24</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Борба с измамите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31</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25</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Координиране на политиките на Комисията и правни съвети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26</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Администрация на Комисията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1 070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201</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27</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Бюджет</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28</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Одит</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29</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Статистика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113</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30</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Пенсии и свързаните с тях разходи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31</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Езикови служби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32</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Енергетика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4 434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(648)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3 512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990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4 416</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33</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Правосъдие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183</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181</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34</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Действия по климата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40</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Резерви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rsidTr="00A82E61">
        <w:tc>
          <w:tcPr>
            <w:tcW w:w="4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90</w:t>
            </w:r>
          </w:p>
        </w:tc>
        <w:tc>
          <w:tcPr>
            <w:tcW w:w="278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Други институции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3 789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(3 328)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453</w:t>
            </w:r>
          </w:p>
        </w:tc>
      </w:tr>
      <w:tr w:rsidR="00E7728E" w:rsidTr="00A82E61">
        <w:tc>
          <w:tcPr>
            <w:tcW w:w="426"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rPr>
            </w:pPr>
          </w:p>
        </w:tc>
        <w:tc>
          <w:tcPr>
            <w:tcW w:w="278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Общо</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222 410</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(3 522)</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(80 136)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138 753</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113 208</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(62 361)</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(14)</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189 585</w:t>
            </w:r>
          </w:p>
        </w:tc>
      </w:tr>
    </w:tbl>
    <w:p w:rsidR="00F50689" w:rsidRPr="00054CD1" w:rsidRDefault="005A36C4" w:rsidP="00F50689">
      <w:pPr>
        <w:pStyle w:val="Textstand-alone"/>
        <w:spacing w:before="0"/>
        <w:sectPr w:rsidR="00F50689" w:rsidRPr="00054CD1" w:rsidSect="00F50689">
          <w:headerReference w:type="even" r:id="rId563"/>
          <w:headerReference w:type="default" r:id="rId564"/>
          <w:footerReference w:type="even" r:id="rId565"/>
          <w:footerReference w:type="default" r:id="rId566"/>
          <w:headerReference w:type="first" r:id="rId567"/>
          <w:footerReference w:type="first" r:id="rId568"/>
          <w:pgSz w:w="16840" w:h="11907" w:orient="landscape"/>
          <w:pgMar w:top="1134" w:right="1134" w:bottom="1134" w:left="1134" w:header="708" w:footer="708" w:gutter="0"/>
          <w:cols w:space="708"/>
          <w:docGrid w:linePitch="360"/>
        </w:sectPr>
      </w:pPr>
      <w:r>
        <w:t xml:space="preserve"> </w:t>
      </w:r>
      <w:bookmarkEnd w:id="278"/>
    </w:p>
    <w:p w:rsidR="00F50689" w:rsidRDefault="005A36C4" w:rsidP="00F50689">
      <w:pPr>
        <w:pStyle w:val="HEADER2Part3"/>
      </w:pPr>
      <w:bookmarkStart w:id="280" w:name="_Toc431307076"/>
      <w:bookmarkStart w:id="281" w:name="_DMBM_3445"/>
      <w:r>
        <w:t>ОБЛАСТ НА ПОЛИТИКАТА: РАЗБИВКА НА НЕИЗПЪЛНЕНИТЕ ПОЕТИ ЗАДЪЛЖЕНИЯ ПО ГОДИНИ НА ВЪЗНИКВАНЕ</w:t>
      </w:r>
      <w:bookmarkEnd w:id="280"/>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82" w:name="DOC_TBL00111_1_1"/>
            <w:bookmarkEnd w:id="282"/>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Област на политиката</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&lt;2008 г.</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2008 г.</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2009 г.</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2010 г.</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2011 г.</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2012 г.</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2013 г.</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2014 г.</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Общо</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Икономически и финансови въпроси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667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Предприятия и промишленост</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1 095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2 204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Конкуренция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Заетост, социални въпроси и приобщаване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1 603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4 687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9 956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9 074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26 124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Земеделие и развитие на селските райони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3 061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10 742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3 171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17 308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Мобилност и транспорт</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1 132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2 708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5 647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Околна среда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1 093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Научни изследвания и иновации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477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1 288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2 840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4 216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5 631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14 826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Комуникационни мрежи, съдържание и технологии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917</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3 305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Преки научни изследвания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Рибарство и морско дело</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1 571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Вътрешен пазар и услуги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Регионална и градска политика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2 439</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1 871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6 732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18 311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38 253</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84 237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Данъчно облагане и митнически съюз</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Образование и култура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615</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1 539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2 879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Комуникация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Здравеопазване и защита на потребителите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103</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Вътрешни работи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1 586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Инструменти в областта на външната политика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Търговия</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Развитие и сътрудничество</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1 061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1 825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3 245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4 106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16 379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Разширяване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606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1 346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3 669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Хуманитарна помощ и гражданска защита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671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Борба с измамите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Координиране на политиките на Комисията и правни съвети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Администрация на Комисията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Бюджет</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Одит</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Статистика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Пенсии и свързаните с тях разходи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Езикови служби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Енергетика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1 349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4 416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Правосъдие</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Действия по климата</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Резерви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Други институции</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453</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rPr>
            </w:pPr>
          </w:p>
        </w:tc>
        <w:tc>
          <w:tcPr>
            <w:tcW w:w="26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Общо</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4 211</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1 034</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2 586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5 937</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14 261</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36 658</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74 066</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189 585</w:t>
            </w:r>
          </w:p>
        </w:tc>
      </w:tr>
    </w:tbl>
    <w:p w:rsidR="00F50689" w:rsidRPr="006B08B7" w:rsidRDefault="005A36C4" w:rsidP="00F50689">
      <w:pPr>
        <w:pStyle w:val="Textstand-alone"/>
        <w:spacing w:before="0"/>
        <w:sectPr w:rsidR="00F50689" w:rsidRPr="006B08B7" w:rsidSect="00F50689">
          <w:headerReference w:type="even" r:id="rId569"/>
          <w:headerReference w:type="default" r:id="rId570"/>
          <w:footerReference w:type="even" r:id="rId571"/>
          <w:footerReference w:type="default" r:id="rId572"/>
          <w:headerReference w:type="first" r:id="rId573"/>
          <w:footerReference w:type="first" r:id="rId574"/>
          <w:pgSz w:w="16840" w:h="11907" w:orient="landscape" w:code="9"/>
          <w:pgMar w:top="1134" w:right="1134" w:bottom="1134" w:left="1134" w:header="708" w:footer="708" w:gutter="0"/>
          <w:cols w:space="708"/>
          <w:docGrid w:linePitch="360"/>
        </w:sectPr>
      </w:pPr>
      <w:r>
        <w:t xml:space="preserve"> </w:t>
      </w:r>
      <w:bookmarkEnd w:id="281"/>
    </w:p>
    <w:p w:rsidR="00F50689" w:rsidRDefault="005A36C4" w:rsidP="00F50689">
      <w:pPr>
        <w:pStyle w:val="HEADER2Part3"/>
      </w:pPr>
      <w:bookmarkStart w:id="283" w:name="_Toc431307077"/>
      <w:bookmarkStart w:id="284" w:name="_DMBM_3464"/>
      <w:r>
        <w:t>ИЗПЪЛНЕНИЕ НА РАЗХОДИТЕ ЗА 2014 Г.</w:t>
      </w:r>
      <w:bookmarkEnd w:id="283"/>
    </w:p>
    <w:p w:rsidR="00F50689" w:rsidRDefault="005A36C4" w:rsidP="00F50689">
      <w:pPr>
        <w:pStyle w:val="Textstand-alone"/>
      </w:pPr>
      <w:r>
        <w:t>2014 година бе първата година от периода на програмиране 2014—2020 г.</w:t>
      </w:r>
    </w:p>
    <w:p w:rsidR="00F50689" w:rsidRDefault="005A36C4" w:rsidP="00F50689">
      <w:pPr>
        <w:pStyle w:val="Textstand-alone"/>
        <w:rPr>
          <w:b/>
        </w:rPr>
      </w:pPr>
      <w:r>
        <w:rPr>
          <w:b/>
        </w:rPr>
        <w:t>Поети задължения:</w:t>
      </w:r>
    </w:p>
    <w:p w:rsidR="00F50689" w:rsidRDefault="005A36C4" w:rsidP="00F50689">
      <w:pPr>
        <w:pStyle w:val="Textstand-alone"/>
      </w:pPr>
      <w:r>
        <w:t>В първоначално приетия бюджет за всички институции, с изключение на специалните инструменти, бюджетните кредити за поети задължения бяха определени на 142 184 млн. EUR. Това представляваше намаление с 6 % в сравнение с окончателния бюджет за 2013 г. и остави марж от 445 млн. EUR под тавана на МФР.</w:t>
      </w:r>
    </w:p>
    <w:p w:rsidR="00F50689" w:rsidRDefault="005A36C4" w:rsidP="00F50689">
      <w:pPr>
        <w:pStyle w:val="Textstand-alone"/>
      </w:pPr>
      <w:r>
        <w:t>Окончателно приетият бюджет за поетите задължения бе изпълнен на равнище 76 % през първата година от новия период на програмиране основно поради забавянето на приемането на оперативните програми за фондовете, които се управляват под режим споделено управление. Измененията чрез коригиращи бюджети бяха незначителни, с изключение на мобилизирането на фонд „Солидарност“ на Европейския съюз за 127 млн. EUR. Общото изпълнение в размер на 109 256 млн. EUR остави неусвоени средства в размер на 33 434 млн. EUR. Това ще бъде изцяло компенсирано чрез препрограмиране на поетите задължения в различните фондове под споделено управление и чрез пренос за 2015 г.</w:t>
      </w:r>
    </w:p>
    <w:p w:rsidR="00F50689" w:rsidRDefault="005A36C4" w:rsidP="00F50689">
      <w:pPr>
        <w:pStyle w:val="Textstand-alone"/>
      </w:pPr>
      <w:r>
        <w:t>Препрограмирането на неусвоените бюджетни кредити за поети задължения от 2014 г. за 2015 и 2016 г. (съгласно член 19 от МФР) бе договорено през април 2015 г. и включва преразглеждане на таваните в МФР и приемане на съответен коригиращ бюджет за 2015 г. Основните промени през 2015 г. са във функция 1б (11,2 млрд. EUR) и функция 2 (5 млрд. EUR), a за 2016 г. основната промяна е във функция 2 (4,4 млрд. EUR).</w:t>
      </w:r>
    </w:p>
    <w:p w:rsidR="00F50689" w:rsidRPr="00653E07" w:rsidRDefault="005A36C4" w:rsidP="00F50689">
      <w:pPr>
        <w:pStyle w:val="Textstand-alone"/>
      </w:pPr>
      <w:r>
        <w:t xml:space="preserve">През 2014 г. ниското изпълнение на поетите задължения в началото на новите програми доведе до намаляване на RAL с 32,8 млрд. EUR, или 15 %, което е само временно поради размера на препрограмираните или пренесените суми. </w:t>
      </w:r>
    </w:p>
    <w:p w:rsidR="00F50689" w:rsidRPr="00653E07" w:rsidRDefault="005A36C4" w:rsidP="00F50689">
      <w:pPr>
        <w:pStyle w:val="Textstand-alone"/>
      </w:pPr>
      <w:r>
        <w:rPr>
          <w:b/>
        </w:rPr>
        <w:t>Плащания:</w:t>
      </w:r>
    </w:p>
    <w:p w:rsidR="00F50689" w:rsidRPr="00653E07" w:rsidRDefault="005A36C4" w:rsidP="00F50689">
      <w:pPr>
        <w:pStyle w:val="Textstand-alone"/>
      </w:pPr>
      <w:r>
        <w:t>След намаление с 556 млн. EUR на проектобюджета за 2014 г. (включително писма за внасяне на корекции № 1 и № 2) бюджетните кредити за плащания бяха първоначално определени на 135 505 млн. EUR (включително специалните инструменти), което съответства на 1 % от БНД на ЕС. Това представляваше намаление с 6 % (9 млрд. EUR) в сравнение с окончателния приет бюджет за 2013 г. Този първоначален размер на бюджетните кредити остави марж само от 711 млн. EUR под тавана на МФР. Таванът за плащанията за тази първа година от новия период на програмиране бе определен на изключително ниско равнище — над 8 млрд. EUR под равнището за 2013 г. и 6 млрд. EUR под равнището за 2015 г. От самото начало беше ясно, че поради размера на неизпълнените поети задължения силният натиск върху плащанията ще продължи през цялата 2014 г. и ще е необходимо да бъде преразгледан размерът на нужните бюджетни кредити и бюджетът да бъде управляван много активно.</w:t>
      </w:r>
    </w:p>
    <w:p w:rsidR="00F50689" w:rsidRPr="00653E07" w:rsidRDefault="005A36C4" w:rsidP="00F50689">
      <w:pPr>
        <w:pStyle w:val="Textstand-alone"/>
      </w:pPr>
      <w:r>
        <w:t>Нетното увеличение на бюджетните кредити за плащания за оперативните бюджетни редове посредством коригиращи бюджети бе 3 599 млн. EUR. Вследствие на това равнището на бюджетните кредити за плащания в края на годината бе над тавана на МФР, тъй като бяха използвани маржът за непредвидени обстоятелства и новият специален инструмент, създаден като крайно средство за реагиране при непредвидени обстоятелства. Съветът и Парламентът отхвърлиха предложението на Комисията за глобален трансфер и използваха предложените увеличения за преразпределяне на средствата в коригиращите бюджети.</w:t>
      </w:r>
    </w:p>
    <w:p w:rsidR="00F50689" w:rsidRPr="00653E07" w:rsidRDefault="005A36C4" w:rsidP="00F50689">
      <w:pPr>
        <w:pStyle w:val="Textstand-alone"/>
      </w:pPr>
      <w:r>
        <w:t>Общото изпълнение на бюджетните кредити за плащания бе 137 136 млн. EUR (142 883 млн. EUR през 2013 г.), т.е. 99 %. След като бъде взет под внимание преносът на бюджетни кредити за плащания за 2015 г., губят сила 112 млн. EUR. От бюджетните кредити за плащания, пренесени от 2013 г., бяха отменени 106 млн. EUR.</w:t>
      </w:r>
    </w:p>
    <w:p w:rsidR="00F50689" w:rsidRDefault="00F50689" w:rsidP="00F50689">
      <w:pPr>
        <w:pStyle w:val="Textstand-alone"/>
      </w:pPr>
    </w:p>
    <w:p w:rsidR="00F50689" w:rsidRDefault="005A36C4" w:rsidP="00F50689">
      <w:pPr>
        <w:pStyle w:val="Textstand-alone"/>
        <w:sectPr w:rsidR="00F50689" w:rsidSect="00F50689">
          <w:headerReference w:type="even" r:id="rId575"/>
          <w:headerReference w:type="default" r:id="rId576"/>
          <w:footerReference w:type="even" r:id="rId577"/>
          <w:footerReference w:type="default" r:id="rId578"/>
          <w:headerReference w:type="first" r:id="rId579"/>
          <w:footerReference w:type="first" r:id="rId580"/>
          <w:pgSz w:w="11907" w:h="16840" w:code="9"/>
          <w:pgMar w:top="1134" w:right="1134" w:bottom="1134" w:left="1134" w:header="709" w:footer="709" w:gutter="0"/>
          <w:cols w:space="708"/>
          <w:docGrid w:linePitch="360"/>
        </w:sectPr>
      </w:pPr>
      <w:r>
        <w:t>По-подробен анализ на бюджетните корекции, техния съответен контекст, тяхната обосновка и тяхното отражение е представен в доклада на Комисията за бюджетното и финансовото управление за 2014 г., част А, която прави преглед на бюджетно равнище, и част Б, която разглежда всяка функция от многогодишната финансова рамка.</w:t>
      </w:r>
      <w:bookmarkEnd w:id="284"/>
    </w:p>
    <w:p w:rsidR="00F50689" w:rsidRDefault="005A36C4" w:rsidP="00F50689">
      <w:pPr>
        <w:pStyle w:val="HEADER1Part3"/>
        <w:spacing w:after="0"/>
      </w:pPr>
      <w:bookmarkStart w:id="285" w:name="_Toc431307078"/>
      <w:bookmarkStart w:id="286" w:name="_DMBM_3448"/>
      <w:r>
        <w:t>ИЗПЪЛНЕНИЕ НА БЮДЖЕТА НА ИНСТИТУЦИИТЕ И АГЕНЦИИТЕ</w:t>
      </w:r>
      <w:bookmarkEnd w:id="285"/>
    </w:p>
    <w:p w:rsidR="00F50689" w:rsidRPr="00BC4553" w:rsidRDefault="005A36C4" w:rsidP="00F50689">
      <w:pPr>
        <w:pStyle w:val="HEADER5"/>
        <w:sectPr w:rsidR="00F50689" w:rsidRPr="00BC4553" w:rsidSect="00F50689">
          <w:headerReference w:type="even" r:id="rId581"/>
          <w:headerReference w:type="default" r:id="rId582"/>
          <w:footerReference w:type="even" r:id="rId583"/>
          <w:footerReference w:type="default" r:id="rId584"/>
          <w:headerReference w:type="first" r:id="rId585"/>
          <w:footerReference w:type="first" r:id="rId586"/>
          <w:type w:val="continuous"/>
          <w:pgSz w:w="16838" w:h="11906" w:orient="landscape"/>
          <w:pgMar w:top="1134" w:right="1134" w:bottom="1134" w:left="1134" w:header="708" w:footer="708" w:gutter="0"/>
          <w:cols w:space="708"/>
          <w:docGrid w:linePitch="360"/>
        </w:sectPr>
      </w:pPr>
      <w:r>
        <w:t xml:space="preserve"> </w:t>
      </w:r>
      <w:bookmarkEnd w:id="286"/>
    </w:p>
    <w:p w:rsidR="00F50689" w:rsidRDefault="005A36C4" w:rsidP="00F50689">
      <w:pPr>
        <w:pStyle w:val="HEADER2Part3"/>
      </w:pPr>
      <w:bookmarkStart w:id="287" w:name="_Toc431307079"/>
      <w:bookmarkStart w:id="288" w:name="_DMBM_3449"/>
      <w:r>
        <w:t>ИНСТИТУЦИИ: ОБОБЩЕНИЕ НА ИЗПЪЛНЕНИЕТО НА БЮДЖЕТНИТЕ ПРИХОДИ</w:t>
      </w:r>
      <w:bookmarkEnd w:id="287"/>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1251"/>
        <w:gridCol w:w="1084"/>
        <w:gridCol w:w="979"/>
        <w:gridCol w:w="1055"/>
        <w:gridCol w:w="1155"/>
        <w:gridCol w:w="1219"/>
        <w:gridCol w:w="1220"/>
        <w:gridCol w:w="1133"/>
        <w:gridCol w:w="1114"/>
        <w:gridCol w:w="1454"/>
      </w:tblGrid>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89" w:name="DOC_TBL00112_1_1"/>
            <w:bookmarkEnd w:id="289"/>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rPr>
          <w:trHeight w:val="437"/>
        </w:trPr>
        <w:tc>
          <w:tcPr>
            <w:tcW w:w="313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Институция</w:t>
            </w:r>
          </w:p>
        </w:tc>
        <w:tc>
          <w:tcPr>
            <w:tcW w:w="231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Бюджетни кредити от приходи</w:t>
            </w:r>
          </w:p>
        </w:tc>
        <w:tc>
          <w:tcPr>
            <w:tcW w:w="3193"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Установени вземания</w:t>
            </w:r>
          </w:p>
        </w:tc>
        <w:tc>
          <w:tcPr>
            <w:tcW w:w="3577"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Приходи</w:t>
            </w:r>
          </w:p>
        </w:tc>
        <w:tc>
          <w:tcPr>
            <w:tcW w:w="111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 xml:space="preserve">Приходи като </w:t>
            </w:r>
          </w:p>
        </w:tc>
        <w:tc>
          <w:tcPr>
            <w:tcW w:w="145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Неизплатени суми</w:t>
            </w:r>
          </w:p>
        </w:tc>
      </w:tr>
      <w:tr w:rsidR="00E7728E">
        <w:trPr>
          <w:trHeight w:val="437"/>
        </w:trPr>
        <w:tc>
          <w:tcPr>
            <w:tcW w:w="313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12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Първоначален приет бюджет</w:t>
            </w:r>
          </w:p>
        </w:tc>
        <w:tc>
          <w:tcPr>
            <w:tcW w:w="106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Окончателен приет бюджет</w:t>
            </w:r>
          </w:p>
        </w:tc>
        <w:tc>
          <w:tcPr>
            <w:tcW w:w="98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Текуща година</w:t>
            </w:r>
          </w:p>
        </w:tc>
        <w:tc>
          <w:tcPr>
            <w:tcW w:w="105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Пренесени</w:t>
            </w:r>
          </w:p>
        </w:tc>
        <w:tc>
          <w:tcPr>
            <w:tcW w:w="115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Общо</w:t>
            </w:r>
          </w:p>
        </w:tc>
        <w:tc>
          <w:tcPr>
            <w:tcW w:w="12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От вземания за текущата година</w:t>
            </w:r>
          </w:p>
        </w:tc>
        <w:tc>
          <w:tcPr>
            <w:tcW w:w="12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От пренесени вземания</w:t>
            </w: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Общо</w:t>
            </w:r>
          </w:p>
        </w:tc>
        <w:tc>
          <w:tcPr>
            <w:tcW w:w="111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 от бюджета</w:t>
            </w:r>
          </w:p>
        </w:tc>
        <w:tc>
          <w:tcPr>
            <w:tcW w:w="1455"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rPr>
            </w:pP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Европейски парламент</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156</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156</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173</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24</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197</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174</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111,97 %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22</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Европейски съвет и Съвет</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56</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56</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74</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76</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136,61 %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Комисия</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135 167</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138 697</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146 066</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10 957</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157 023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139 403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3 878</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143 280</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103,30 %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13 743</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Съд</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47</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47</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105,10 %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Сметна палата</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98,42 %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Икономически и социален комитет</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137,08 %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Комитет на регионите</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121,66 %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Омбудсман</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104,28 %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Европейски надзорен орган по защита на данните</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78,02 %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Европейска служба за външна дейност</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37</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37</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313</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313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313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313</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835,12 %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
              <w:rPr>
                <w:rFonts w:eastAsia="Verdana" w:cs="Verdana"/>
              </w:rPr>
            </w:pPr>
          </w:p>
        </w:tc>
        <w:tc>
          <w:tcPr>
            <w:tcW w:w="12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135 505</w:t>
            </w:r>
          </w:p>
        </w:tc>
        <w:tc>
          <w:tcPr>
            <w:tcW w:w="106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139 034</w:t>
            </w:r>
          </w:p>
        </w:tc>
        <w:tc>
          <w:tcPr>
            <w:tcW w:w="98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146 721</w:t>
            </w:r>
          </w:p>
        </w:tc>
        <w:tc>
          <w:tcPr>
            <w:tcW w:w="105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10 988</w:t>
            </w:r>
          </w:p>
        </w:tc>
        <w:tc>
          <w:tcPr>
            <w:tcW w:w="115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157 709</w:t>
            </w:r>
          </w:p>
        </w:tc>
        <w:tc>
          <w:tcPr>
            <w:tcW w:w="12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140 052</w:t>
            </w:r>
          </w:p>
        </w:tc>
        <w:tc>
          <w:tcPr>
            <w:tcW w:w="12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3 888</w:t>
            </w:r>
          </w:p>
        </w:tc>
        <w:tc>
          <w:tcPr>
            <w:tcW w:w="113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143 940</w:t>
            </w:r>
          </w:p>
        </w:tc>
        <w:tc>
          <w:tcPr>
            <w:tcW w:w="111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103,53 %</w:t>
            </w:r>
          </w:p>
        </w:tc>
        <w:tc>
          <w:tcPr>
            <w:tcW w:w="145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13 769</w:t>
            </w:r>
          </w:p>
        </w:tc>
      </w:tr>
    </w:tbl>
    <w:p w:rsidR="00F50689" w:rsidRDefault="005A36C4" w:rsidP="00F50689">
      <w:pPr>
        <w:pStyle w:val="Textstand-alone"/>
      </w:pPr>
      <w:r>
        <w:t xml:space="preserve">Консолидираните отчети за изпълнението на общия бюджет на ЕС включват, както през предходни години, изпълнението на бюджета на всички институции, тъй като в рамките на бюджета на ЕС се създава отделен бюджет за всяка институция. Агенциите не разполагат с отделен бюджет в бюджета на ЕС и се финансират частично със субсидия от бюджета на Комисията. </w:t>
      </w:r>
    </w:p>
    <w:p w:rsidR="00F50689" w:rsidRDefault="005A36C4" w:rsidP="00F50689">
      <w:pPr>
        <w:pStyle w:val="Textstand-alone"/>
      </w:pPr>
      <w:r>
        <w:t>Що се отнася до ЕСВД, следва да се отбележи, че в допълнение към своя бюджет тя получава и средства от Комисията в размер на 208 млн. EUR (2013 г.: 210 млн. EUR) и от ЕФР в размер на 56 млн. EUR (2013 г.: 59 млн. EUR). Тези бюджетни кредити се предоставят на ЕСВД (като целеви приходи) с цел покриване предимно на разходите за персонала на Комисията, който работи в делегациите на ЕС, като тези делегации се управляват административно от ЕСВД.</w:t>
      </w:r>
    </w:p>
    <w:p w:rsidR="00F50689" w:rsidRDefault="005A36C4" w:rsidP="00F50689">
      <w:pPr>
        <w:pStyle w:val="Textstand-alone"/>
        <w:sectPr w:rsidR="00F50689" w:rsidSect="00F50689">
          <w:headerReference w:type="even" r:id="rId587"/>
          <w:headerReference w:type="default" r:id="rId588"/>
          <w:footerReference w:type="even" r:id="rId589"/>
          <w:footerReference w:type="default" r:id="rId590"/>
          <w:headerReference w:type="first" r:id="rId591"/>
          <w:footerReference w:type="first" r:id="rId592"/>
          <w:type w:val="continuous"/>
          <w:pgSz w:w="16838" w:h="11906" w:orient="landscape"/>
          <w:pgMar w:top="1134" w:right="1134" w:bottom="1134" w:left="1134" w:header="708" w:footer="708" w:gutter="0"/>
          <w:cols w:space="708"/>
          <w:docGrid w:linePitch="360"/>
        </w:sectPr>
      </w:pPr>
      <w:r>
        <w:t xml:space="preserve"> </w:t>
      </w:r>
      <w:bookmarkEnd w:id="288"/>
    </w:p>
    <w:p w:rsidR="00F50689" w:rsidRDefault="005A36C4" w:rsidP="00F50689">
      <w:pPr>
        <w:pStyle w:val="HEADER2Part3"/>
      </w:pPr>
      <w:bookmarkStart w:id="290" w:name="_Toc431307080"/>
      <w:bookmarkStart w:id="291" w:name="_DMBM_3450"/>
      <w:r>
        <w:t>ИНСТИТУЦИИ: ИЗПЪЛНЕНИЕ НА БЮДЖЕТНИТЕ КРЕДИТИ ЗА ПОЕТИ ЗАДЪЛЖЕНИЯ И ЗА ПЛАЩАНИЯ</w:t>
      </w:r>
      <w:bookmarkEnd w:id="290"/>
    </w:p>
    <w:p w:rsidR="00F50689" w:rsidRDefault="005A36C4" w:rsidP="00F50689">
      <w:pPr>
        <w:pStyle w:val="HEADER5"/>
      </w:pPr>
      <w:r>
        <w:t>Бюджетни кредити за поети задължения</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92"/>
        <w:gridCol w:w="709"/>
        <w:gridCol w:w="992"/>
        <w:gridCol w:w="851"/>
        <w:gridCol w:w="709"/>
        <w:gridCol w:w="850"/>
        <w:gridCol w:w="709"/>
        <w:gridCol w:w="850"/>
        <w:gridCol w:w="851"/>
        <w:gridCol w:w="992"/>
        <w:gridCol w:w="709"/>
        <w:gridCol w:w="850"/>
        <w:gridCol w:w="1560"/>
        <w:gridCol w:w="708"/>
      </w:tblGrid>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rPr>
            </w:pPr>
            <w:bookmarkStart w:id="292" w:name="DOC_TBL00113_1_1"/>
            <w:bookmarkEnd w:id="292"/>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2268"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4253"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Поети задължения</w:t>
            </w:r>
          </w:p>
        </w:tc>
        <w:tc>
          <w:tcPr>
            <w:tcW w:w="326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Пренесени бюджетни кредити</w:t>
            </w:r>
          </w:p>
        </w:tc>
        <w:tc>
          <w:tcPr>
            <w:tcW w:w="4819"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Бюджетни кредити, които губят сила</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Институция</w:t>
            </w: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Общо налични бюджетни кредити</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окончателния приет бюджет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пренасяния</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целеви приходи</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Общо</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целеви приходи</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Пренасяния с решение</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Общо</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окончателния приет бюджет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пренасяния</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Целеви приходи (ЕАСТ)</w:t>
            </w:r>
          </w:p>
        </w:tc>
        <w:tc>
          <w:tcPr>
            <w:tcW w:w="156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Общо</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3</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4</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5=2+3+4</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6=5/1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7</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8</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9=7+8</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10=9/1</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11</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12</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13</w:t>
            </w:r>
          </w:p>
        </w:tc>
        <w:tc>
          <w:tcPr>
            <w:tcW w:w="156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14=11</w:t>
            </w:r>
          </w:p>
          <w:p w:rsidR="00F50689" w:rsidRDefault="005A36C4" w:rsidP="00F50689">
            <w:pPr>
              <w:pStyle w:val="Heading7pNormalRight01"/>
              <w:rPr>
                <w:rFonts w:eastAsia="Verdana" w:cs="Verdana"/>
              </w:rPr>
            </w:pPr>
            <w:r>
              <w:t>+12+13</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15=14/1</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парламент</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1 738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1 775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98,4 %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съвет и Съвет</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485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87,4 %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Комисия</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146 008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105 811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3 429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109 418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74,9 %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3 242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12 097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15 339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21 251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21 251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Съд</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98,6 %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Сметна палата</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98,7 %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Икономически и социален комитет</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95,4 %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Комитет на регионите</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98,5 %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Омбудсман</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надзорен орган по защита на данните</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96,9 %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служба за външна дейност</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ItalicCentered"/>
              <w:jc w:val="left"/>
              <w:rPr>
                <w:rFonts w:eastAsia="Verdana" w:cs="Verdana"/>
                <w:b/>
                <w:i w:val="0"/>
              </w:rPr>
            </w:pP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149 939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109 256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179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3 772</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113 208</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75,5 %</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3 297</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12 101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15 399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10,3 %</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21 333</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w:t>
            </w:r>
          </w:p>
        </w:tc>
        <w:tc>
          <w:tcPr>
            <w:tcW w:w="156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21 333</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0,0 %</w:t>
            </w:r>
          </w:p>
        </w:tc>
      </w:tr>
    </w:tbl>
    <w:p w:rsidR="00F50689" w:rsidRDefault="00F50689" w:rsidP="00F50689">
      <w:pPr>
        <w:pStyle w:val="Textstand-alone"/>
      </w:pPr>
    </w:p>
    <w:p w:rsidR="00F50689" w:rsidRDefault="005A36C4">
      <w:pPr>
        <w:rPr>
          <w:rFonts w:ascii="Verdana" w:hAnsi="Verdana"/>
          <w:b/>
          <w:noProof/>
          <w:color w:val="016794"/>
          <w:sz w:val="18"/>
          <w:szCs w:val="18"/>
        </w:rPr>
      </w:pPr>
      <w:r>
        <w:br w:type="page"/>
      </w:r>
    </w:p>
    <w:p w:rsidR="00F50689" w:rsidRDefault="005A36C4" w:rsidP="00F50689">
      <w:pPr>
        <w:pStyle w:val="HEADER5"/>
      </w:pPr>
      <w:r>
        <w:t>Бюджетни кредити за плащания</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92"/>
        <w:gridCol w:w="709"/>
        <w:gridCol w:w="992"/>
        <w:gridCol w:w="993"/>
        <w:gridCol w:w="708"/>
        <w:gridCol w:w="993"/>
        <w:gridCol w:w="850"/>
        <w:gridCol w:w="851"/>
        <w:gridCol w:w="850"/>
        <w:gridCol w:w="851"/>
        <w:gridCol w:w="850"/>
        <w:gridCol w:w="709"/>
        <w:gridCol w:w="709"/>
        <w:gridCol w:w="567"/>
        <w:gridCol w:w="708"/>
      </w:tblGrid>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rPr>
            </w:pPr>
            <w:bookmarkStart w:id="293" w:name="DOC_TBL00114_1_1"/>
            <w:bookmarkEnd w:id="293"/>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5"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Left"/>
              <w:rPr>
                <w:rFonts w:eastAsia="Verdana"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4394"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Извършени плащания</w:t>
            </w:r>
          </w:p>
        </w:tc>
        <w:tc>
          <w:tcPr>
            <w:tcW w:w="3544"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Пренесени бюджетни кредити</w:t>
            </w: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rPr>
            </w:pPr>
          </w:p>
        </w:tc>
        <w:tc>
          <w:tcPr>
            <w:tcW w:w="3543"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Бюджетни кредити, които губят сила</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Left"/>
              <w:rPr>
                <w:rFonts w:eastAsia="Verdana" w:cs="Verdana"/>
              </w:rPr>
            </w:pPr>
            <w:r>
              <w:t>Институция</w:t>
            </w: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Общо налични бюджетни кредити</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окончателния приет бюджет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пренасяния</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целеви приходи</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Общо</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Автоматични пренасяния</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Пренасяния с решение</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целеви приходи</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Общо</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окончателния приет бюджет</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От пренасяния</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Целеви приходи (ЕАСТ)</w:t>
            </w:r>
          </w:p>
        </w:tc>
        <w:tc>
          <w:tcPr>
            <w:tcW w:w="56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Общо</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Left"/>
              <w:rPr>
                <w:rFonts w:eastAsia="Verdana" w:cs="Verdana"/>
              </w:rPr>
            </w:pP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3</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4</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5=2+3+4</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6=5/1</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7</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8</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9</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10=7+8+9</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11=10/1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13</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14</w:t>
            </w:r>
          </w:p>
        </w:tc>
        <w:tc>
          <w:tcPr>
            <w:tcW w:w="56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15=12</w:t>
            </w:r>
          </w:p>
          <w:p w:rsidR="00F50689" w:rsidRDefault="005A36C4" w:rsidP="00F50689">
            <w:pPr>
              <w:pStyle w:val="Heading7pNormalRight01"/>
              <w:rPr>
                <w:rFonts w:eastAsia="Verdana" w:cs="Verdana"/>
              </w:rPr>
            </w:pPr>
            <w:r>
              <w:t>+13+14</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16=15/1</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парламент</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1 460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1 742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80,4 %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17,8 %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1,8 %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съвет и Съвет</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79,2 %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9,2 %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Комисия</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143 020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134 108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3 758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138 768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2 799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4 164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Съд</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374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335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93,5 %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Сметна палата</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92,4 %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2,2 %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Икономически и социален комитет</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88,2 %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Комитет на регионите</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89,4 %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8,2 %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2,5 %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Омбудсман</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93,7 %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2,6 %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надзорен орган по защита на данните</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82,2 %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7,7 %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служба за външна дейност</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464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86,2 %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12,3 %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1,5 %</w:t>
            </w:r>
          </w:p>
        </w:tc>
      </w:tr>
      <w:tr w:rsidR="00E7728E">
        <w:tc>
          <w:tcPr>
            <w:tcW w:w="180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rPr>
            </w:pP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147 495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137 136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1 304</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4 057</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142 497</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96,6 %</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870</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917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2 991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4 778</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3,2 %</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112</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106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2</w:t>
            </w:r>
          </w:p>
        </w:tc>
        <w:tc>
          <w:tcPr>
            <w:tcW w:w="56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220</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0,1 %</w:t>
            </w:r>
          </w:p>
        </w:tc>
      </w:tr>
    </w:tbl>
    <w:p w:rsidR="00F50689" w:rsidRDefault="005A36C4" w:rsidP="00F50689">
      <w:pPr>
        <w:pStyle w:val="Textstand-alone"/>
        <w:sectPr w:rsidR="00F50689" w:rsidSect="00F50689">
          <w:headerReference w:type="even" r:id="rId593"/>
          <w:headerReference w:type="default" r:id="rId594"/>
          <w:footerReference w:type="even" r:id="rId595"/>
          <w:footerReference w:type="default" r:id="rId596"/>
          <w:headerReference w:type="first" r:id="rId597"/>
          <w:footerReference w:type="first" r:id="rId598"/>
          <w:pgSz w:w="16838" w:h="11906" w:orient="landscape"/>
          <w:pgMar w:top="1134" w:right="1134" w:bottom="1134" w:left="1134" w:header="708" w:footer="708" w:gutter="0"/>
          <w:cols w:space="708"/>
          <w:docGrid w:linePitch="360"/>
        </w:sectPr>
      </w:pPr>
      <w:r>
        <w:t xml:space="preserve"> </w:t>
      </w:r>
      <w:bookmarkEnd w:id="291"/>
    </w:p>
    <w:p w:rsidR="00F50689" w:rsidRDefault="005A36C4" w:rsidP="00F50689">
      <w:pPr>
        <w:pStyle w:val="HEADER2Part3"/>
      </w:pPr>
      <w:bookmarkStart w:id="294" w:name="_Toc431307081"/>
      <w:bookmarkStart w:id="295" w:name="_DMBM_3452"/>
      <w:r>
        <w:t>ПРИХОДИ НА АГЕНЦИИТЕ: БЮДЖЕТНИ ПРОГНОЗИ, ВЗЕМАНИЯ И ПОЛУЧЕНИ СУМИ</w:t>
      </w:r>
      <w:bookmarkEnd w:id="29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47"/>
        <w:gridCol w:w="1247"/>
        <w:gridCol w:w="1248"/>
        <w:gridCol w:w="1247"/>
        <w:gridCol w:w="1248"/>
      </w:tblGrid>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96" w:name="DOC_TBL00115_1_1"/>
            <w:bookmarkEnd w:id="296"/>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2495"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млн. EUR</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Left"/>
              <w:rPr>
                <w:rFonts w:eastAsia="Verdana" w:cs="Verdana"/>
              </w:rPr>
            </w:pPr>
            <w:r>
              <w:t>Агенция</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rPr>
            </w:pPr>
            <w:r>
              <w:t>Окончателен приет бюджет</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rPr>
            </w:pPr>
            <w:r>
              <w:t>Установени вземания</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rPr>
            </w:pPr>
            <w:r>
              <w:t>Получени суми</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rPr>
            </w:pPr>
            <w:r>
              <w:t>Неизплатени суми</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rPr>
            </w:pPr>
            <w:r>
              <w:t>Финансиране за област на политиката на Комисията</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Агенция за сътрудничество между регулаторите на енергия</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служба за подкрепа в областта на убежището</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агенция за авиационна безопасност</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145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Frontex</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Европейски център за развитие на професионалното обучение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полицейски колеж</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агенция по химикали</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център за профилактика и контрол на заболяванията</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Европейски център за мониторинг на наркотиците и наркоманиите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банков орган</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орган за застраховане и професионално пенсионно осигуряване</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агенция за околната среда</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полицейска служба</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орган за ценни книжа и пазари</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Агенция на Общността за контрол в рибарството</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11</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орган за безопасност на храните</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Европейски институт за равенство между половете</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04</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Надзорна агенция „Галилео“</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358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358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Термоядрен синтез за енергия (ITER)</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551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551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551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Звено на Европейския съюз за съдебно сътрудничество (Евроюст)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33</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eu.LISA</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агенция по морска безопасност</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Служба за хармонизация във вътрешния пазар</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агенция по лекарствата</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282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311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272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агенция за мрежова и информационна сигурност</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09</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Служба на Органа на европейските регулатори в областта на електронните съобщения (ОЕРЕС)</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09</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Агенция на Европейския съюз за основните права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железопътна агенция</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агенция за безопасност и здраве при работа</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04</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Европейски институт за иновации и технологии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Център за преводи за органите на ЕС</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фондация за обучение</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Служба на Общността за сортовете растения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Европейска фондация за подобряване на условията на живот и труд</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04</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Изпълнителна агенция за образование, аудио-визия и култура</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Изпълнителна агенция за конкурентоспособност и иновации</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Изпълнителна агенция на Европейския научноизследователски съвет</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Изпълнителна агенция за научни изследвания</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Изпълнителна агенция за здравеопазване и въпроси, свързани с потребителите</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Изпълнителна агенция за иновации и мрежи</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8pBoldLeft"/>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2 486</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2 809</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2 759</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 xml:space="preserve"> 50</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r>
    </w:tbl>
    <w:p w:rsidR="00F50689" w:rsidRDefault="00F50689" w:rsidP="00A82E61">
      <w:pPr>
        <w:pStyle w:val="Textstand-alone"/>
        <w:spacing w:before="120" w:after="12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97" w:name="DOC_TBL00116_1_1"/>
            <w:bookmarkEnd w:id="297"/>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млн. EUR</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eastAsia="Verdana" w:cs="Verdana"/>
              </w:rPr>
            </w:pPr>
            <w:r>
              <w:t>Вид приходи</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Окончателен приет бюджет</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Установени вземания</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Получени суми</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Неизплатени суми</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Субсидия от Комисията</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1 593</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1 566</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1 565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Приходи от хонорари</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557</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603</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558</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45</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Други приходи</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335</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640</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635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
              <w:rPr>
                <w:rFonts w:eastAsia="Verdana" w:cs="Verdana"/>
              </w:rPr>
            </w:pP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2 486</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2 809</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2 759</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50</w:t>
            </w:r>
          </w:p>
        </w:tc>
      </w:tr>
    </w:tbl>
    <w:p w:rsidR="00F50689" w:rsidRDefault="005A36C4" w:rsidP="00F50689">
      <w:pPr>
        <w:pStyle w:val="Textstand-alone"/>
        <w:sectPr w:rsidR="00F50689" w:rsidSect="00F50689">
          <w:headerReference w:type="even" r:id="rId599"/>
          <w:headerReference w:type="default" r:id="rId600"/>
          <w:footerReference w:type="even" r:id="rId601"/>
          <w:footerReference w:type="default" r:id="rId602"/>
          <w:headerReference w:type="first" r:id="rId603"/>
          <w:footerReference w:type="first" r:id="rId604"/>
          <w:pgSz w:w="11906" w:h="16838"/>
          <w:pgMar w:top="1134" w:right="1134" w:bottom="1134" w:left="1134" w:header="709" w:footer="709" w:gutter="0"/>
          <w:cols w:space="708"/>
          <w:docGrid w:linePitch="360"/>
        </w:sectPr>
      </w:pPr>
      <w:r>
        <w:t xml:space="preserve"> </w:t>
      </w:r>
      <w:bookmarkEnd w:id="295"/>
    </w:p>
    <w:p w:rsidR="00F50689" w:rsidRPr="002C1CBD" w:rsidRDefault="005A36C4" w:rsidP="00F50689">
      <w:pPr>
        <w:pStyle w:val="HEADER2Part3"/>
        <w:spacing w:before="0" w:after="0"/>
      </w:pPr>
      <w:bookmarkStart w:id="298" w:name="_Toc431307082"/>
      <w:bookmarkStart w:id="299" w:name="_DMBM_3451"/>
      <w:r>
        <w:t>БЮДЖЕТНИ КРЕДИТИ ЗА ПОЕТИ ЗАДЪЛЖЕНИЯ И ЗА ПЛАЩАНИЯ ПО АГЕНЦИИ</w:t>
      </w:r>
      <w:bookmarkEnd w:id="29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959"/>
        <w:gridCol w:w="992"/>
        <w:gridCol w:w="992"/>
        <w:gridCol w:w="1134"/>
        <w:gridCol w:w="992"/>
        <w:gridCol w:w="993"/>
      </w:tblGrid>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F50689" w:rsidP="00F50689">
            <w:pPr>
              <w:pStyle w:val="Text8pItalicLeft"/>
              <w:rPr>
                <w:rFonts w:eastAsia="Verdana" w:cs="Verdana"/>
                <w:color w:val="FFFFFF"/>
                <w:spacing w:val="-6"/>
              </w:rPr>
            </w:pPr>
            <w:bookmarkStart w:id="300" w:name="DOC_TBL00117_1_1"/>
            <w:bookmarkEnd w:id="300"/>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F50689" w:rsidP="00F50689">
            <w:pPr>
              <w:pStyle w:val="Text8pItalicRight025EUR"/>
              <w:rPr>
                <w:rFonts w:eastAsia="Verdana" w:cs="Verdana"/>
                <w:i w:val="0"/>
                <w:spacing w:val="-6"/>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F50689" w:rsidP="00F50689">
            <w:pPr>
              <w:pStyle w:val="Text8pItalicRight025EUR"/>
              <w:rPr>
                <w:rFonts w:eastAsia="Verdana" w:cs="Verdana"/>
                <w:i w:val="0"/>
                <w:spacing w:val="-6"/>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F50689" w:rsidP="00F50689">
            <w:pPr>
              <w:pStyle w:val="Text8pItalicRight025EUR"/>
              <w:rPr>
                <w:rFonts w:eastAsia="Verdana" w:cs="Verdana"/>
                <w:i w:val="0"/>
                <w:spacing w:val="-6"/>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F50689" w:rsidP="00F50689">
            <w:pPr>
              <w:pStyle w:val="Text8pItalicRight025EUR"/>
              <w:rPr>
                <w:rFonts w:eastAsia="Verdana" w:cs="Verdana"/>
                <w:i w:val="0"/>
                <w:spacing w:val="-6"/>
              </w:rPr>
            </w:pPr>
          </w:p>
        </w:tc>
        <w:tc>
          <w:tcPr>
            <w:tcW w:w="1985" w:type="dxa"/>
            <w:gridSpan w:val="2"/>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ItalicRight025EUR"/>
              <w:rPr>
                <w:rFonts w:eastAsia="Verdana" w:cs="Verdana"/>
                <w:spacing w:val="-6"/>
              </w:rPr>
            </w:pPr>
            <w:r w:rsidRPr="00A82E61">
              <w:rPr>
                <w:spacing w:val="-6"/>
              </w:rPr>
              <w:t>млн. EUR</w:t>
            </w:r>
          </w:p>
        </w:tc>
      </w:tr>
      <w:tr w:rsidR="00E7728E" w:rsidRPr="00A82E61" w:rsidTr="00A82E61">
        <w:tc>
          <w:tcPr>
            <w:tcW w:w="3544" w:type="dxa"/>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10pNormalCentered"/>
              <w:rPr>
                <w:rFonts w:eastAsia="Verdana" w:cs="Verdana"/>
                <w:spacing w:val="-6"/>
              </w:rPr>
            </w:pPr>
            <w:r w:rsidRPr="00A82E61">
              <w:rPr>
                <w:spacing w:val="-6"/>
              </w:rPr>
              <w:t>Агенция</w:t>
            </w:r>
          </w:p>
        </w:tc>
        <w:tc>
          <w:tcPr>
            <w:tcW w:w="2943" w:type="dxa"/>
            <w:gridSpan w:val="3"/>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10pNormalCentered"/>
              <w:rPr>
                <w:rFonts w:eastAsia="Verdana" w:cs="Verdana"/>
                <w:spacing w:val="-6"/>
              </w:rPr>
            </w:pPr>
            <w:r w:rsidRPr="00A82E61">
              <w:rPr>
                <w:spacing w:val="-6"/>
              </w:rPr>
              <w:t>Бюджетни кредити за поети задължения</w:t>
            </w:r>
          </w:p>
        </w:tc>
        <w:tc>
          <w:tcPr>
            <w:tcW w:w="3119" w:type="dxa"/>
            <w:gridSpan w:val="3"/>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10pNormalCentered"/>
              <w:rPr>
                <w:rFonts w:eastAsia="Verdana" w:cs="Verdana"/>
                <w:spacing w:val="-6"/>
              </w:rPr>
            </w:pPr>
            <w:r w:rsidRPr="00A82E61">
              <w:rPr>
                <w:spacing w:val="-6"/>
              </w:rPr>
              <w:t>Бюджетни кредити за плащания</w:t>
            </w:r>
          </w:p>
        </w:tc>
      </w:tr>
      <w:tr w:rsidR="00E7728E" w:rsidRPr="00A82E61" w:rsidTr="00A82E61">
        <w:tc>
          <w:tcPr>
            <w:tcW w:w="3544" w:type="dxa"/>
            <w:tcBorders>
              <w:top w:val="nil"/>
              <w:left w:val="nil"/>
              <w:bottom w:val="nil"/>
              <w:right w:val="nil"/>
            </w:tcBorders>
            <w:shd w:val="clear" w:color="auto" w:fill="016794"/>
            <w:tcMar>
              <w:top w:w="0" w:type="dxa"/>
              <w:left w:w="0" w:type="dxa"/>
              <w:bottom w:w="0" w:type="dxa"/>
              <w:right w:w="0" w:type="dxa"/>
            </w:tcMar>
          </w:tcPr>
          <w:p w:rsidR="00F50689" w:rsidRPr="00A82E61" w:rsidRDefault="00F50689" w:rsidP="00F50689">
            <w:pPr>
              <w:pStyle w:val="Heading10pNormalCentered"/>
              <w:rPr>
                <w:rFonts w:eastAsia="Verdana" w:cs="Verdana"/>
                <w:spacing w:val="-6"/>
              </w:rPr>
            </w:pPr>
          </w:p>
        </w:tc>
        <w:tc>
          <w:tcPr>
            <w:tcW w:w="959"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6"/>
              </w:rPr>
            </w:pPr>
            <w:r w:rsidRPr="00A82E61">
              <w:rPr>
                <w:spacing w:val="-6"/>
              </w:rPr>
              <w:t>Общо налични бюджетни кредити</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6"/>
              </w:rPr>
            </w:pPr>
            <w:r w:rsidRPr="00A82E61">
              <w:rPr>
                <w:spacing w:val="-6"/>
              </w:rPr>
              <w:t>Поети задължения</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6"/>
              </w:rPr>
            </w:pPr>
            <w:r w:rsidRPr="00A82E61">
              <w:rPr>
                <w:spacing w:val="-6"/>
              </w:rPr>
              <w:t>Пренесени за 2015 г.</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6"/>
              </w:rPr>
            </w:pPr>
            <w:r w:rsidRPr="00A82E61">
              <w:rPr>
                <w:spacing w:val="-6"/>
              </w:rPr>
              <w:t>Общо налични бюджетни кредити</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6"/>
              </w:rPr>
            </w:pPr>
            <w:r w:rsidRPr="00A82E61">
              <w:rPr>
                <w:spacing w:val="-6"/>
              </w:rPr>
              <w:t>Извършени плащания</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6"/>
              </w:rPr>
            </w:pPr>
            <w:r w:rsidRPr="00A82E61">
              <w:rPr>
                <w:spacing w:val="-6"/>
              </w:rPr>
              <w:t>Пренесени за 2015 г.</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Агенция за сътрудничество между регулаторите на енергия</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служба за подкрепа в областта на убежището</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агенция за авиационна безопасност</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125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63</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Frontex</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99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130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94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33</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 xml:space="preserve">Европейски център за развитие на професионалното обучение </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Европейски полицейски колеж</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агенция по химикали</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127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112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11</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Европейски център за профилактика и контрол на заболяванията</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12</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 xml:space="preserve">Европейски център за мониторинг на наркотиците и наркоманиите </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Европейски банков орган</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Европейски орган за застраховане и професионално пенсионно осигуряване</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6</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агенция за околната среда</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66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70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22</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полицейска служба</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6</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Европейски орган за ценни книжа и пазари</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6</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Агенция на Общността за контрол в рибарството</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Европейски орган за безопасност на храните</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78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Европейски институт за равенство между половете</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Надзорна агенция „Галилео“</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2 095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693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1 402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407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150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257</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Термоядрен синтез за енергия (ITER)</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1 169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1 169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573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507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38</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 xml:space="preserve">Звено на Европейския съюз за съдебно сътрудничество (Евроюст) </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eu.LISA</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15</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агенция по морска безопасност</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Служба за хармонизация във вътрешния пазар</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246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239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40</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агенция по лекарствата</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282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266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251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47</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агенция за мрежова и информационна сигурност</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Служба на Органа на европейските регулатори в областта на електронните съобщения (ОЕРЕС)</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 xml:space="preserve">Агенция на Европейския съюз за основните права </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7</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железопътна агенция</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агенция за безопасност и здраве при работа</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 xml:space="preserve">Европейски институт за иновации и технологии </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179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165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Център за преводи за органите на ЕС</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фондация за обучение</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 xml:space="preserve">Служба на Общността за сортовете растения </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0</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Европейска фондация за подобряване на условията на живот и труд</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Изпълнителна агенция за образование, аудио-визия и култура</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6</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Изпълнителна агенция за конкурентоспособност и иновации</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Изпълнителна агенция на Европейския научноизследователски съвет</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36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2</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Изпълнителна агенция за научни изследвания</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50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4</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Изпълнителна агенция за здравеопазване и въпроси, свързани с потребителите</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w:t>
            </w:r>
          </w:p>
        </w:tc>
      </w:tr>
      <w:tr w:rsidR="00E7728E" w:rsidRPr="00A82E61" w:rsidTr="00A82E61">
        <w:tc>
          <w:tcPr>
            <w:tcW w:w="354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NormalLeft"/>
              <w:ind w:left="0"/>
              <w:rPr>
                <w:rFonts w:eastAsia="Verdana" w:cs="Verdana"/>
                <w:spacing w:val="-6"/>
              </w:rPr>
            </w:pPr>
            <w:r w:rsidRPr="00A82E61">
              <w:rPr>
                <w:spacing w:val="-6"/>
              </w:rPr>
              <w:t>Изпълнителна агенция за иновации и мрежи</w:t>
            </w:r>
          </w:p>
        </w:tc>
        <w:tc>
          <w:tcPr>
            <w:tcW w:w="959"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8pNormalRight025"/>
              <w:rPr>
                <w:rFonts w:eastAsia="Verdana" w:cs="Verdana"/>
                <w:spacing w:val="-6"/>
              </w:rPr>
            </w:pPr>
            <w:r w:rsidRPr="00A82E61">
              <w:rPr>
                <w:spacing w:val="-6"/>
              </w:rPr>
              <w:t xml:space="preserve"> 1</w:t>
            </w:r>
          </w:p>
        </w:tc>
      </w:tr>
      <w:tr w:rsidR="00E7728E" w:rsidRPr="00A82E61" w:rsidTr="00A82E61">
        <w:tc>
          <w:tcPr>
            <w:tcW w:w="3544" w:type="dxa"/>
            <w:tcBorders>
              <w:top w:val="nil"/>
              <w:left w:val="nil"/>
              <w:bottom w:val="nil"/>
              <w:right w:val="nil"/>
            </w:tcBorders>
            <w:shd w:val="clear" w:color="auto" w:fill="CCE1EA"/>
            <w:tcMar>
              <w:top w:w="0" w:type="dxa"/>
              <w:left w:w="0" w:type="dxa"/>
              <w:bottom w:w="0" w:type="dxa"/>
              <w:right w:w="0" w:type="dxa"/>
            </w:tcMar>
          </w:tcPr>
          <w:p w:rsidR="00F50689" w:rsidRPr="00A82E61" w:rsidRDefault="00F50689" w:rsidP="00F50689">
            <w:pPr>
              <w:pStyle w:val="Heading7pBoldLeft"/>
              <w:rPr>
                <w:rFonts w:eastAsia="Verdana" w:cs="Verdana"/>
                <w:spacing w:val="-6"/>
              </w:rPr>
            </w:pPr>
          </w:p>
        </w:tc>
        <w:tc>
          <w:tcPr>
            <w:tcW w:w="959"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8pBoldRight025"/>
              <w:rPr>
                <w:rFonts w:eastAsia="Verdana" w:cs="Verdana"/>
                <w:spacing w:val="-6"/>
              </w:rPr>
            </w:pPr>
            <w:r w:rsidRPr="00A82E61">
              <w:rPr>
                <w:spacing w:val="-6"/>
              </w:rPr>
              <w:t>5 600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8pBoldRight025"/>
              <w:rPr>
                <w:rFonts w:eastAsia="Verdana" w:cs="Verdana"/>
                <w:spacing w:val="-6"/>
              </w:rPr>
            </w:pPr>
            <w:r w:rsidRPr="00A82E61">
              <w:rPr>
                <w:spacing w:val="-6"/>
              </w:rPr>
              <w:t>3 890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8pBoldRight025"/>
              <w:rPr>
                <w:rFonts w:eastAsia="Verdana" w:cs="Verdana"/>
                <w:spacing w:val="-6"/>
              </w:rPr>
            </w:pPr>
            <w:r w:rsidRPr="00A82E61">
              <w:rPr>
                <w:spacing w:val="-6"/>
              </w:rPr>
              <w:t>1 481</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8pBoldRight025"/>
              <w:rPr>
                <w:rFonts w:eastAsia="Verdana" w:cs="Verdana"/>
                <w:spacing w:val="-6"/>
              </w:rPr>
            </w:pPr>
            <w:r w:rsidRPr="00A82E61">
              <w:rPr>
                <w:spacing w:val="-6"/>
              </w:rPr>
              <w:t>3 488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8pBoldRight025"/>
              <w:rPr>
                <w:rFonts w:eastAsia="Verdana" w:cs="Verdana"/>
                <w:spacing w:val="-6"/>
              </w:rPr>
            </w:pPr>
            <w:r w:rsidRPr="00A82E61">
              <w:rPr>
                <w:spacing w:val="-6"/>
              </w:rPr>
              <w:t>2 563</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8pBoldRight025"/>
              <w:rPr>
                <w:rFonts w:eastAsia="Verdana" w:cs="Verdana"/>
                <w:spacing w:val="-6"/>
              </w:rPr>
            </w:pPr>
            <w:r w:rsidRPr="00A82E61">
              <w:rPr>
                <w:spacing w:val="-6"/>
              </w:rPr>
              <w:t xml:space="preserve"> 638</w:t>
            </w:r>
          </w:p>
        </w:tc>
      </w:tr>
    </w:tbl>
    <w:p w:rsidR="00F50689" w:rsidRPr="00461783" w:rsidRDefault="00F50689" w:rsidP="00F50689">
      <w:pPr>
        <w:pStyle w:val="Textstand-alone"/>
        <w:spacing w:after="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993"/>
        <w:gridCol w:w="992"/>
        <w:gridCol w:w="992"/>
        <w:gridCol w:w="992"/>
        <w:gridCol w:w="1134"/>
        <w:gridCol w:w="993"/>
      </w:tblGrid>
      <w:tr w:rsidR="00E7728E" w:rsidRPr="00A82E61">
        <w:tc>
          <w:tcPr>
            <w:tcW w:w="3510" w:type="dxa"/>
            <w:tcBorders>
              <w:top w:val="nil"/>
              <w:left w:val="nil"/>
              <w:bottom w:val="nil"/>
              <w:right w:val="nil"/>
            </w:tcBorders>
            <w:shd w:val="clear" w:color="auto" w:fill="auto"/>
            <w:tcMar>
              <w:top w:w="0" w:type="dxa"/>
              <w:left w:w="0" w:type="dxa"/>
              <w:bottom w:w="0" w:type="dxa"/>
              <w:right w:w="0" w:type="dxa"/>
            </w:tcMar>
          </w:tcPr>
          <w:p w:rsidR="00F50689" w:rsidRPr="00A82E61" w:rsidRDefault="00F50689" w:rsidP="00F50689">
            <w:pPr>
              <w:pStyle w:val="Text8pItalicLeft"/>
              <w:rPr>
                <w:rFonts w:eastAsia="Verdana" w:cs="Verdana"/>
                <w:color w:val="FFFFFF"/>
                <w:spacing w:val="-4"/>
              </w:rPr>
            </w:pPr>
            <w:bookmarkStart w:id="301" w:name="DOC_TBL00118_1_1"/>
            <w:bookmarkEnd w:id="301"/>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F50689" w:rsidP="00F50689">
            <w:pPr>
              <w:pStyle w:val="Text8pItalicRight025EUR"/>
              <w:rPr>
                <w:rFonts w:eastAsia="Verdana" w:cs="Verdana"/>
                <w:i w:val="0"/>
                <w:spacing w:val="-4"/>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F50689" w:rsidP="00F50689">
            <w:pPr>
              <w:pStyle w:val="Text8pItalicRight025EUR"/>
              <w:rPr>
                <w:rFonts w:eastAsia="Verdana" w:cs="Verdana"/>
                <w:i w:val="0"/>
                <w:spacing w:val="-4"/>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F50689" w:rsidP="00F50689">
            <w:pPr>
              <w:pStyle w:val="Text8pItalicRight025EUR"/>
              <w:rPr>
                <w:rFonts w:eastAsia="Verdana" w:cs="Verdana"/>
                <w:i w:val="0"/>
                <w:spacing w:val="-4"/>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F50689" w:rsidP="00F50689">
            <w:pPr>
              <w:pStyle w:val="Text8pItalicRight025EUR"/>
              <w:rPr>
                <w:rFonts w:eastAsia="Verdana" w:cs="Verdana"/>
                <w:i w:val="0"/>
                <w:spacing w:val="-4"/>
              </w:rPr>
            </w:pPr>
          </w:p>
        </w:tc>
        <w:tc>
          <w:tcPr>
            <w:tcW w:w="2127" w:type="dxa"/>
            <w:gridSpan w:val="2"/>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8pItalicRight025EUR"/>
              <w:rPr>
                <w:rFonts w:eastAsia="Verdana" w:cs="Verdana"/>
                <w:spacing w:val="-4"/>
              </w:rPr>
            </w:pPr>
            <w:r w:rsidRPr="00A82E61">
              <w:rPr>
                <w:spacing w:val="-4"/>
              </w:rPr>
              <w:t>млн. EUR</w:t>
            </w:r>
          </w:p>
        </w:tc>
      </w:tr>
      <w:tr w:rsidR="00E7728E" w:rsidRPr="00A82E61">
        <w:tc>
          <w:tcPr>
            <w:tcW w:w="3510" w:type="dxa"/>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10pNormalCentered"/>
              <w:rPr>
                <w:rFonts w:eastAsia="Verdana" w:cs="Verdana"/>
                <w:spacing w:val="-4"/>
              </w:rPr>
            </w:pPr>
            <w:r w:rsidRPr="00A82E61">
              <w:rPr>
                <w:spacing w:val="-4"/>
              </w:rPr>
              <w:t>Вид разходи</w:t>
            </w:r>
          </w:p>
        </w:tc>
        <w:tc>
          <w:tcPr>
            <w:tcW w:w="2977" w:type="dxa"/>
            <w:gridSpan w:val="3"/>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10pNormalCentered"/>
              <w:rPr>
                <w:rFonts w:eastAsia="Verdana" w:cs="Verdana"/>
                <w:spacing w:val="-4"/>
              </w:rPr>
            </w:pPr>
            <w:r w:rsidRPr="00A82E61">
              <w:rPr>
                <w:spacing w:val="-4"/>
              </w:rPr>
              <w:t>Бюджетни кредити за поети задължения</w:t>
            </w:r>
          </w:p>
        </w:tc>
        <w:tc>
          <w:tcPr>
            <w:tcW w:w="3119" w:type="dxa"/>
            <w:gridSpan w:val="3"/>
            <w:tcBorders>
              <w:top w:val="nil"/>
              <w:left w:val="nil"/>
              <w:bottom w:val="nil"/>
              <w:right w:val="nil"/>
            </w:tcBorders>
            <w:shd w:val="clear" w:color="auto" w:fill="016794"/>
            <w:tcMar>
              <w:top w:w="0" w:type="dxa"/>
              <w:left w:w="0" w:type="dxa"/>
              <w:bottom w:w="0" w:type="dxa"/>
              <w:right w:w="0" w:type="dxa"/>
            </w:tcMar>
          </w:tcPr>
          <w:p w:rsidR="00F50689" w:rsidRPr="00A82E61" w:rsidRDefault="005A36C4" w:rsidP="00F50689">
            <w:pPr>
              <w:pStyle w:val="Heading10pNormalCentered"/>
              <w:rPr>
                <w:rFonts w:eastAsia="Verdana" w:cs="Verdana"/>
                <w:spacing w:val="-4"/>
              </w:rPr>
            </w:pPr>
            <w:r w:rsidRPr="00A82E61">
              <w:rPr>
                <w:spacing w:val="-4"/>
              </w:rPr>
              <w:t>Бюджетни кредити за плащания</w:t>
            </w:r>
          </w:p>
        </w:tc>
      </w:tr>
      <w:tr w:rsidR="00E7728E" w:rsidRPr="00A82E61">
        <w:tc>
          <w:tcPr>
            <w:tcW w:w="3510" w:type="dxa"/>
            <w:tcBorders>
              <w:top w:val="nil"/>
              <w:left w:val="nil"/>
              <w:bottom w:val="nil"/>
              <w:right w:val="nil"/>
            </w:tcBorders>
            <w:shd w:val="clear" w:color="auto" w:fill="016794"/>
            <w:tcMar>
              <w:top w:w="0" w:type="dxa"/>
              <w:left w:w="0" w:type="dxa"/>
              <w:bottom w:w="0" w:type="dxa"/>
              <w:right w:w="0" w:type="dxa"/>
            </w:tcMar>
          </w:tcPr>
          <w:p w:rsidR="00F50689" w:rsidRPr="00A82E61" w:rsidRDefault="00F50689" w:rsidP="00F50689">
            <w:pPr>
              <w:pStyle w:val="Heading10pNormalCentered"/>
              <w:rPr>
                <w:rFonts w:eastAsia="Verdana" w:cs="Verdana"/>
                <w:spacing w:val="-4"/>
              </w:rPr>
            </w:pPr>
          </w:p>
        </w:tc>
        <w:tc>
          <w:tcPr>
            <w:tcW w:w="993"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4"/>
              </w:rPr>
            </w:pPr>
            <w:r w:rsidRPr="00A82E61">
              <w:rPr>
                <w:spacing w:val="-4"/>
              </w:rPr>
              <w:t>Общо налични бюджетни кредити</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4"/>
              </w:rPr>
            </w:pPr>
            <w:r w:rsidRPr="00A82E61">
              <w:rPr>
                <w:spacing w:val="-4"/>
              </w:rPr>
              <w:t>Поети задължения</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4"/>
              </w:rPr>
            </w:pPr>
            <w:r w:rsidRPr="00A82E61">
              <w:rPr>
                <w:spacing w:val="-4"/>
              </w:rPr>
              <w:t>Пренесени за 2015 г.</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4"/>
              </w:rPr>
            </w:pPr>
            <w:r w:rsidRPr="00A82E61">
              <w:rPr>
                <w:spacing w:val="-4"/>
              </w:rPr>
              <w:t>Общо налични бюджетни кредити</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4"/>
              </w:rPr>
            </w:pPr>
            <w:r w:rsidRPr="00A82E61">
              <w:rPr>
                <w:spacing w:val="-4"/>
              </w:rPr>
              <w:t>Извършени плащания</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Pr="00A82E61" w:rsidRDefault="005A36C4" w:rsidP="00F50689">
            <w:pPr>
              <w:pStyle w:val="Heading9pNormalRight01"/>
              <w:rPr>
                <w:rFonts w:eastAsia="Verdana" w:cs="Verdana"/>
                <w:spacing w:val="-4"/>
              </w:rPr>
            </w:pPr>
            <w:r w:rsidRPr="00A82E61">
              <w:rPr>
                <w:spacing w:val="-4"/>
              </w:rPr>
              <w:t>Пренесени за 2015 г.</w:t>
            </w:r>
          </w:p>
        </w:tc>
      </w:tr>
      <w:tr w:rsidR="00E7728E" w:rsidRPr="00A82E61">
        <w:tc>
          <w:tcPr>
            <w:tcW w:w="351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9pNormalLeft"/>
              <w:rPr>
                <w:rFonts w:eastAsia="Verdana" w:cs="Verdana"/>
                <w:spacing w:val="-4"/>
              </w:rPr>
            </w:pPr>
            <w:r w:rsidRPr="00A82E61">
              <w:rPr>
                <w:spacing w:val="-4"/>
              </w:rPr>
              <w:t>Персонал</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941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914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955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909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17</w:t>
            </w:r>
          </w:p>
        </w:tc>
      </w:tr>
      <w:tr w:rsidR="00E7728E" w:rsidRPr="00A82E61">
        <w:tc>
          <w:tcPr>
            <w:tcW w:w="351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9pNormalLeft"/>
              <w:rPr>
                <w:rFonts w:eastAsia="Verdana" w:cs="Verdana"/>
                <w:spacing w:val="-4"/>
              </w:rPr>
            </w:pPr>
            <w:r w:rsidRPr="00A82E61">
              <w:rPr>
                <w:spacing w:val="-4"/>
              </w:rPr>
              <w:t>Административни разходи</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387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363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465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346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99</w:t>
            </w:r>
          </w:p>
        </w:tc>
      </w:tr>
      <w:tr w:rsidR="00E7728E" w:rsidRPr="00A82E61">
        <w:tc>
          <w:tcPr>
            <w:tcW w:w="3510"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Text9pNormalLeft"/>
              <w:rPr>
                <w:rFonts w:eastAsia="Verdana" w:cs="Verdana"/>
                <w:spacing w:val="-4"/>
              </w:rPr>
            </w:pPr>
            <w:r w:rsidRPr="00A82E61">
              <w:rPr>
                <w:spacing w:val="-4"/>
              </w:rPr>
              <w:t>Оперативни разходи</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4 272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2 613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1 469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2 067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1 309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A82E61" w:rsidRDefault="005A36C4" w:rsidP="00F50689">
            <w:pPr>
              <w:pStyle w:val="Figures9pNormalRight025"/>
              <w:rPr>
                <w:rFonts w:eastAsia="Verdana" w:cs="Verdana"/>
                <w:spacing w:val="-4"/>
              </w:rPr>
            </w:pPr>
            <w:r w:rsidRPr="00A82E61">
              <w:rPr>
                <w:spacing w:val="-4"/>
              </w:rPr>
              <w:t xml:space="preserve"> 522</w:t>
            </w:r>
          </w:p>
        </w:tc>
      </w:tr>
      <w:tr w:rsidR="00E7728E" w:rsidRPr="00A82E61">
        <w:tc>
          <w:tcPr>
            <w:tcW w:w="3510" w:type="dxa"/>
            <w:tcBorders>
              <w:top w:val="nil"/>
              <w:left w:val="nil"/>
              <w:bottom w:val="nil"/>
              <w:right w:val="nil"/>
            </w:tcBorders>
            <w:shd w:val="clear" w:color="auto" w:fill="CCE1EA"/>
            <w:tcMar>
              <w:top w:w="0" w:type="dxa"/>
              <w:left w:w="0" w:type="dxa"/>
              <w:bottom w:w="0" w:type="dxa"/>
              <w:right w:w="0" w:type="dxa"/>
            </w:tcMar>
          </w:tcPr>
          <w:p w:rsidR="00F50689" w:rsidRPr="00A82E61" w:rsidRDefault="00F50689" w:rsidP="00F50689">
            <w:pPr>
              <w:pStyle w:val="Text9pBoldLeft"/>
              <w:rPr>
                <w:rFonts w:eastAsia="Verdana" w:cs="Verdana"/>
                <w:spacing w:val="-4"/>
              </w:rPr>
            </w:pPr>
          </w:p>
        </w:tc>
        <w:tc>
          <w:tcPr>
            <w:tcW w:w="993"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9pBoldRight025"/>
              <w:rPr>
                <w:rFonts w:eastAsia="Verdana" w:cs="Verdana"/>
                <w:spacing w:val="-4"/>
              </w:rPr>
            </w:pPr>
            <w:r w:rsidRPr="00A82E61">
              <w:rPr>
                <w:spacing w:val="-4"/>
              </w:rPr>
              <w:t>5 600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9pBoldRight025"/>
              <w:rPr>
                <w:rFonts w:eastAsia="Verdana" w:cs="Verdana"/>
                <w:spacing w:val="-4"/>
              </w:rPr>
            </w:pPr>
            <w:r w:rsidRPr="00A82E61">
              <w:rPr>
                <w:spacing w:val="-4"/>
              </w:rPr>
              <w:t>3 890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9pBoldRight025"/>
              <w:rPr>
                <w:rFonts w:eastAsia="Verdana" w:cs="Verdana"/>
                <w:spacing w:val="-4"/>
              </w:rPr>
            </w:pPr>
            <w:r w:rsidRPr="00A82E61">
              <w:rPr>
                <w:spacing w:val="-4"/>
              </w:rPr>
              <w:t>1 481</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9pBoldRight025"/>
              <w:rPr>
                <w:rFonts w:eastAsia="Verdana" w:cs="Verdana"/>
                <w:spacing w:val="-4"/>
              </w:rPr>
            </w:pPr>
            <w:r w:rsidRPr="00A82E61">
              <w:rPr>
                <w:spacing w:val="-4"/>
              </w:rPr>
              <w:t>3 488</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9pBoldRight025"/>
              <w:rPr>
                <w:rFonts w:eastAsia="Verdana" w:cs="Verdana"/>
                <w:spacing w:val="-4"/>
              </w:rPr>
            </w:pPr>
            <w:r w:rsidRPr="00A82E61">
              <w:rPr>
                <w:spacing w:val="-4"/>
              </w:rPr>
              <w:t>2 563</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Pr="00A82E61" w:rsidRDefault="005A36C4" w:rsidP="00F50689">
            <w:pPr>
              <w:pStyle w:val="Figures9pBoldRight025"/>
              <w:rPr>
                <w:rFonts w:eastAsia="Verdana" w:cs="Verdana"/>
                <w:spacing w:val="-4"/>
              </w:rPr>
            </w:pPr>
            <w:r w:rsidRPr="00A82E61">
              <w:rPr>
                <w:spacing w:val="-4"/>
              </w:rPr>
              <w:t xml:space="preserve"> 638</w:t>
            </w:r>
          </w:p>
        </w:tc>
      </w:tr>
    </w:tbl>
    <w:p w:rsidR="00F50689" w:rsidRDefault="005A36C4" w:rsidP="00F50689">
      <w:pPr>
        <w:pStyle w:val="Textstand-alone"/>
        <w:sectPr w:rsidR="00F50689" w:rsidSect="00F50689">
          <w:headerReference w:type="even" r:id="rId605"/>
          <w:headerReference w:type="default" r:id="rId606"/>
          <w:footerReference w:type="even" r:id="rId607"/>
          <w:footerReference w:type="default" r:id="rId608"/>
          <w:headerReference w:type="first" r:id="rId609"/>
          <w:footerReference w:type="first" r:id="rId610"/>
          <w:type w:val="continuous"/>
          <w:pgSz w:w="11906" w:h="16838"/>
          <w:pgMar w:top="1134" w:right="1134" w:bottom="1134" w:left="1134" w:header="709" w:footer="709" w:gutter="0"/>
          <w:cols w:space="708"/>
          <w:docGrid w:linePitch="360"/>
        </w:sectPr>
      </w:pPr>
      <w:r>
        <w:t xml:space="preserve"> </w:t>
      </w:r>
      <w:bookmarkEnd w:id="299"/>
    </w:p>
    <w:p w:rsidR="00F50689" w:rsidRPr="001E5789" w:rsidRDefault="005A36C4" w:rsidP="00A82E61">
      <w:pPr>
        <w:pStyle w:val="HEADER2Part3"/>
        <w:spacing w:before="240" w:after="120"/>
      </w:pPr>
      <w:bookmarkStart w:id="302" w:name="_Toc431307083"/>
      <w:bookmarkStart w:id="303" w:name="_DMBM_3453"/>
      <w:r>
        <w:t>БЮДЖЕТЕН РЕЗУЛТАТ, ВКЛЮЧВАЩ АГЕНЦИИТЕ</w:t>
      </w:r>
      <w:bookmarkEnd w:id="30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Left"/>
              <w:rPr>
                <w:rFonts w:eastAsia="Verdana" w:cs="Verdana"/>
                <w:color w:val="FFFFFF"/>
              </w:rPr>
            </w:pPr>
            <w:bookmarkStart w:id="304" w:name="DOC_TBL00119_1_1"/>
            <w:bookmarkEnd w:id="304"/>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8pItalicRight025EUR"/>
              <w:rPr>
                <w:rFonts w:eastAsia="Verdana" w:cs="Verdana"/>
              </w:rPr>
            </w:pPr>
            <w:r>
              <w:t>млн. EUR</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Pr="001E5789" w:rsidRDefault="00F50689" w:rsidP="00F50689">
            <w:pPr>
              <w:pStyle w:val="Heading10pNormalLeft"/>
              <w:rPr>
                <w:rFonts w:eastAsia="Verdana"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rPr>
            </w:pPr>
            <w:r>
              <w:t>Европейски съюз</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rPr>
            </w:pPr>
            <w:r>
              <w:t>АГЕНЦИИ</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rPr>
            </w:pPr>
            <w:r>
              <w:t>Изключване на субсидиите за агенциите</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rPr>
            </w:pPr>
            <w:r>
              <w:t>ОБЩО</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Приходи за финансовата година</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143 940</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2 759</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(1 565)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145 134</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Плащания спрямо бюджетните кредити за текущата година</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(137 136)</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(2 049)</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1 565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(137 620)</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Плащания спрямо бюджетните кредити от целеви приходи</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(4 057)</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(300)</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(4 357)</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Бюджетни кредити за плащания, пренесени за година N+1</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(1 787)</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(402)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(2 189)</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Отмяна на неусвоени бюджетни кредити, пренесени от година N-1</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25</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157</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182</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Промяна на целевите приходи</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336</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(235)</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101</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 xml:space="preserve">Курсови разлики за годината </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110</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108</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Pr="001E5789" w:rsidRDefault="00F50689" w:rsidP="00F50689">
            <w:pPr>
              <w:pStyle w:val="Text9pBoldLeft"/>
              <w:rPr>
                <w:rFonts w:eastAsia="Verdana" w:cs="Verdana"/>
              </w:rPr>
            </w:pP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rPr>
            </w:pPr>
            <w:r>
              <w:t>1 432</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rPr>
            </w:pPr>
            <w:r>
              <w:t xml:space="preserve"> (73)</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rPr>
            </w:pPr>
            <w:r>
              <w:t>–</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rPr>
            </w:pPr>
            <w:r>
              <w:t>1 358</w:t>
            </w:r>
          </w:p>
        </w:tc>
      </w:tr>
    </w:tbl>
    <w:p w:rsidR="00F50689" w:rsidRPr="001E5789" w:rsidRDefault="005A36C4" w:rsidP="00F50689">
      <w:pPr>
        <w:pStyle w:val="Textstand-alone"/>
      </w:pPr>
      <w:r>
        <w:t>За да бъдат предоставени всички съответни бюджетни данни за агенциите, консолидираните годишни отчети включват отделни отчети за изпълнението на индивидуалните бюджети на консолидираните традиционни агенции.</w:t>
      </w:r>
      <w:bookmarkEnd w:id="1"/>
      <w:bookmarkEnd w:id="303"/>
    </w:p>
    <w:sectPr w:rsidR="00F50689" w:rsidRPr="001E5789" w:rsidSect="00F50689">
      <w:headerReference w:type="even" r:id="rId611"/>
      <w:headerReference w:type="default" r:id="rId612"/>
      <w:footerReference w:type="even" r:id="rId613"/>
      <w:footerReference w:type="default" r:id="rId614"/>
      <w:headerReference w:type="first" r:id="rId615"/>
      <w:footerReference w:type="first" r:id="rId616"/>
      <w:type w:val="continuous"/>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541" w:rsidRDefault="00F75541">
      <w:r>
        <w:separator/>
      </w:r>
    </w:p>
  </w:endnote>
  <w:endnote w:type="continuationSeparator" w:id="0">
    <w:p w:rsidR="00F75541" w:rsidRDefault="00F75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79" w:rsidRPr="00B55B79" w:rsidRDefault="00B55B79" w:rsidP="00B55B7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4176" behindDoc="1" locked="0" layoutInCell="1" allowOverlap="1" wp14:anchorId="7AD9740B" wp14:editId="0345C482">
              <wp:simplePos x="0" y="0"/>
              <wp:positionH relativeFrom="column">
                <wp:posOffset>2866390</wp:posOffset>
              </wp:positionH>
              <wp:positionV relativeFrom="paragraph">
                <wp:posOffset>68580</wp:posOffset>
              </wp:positionV>
              <wp:extent cx="403225" cy="795655"/>
              <wp:effectExtent l="18415" t="20955" r="16510" b="21590"/>
              <wp:wrapNone/>
              <wp:docPr id="8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0" o:spid="_x0000_s1026" style="position:absolute;margin-left:225.7pt;margin-top:5.4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5Z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EKuzl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65</w:t>
    </w:r>
    <w:r w:rsidRPr="000D064C">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7248" behindDoc="1" locked="0" layoutInCell="1" allowOverlap="1" wp14:anchorId="2690621B" wp14:editId="0C10661A">
              <wp:simplePos x="0" y="0"/>
              <wp:positionH relativeFrom="column">
                <wp:posOffset>2866390</wp:posOffset>
              </wp:positionH>
              <wp:positionV relativeFrom="paragraph">
                <wp:posOffset>68580</wp:posOffset>
              </wp:positionV>
              <wp:extent cx="403225" cy="795655"/>
              <wp:effectExtent l="18415" t="20955" r="16510" b="21590"/>
              <wp:wrapNone/>
              <wp:docPr id="8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1" o:spid="_x0000_s1026" style="position:absolute;margin-left:225.7pt;margin-top:5.4pt;width:31.75pt;height:6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qLGQ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9166ix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0320" behindDoc="1" locked="0" layoutInCell="1" allowOverlap="1" wp14:anchorId="6C29B814" wp14:editId="1787BFCB">
              <wp:simplePos x="0" y="0"/>
              <wp:positionH relativeFrom="column">
                <wp:posOffset>2866390</wp:posOffset>
              </wp:positionH>
              <wp:positionV relativeFrom="paragraph">
                <wp:posOffset>68580</wp:posOffset>
              </wp:positionV>
              <wp:extent cx="403225" cy="795655"/>
              <wp:effectExtent l="18415" t="20955" r="16510" b="21590"/>
              <wp:wrapNone/>
              <wp:docPr id="8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2" o:spid="_x0000_s1026" style="position:absolute;margin-left:225.7pt;margin-top:5.4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YmGQ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aUlWJh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47136" behindDoc="1" locked="0" layoutInCell="1" allowOverlap="1" wp14:anchorId="66807DA4" wp14:editId="6A60D9A3">
              <wp:simplePos x="0" y="0"/>
              <wp:positionH relativeFrom="column">
                <wp:posOffset>2866390</wp:posOffset>
              </wp:positionH>
              <wp:positionV relativeFrom="paragraph">
                <wp:posOffset>68580</wp:posOffset>
              </wp:positionV>
              <wp:extent cx="403225" cy="795655"/>
              <wp:effectExtent l="18415" t="20955" r="16510" b="21590"/>
              <wp:wrapNone/>
              <wp:docPr id="1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7pt;margin-top:5.4pt;width:31.75pt;height:6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iZGgIAACc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IS2iJ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3392" behindDoc="1" locked="0" layoutInCell="1" allowOverlap="1" wp14:anchorId="4DD59135" wp14:editId="15307C84">
              <wp:simplePos x="0" y="0"/>
              <wp:positionH relativeFrom="column">
                <wp:posOffset>2866390</wp:posOffset>
              </wp:positionH>
              <wp:positionV relativeFrom="paragraph">
                <wp:posOffset>68580</wp:posOffset>
              </wp:positionV>
              <wp:extent cx="403225" cy="795655"/>
              <wp:effectExtent l="18415" t="20955" r="16510" b="21590"/>
              <wp:wrapNone/>
              <wp:docPr id="8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3" o:spid="_x0000_s1026" style="position:absolute;margin-left:225.7pt;margin-top:5.4pt;width:31.75pt;height:6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L0GQ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3Lki9B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6464" behindDoc="1" locked="0" layoutInCell="1" allowOverlap="1" wp14:anchorId="00259AC4" wp14:editId="3DAEF744">
              <wp:simplePos x="0" y="0"/>
              <wp:positionH relativeFrom="column">
                <wp:posOffset>2866390</wp:posOffset>
              </wp:positionH>
              <wp:positionV relativeFrom="paragraph">
                <wp:posOffset>68580</wp:posOffset>
              </wp:positionV>
              <wp:extent cx="403225" cy="795655"/>
              <wp:effectExtent l="18415" t="20955" r="16510" b="21590"/>
              <wp:wrapNone/>
              <wp:docPr id="7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4" o:spid="_x0000_s1026" style="position:absolute;margin-left:225.7pt;margin-top:5.4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9536" behindDoc="1" locked="0" layoutInCell="1" allowOverlap="1" wp14:anchorId="7C50D008" wp14:editId="4349B373">
              <wp:simplePos x="0" y="0"/>
              <wp:positionH relativeFrom="column">
                <wp:posOffset>2866390</wp:posOffset>
              </wp:positionH>
              <wp:positionV relativeFrom="paragraph">
                <wp:posOffset>68580</wp:posOffset>
              </wp:positionV>
              <wp:extent cx="403225" cy="795655"/>
              <wp:effectExtent l="18415" t="20955" r="16510" b="21590"/>
              <wp:wrapNone/>
              <wp:docPr id="7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9" o:spid="_x0000_s1026" style="position:absolute;margin-left:225.7pt;margin-top:5.4pt;width:31.75pt;height:6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SU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lghJQ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2608" behindDoc="1" locked="0" layoutInCell="1" allowOverlap="1" wp14:anchorId="7D7615DF" wp14:editId="3631F6B6">
              <wp:simplePos x="0" y="0"/>
              <wp:positionH relativeFrom="column">
                <wp:posOffset>2866390</wp:posOffset>
              </wp:positionH>
              <wp:positionV relativeFrom="paragraph">
                <wp:posOffset>68580</wp:posOffset>
              </wp:positionV>
              <wp:extent cx="403225" cy="795655"/>
              <wp:effectExtent l="18415" t="20955" r="16510" b="21590"/>
              <wp:wrapNone/>
              <wp:docPr id="7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0" o:spid="_x0000_s1026" style="position:absolute;margin-left:225.7pt;margin-top:5.4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AIFw3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66</w:t>
    </w:r>
    <w:r w:rsidRPr="000D064C">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5680" behindDoc="1" locked="0" layoutInCell="1" allowOverlap="1" wp14:anchorId="35D270C5" wp14:editId="653D086F">
              <wp:simplePos x="0" y="0"/>
              <wp:positionH relativeFrom="column">
                <wp:posOffset>2866390</wp:posOffset>
              </wp:positionH>
              <wp:positionV relativeFrom="paragraph">
                <wp:posOffset>68580</wp:posOffset>
              </wp:positionV>
              <wp:extent cx="403225" cy="795655"/>
              <wp:effectExtent l="18415" t="20955" r="16510" b="21590"/>
              <wp:wrapNone/>
              <wp:docPr id="7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1" o:spid="_x0000_s1026" style="position:absolute;margin-left:225.7pt;margin-top:5.4pt;width:31.75pt;height:6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bev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LHSBEJ&#10;PfoKqhHVC4aK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f1t68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8752" behindDoc="1" locked="0" layoutInCell="1" allowOverlap="1" wp14:anchorId="7179867A" wp14:editId="5E28F5B2">
              <wp:simplePos x="0" y="0"/>
              <wp:positionH relativeFrom="column">
                <wp:posOffset>2866390</wp:posOffset>
              </wp:positionH>
              <wp:positionV relativeFrom="paragraph">
                <wp:posOffset>68580</wp:posOffset>
              </wp:positionV>
              <wp:extent cx="403225" cy="795655"/>
              <wp:effectExtent l="18415" t="20955" r="16510" b="21590"/>
              <wp:wrapNone/>
              <wp:docPr id="7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2" o:spid="_x0000_s1026" style="position:absolute;margin-left:225.7pt;margin-top:5.4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sC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LDSBEJ&#10;PfoKqhHVC4aK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niWwI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69</w:t>
    </w:r>
    <w:r w:rsidRPr="000D064C">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1824" behindDoc="1" locked="0" layoutInCell="1" allowOverlap="1" wp14:anchorId="6466A5C6" wp14:editId="50F27D49">
              <wp:simplePos x="0" y="0"/>
              <wp:positionH relativeFrom="column">
                <wp:posOffset>2866390</wp:posOffset>
              </wp:positionH>
              <wp:positionV relativeFrom="paragraph">
                <wp:posOffset>68580</wp:posOffset>
              </wp:positionV>
              <wp:extent cx="403225" cy="795655"/>
              <wp:effectExtent l="18415" t="20955" r="16510" b="21590"/>
              <wp:wrapNone/>
              <wp:docPr id="7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3" o:spid="_x0000_s1026" style="position:absolute;margin-left:225.7pt;margin-top:5.4pt;width:31.75pt;height:6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Q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RXIo4iE&#10;Hn0G1YjqBEP5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wSL9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4896" behindDoc="1" locked="0" layoutInCell="1" allowOverlap="1" wp14:anchorId="01BD49FE" wp14:editId="55CC3B09">
              <wp:simplePos x="0" y="0"/>
              <wp:positionH relativeFrom="column">
                <wp:posOffset>2866390</wp:posOffset>
              </wp:positionH>
              <wp:positionV relativeFrom="paragraph">
                <wp:posOffset>68580</wp:posOffset>
              </wp:positionV>
              <wp:extent cx="403225" cy="795655"/>
              <wp:effectExtent l="18415" t="20955" r="16510" b="21590"/>
              <wp:wrapNone/>
              <wp:docPr id="6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4" o:spid="_x0000_s1026" style="position:absolute;margin-left:225.7pt;margin-top:5.4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oL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HcDags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7968" behindDoc="1" locked="0" layoutInCell="1" allowOverlap="1" wp14:anchorId="1701B718" wp14:editId="37D9D0A3">
              <wp:simplePos x="0" y="0"/>
              <wp:positionH relativeFrom="column">
                <wp:posOffset>2866390</wp:posOffset>
              </wp:positionH>
              <wp:positionV relativeFrom="paragraph">
                <wp:posOffset>68580</wp:posOffset>
              </wp:positionV>
              <wp:extent cx="403225" cy="795655"/>
              <wp:effectExtent l="18415" t="20955" r="16510" b="21590"/>
              <wp:wrapNone/>
              <wp:docPr id="6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5" o:spid="_x0000_s1026" style="position:absolute;margin-left:225.7pt;margin-top:5.4pt;width:31.75pt;height:6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7Z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MLzHtk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70</w:t>
    </w:r>
    <w:r w:rsidRPr="000D064C">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1040" behindDoc="1" locked="0" layoutInCell="1" allowOverlap="1" wp14:anchorId="3A25CA8B" wp14:editId="56D7FB5B">
              <wp:simplePos x="0" y="0"/>
              <wp:positionH relativeFrom="column">
                <wp:posOffset>2866390</wp:posOffset>
              </wp:positionH>
              <wp:positionV relativeFrom="paragraph">
                <wp:posOffset>68580</wp:posOffset>
              </wp:positionV>
              <wp:extent cx="403225" cy="795655"/>
              <wp:effectExtent l="18415" t="20955" r="16510" b="21590"/>
              <wp:wrapNone/>
              <wp:docPr id="6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6" o:spid="_x0000_s1026" style="position:absolute;margin-left:225.7pt;margin-top:5.4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UH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hipImC&#10;Hn0G1YjuJUflI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NrHdQc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49184" behindDoc="1" locked="0" layoutInCell="1" allowOverlap="1" wp14:anchorId="208A32FC" wp14:editId="70D2AF2E">
              <wp:simplePos x="0" y="0"/>
              <wp:positionH relativeFrom="column">
                <wp:posOffset>2866390</wp:posOffset>
              </wp:positionH>
              <wp:positionV relativeFrom="paragraph">
                <wp:posOffset>68580</wp:posOffset>
              </wp:positionV>
              <wp:extent cx="403225" cy="795655"/>
              <wp:effectExtent l="18415" t="20955" r="16510" b="21590"/>
              <wp:wrapNone/>
              <wp:docPr id="1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 o:spid="_x0000_s1026" style="position:absolute;margin-left:225.7pt;margin-top:5.4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2WGgIAACc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F8DnZY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25</w:t>
    </w:r>
    <w:r w:rsidRPr="000D064C">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4112" behindDoc="1" locked="0" layoutInCell="1" allowOverlap="1" wp14:anchorId="36D2A920" wp14:editId="4AAF0D03">
              <wp:simplePos x="0" y="0"/>
              <wp:positionH relativeFrom="column">
                <wp:posOffset>2866390</wp:posOffset>
              </wp:positionH>
              <wp:positionV relativeFrom="paragraph">
                <wp:posOffset>68580</wp:posOffset>
              </wp:positionV>
              <wp:extent cx="403225" cy="795655"/>
              <wp:effectExtent l="18415" t="20955" r="16510" b="21590"/>
              <wp:wrapNone/>
              <wp:docPr id="6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7" o:spid="_x0000_s1026" style="position:absolute;margin-left:225.7pt;margin-top:5.4pt;width:31.75pt;height:62.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HV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hgpImC&#10;Hn0G1YjuJUflM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83AdU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7184" behindDoc="1" locked="0" layoutInCell="1" allowOverlap="1" wp14:anchorId="38930482" wp14:editId="7B20AF96">
              <wp:simplePos x="0" y="0"/>
              <wp:positionH relativeFrom="column">
                <wp:posOffset>2866390</wp:posOffset>
              </wp:positionH>
              <wp:positionV relativeFrom="paragraph">
                <wp:posOffset>68580</wp:posOffset>
              </wp:positionV>
              <wp:extent cx="403225" cy="795655"/>
              <wp:effectExtent l="18415" t="20955" r="16510" b="21590"/>
              <wp:wrapNone/>
              <wp:docPr id="6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9" o:spid="_x0000_s1026" style="position:absolute;margin-left:225.7pt;margin-top:5.4pt;width:31.75pt;height:6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0DGwIAACc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B5pz0D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0256" behindDoc="1" locked="0" layoutInCell="1" allowOverlap="1" wp14:anchorId="2FFD0ED2" wp14:editId="1A2E5566">
              <wp:simplePos x="0" y="0"/>
              <wp:positionH relativeFrom="column">
                <wp:posOffset>2866390</wp:posOffset>
              </wp:positionH>
              <wp:positionV relativeFrom="paragraph">
                <wp:posOffset>68580</wp:posOffset>
              </wp:positionV>
              <wp:extent cx="403225" cy="795655"/>
              <wp:effectExtent l="18415" t="20955" r="16510" b="21590"/>
              <wp:wrapNone/>
              <wp:docPr id="6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0" o:spid="_x0000_s1026" style="position:absolute;margin-left:225.7pt;margin-top:5.4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rG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8hpEi&#10;Emb0HVgjqhMMFZ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yMCxl5H6&#10;MkIUBagK1xiN5o0f12FnLO96eGkae1f6GsbX8kjtS1WnYkGNcTinzQlyv/Rj1st+b54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PE2GsY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71</w:t>
    </w:r>
    <w:r w:rsidRPr="000D064C">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3328" behindDoc="1" locked="0" layoutInCell="1" allowOverlap="1" wp14:anchorId="7E8EEBFD" wp14:editId="4C00431E">
              <wp:simplePos x="0" y="0"/>
              <wp:positionH relativeFrom="column">
                <wp:posOffset>4445635</wp:posOffset>
              </wp:positionH>
              <wp:positionV relativeFrom="paragraph">
                <wp:posOffset>82550</wp:posOffset>
              </wp:positionV>
              <wp:extent cx="403225" cy="795655"/>
              <wp:effectExtent l="16510" t="15875" r="18415" b="17145"/>
              <wp:wrapNone/>
              <wp:docPr id="6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1" o:spid="_x0000_s1026" style="position:absolute;margin-left:350.05pt;margin-top:6.5pt;width:31.75pt;height:62.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4U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TzHSBEJ&#10;PfoKqhHVC4bK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BExm4U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72</w:t>
    </w:r>
    <w:r w:rsidRPr="000D064C">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6400" behindDoc="1" locked="0" layoutInCell="1" allowOverlap="1" wp14:anchorId="411BB9A1" wp14:editId="5FAD2642">
              <wp:simplePos x="0" y="0"/>
              <wp:positionH relativeFrom="column">
                <wp:posOffset>4445635</wp:posOffset>
              </wp:positionH>
              <wp:positionV relativeFrom="paragraph">
                <wp:posOffset>82550</wp:posOffset>
              </wp:positionV>
              <wp:extent cx="403225" cy="795655"/>
              <wp:effectExtent l="16510" t="15875" r="18415" b="17145"/>
              <wp:wrapNone/>
              <wp:docPr id="6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2" o:spid="_x0000_s1026" style="position:absolute;margin-left:350.05pt;margin-top:6.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K5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TzDSBEJ&#10;PfoKqhHVC4bK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a0YK5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74</w:t>
    </w:r>
    <w:r w:rsidRPr="000D064C">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9472" behindDoc="1" locked="0" layoutInCell="1" allowOverlap="1" wp14:anchorId="10A1AAD7" wp14:editId="2523AD0F">
              <wp:simplePos x="0" y="0"/>
              <wp:positionH relativeFrom="column">
                <wp:posOffset>2866390</wp:posOffset>
              </wp:positionH>
              <wp:positionV relativeFrom="paragraph">
                <wp:posOffset>68580</wp:posOffset>
              </wp:positionV>
              <wp:extent cx="403225" cy="795655"/>
              <wp:effectExtent l="18415" t="20955" r="16510" b="21590"/>
              <wp:wrapNone/>
              <wp:docPr id="6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3" o:spid="_x0000_s1026" style="position:absolute;margin-left:225.7pt;margin-top:5.4pt;width:31.75pt;height:62.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Zr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SXIo4iE&#10;Hn0G1YjqBEPF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8h9m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75</w:t>
    </w:r>
    <w:r w:rsidRPr="000D064C">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2544" behindDoc="1" locked="0" layoutInCell="1" allowOverlap="1" wp14:anchorId="64B2DFB4" wp14:editId="3D3CF2A1">
              <wp:simplePos x="0" y="0"/>
              <wp:positionH relativeFrom="column">
                <wp:posOffset>2866390</wp:posOffset>
              </wp:positionH>
              <wp:positionV relativeFrom="paragraph">
                <wp:posOffset>68580</wp:posOffset>
              </wp:positionV>
              <wp:extent cx="403225" cy="795655"/>
              <wp:effectExtent l="18415" t="20955" r="16510" b="21590"/>
              <wp:wrapNone/>
              <wp:docPr id="5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4" o:spid="_x0000_s1026" style="position:absolute;margin-left:225.7pt;margin-top:5.4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H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DL9rwc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76</w:t>
    </w:r>
    <w:r w:rsidRPr="000D064C">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5616" behindDoc="1" locked="0" layoutInCell="1" allowOverlap="1" wp14:anchorId="6634D617" wp14:editId="140614C3">
              <wp:simplePos x="0" y="0"/>
              <wp:positionH relativeFrom="column">
                <wp:posOffset>2866390</wp:posOffset>
              </wp:positionH>
              <wp:positionV relativeFrom="paragraph">
                <wp:posOffset>68580</wp:posOffset>
              </wp:positionV>
              <wp:extent cx="403225" cy="795655"/>
              <wp:effectExtent l="18415" t="20955" r="16510" b="21590"/>
              <wp:wrapNone/>
              <wp:docPr id="5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5" o:spid="_x0000_s1026" style="position:absolute;margin-left:225.7pt;margin-top:5.4pt;width:31.75pt;height:6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vV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IcN29U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8688" behindDoc="1" locked="0" layoutInCell="1" allowOverlap="1" wp14:anchorId="48573F9A" wp14:editId="562FCAB7">
              <wp:simplePos x="0" y="0"/>
              <wp:positionH relativeFrom="column">
                <wp:posOffset>2866390</wp:posOffset>
              </wp:positionH>
              <wp:positionV relativeFrom="paragraph">
                <wp:posOffset>68580</wp:posOffset>
              </wp:positionV>
              <wp:extent cx="403225" cy="795655"/>
              <wp:effectExtent l="18415" t="20955" r="16510" b="21590"/>
              <wp:wrapNone/>
              <wp:docPr id="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6" o:spid="_x0000_s1026" style="position:absolute;margin-left:225.7pt;margin-top:5.4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85sA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77</w:t>
    </w:r>
    <w:r w:rsidRPr="000D064C">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1760" behindDoc="1" locked="0" layoutInCell="1" allowOverlap="1" wp14:anchorId="0280AB2C" wp14:editId="1D335E8D">
              <wp:simplePos x="0" y="0"/>
              <wp:positionH relativeFrom="column">
                <wp:posOffset>2866390</wp:posOffset>
              </wp:positionH>
              <wp:positionV relativeFrom="paragraph">
                <wp:posOffset>68580</wp:posOffset>
              </wp:positionV>
              <wp:extent cx="403225" cy="795655"/>
              <wp:effectExtent l="18415" t="20955" r="16510" b="21590"/>
              <wp:wrapNone/>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7" o:spid="_x0000_s1026" style="position:absolute;margin-left:225.7pt;margin-top:5.4pt;width:31.75pt;height:62.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rJxN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78</w:t>
    </w:r>
    <w:r w:rsidRPr="000D064C">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51232" behindDoc="1" locked="0" layoutInCell="1" allowOverlap="1" wp14:anchorId="5D977C68" wp14:editId="178C95FF">
              <wp:simplePos x="0" y="0"/>
              <wp:positionH relativeFrom="column">
                <wp:posOffset>2866390</wp:posOffset>
              </wp:positionH>
              <wp:positionV relativeFrom="paragraph">
                <wp:posOffset>68580</wp:posOffset>
              </wp:positionV>
              <wp:extent cx="403225" cy="795655"/>
              <wp:effectExtent l="18415" t="20955" r="16510" b="21590"/>
              <wp:wrapNone/>
              <wp:docPr id="1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7pt;margin-top:5.4pt;width:31.75pt;height:6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bZGQIAACc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JbaW2R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26</w:t>
    </w:r>
    <w:r w:rsidRPr="000D064C">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4832" behindDoc="1" locked="0" layoutInCell="1" allowOverlap="1" wp14:anchorId="56BEF71A" wp14:editId="771A93E8">
              <wp:simplePos x="0" y="0"/>
              <wp:positionH relativeFrom="column">
                <wp:posOffset>2866390</wp:posOffset>
              </wp:positionH>
              <wp:positionV relativeFrom="paragraph">
                <wp:posOffset>68580</wp:posOffset>
              </wp:positionV>
              <wp:extent cx="403225" cy="795655"/>
              <wp:effectExtent l="18415" t="20955" r="16510" b="21590"/>
              <wp:wrapNone/>
              <wp:docPr id="5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8" o:spid="_x0000_s1026" style="position:absolute;margin-left:225.7pt;margin-top:5.4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ImpjN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85</w:t>
    </w:r>
    <w:r w:rsidRPr="000D064C">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7904" behindDoc="1" locked="0" layoutInCell="1" allowOverlap="1" wp14:anchorId="51A927F6" wp14:editId="616EEBCC">
              <wp:simplePos x="0" y="0"/>
              <wp:positionH relativeFrom="column">
                <wp:posOffset>2866390</wp:posOffset>
              </wp:positionH>
              <wp:positionV relativeFrom="paragraph">
                <wp:posOffset>68580</wp:posOffset>
              </wp:positionV>
              <wp:extent cx="403225" cy="795655"/>
              <wp:effectExtent l="18415" t="20955" r="16510" b="21590"/>
              <wp:wrapNone/>
              <wp:docPr id="5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9" o:spid="_x0000_s1026" style="position:absolute;margin-left:225.7pt;margin-top:5.4pt;width:31.75pt;height:62.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gPGgIAACc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DxZ+A8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88</w:t>
    </w:r>
    <w:r w:rsidRPr="000D064C">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0976" behindDoc="1" locked="0" layoutInCell="1" allowOverlap="1" wp14:anchorId="7758CC5E" wp14:editId="24A53B7E">
              <wp:simplePos x="0" y="0"/>
              <wp:positionH relativeFrom="column">
                <wp:posOffset>2866390</wp:posOffset>
              </wp:positionH>
              <wp:positionV relativeFrom="paragraph">
                <wp:posOffset>68580</wp:posOffset>
              </wp:positionV>
              <wp:extent cx="403225" cy="795655"/>
              <wp:effectExtent l="18415" t="20955" r="16510" b="21590"/>
              <wp:wrapNone/>
              <wp:docPr id="5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0" o:spid="_x0000_s1026" style="position:absolute;margin-left:225.7pt;margin-top:5.4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DR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XAxw0gR&#10;CTP6DqwR1QmG5p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yMCxl5H6&#10;MkIUBagK1xiN5o0f12FnLO96eGkae1f6GsbX8kjtS1WnYkGNcTinzQlyv/Rj1st+b54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KVkANE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89</w:t>
    </w:r>
    <w:r w:rsidRPr="000D064C">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4048" behindDoc="1" locked="0" layoutInCell="1" allowOverlap="1" wp14:anchorId="71E828A9" wp14:editId="726CDE11">
              <wp:simplePos x="0" y="0"/>
              <wp:positionH relativeFrom="column">
                <wp:posOffset>4445635</wp:posOffset>
              </wp:positionH>
              <wp:positionV relativeFrom="paragraph">
                <wp:posOffset>82550</wp:posOffset>
              </wp:positionV>
              <wp:extent cx="403225" cy="795655"/>
              <wp:effectExtent l="16510" t="15875" r="18415" b="17145"/>
              <wp:wrapNone/>
              <wp:docPr id="5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1" o:spid="_x0000_s1026" style="position:absolute;margin-left:350.05pt;margin-top:6.5pt;width:31.75pt;height:62.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QD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ljpIiE&#10;Hn0F1YjqBUPz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QlHQD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90</w:t>
    </w:r>
    <w:r w:rsidRPr="000D064C">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7120" behindDoc="1" locked="0" layoutInCell="1" allowOverlap="1" wp14:anchorId="559029FC" wp14:editId="16A79379">
              <wp:simplePos x="0" y="0"/>
              <wp:positionH relativeFrom="column">
                <wp:posOffset>2866390</wp:posOffset>
              </wp:positionH>
              <wp:positionV relativeFrom="paragraph">
                <wp:posOffset>68580</wp:posOffset>
              </wp:positionV>
              <wp:extent cx="403225" cy="795655"/>
              <wp:effectExtent l="18415" t="20955" r="16510" b="21590"/>
              <wp:wrapNone/>
              <wp:docPr id="5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2" o:spid="_x0000_s1026" style="position:absolute;margin-left:225.7pt;margin-top:5.4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iu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lhpIiE&#10;Hn0F1YjqBUPz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I6DmK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92</w:t>
    </w:r>
    <w:r w:rsidRPr="000D064C">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0192" behindDoc="1" locked="0" layoutInCell="1" allowOverlap="1" wp14:anchorId="35D14427" wp14:editId="383052AD">
              <wp:simplePos x="0" y="0"/>
              <wp:positionH relativeFrom="column">
                <wp:posOffset>2866390</wp:posOffset>
              </wp:positionH>
              <wp:positionV relativeFrom="paragraph">
                <wp:posOffset>68580</wp:posOffset>
              </wp:positionV>
              <wp:extent cx="403225" cy="795655"/>
              <wp:effectExtent l="18415" t="20955" r="16510" b="21590"/>
              <wp:wrapNone/>
              <wp:docPr id="5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3" o:spid="_x0000_s1026" style="position:absolute;margin-left:225.7pt;margin-top:5.4pt;width:31.75pt;height:62.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8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QLkUURC&#10;jz6DakR1gqHl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Dtz7H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93</w:t>
    </w:r>
    <w:r w:rsidRPr="000D064C">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3264" behindDoc="1" locked="0" layoutInCell="1" allowOverlap="1" wp14:anchorId="30E08DC4" wp14:editId="31AB66A7">
              <wp:simplePos x="0" y="0"/>
              <wp:positionH relativeFrom="column">
                <wp:posOffset>2866390</wp:posOffset>
              </wp:positionH>
              <wp:positionV relativeFrom="paragraph">
                <wp:posOffset>68580</wp:posOffset>
              </wp:positionV>
              <wp:extent cx="403225" cy="795655"/>
              <wp:effectExtent l="18415" t="20955" r="16510" b="21590"/>
              <wp:wrapNone/>
              <wp:docPr id="4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4" o:spid="_x0000_s1026" style="position:absolute;margin-left:225.7pt;margin-top:5.4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mn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NBiqac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96</w:t>
    </w:r>
    <w:r w:rsidRPr="000D064C">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6336" behindDoc="1" locked="0" layoutInCell="1" allowOverlap="1" wp14:anchorId="178DF554" wp14:editId="3C095721">
              <wp:simplePos x="0" y="0"/>
              <wp:positionH relativeFrom="column">
                <wp:posOffset>2866390</wp:posOffset>
              </wp:positionH>
              <wp:positionV relativeFrom="paragraph">
                <wp:posOffset>68580</wp:posOffset>
              </wp:positionV>
              <wp:extent cx="403225" cy="795655"/>
              <wp:effectExtent l="18415" t="20955" r="16510" b="21590"/>
              <wp:wrapNone/>
              <wp:docPr id="4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5" o:spid="_x0000_s1026" style="position:absolute;margin-left:225.7pt;margin-top:5.4pt;width:31.75pt;height:62.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11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GWS3XU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97</w:t>
    </w:r>
    <w:r w:rsidRPr="000D064C">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9408" behindDoc="1" locked="0" layoutInCell="1" allowOverlap="1" wp14:anchorId="4D606EFE" wp14:editId="078EF698">
              <wp:simplePos x="0" y="0"/>
              <wp:positionH relativeFrom="column">
                <wp:posOffset>2866390</wp:posOffset>
              </wp:positionH>
              <wp:positionV relativeFrom="paragraph">
                <wp:posOffset>68580</wp:posOffset>
              </wp:positionV>
              <wp:extent cx="403225" cy="795655"/>
              <wp:effectExtent l="18415" t="20955" r="16510" b="21590"/>
              <wp:wrapNone/>
              <wp:docPr id="4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6" o:spid="_x0000_s1026" style="position:absolute;margin-left:225.7pt;margin-top:5.4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ar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XC4x0kRB&#10;jz6DakT3kqPFI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H2mtq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99</w:t>
    </w:r>
    <w:r w:rsidRPr="000D064C">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2480" behindDoc="1" locked="0" layoutInCell="1" allowOverlap="1" wp14:anchorId="1296E36A" wp14:editId="419F03D8">
              <wp:simplePos x="0" y="0"/>
              <wp:positionH relativeFrom="column">
                <wp:posOffset>2866390</wp:posOffset>
              </wp:positionH>
              <wp:positionV relativeFrom="paragraph">
                <wp:posOffset>68580</wp:posOffset>
              </wp:positionV>
              <wp:extent cx="403225" cy="795655"/>
              <wp:effectExtent l="18415" t="20955" r="16510" b="21590"/>
              <wp:wrapNone/>
              <wp:docPr id="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7" o:spid="_x0000_s1026" style="position:absolute;margin-left:225.7pt;margin-top:5.4pt;width:31.75pt;height:62.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J5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XC4w0kRB&#10;jz6DakT3kqPFM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MhWwn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100</w:t>
    </w:r>
    <w:r w:rsidRPr="000D064C">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79" w:rsidRPr="00B55B79" w:rsidRDefault="00B55B79" w:rsidP="00B55B79">
    <w:pPr>
      <w:pStyle w:val="FooterCoverPage"/>
      <w:rPr>
        <w:rFonts w:ascii="Arial" w:hAnsi="Arial" w:cs="Arial"/>
        <w:b/>
        <w:sz w:val="48"/>
      </w:rPr>
    </w:pPr>
    <w:r w:rsidRPr="00B55B79">
      <w:rPr>
        <w:rFonts w:ascii="Arial" w:hAnsi="Arial" w:cs="Arial"/>
        <w:b/>
        <w:sz w:val="48"/>
      </w:rPr>
      <w:t>BG</w:t>
    </w:r>
    <w:r w:rsidRPr="00B55B79">
      <w:rPr>
        <w:rFonts w:ascii="Arial" w:hAnsi="Arial" w:cs="Arial"/>
        <w:b/>
        <w:sz w:val="48"/>
      </w:rPr>
      <w:tab/>
    </w:r>
    <w:r w:rsidRPr="00B55B79">
      <w:rPr>
        <w:rFonts w:ascii="Arial" w:hAnsi="Arial" w:cs="Arial"/>
        <w:b/>
        <w:sz w:val="48"/>
      </w:rPr>
      <w:tab/>
    </w:r>
    <w:fldSimple w:instr=" DOCVARIABLE &quot;LW_Confidence&quot; \* MERGEFORMAT ">
      <w:r>
        <w:t xml:space="preserve"> </w:t>
      </w:r>
    </w:fldSimple>
    <w:r w:rsidRPr="00B55B79">
      <w:tab/>
    </w:r>
    <w:r w:rsidRPr="00B55B79">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54304" behindDoc="1" locked="0" layoutInCell="1" allowOverlap="1" wp14:anchorId="076326EA" wp14:editId="01D8993B">
              <wp:simplePos x="0" y="0"/>
              <wp:positionH relativeFrom="column">
                <wp:posOffset>2866390</wp:posOffset>
              </wp:positionH>
              <wp:positionV relativeFrom="paragraph">
                <wp:posOffset>68580</wp:posOffset>
              </wp:positionV>
              <wp:extent cx="403225" cy="795655"/>
              <wp:effectExtent l="18415" t="20955" r="16510" b="21590"/>
              <wp:wrapNone/>
              <wp:docPr id="1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 o:spid="_x0000_s1026" style="position:absolute;margin-left:225.7pt;margin-top:5.4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Jt5NqQ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27</w:t>
    </w:r>
    <w:r w:rsidRPr="000D064C">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4528" behindDoc="1" locked="0" layoutInCell="1" allowOverlap="1" wp14:anchorId="0C634100" wp14:editId="56C15412">
              <wp:simplePos x="0" y="0"/>
              <wp:positionH relativeFrom="column">
                <wp:posOffset>2866390</wp:posOffset>
              </wp:positionH>
              <wp:positionV relativeFrom="paragraph">
                <wp:posOffset>68580</wp:posOffset>
              </wp:positionV>
              <wp:extent cx="403225" cy="795655"/>
              <wp:effectExtent l="18415" t="20955" r="16510" b="21590"/>
              <wp:wrapNone/>
              <wp:docPr id="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8" o:spid="_x0000_s1026" style="position:absolute;margin-left:225.7pt;margin-top:5.4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p9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s2in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101</w:t>
    </w:r>
    <w:r w:rsidRPr="000D064C">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5552" behindDoc="1" locked="0" layoutInCell="1" allowOverlap="1" wp14:anchorId="51C323C9" wp14:editId="4640A96A">
              <wp:simplePos x="0" y="0"/>
              <wp:positionH relativeFrom="column">
                <wp:posOffset>2866390</wp:posOffset>
              </wp:positionH>
              <wp:positionV relativeFrom="paragraph">
                <wp:posOffset>68580</wp:posOffset>
              </wp:positionV>
              <wp:extent cx="403225" cy="795655"/>
              <wp:effectExtent l="18415" t="20955" r="16510" b="21590"/>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9" o:spid="_x0000_s1026" style="position:absolute;margin-left:225.7pt;margin-top:5.4pt;width:31.75pt;height:62.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6vGwIAACc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Dexv6v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102</w:t>
    </w:r>
    <w:r w:rsidRPr="000D064C">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6576" behindDoc="1" locked="0" layoutInCell="1" allowOverlap="1" wp14:anchorId="39B027B7" wp14:editId="35F07A03">
              <wp:simplePos x="0" y="0"/>
              <wp:positionH relativeFrom="column">
                <wp:posOffset>2866390</wp:posOffset>
              </wp:positionH>
              <wp:positionV relativeFrom="paragraph">
                <wp:posOffset>68580</wp:posOffset>
              </wp:positionV>
              <wp:extent cx="403225" cy="795655"/>
              <wp:effectExtent l="18415" t="20955" r="16510" b="21590"/>
              <wp:wrapNone/>
              <wp:docPr id="4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0" o:spid="_x0000_s1026" style="position:absolute;margin-left:225.7pt;margin-top:5.4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lq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XA+w0gR&#10;CTP6DqwR1QmGFp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yMCxl5H6&#10;MkIUBagK1xiN5o0f12FnLO96eGkae1f6GsbX8kjtS1WnYkGNcTinzQlyv/Rj1st+b54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FZX2Wo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104</w:t>
    </w:r>
    <w:r w:rsidRPr="000D064C">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7600" behindDoc="1" locked="0" layoutInCell="1" allowOverlap="1" wp14:anchorId="65859975" wp14:editId="515D0B93">
              <wp:simplePos x="0" y="0"/>
              <wp:positionH relativeFrom="column">
                <wp:posOffset>2866390</wp:posOffset>
              </wp:positionH>
              <wp:positionV relativeFrom="paragraph">
                <wp:posOffset>68580</wp:posOffset>
              </wp:positionV>
              <wp:extent cx="403225" cy="795655"/>
              <wp:effectExtent l="18415" t="20955" r="16510" b="21590"/>
              <wp:wrapNone/>
              <wp:docPr id="4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1" o:spid="_x0000_s1026" style="position:absolute;margin-left:225.7pt;margin-top:5.4pt;width:31.75pt;height:6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24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FjpIiE&#10;Hn0F1YjqBUOL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OOnrbg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105</w:t>
    </w:r>
    <w:r w:rsidRPr="000D064C">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8624" behindDoc="1" locked="0" layoutInCell="1" allowOverlap="1" wp14:anchorId="7991D9B8" wp14:editId="6B5A6772">
              <wp:simplePos x="0" y="0"/>
              <wp:positionH relativeFrom="column">
                <wp:posOffset>2866390</wp:posOffset>
              </wp:positionH>
              <wp:positionV relativeFrom="paragraph">
                <wp:posOffset>68580</wp:posOffset>
              </wp:positionV>
              <wp:extent cx="403225" cy="795655"/>
              <wp:effectExtent l="18415" t="20955" r="16510" b="21590"/>
              <wp:wrapNone/>
              <wp:docPr id="4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2" o:spid="_x0000_s1026" style="position:absolute;margin-left:225.7pt;margin-top:5.4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EV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FhpIiE&#10;Hn0F1YjqBUOL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H2wQRU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106</w:t>
    </w:r>
    <w:r w:rsidRPr="000D064C">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9648" behindDoc="1" locked="0" layoutInCell="1" allowOverlap="1" wp14:anchorId="063F6725" wp14:editId="4964AB1E">
              <wp:simplePos x="0" y="0"/>
              <wp:positionH relativeFrom="column">
                <wp:posOffset>2866390</wp:posOffset>
              </wp:positionH>
              <wp:positionV relativeFrom="paragraph">
                <wp:posOffset>68580</wp:posOffset>
              </wp:positionV>
              <wp:extent cx="403225" cy="795655"/>
              <wp:effectExtent l="18415" t="20955" r="16510" b="21590"/>
              <wp:wrapNone/>
              <wp:docPr id="4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3" o:spid="_x0000_s1026" style="position:absolute;margin-left:225.7pt;margin-top:5.4pt;width:31.75pt;height:62.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XH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MhANcc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107</w:t>
    </w:r>
    <w:r w:rsidRPr="000D064C">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0672" behindDoc="1" locked="0" layoutInCell="1" allowOverlap="1" wp14:anchorId="36056BFA" wp14:editId="090C13A4">
              <wp:simplePos x="0" y="0"/>
              <wp:positionH relativeFrom="column">
                <wp:posOffset>2866390</wp:posOffset>
              </wp:positionH>
              <wp:positionV relativeFrom="paragraph">
                <wp:posOffset>68580</wp:posOffset>
              </wp:positionV>
              <wp:extent cx="403225" cy="795655"/>
              <wp:effectExtent l="18415" t="20955" r="16510" b="21590"/>
              <wp:wrapNone/>
              <wp:docPr id="3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4" o:spid="_x0000_s1026" style="position:absolute;margin-left:225.7pt;margin-top:5.4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109</w:t>
    </w:r>
    <w:r w:rsidRPr="000D064C">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1696" behindDoc="1" locked="0" layoutInCell="1" allowOverlap="1" wp14:anchorId="2F5A2870" wp14:editId="30CE0A75">
              <wp:simplePos x="0" y="0"/>
              <wp:positionH relativeFrom="column">
                <wp:posOffset>2866390</wp:posOffset>
              </wp:positionH>
              <wp:positionV relativeFrom="paragraph">
                <wp:posOffset>68580</wp:posOffset>
              </wp:positionV>
              <wp:extent cx="403225" cy="795655"/>
              <wp:effectExtent l="18415" t="20955" r="16510" b="21590"/>
              <wp:wrapNone/>
              <wp:docPr id="3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5" o:spid="_x0000_s1026" style="position:absolute;margin-left:225.7pt;margin-top:5.4pt;width:31.75pt;height:62.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112</w:t>
    </w:r>
    <w:r w:rsidRPr="000D064C">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2720" behindDoc="1" locked="0" layoutInCell="1" allowOverlap="1" wp14:anchorId="6B740610" wp14:editId="5D1992AA">
              <wp:simplePos x="0" y="0"/>
              <wp:positionH relativeFrom="column">
                <wp:posOffset>2866390</wp:posOffset>
              </wp:positionH>
              <wp:positionV relativeFrom="paragraph">
                <wp:posOffset>68580</wp:posOffset>
              </wp:positionV>
              <wp:extent cx="403225" cy="795655"/>
              <wp:effectExtent l="18415" t="20955" r="16510" b="21590"/>
              <wp:wrapNone/>
              <wp:docPr id="3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6" o:spid="_x0000_s1026" style="position:absolute;margin-left:225.7pt;margin-top:5.4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sS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BXFOxI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114</w:t>
    </w:r>
    <w:r w:rsidRPr="000D064C">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3744" behindDoc="1" locked="0" layoutInCell="1" allowOverlap="1" wp14:anchorId="391C7187" wp14:editId="133C25DB">
              <wp:simplePos x="0" y="0"/>
              <wp:positionH relativeFrom="column">
                <wp:posOffset>2866390</wp:posOffset>
              </wp:positionH>
              <wp:positionV relativeFrom="paragraph">
                <wp:posOffset>68580</wp:posOffset>
              </wp:positionV>
              <wp:extent cx="403225" cy="795655"/>
              <wp:effectExtent l="18415" t="20955" r="16510" b="21590"/>
              <wp:wrapNone/>
              <wp:docPr id="3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7" o:spid="_x0000_s1026" style="position:absolute;margin-left:225.7pt;margin-top:5.4pt;width:31.75pt;height:62.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A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KA1T8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115</w:t>
    </w:r>
    <w:r w:rsidRPr="000D064C">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57376" behindDoc="1" locked="0" layoutInCell="1" allowOverlap="1" wp14:anchorId="6D7B2514" wp14:editId="284A5666">
              <wp:simplePos x="0" y="0"/>
              <wp:positionH relativeFrom="column">
                <wp:posOffset>2866390</wp:posOffset>
              </wp:positionH>
              <wp:positionV relativeFrom="paragraph">
                <wp:posOffset>68580</wp:posOffset>
              </wp:positionV>
              <wp:extent cx="403225" cy="795655"/>
              <wp:effectExtent l="18415" t="20955" r="16510" b="21590"/>
              <wp:wrapNone/>
              <wp:docPr id="1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 o:spid="_x0000_s1026" style="position:absolute;margin-left:225.7pt;margin-top:5.4pt;width:31.75pt;height: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OHMPes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28</w:t>
    </w:r>
    <w:r w:rsidRPr="000D064C">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4768" behindDoc="1" locked="0" layoutInCell="1" allowOverlap="1" wp14:anchorId="058505EC" wp14:editId="5B40ED86">
              <wp:simplePos x="0" y="0"/>
              <wp:positionH relativeFrom="column">
                <wp:posOffset>4445635</wp:posOffset>
              </wp:positionH>
              <wp:positionV relativeFrom="paragraph">
                <wp:posOffset>82550</wp:posOffset>
              </wp:positionV>
              <wp:extent cx="403225" cy="795655"/>
              <wp:effectExtent l="16510" t="15875" r="18415" b="17145"/>
              <wp:wrapNone/>
              <wp:docPr id="3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8" o:spid="_x0000_s1026" style="position:absolute;margin-left:350.05pt;margin-top:6.5pt;width:31.75pt;height:6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DVQfE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116</w:t>
    </w:r>
    <w:r w:rsidRPr="000D064C">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5792" behindDoc="1" locked="0" layoutInCell="1" allowOverlap="1" wp14:anchorId="64E50FC2" wp14:editId="429A7CC3">
              <wp:simplePos x="0" y="0"/>
              <wp:positionH relativeFrom="column">
                <wp:posOffset>4445635</wp:posOffset>
              </wp:positionH>
              <wp:positionV relativeFrom="paragraph">
                <wp:posOffset>82550</wp:posOffset>
              </wp:positionV>
              <wp:extent cx="403225" cy="795655"/>
              <wp:effectExtent l="16510" t="15875" r="18415" b="17145"/>
              <wp:wrapNone/>
              <wp:docPr id="3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9" o:spid="_x0000_s1026" style="position:absolute;margin-left:350.05pt;margin-top:6.5pt;width:31.75pt;height:6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MW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C2pXMW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117</w:t>
    </w:r>
    <w:r w:rsidRPr="000D064C">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6816" behindDoc="1" locked="0" layoutInCell="1" allowOverlap="1" wp14:anchorId="3BB12546" wp14:editId="15EFBF81">
              <wp:simplePos x="0" y="0"/>
              <wp:positionH relativeFrom="column">
                <wp:posOffset>2866390</wp:posOffset>
              </wp:positionH>
              <wp:positionV relativeFrom="paragraph">
                <wp:posOffset>68580</wp:posOffset>
              </wp:positionV>
              <wp:extent cx="403225" cy="795655"/>
              <wp:effectExtent l="18415" t="20955" r="16510" b="21590"/>
              <wp:wrapNone/>
              <wp:docPr id="3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0" o:spid="_x0000_s1026" style="position:absolute;margin-left:225.7pt;margin-top:5.4pt;width:31.75pt;height:62.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qQ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ElwSp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121</w:t>
    </w:r>
    <w:r w:rsidRPr="000D064C">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7840" behindDoc="1" locked="0" layoutInCell="1" allowOverlap="1" wp14:anchorId="29927FDF" wp14:editId="744056D7">
              <wp:simplePos x="0" y="0"/>
              <wp:positionH relativeFrom="column">
                <wp:posOffset>4445635</wp:posOffset>
              </wp:positionH>
              <wp:positionV relativeFrom="paragraph">
                <wp:posOffset>82550</wp:posOffset>
              </wp:positionV>
              <wp:extent cx="403225" cy="795655"/>
              <wp:effectExtent l="16510" t="15875" r="18415" b="17145"/>
              <wp:wrapNone/>
              <wp:docPr id="3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1" o:spid="_x0000_s1026" style="position:absolute;margin-left:350.05pt;margin-top:6.5pt;width:31.75pt;height:62.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5CGg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8gD5C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122</w:t>
    </w:r>
    <w:r w:rsidRPr="000D064C">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8864" behindDoc="1" locked="0" layoutInCell="1" allowOverlap="1" wp14:anchorId="63506539" wp14:editId="1E4823EF">
              <wp:simplePos x="0" y="0"/>
              <wp:positionH relativeFrom="column">
                <wp:posOffset>4445635</wp:posOffset>
              </wp:positionH>
              <wp:positionV relativeFrom="paragraph">
                <wp:posOffset>82550</wp:posOffset>
              </wp:positionV>
              <wp:extent cx="403225" cy="795655"/>
              <wp:effectExtent l="16510" t="15875" r="18415" b="17145"/>
              <wp:wrapNone/>
              <wp:docPr id="3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2" o:spid="_x0000_s1026" style="position:absolute;margin-left:350.05pt;margin-top:6.5pt;width:31.75pt;height:62.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LvGg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Bil9Lv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9888" behindDoc="1" locked="0" layoutInCell="1" allowOverlap="1" wp14:anchorId="509754B3" wp14:editId="58993ECD">
              <wp:simplePos x="0" y="0"/>
              <wp:positionH relativeFrom="column">
                <wp:posOffset>4445635</wp:posOffset>
              </wp:positionH>
              <wp:positionV relativeFrom="paragraph">
                <wp:posOffset>82550</wp:posOffset>
              </wp:positionV>
              <wp:extent cx="403225" cy="795655"/>
              <wp:effectExtent l="16510" t="15875" r="18415" b="17145"/>
              <wp:wrapNone/>
              <wp:docPr id="3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3" o:spid="_x0000_s1026" style="position:absolute;margin-left:350.05pt;margin-top:6.5pt;width:31.75pt;height:62.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XZ6Y9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123</w:t>
    </w:r>
    <w:r w:rsidRPr="000D064C">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0912" behindDoc="1" locked="0" layoutInCell="1" allowOverlap="1" wp14:anchorId="0A0B2E45" wp14:editId="69FAC0D7">
              <wp:simplePos x="0" y="0"/>
              <wp:positionH relativeFrom="column">
                <wp:posOffset>4445635</wp:posOffset>
              </wp:positionH>
              <wp:positionV relativeFrom="paragraph">
                <wp:posOffset>82550</wp:posOffset>
              </wp:positionV>
              <wp:extent cx="403225" cy="795655"/>
              <wp:effectExtent l="16510" t="15875" r="18415" b="17145"/>
              <wp:wrapNone/>
              <wp:docPr id="2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4" o:spid="_x0000_s1026" style="position:absolute;margin-left:350.05pt;margin-top:6.5pt;width:31.75pt;height:62.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A8duPm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124</w:t>
    </w:r>
    <w:r w:rsidRPr="000D064C">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1936" behindDoc="1" locked="0" layoutInCell="1" allowOverlap="1" wp14:anchorId="53C4E5A6" wp14:editId="43AB0093">
              <wp:simplePos x="0" y="0"/>
              <wp:positionH relativeFrom="column">
                <wp:posOffset>4445635</wp:posOffset>
              </wp:positionH>
              <wp:positionV relativeFrom="paragraph">
                <wp:posOffset>82550</wp:posOffset>
              </wp:positionV>
              <wp:extent cx="403225" cy="795655"/>
              <wp:effectExtent l="16510" t="15875" r="18415" b="17145"/>
              <wp:wrapNone/>
              <wp:docPr id="2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5" o:spid="_x0000_s1026" style="position:absolute;margin-left:350.05pt;margin-top:6.5pt;width:31.75pt;height:62.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c0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CJhpc0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125</w:t>
    </w:r>
    <w:r w:rsidRPr="000D064C">
      <w:rPr>
        <w:rFonts w:ascii="Verdana" w:hAnsi="Verdana"/>
        <w:b/>
        <w:noProof/>
        <w:color w:val="FFFFFF"/>
        <w:sz w:val="18"/>
        <w:szCs w:val="18"/>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2960" behindDoc="1" locked="0" layoutInCell="1" allowOverlap="1" wp14:anchorId="1241D721" wp14:editId="02E6CAA9">
              <wp:simplePos x="0" y="0"/>
              <wp:positionH relativeFrom="column">
                <wp:posOffset>4445635</wp:posOffset>
              </wp:positionH>
              <wp:positionV relativeFrom="paragraph">
                <wp:posOffset>82550</wp:posOffset>
              </wp:positionV>
              <wp:extent cx="403225" cy="795655"/>
              <wp:effectExtent l="16510" t="15875" r="18415" b="17145"/>
              <wp:wrapNone/>
              <wp:docPr id="2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6" o:spid="_x0000_s1026" style="position:absolute;margin-left:350.05pt;margin-top:6.5pt;width:31.75pt;height:62.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S6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udDS6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126</w:t>
    </w:r>
    <w:r w:rsidRPr="000D064C">
      <w:rPr>
        <w:rFonts w:ascii="Verdana" w:hAnsi="Verdana"/>
        <w:b/>
        <w:noProof/>
        <w:color w:val="FFFFFF"/>
        <w:sz w:val="18"/>
        <w:szCs w:val="18"/>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3984" behindDoc="1" locked="0" layoutInCell="1" allowOverlap="1" wp14:anchorId="6AF95550" wp14:editId="7A4AC670">
              <wp:simplePos x="0" y="0"/>
              <wp:positionH relativeFrom="column">
                <wp:posOffset>4445635</wp:posOffset>
              </wp:positionH>
              <wp:positionV relativeFrom="paragraph">
                <wp:posOffset>82550</wp:posOffset>
              </wp:positionV>
              <wp:extent cx="403225" cy="795655"/>
              <wp:effectExtent l="16510" t="15875" r="18415" b="17145"/>
              <wp:wrapNone/>
              <wp:docPr id="2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7" o:spid="_x0000_s1026" style="position:absolute;margin-left:350.05pt;margin-top:6.5pt;width:31.75pt;height:62.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128</w:t>
    </w:r>
    <w:r w:rsidRPr="000D064C">
      <w:rPr>
        <w:rFonts w:ascii="Verdana" w:hAnsi="Verdana"/>
        <w:b/>
        <w:noProof/>
        <w:color w:val="FFFFFF"/>
        <w:sz w:val="18"/>
        <w:szCs w:val="18"/>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60448" behindDoc="1" locked="0" layoutInCell="1" allowOverlap="1" wp14:anchorId="46E14146" wp14:editId="4A91F970">
              <wp:simplePos x="0" y="0"/>
              <wp:positionH relativeFrom="column">
                <wp:posOffset>2866390</wp:posOffset>
              </wp:positionH>
              <wp:positionV relativeFrom="paragraph">
                <wp:posOffset>68580</wp:posOffset>
              </wp:positionV>
              <wp:extent cx="403225" cy="795655"/>
              <wp:effectExtent l="18415" t="20955" r="16510" b="21590"/>
              <wp:wrapNone/>
              <wp:docPr id="1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 o:spid="_x0000_s1026" style="position:absolute;margin-left:225.7pt;margin-top:5.4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OgWFGE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29</w:t>
    </w:r>
    <w:r w:rsidRPr="000D064C">
      <w:rPr>
        <w:rFonts w:ascii="Verdana" w:hAnsi="Verdana"/>
        <w:b/>
        <w:noProof/>
        <w:color w:val="FFFFFF"/>
        <w:sz w:val="18"/>
        <w:szCs w:val="18"/>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5008" behindDoc="1" locked="0" layoutInCell="1" allowOverlap="1" wp14:anchorId="21ABA881" wp14:editId="516C3368">
              <wp:simplePos x="0" y="0"/>
              <wp:positionH relativeFrom="column">
                <wp:posOffset>2866390</wp:posOffset>
              </wp:positionH>
              <wp:positionV relativeFrom="paragraph">
                <wp:posOffset>68580</wp:posOffset>
              </wp:positionV>
              <wp:extent cx="403225" cy="795655"/>
              <wp:effectExtent l="18415" t="20955" r="16510" b="21590"/>
              <wp:wrapNone/>
              <wp:docPr id="2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8" o:spid="_x0000_s1026" style="position:absolute;margin-left:225.7pt;margin-top:5.4pt;width:31.75pt;height:62.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DjkCG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129</w:t>
    </w:r>
    <w:r w:rsidRPr="000D064C">
      <w:rPr>
        <w:rFonts w:ascii="Verdana" w:hAnsi="Verdana"/>
        <w:b/>
        <w:noProof/>
        <w:color w:val="FFFFFF"/>
        <w:sz w:val="18"/>
        <w:szCs w:val="18"/>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6032" behindDoc="1" locked="0" layoutInCell="1" allowOverlap="1" wp14:anchorId="3EFCEEC1" wp14:editId="08603104">
              <wp:simplePos x="0" y="0"/>
              <wp:positionH relativeFrom="column">
                <wp:posOffset>4445635</wp:posOffset>
              </wp:positionH>
              <wp:positionV relativeFrom="paragraph">
                <wp:posOffset>82550</wp:posOffset>
              </wp:positionV>
              <wp:extent cx="403225" cy="795655"/>
              <wp:effectExtent l="16510" t="15875" r="18415" b="17145"/>
              <wp:wrapNone/>
              <wp:docPr id="2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9" o:spid="_x0000_s1026" style="position:absolute;margin-left:350.05pt;margin-top:6.5pt;width:31.75pt;height:62.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BOhb+H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130</w:t>
    </w:r>
    <w:r w:rsidRPr="000D064C">
      <w:rPr>
        <w:rFonts w:ascii="Verdana" w:hAnsi="Verdana"/>
        <w:b/>
        <w:noProof/>
        <w:color w:val="FFFFFF"/>
        <w:sz w:val="18"/>
        <w:szCs w:val="18"/>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7056" behindDoc="1" locked="0" layoutInCell="1" allowOverlap="1" wp14:anchorId="6D452431" wp14:editId="108A5F6B">
              <wp:simplePos x="0" y="0"/>
              <wp:positionH relativeFrom="column">
                <wp:posOffset>2866390</wp:posOffset>
              </wp:positionH>
              <wp:positionV relativeFrom="paragraph">
                <wp:posOffset>68580</wp:posOffset>
              </wp:positionV>
              <wp:extent cx="403225" cy="795655"/>
              <wp:effectExtent l="18415" t="20955" r="16510" b="21590"/>
              <wp:wrapNone/>
              <wp:docPr id="2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0" o:spid="_x0000_s1026" style="position:absolute;margin-left:225.7pt;margin-top:5.4pt;width:31.75pt;height:62.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BYVbex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131</w:t>
    </w:r>
    <w:r w:rsidRPr="000D064C">
      <w:rPr>
        <w:rFonts w:ascii="Verdana" w:hAnsi="Verdana"/>
        <w:b/>
        <w:noProof/>
        <w:color w:val="FFFFFF"/>
        <w:sz w:val="18"/>
        <w:szCs w:val="18"/>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8080" behindDoc="1" locked="0" layoutInCell="1" allowOverlap="1" wp14:anchorId="277B49D7" wp14:editId="3FCC78E6">
              <wp:simplePos x="0" y="0"/>
              <wp:positionH relativeFrom="column">
                <wp:posOffset>4445635</wp:posOffset>
              </wp:positionH>
              <wp:positionV relativeFrom="paragraph">
                <wp:posOffset>82550</wp:posOffset>
              </wp:positionV>
              <wp:extent cx="403225" cy="795655"/>
              <wp:effectExtent l="16510" t="15875" r="18415" b="17145"/>
              <wp:wrapNone/>
              <wp:docPr id="2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1" o:spid="_x0000_s1026" style="position:absolute;margin-left:350.05pt;margin-top:6.5pt;width:31.75pt;height:62.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I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O+L4I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132</w:t>
    </w:r>
    <w:r w:rsidRPr="000D064C">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9104" behindDoc="1" locked="0" layoutInCell="1" allowOverlap="1" wp14:anchorId="2246E773" wp14:editId="1529DCBB">
              <wp:simplePos x="0" y="0"/>
              <wp:positionH relativeFrom="column">
                <wp:posOffset>4445635</wp:posOffset>
              </wp:positionH>
              <wp:positionV relativeFrom="paragraph">
                <wp:posOffset>82550</wp:posOffset>
              </wp:positionV>
              <wp:extent cx="403225" cy="795655"/>
              <wp:effectExtent l="16510" t="15875" r="18415" b="17145"/>
              <wp:wrapNone/>
              <wp:docPr id="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2" o:spid="_x0000_s1026" style="position:absolute;margin-left:350.05pt;margin-top:6.5pt;width:31.75pt;height:62.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ME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uYsME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133</w:t>
    </w:r>
    <w:r w:rsidRPr="000D064C">
      <w:rPr>
        <w:rFonts w:ascii="Verdana" w:hAnsi="Verdana"/>
        <w:b/>
        <w:noProof/>
        <w:color w:val="FFFFFF"/>
        <w:sz w:val="18"/>
        <w:szCs w:val="18"/>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0128" behindDoc="1" locked="0" layoutInCell="1" allowOverlap="1" wp14:anchorId="02059D05" wp14:editId="2C658D4D">
              <wp:simplePos x="0" y="0"/>
              <wp:positionH relativeFrom="column">
                <wp:posOffset>4445635</wp:posOffset>
              </wp:positionH>
              <wp:positionV relativeFrom="paragraph">
                <wp:posOffset>82550</wp:posOffset>
              </wp:positionV>
              <wp:extent cx="403225" cy="795655"/>
              <wp:effectExtent l="16510" t="15875" r="18415" b="17145"/>
              <wp:wrapNone/>
              <wp:docPr id="1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3" o:spid="_x0000_s1026" style="position:absolute;margin-left:350.05pt;margin-top:6.5pt;width:31.75pt;height:62.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NBvDR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134</w:t>
    </w:r>
    <w:r w:rsidRPr="000D064C">
      <w:rPr>
        <w:rFonts w:ascii="Verdana" w:hAnsi="Verdana"/>
        <w:b/>
        <w:noProof/>
        <w:color w:val="FFFFFF"/>
        <w:sz w:val="18"/>
        <w:szCs w:val="18"/>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1152" behindDoc="1" locked="0" layoutInCell="1" allowOverlap="1" wp14:anchorId="4EEA9D90" wp14:editId="19AB7EF2">
              <wp:simplePos x="0" y="0"/>
              <wp:positionH relativeFrom="column">
                <wp:posOffset>2866390</wp:posOffset>
              </wp:positionH>
              <wp:positionV relativeFrom="paragraph">
                <wp:posOffset>68580</wp:posOffset>
              </wp:positionV>
              <wp:extent cx="403225" cy="795655"/>
              <wp:effectExtent l="18415" t="20955" r="16510" b="21590"/>
              <wp:wrapNone/>
              <wp:docPr id="1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4" o:spid="_x0000_s1026" style="position:absolute;margin-left:225.7pt;margin-top:5.4pt;width:31.75pt;height:62.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135</w:t>
    </w:r>
    <w:r w:rsidRPr="000D064C">
      <w:rPr>
        <w:rFonts w:ascii="Verdana" w:hAnsi="Verdana"/>
        <w:b/>
        <w:noProof/>
        <w:color w:val="FFFFFF"/>
        <w:sz w:val="18"/>
        <w:szCs w:val="18"/>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2176" behindDoc="1" locked="0" layoutInCell="1" allowOverlap="1" wp14:anchorId="6331D763" wp14:editId="0A20EA21">
              <wp:simplePos x="0" y="0"/>
              <wp:positionH relativeFrom="column">
                <wp:posOffset>4445635</wp:posOffset>
              </wp:positionH>
              <wp:positionV relativeFrom="paragraph">
                <wp:posOffset>82550</wp:posOffset>
              </wp:positionV>
              <wp:extent cx="403225" cy="795655"/>
              <wp:effectExtent l="16510" t="15875" r="18415" b="17145"/>
              <wp:wrapNone/>
              <wp:docPr id="1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5" o:spid="_x0000_s1026" style="position:absolute;margin-left:350.05pt;margin-top:6.5pt;width:31.75pt;height:62.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kTq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A01kTq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136</w:t>
    </w:r>
    <w:r w:rsidRPr="000D064C">
      <w:rPr>
        <w:rFonts w:ascii="Verdana" w:hAnsi="Verdana"/>
        <w:b/>
        <w:noProof/>
        <w:color w:val="FFFFFF"/>
        <w:sz w:val="18"/>
        <w:szCs w:val="18"/>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3200" behindDoc="1" locked="0" layoutInCell="1" allowOverlap="1" wp14:anchorId="2BC29C73" wp14:editId="63F8C4E9">
              <wp:simplePos x="0" y="0"/>
              <wp:positionH relativeFrom="column">
                <wp:posOffset>4445635</wp:posOffset>
              </wp:positionH>
              <wp:positionV relativeFrom="paragraph">
                <wp:posOffset>82550</wp:posOffset>
              </wp:positionV>
              <wp:extent cx="403225" cy="795655"/>
              <wp:effectExtent l="16510" t="15875" r="18415" b="17145"/>
              <wp:wrapNone/>
              <wp:docPr id="1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6" o:spid="_x0000_s1026" style="position:absolute;margin-left:350.05pt;margin-top:6.5pt;width:31.75pt;height:62.6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hH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CqwahH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4224" behindDoc="1" locked="0" layoutInCell="1" allowOverlap="1" wp14:anchorId="59A71661" wp14:editId="7A126B1D">
              <wp:simplePos x="0" y="0"/>
              <wp:positionH relativeFrom="column">
                <wp:posOffset>4445635</wp:posOffset>
              </wp:positionH>
              <wp:positionV relativeFrom="paragraph">
                <wp:posOffset>82550</wp:posOffset>
              </wp:positionV>
              <wp:extent cx="403225" cy="795655"/>
              <wp:effectExtent l="16510" t="15875" r="18415" b="17145"/>
              <wp:wrapNone/>
              <wp:docPr id="1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7" o:spid="_x0000_s1026" style="position:absolute;margin-left:350.05pt;margin-top:6.5pt;width:31.75pt;height:62.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fMdyV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138</w:t>
    </w:r>
    <w:r w:rsidRPr="000D064C">
      <w:rPr>
        <w:rFonts w:ascii="Verdana" w:hAnsi="Verdana"/>
        <w:b/>
        <w:noProof/>
        <w:color w:val="FFFFFF"/>
        <w:sz w:val="18"/>
        <w:szCs w:val="18"/>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63520" behindDoc="1" locked="0" layoutInCell="1" allowOverlap="1" wp14:anchorId="5D1B23D0" wp14:editId="7539D281">
              <wp:simplePos x="0" y="0"/>
              <wp:positionH relativeFrom="column">
                <wp:posOffset>2866390</wp:posOffset>
              </wp:positionH>
              <wp:positionV relativeFrom="paragraph">
                <wp:posOffset>68580</wp:posOffset>
              </wp:positionV>
              <wp:extent cx="403225" cy="795655"/>
              <wp:effectExtent l="18415" t="20955" r="16510" b="21590"/>
              <wp:wrapNone/>
              <wp:docPr id="10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 o:spid="_x0000_s1026" style="position:absolute;margin-left:225.7pt;margin-top:5.4pt;width:31.75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KjHy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30</w:t>
    </w:r>
    <w:r w:rsidRPr="000D064C">
      <w:rPr>
        <w:rFonts w:ascii="Verdana" w:hAnsi="Verdana"/>
        <w:b/>
        <w:noProof/>
        <w:color w:val="FFFFFF"/>
        <w:sz w:val="18"/>
        <w:szCs w:val="18"/>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5248" behindDoc="1" locked="0" layoutInCell="1" allowOverlap="1" wp14:anchorId="2FA43C9C" wp14:editId="4AB5F6ED">
              <wp:simplePos x="0" y="0"/>
              <wp:positionH relativeFrom="column">
                <wp:posOffset>2866390</wp:posOffset>
              </wp:positionH>
              <wp:positionV relativeFrom="paragraph">
                <wp:posOffset>68580</wp:posOffset>
              </wp:positionV>
              <wp:extent cx="403225" cy="795655"/>
              <wp:effectExtent l="18415" t="20955" r="16510" b="21590"/>
              <wp:wrapNone/>
              <wp:docPr id="1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8" o:spid="_x0000_s1026" style="position:absolute;margin-left:225.7pt;margin-top:5.4pt;width:31.75pt;height:62.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AFNxg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140</w:t>
    </w:r>
    <w:r w:rsidRPr="000D064C">
      <w:rPr>
        <w:rFonts w:ascii="Verdana" w:hAnsi="Verdana"/>
        <w:b/>
        <w:noProof/>
        <w:color w:val="FFFFFF"/>
        <w:sz w:val="18"/>
        <w:szCs w:val="18"/>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6272" behindDoc="1" locked="0" layoutInCell="1" allowOverlap="1" wp14:anchorId="41CEBC29" wp14:editId="33155779">
              <wp:simplePos x="0" y="0"/>
              <wp:positionH relativeFrom="column">
                <wp:posOffset>2866390</wp:posOffset>
              </wp:positionH>
              <wp:positionV relativeFrom="paragraph">
                <wp:posOffset>68580</wp:posOffset>
              </wp:positionV>
              <wp:extent cx="403225" cy="795655"/>
              <wp:effectExtent l="18415" t="20955" r="16510" b="21590"/>
              <wp:wrapNone/>
              <wp:docPr id="1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9" o:spid="_x0000_s1026" style="position:absolute;margin-left:225.7pt;margin-top:5.4pt;width:31.75pt;height:62.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Lb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S9st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471AD">
      <w:rPr>
        <w:rFonts w:ascii="Verdana" w:hAnsi="Verdana"/>
        <w:b/>
        <w:noProof/>
        <w:color w:val="FFFFFF"/>
        <w:sz w:val="18"/>
        <w:szCs w:val="18"/>
      </w:rPr>
      <w:t>141</w:t>
    </w:r>
    <w:r w:rsidRPr="000D064C">
      <w:rPr>
        <w:rFonts w:ascii="Verdana" w:hAnsi="Verdana"/>
        <w:b/>
        <w:noProof/>
        <w:color w:val="FFFFFF"/>
        <w:sz w:val="18"/>
        <w:szCs w:val="18"/>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9616" behindDoc="1" locked="0" layoutInCell="1" allowOverlap="1" wp14:anchorId="61ABD912" wp14:editId="18B36760">
              <wp:simplePos x="0" y="0"/>
              <wp:positionH relativeFrom="column">
                <wp:posOffset>2866390</wp:posOffset>
              </wp:positionH>
              <wp:positionV relativeFrom="paragraph">
                <wp:posOffset>68580</wp:posOffset>
              </wp:positionV>
              <wp:extent cx="403225" cy="795655"/>
              <wp:effectExtent l="18415" t="20955" r="16510" b="21590"/>
              <wp:wrapNone/>
              <wp:docPr id="1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0" o:spid="_x0000_s1026" style="position:absolute;margin-left:225.7pt;margin-top:5.4pt;width:31.75pt;height:62.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82E61">
      <w:rPr>
        <w:rFonts w:ascii="Verdana" w:hAnsi="Verdana"/>
        <w:b/>
        <w:noProof/>
        <w:color w:val="FFFFFF"/>
        <w:sz w:val="18"/>
        <w:szCs w:val="18"/>
      </w:rPr>
      <w:t>142</w:t>
    </w:r>
    <w:r w:rsidRPr="000D064C">
      <w:rPr>
        <w:rFonts w:ascii="Verdana" w:hAnsi="Verdana"/>
        <w:b/>
        <w:noProof/>
        <w:color w:val="FFFFFF"/>
        <w:sz w:val="18"/>
        <w:szCs w:val="18"/>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79" w:rsidRPr="00B55B79" w:rsidRDefault="00B55B79" w:rsidP="00B55B79">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66592" behindDoc="1" locked="0" layoutInCell="1" allowOverlap="1" wp14:anchorId="464D86F0" wp14:editId="273E8A91">
              <wp:simplePos x="0" y="0"/>
              <wp:positionH relativeFrom="column">
                <wp:posOffset>4445635</wp:posOffset>
              </wp:positionH>
              <wp:positionV relativeFrom="paragraph">
                <wp:posOffset>82550</wp:posOffset>
              </wp:positionV>
              <wp:extent cx="403225" cy="795655"/>
              <wp:effectExtent l="16510" t="15875" r="18415" b="17145"/>
              <wp:wrapNone/>
              <wp:docPr id="1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 o:spid="_x0000_s1026" style="position:absolute;margin-left:350.05pt;margin-top:6.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dW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hC6dW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31</w:t>
    </w:r>
    <w:r w:rsidRPr="000D064C">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69664" behindDoc="1" locked="0" layoutInCell="1" allowOverlap="1" wp14:anchorId="2556AD4D" wp14:editId="09432789">
              <wp:simplePos x="0" y="0"/>
              <wp:positionH relativeFrom="column">
                <wp:posOffset>2866390</wp:posOffset>
              </wp:positionH>
              <wp:positionV relativeFrom="paragraph">
                <wp:posOffset>68580</wp:posOffset>
              </wp:positionV>
              <wp:extent cx="403225" cy="795655"/>
              <wp:effectExtent l="18415" t="20955" r="16510" b="21590"/>
              <wp:wrapNone/>
              <wp:docPr id="10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 o:spid="_x0000_s1026" style="position:absolute;margin-left:225.7pt;margin-top:5.4pt;width:31.75pt;height:6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wZ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Fu+rB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32</w:t>
    </w:r>
    <w:r w:rsidRPr="000D064C">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9344" behindDoc="1" locked="0" layoutInCell="1" allowOverlap="1" wp14:anchorId="70506DF6" wp14:editId="5897633D">
              <wp:simplePos x="0" y="0"/>
              <wp:positionH relativeFrom="column">
                <wp:posOffset>2866390</wp:posOffset>
              </wp:positionH>
              <wp:positionV relativeFrom="paragraph">
                <wp:posOffset>68580</wp:posOffset>
              </wp:positionV>
              <wp:extent cx="403225" cy="795655"/>
              <wp:effectExtent l="18415" t="20955" r="16510" b="21590"/>
              <wp:wrapNone/>
              <wp:docPr id="6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 o:spid="_x0000_s1026" style="position:absolute;margin-left:225.7pt;margin-top:5.4pt;width:31.75pt;height:62.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tDGgIAACY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BhHK0MaAgAAJg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33</w:t>
    </w:r>
    <w:r w:rsidRPr="000D064C">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72736" behindDoc="1" locked="0" layoutInCell="1" allowOverlap="1" wp14:anchorId="42C6F227" wp14:editId="65449796">
              <wp:simplePos x="0" y="0"/>
              <wp:positionH relativeFrom="column">
                <wp:posOffset>2866390</wp:posOffset>
              </wp:positionH>
              <wp:positionV relativeFrom="paragraph">
                <wp:posOffset>68580</wp:posOffset>
              </wp:positionV>
              <wp:extent cx="403225" cy="795655"/>
              <wp:effectExtent l="18415" t="20955" r="16510" b="21590"/>
              <wp:wrapNone/>
              <wp:docPr id="10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 o:spid="_x0000_s1026" style="position:absolute;margin-left:225.7pt;margin-top:5.4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8/4k4aAgAAKA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45</w:t>
    </w:r>
    <w:r w:rsidRPr="000D064C">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75808" behindDoc="1" locked="0" layoutInCell="1" allowOverlap="1" wp14:anchorId="13783208" wp14:editId="05241CE6">
              <wp:simplePos x="0" y="0"/>
              <wp:positionH relativeFrom="column">
                <wp:posOffset>2866390</wp:posOffset>
              </wp:positionH>
              <wp:positionV relativeFrom="paragraph">
                <wp:posOffset>68580</wp:posOffset>
              </wp:positionV>
              <wp:extent cx="403225" cy="795655"/>
              <wp:effectExtent l="18415" t="20955" r="16510" b="21590"/>
              <wp:wrapNone/>
              <wp:docPr id="10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1" o:spid="_x0000_s1026" style="position:absolute;margin-left:225.7pt;margin-top:5.4pt;width:31.75pt;height:6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acGwIAACg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AKz5acGwIAACg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46</w:t>
    </w:r>
    <w:r w:rsidRPr="000D064C">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78880" behindDoc="1" locked="0" layoutInCell="1" allowOverlap="1" wp14:anchorId="55755BAD" wp14:editId="124AD790">
              <wp:simplePos x="0" y="0"/>
              <wp:positionH relativeFrom="column">
                <wp:posOffset>2866390</wp:posOffset>
              </wp:positionH>
              <wp:positionV relativeFrom="paragraph">
                <wp:posOffset>68580</wp:posOffset>
              </wp:positionV>
              <wp:extent cx="403225" cy="795655"/>
              <wp:effectExtent l="18415" t="20955" r="16510" b="21590"/>
              <wp:wrapNone/>
              <wp:docPr id="10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2" o:spid="_x0000_s1026" style="position:absolute;margin-left:225.7pt;margin-top:5.4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oxGwIAACg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CU2HoxGwIAACg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81952" behindDoc="1" locked="0" layoutInCell="1" allowOverlap="1" wp14:anchorId="5C3C6F60" wp14:editId="15899B55">
              <wp:simplePos x="0" y="0"/>
              <wp:positionH relativeFrom="column">
                <wp:posOffset>2866390</wp:posOffset>
              </wp:positionH>
              <wp:positionV relativeFrom="paragraph">
                <wp:posOffset>68580</wp:posOffset>
              </wp:positionV>
              <wp:extent cx="403225" cy="795655"/>
              <wp:effectExtent l="18415" t="20955" r="16510" b="21590"/>
              <wp:wrapNone/>
              <wp:docPr id="10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3" o:spid="_x0000_s1026" style="position:absolute;margin-left:225.7pt;margin-top:5.4pt;width:31.75pt;height:6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85024" behindDoc="1" locked="0" layoutInCell="1" allowOverlap="1" wp14:anchorId="5B18BD1B" wp14:editId="5F1B9B9C">
              <wp:simplePos x="0" y="0"/>
              <wp:positionH relativeFrom="column">
                <wp:posOffset>2866390</wp:posOffset>
              </wp:positionH>
              <wp:positionV relativeFrom="paragraph">
                <wp:posOffset>68580</wp:posOffset>
              </wp:positionV>
              <wp:extent cx="403225" cy="795655"/>
              <wp:effectExtent l="18415" t="20955" r="16510" b="21590"/>
              <wp:wrapNone/>
              <wp:docPr id="9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4" o:spid="_x0000_s1026" style="position:absolute;margin-left:225.7pt;margin-top:5.4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CYEuDQ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88096" behindDoc="1" locked="0" layoutInCell="1" allowOverlap="1" wp14:anchorId="412D919A" wp14:editId="0C37AA4C">
              <wp:simplePos x="0" y="0"/>
              <wp:positionH relativeFrom="column">
                <wp:posOffset>4445635</wp:posOffset>
              </wp:positionH>
              <wp:positionV relativeFrom="paragraph">
                <wp:posOffset>82550</wp:posOffset>
              </wp:positionV>
              <wp:extent cx="403225" cy="795655"/>
              <wp:effectExtent l="16510" t="15875" r="18415" b="17145"/>
              <wp:wrapNone/>
              <wp:docPr id="9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5" o:spid="_x0000_s1026" style="position:absolute;margin-left:350.05pt;margin-top:6.5pt;width:31.75pt;height:6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zm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CT9Mzm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47</w:t>
    </w:r>
    <w:r w:rsidRPr="000D064C">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91168" behindDoc="1" locked="0" layoutInCell="1" allowOverlap="1" wp14:anchorId="4E8CE7EC" wp14:editId="0EAA1910">
              <wp:simplePos x="0" y="0"/>
              <wp:positionH relativeFrom="column">
                <wp:posOffset>2866390</wp:posOffset>
              </wp:positionH>
              <wp:positionV relativeFrom="paragraph">
                <wp:posOffset>68580</wp:posOffset>
              </wp:positionV>
              <wp:extent cx="403225" cy="795655"/>
              <wp:effectExtent l="18415" t="20955" r="16510" b="21590"/>
              <wp:wrapNone/>
              <wp:docPr id="9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6" o:spid="_x0000_s1026" style="position:absolute;margin-left:225.7pt;margin-top:5.4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c4Gw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CLwKc4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49</w:t>
    </w:r>
    <w:r w:rsidRPr="000D064C">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94240" behindDoc="1" locked="0" layoutInCell="1" allowOverlap="1" wp14:anchorId="2E902380" wp14:editId="6AAEB12D">
              <wp:simplePos x="0" y="0"/>
              <wp:positionH relativeFrom="column">
                <wp:posOffset>2866390</wp:posOffset>
              </wp:positionH>
              <wp:positionV relativeFrom="paragraph">
                <wp:posOffset>68580</wp:posOffset>
              </wp:positionV>
              <wp:extent cx="403225" cy="795655"/>
              <wp:effectExtent l="18415" t="20955" r="16510" b="21590"/>
              <wp:wrapNone/>
              <wp:docPr id="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7" o:spid="_x0000_s1026" style="position:absolute;margin-left:225.7pt;margin-top:5.4pt;width:31.75pt;height:6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qGw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A+MNPq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51</w:t>
    </w:r>
    <w:r w:rsidRPr="000D064C">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97312" behindDoc="1" locked="0" layoutInCell="1" allowOverlap="1" wp14:anchorId="4ACFF6B8" wp14:editId="2738D5D9">
              <wp:simplePos x="0" y="0"/>
              <wp:positionH relativeFrom="column">
                <wp:posOffset>2866390</wp:posOffset>
              </wp:positionH>
              <wp:positionV relativeFrom="paragraph">
                <wp:posOffset>68580</wp:posOffset>
              </wp:positionV>
              <wp:extent cx="403225" cy="795655"/>
              <wp:effectExtent l="18415" t="20955" r="16510" b="21590"/>
              <wp:wrapNone/>
              <wp:docPr id="9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8" o:spid="_x0000_s1026" style="position:absolute;margin-left:225.7pt;margin-top:5.4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vu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1Qm+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55B79">
      <w:rPr>
        <w:rFonts w:ascii="Verdana" w:hAnsi="Verdana"/>
        <w:b/>
        <w:noProof/>
        <w:color w:val="FFFFFF"/>
        <w:sz w:val="18"/>
        <w:szCs w:val="18"/>
      </w:rPr>
      <w:t>54</w:t>
    </w:r>
    <w:r w:rsidRPr="000D064C">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0384" behindDoc="1" locked="0" layoutInCell="1" allowOverlap="1" wp14:anchorId="4A70B9FA" wp14:editId="619B84FC">
              <wp:simplePos x="0" y="0"/>
              <wp:positionH relativeFrom="column">
                <wp:posOffset>2866390</wp:posOffset>
              </wp:positionH>
              <wp:positionV relativeFrom="paragraph">
                <wp:posOffset>68580</wp:posOffset>
              </wp:positionV>
              <wp:extent cx="403225" cy="795655"/>
              <wp:effectExtent l="18415" t="20955" r="16510" b="21590"/>
              <wp:wrapNone/>
              <wp:docPr id="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9" o:spid="_x0000_s1026" style="position:absolute;margin-left:225.7pt;margin-top:5.4pt;width:31.75pt;height:6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88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ig7z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3456" behindDoc="1" locked="0" layoutInCell="1" allowOverlap="1" wp14:anchorId="2649973B" wp14:editId="703B8A8C">
              <wp:simplePos x="0" y="0"/>
              <wp:positionH relativeFrom="column">
                <wp:posOffset>2866390</wp:posOffset>
              </wp:positionH>
              <wp:positionV relativeFrom="paragraph">
                <wp:posOffset>68580</wp:posOffset>
              </wp:positionV>
              <wp:extent cx="403225" cy="795655"/>
              <wp:effectExtent l="18415" t="20955" r="16510" b="21590"/>
              <wp:wrapNone/>
              <wp:docPr id="9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0" o:spid="_x0000_s1026" style="position:absolute;margin-left:225.7pt;margin-top:5.4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fi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qhpEi&#10;Emb0HVgjqhMMZZ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gKEhexmp&#10;LyNEUYCqcI3RaN74cR12xvKuh5emsXelr2F8LY/UvlR1KhbUGIdz2pwg90s/Zr3s9+Y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GdF+I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6528" behindDoc="1" locked="0" layoutInCell="1" allowOverlap="1" wp14:anchorId="373F0E14" wp14:editId="090BDA6E">
              <wp:simplePos x="0" y="0"/>
              <wp:positionH relativeFrom="column">
                <wp:posOffset>2866390</wp:posOffset>
              </wp:positionH>
              <wp:positionV relativeFrom="paragraph">
                <wp:posOffset>68580</wp:posOffset>
              </wp:positionV>
              <wp:extent cx="403225" cy="795655"/>
              <wp:effectExtent l="18415" t="20955" r="16510" b="21590"/>
              <wp:wrapNone/>
              <wp:docPr id="9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1" o:spid="_x0000_s1026" style="position:absolute;margin-left:225.7pt;margin-top:5.4pt;width:31.75pt;height:6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Mw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rHSBEJ&#10;PfoKqhHVC4by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ARtYz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57</w:t>
    </w:r>
    <w:r w:rsidRPr="000D064C">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9600" behindDoc="1" locked="0" layoutInCell="1" allowOverlap="1" wp14:anchorId="26C7542D" wp14:editId="47F50E40">
              <wp:simplePos x="0" y="0"/>
              <wp:positionH relativeFrom="column">
                <wp:posOffset>2866390</wp:posOffset>
              </wp:positionH>
              <wp:positionV relativeFrom="paragraph">
                <wp:posOffset>68580</wp:posOffset>
              </wp:positionV>
              <wp:extent cx="403225" cy="795655"/>
              <wp:effectExtent l="18415" t="20955" r="16510" b="21590"/>
              <wp:wrapNone/>
              <wp:docPr id="9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2" o:spid="_x0000_s1026" style="position:absolute;margin-left:225.7pt;margin-top:5.4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d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rDSBEJ&#10;PfoKqhHVC4by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p6j5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58</w:t>
    </w:r>
    <w:r w:rsidRPr="000D064C">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2672" behindDoc="1" locked="0" layoutInCell="1" allowOverlap="1" wp14:anchorId="1F30872B" wp14:editId="23BE2EE6">
              <wp:simplePos x="0" y="0"/>
              <wp:positionH relativeFrom="column">
                <wp:posOffset>2866390</wp:posOffset>
              </wp:positionH>
              <wp:positionV relativeFrom="paragraph">
                <wp:posOffset>68580</wp:posOffset>
              </wp:positionV>
              <wp:extent cx="403225" cy="795655"/>
              <wp:effectExtent l="18415" t="20955" r="16510" b="21590"/>
              <wp:wrapNone/>
              <wp:docPr id="9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3" o:spid="_x0000_s1026" style="position:absolute;margin-left:225.7pt;margin-top:5.4pt;width:31.75pt;height:62.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tP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Q3Io4iE&#10;Hn0G1YjqBEPZ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K+08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59</w:t>
    </w:r>
    <w:r w:rsidRPr="000D064C">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5744" behindDoc="1" locked="0" layoutInCell="1" allowOverlap="1" wp14:anchorId="521A02D3" wp14:editId="4AEB2740">
              <wp:simplePos x="0" y="0"/>
              <wp:positionH relativeFrom="column">
                <wp:posOffset>2866390</wp:posOffset>
              </wp:positionH>
              <wp:positionV relativeFrom="paragraph">
                <wp:posOffset>68580</wp:posOffset>
              </wp:positionV>
              <wp:extent cx="403225" cy="795655"/>
              <wp:effectExtent l="18415" t="20955" r="16510" b="21590"/>
              <wp:wrapNone/>
              <wp:docPr id="8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4" o:spid="_x0000_s1026" style="position:absolute;margin-left:225.7pt;margin-top:5.4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6U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MSbvpQ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60</w:t>
    </w:r>
    <w:r w:rsidRPr="000D064C">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8816" behindDoc="1" locked="0" layoutInCell="1" allowOverlap="1" wp14:anchorId="3A4DB0D8" wp14:editId="51862C34">
              <wp:simplePos x="0" y="0"/>
              <wp:positionH relativeFrom="column">
                <wp:posOffset>2866390</wp:posOffset>
              </wp:positionH>
              <wp:positionV relativeFrom="paragraph">
                <wp:posOffset>68580</wp:posOffset>
              </wp:positionV>
              <wp:extent cx="403225" cy="795655"/>
              <wp:effectExtent l="18415" t="20955" r="16510" b="21590"/>
              <wp:wrapNone/>
              <wp:docPr id="8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5" o:spid="_x0000_s1026" style="position:absolute;margin-left:225.7pt;margin-top:5.4pt;width:31.75pt;height:6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1888" behindDoc="1" locked="0" layoutInCell="1" allowOverlap="1" wp14:anchorId="235AA9A6" wp14:editId="682B0837">
              <wp:simplePos x="0" y="0"/>
              <wp:positionH relativeFrom="column">
                <wp:posOffset>2866390</wp:posOffset>
              </wp:positionH>
              <wp:positionV relativeFrom="paragraph">
                <wp:posOffset>68580</wp:posOffset>
              </wp:positionV>
              <wp:extent cx="403225" cy="795655"/>
              <wp:effectExtent l="18415" t="20955" r="16510" b="21590"/>
              <wp:wrapNone/>
              <wp:docPr id="8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6" o:spid="_x0000_s1026" style="position:absolute;margin-left:225.7pt;margin-top:5.4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GY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lfoZg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4960" behindDoc="1" locked="0" layoutInCell="1" allowOverlap="1" wp14:anchorId="55E707B0" wp14:editId="1B1EBF62">
              <wp:simplePos x="0" y="0"/>
              <wp:positionH relativeFrom="column">
                <wp:posOffset>2866390</wp:posOffset>
              </wp:positionH>
              <wp:positionV relativeFrom="paragraph">
                <wp:posOffset>68580</wp:posOffset>
              </wp:positionV>
              <wp:extent cx="403225" cy="795655"/>
              <wp:effectExtent l="18415" t="20955" r="16510" b="215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7" o:spid="_x0000_s1026" style="position:absolute;margin-left:225.7pt;margin-top:5.4pt;width:31.75pt;height:6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VK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Nyv1Uo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63</w:t>
    </w:r>
    <w:r w:rsidRPr="000D064C">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8032" behindDoc="1" locked="0" layoutInCell="1" allowOverlap="1" wp14:anchorId="05A0E148" wp14:editId="07EF2FFF">
              <wp:simplePos x="0" y="0"/>
              <wp:positionH relativeFrom="column">
                <wp:posOffset>2866390</wp:posOffset>
              </wp:positionH>
              <wp:positionV relativeFrom="paragraph">
                <wp:posOffset>68580</wp:posOffset>
              </wp:positionV>
              <wp:extent cx="403225" cy="795655"/>
              <wp:effectExtent l="18415" t="20955" r="16510" b="21590"/>
              <wp:wrapNone/>
              <wp:docPr id="8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8" o:spid="_x0000_s1026" style="position:absolute;margin-left:225.7pt;margin-top:5.4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O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H/PnU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76037">
      <w:rPr>
        <w:rFonts w:ascii="Verdana" w:hAnsi="Verdana"/>
        <w:b/>
        <w:noProof/>
        <w:color w:val="FFFFFF"/>
        <w:sz w:val="18"/>
        <w:szCs w:val="18"/>
      </w:rPr>
      <w:t>64</w:t>
    </w:r>
    <w:r w:rsidRPr="000D064C">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0D064C" w:rsidRDefault="00F75541"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1104" behindDoc="1" locked="0" layoutInCell="1" allowOverlap="1" wp14:anchorId="7E10FCE2" wp14:editId="6CC27398">
              <wp:simplePos x="0" y="0"/>
              <wp:positionH relativeFrom="column">
                <wp:posOffset>2866390</wp:posOffset>
              </wp:positionH>
              <wp:positionV relativeFrom="paragraph">
                <wp:posOffset>68580</wp:posOffset>
              </wp:positionV>
              <wp:extent cx="403225" cy="795655"/>
              <wp:effectExtent l="18415" t="20955" r="16510" b="21590"/>
              <wp:wrapNone/>
              <wp:docPr id="8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9" o:spid="_x0000_s1026" style="position:absolute;margin-left:225.7pt;margin-top:5.4pt;width:31.75pt;height:6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c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Mo/6Z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F75541" w:rsidRPr="000D064C" w:rsidRDefault="00F75541">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541" w:rsidRDefault="00F75541">
      <w:r>
        <w:separator/>
      </w:r>
    </w:p>
  </w:footnote>
  <w:footnote w:type="continuationSeparator" w:id="0">
    <w:p w:rsidR="00F75541" w:rsidRDefault="00F755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79" w:rsidRPr="00B55B79" w:rsidRDefault="00B55B79" w:rsidP="00B55B7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79" w:rsidRPr="00B55B79" w:rsidRDefault="00B55B79" w:rsidP="00B55B79">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79" w:rsidRPr="00B55B79" w:rsidRDefault="00B55B79" w:rsidP="00B55B79">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6A0C78"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Pr="004C09A2" w:rsidRDefault="00F75541"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съюз за 2014 г.</w:t>
    </w:r>
  </w:p>
  <w:p w:rsidR="00F75541" w:rsidRDefault="00F75541">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541" w:rsidRDefault="00F755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9F2ED78"/>
    <w:lvl w:ilvl="0">
      <w:start w:val="1"/>
      <w:numFmt w:val="decimal"/>
      <w:pStyle w:val="HEADER1Part4"/>
      <w:lvlText w:val="%1."/>
      <w:lvlJc w:val="left"/>
      <w:pPr>
        <w:ind w:left="907" w:hanging="907"/>
      </w:pPr>
      <w:rPr>
        <w:rFonts w:hint="default"/>
      </w:rPr>
    </w:lvl>
    <w:lvl w:ilvl="1">
      <w:start w:val="1"/>
      <w:numFmt w:val="decimal"/>
      <w:pStyle w:val="HEADER2Part4"/>
      <w:lvlText w:val="%1.%2."/>
      <w:lvlJc w:val="left"/>
      <w:pPr>
        <w:ind w:left="907" w:hanging="907"/>
      </w:pPr>
      <w:rPr>
        <w:rFonts w:hint="default"/>
      </w:rPr>
    </w:lvl>
    <w:lvl w:ilvl="2">
      <w:start w:val="1"/>
      <w:numFmt w:val="decimal"/>
      <w:pStyle w:val="HEADER3Part4"/>
      <w:lvlText w:val="%1.%2.%3."/>
      <w:lvlJc w:val="left"/>
      <w:pPr>
        <w:ind w:left="907" w:hanging="907"/>
      </w:pPr>
      <w:rPr>
        <w:rFonts w:hint="default"/>
      </w:rPr>
    </w:lvl>
    <w:lvl w:ilvl="3">
      <w:start w:val="1"/>
      <w:numFmt w:val="decimal"/>
      <w:pStyle w:val="HEADER4Part4"/>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
    <w:nsid w:val="00000002"/>
    <w:multiLevelType w:val="multilevel"/>
    <w:tmpl w:val="DFA2C34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2">
    <w:nsid w:val="00000003"/>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0000004"/>
    <w:multiLevelType w:val="hybridMultilevel"/>
    <w:tmpl w:val="87B4A22A"/>
    <w:lvl w:ilvl="0" w:tplc="C0B69578">
      <w:start w:val="1"/>
      <w:numFmt w:val="bullet"/>
      <w:lvlText w:val=""/>
      <w:lvlJc w:val="left"/>
      <w:pPr>
        <w:ind w:left="720" w:hanging="360"/>
      </w:pPr>
      <w:rPr>
        <w:rFonts w:ascii="Symbol" w:hAnsi="Symbol" w:hint="default"/>
      </w:rPr>
    </w:lvl>
    <w:lvl w:ilvl="1" w:tplc="B7CC81F6">
      <w:start w:val="1"/>
      <w:numFmt w:val="bullet"/>
      <w:lvlText w:val="o"/>
      <w:lvlJc w:val="left"/>
      <w:pPr>
        <w:ind w:left="1440" w:hanging="360"/>
      </w:pPr>
      <w:rPr>
        <w:rFonts w:ascii="Courier New" w:hAnsi="Courier New" w:cs="Courier New" w:hint="default"/>
      </w:rPr>
    </w:lvl>
    <w:lvl w:ilvl="2" w:tplc="3AF2C504">
      <w:start w:val="1"/>
      <w:numFmt w:val="bullet"/>
      <w:lvlText w:val=""/>
      <w:lvlJc w:val="left"/>
      <w:pPr>
        <w:ind w:left="2160" w:hanging="360"/>
      </w:pPr>
      <w:rPr>
        <w:rFonts w:ascii="Wingdings" w:hAnsi="Wingdings" w:hint="default"/>
      </w:rPr>
    </w:lvl>
    <w:lvl w:ilvl="3" w:tplc="B082D736" w:tentative="1">
      <w:start w:val="1"/>
      <w:numFmt w:val="bullet"/>
      <w:lvlText w:val=""/>
      <w:lvlJc w:val="left"/>
      <w:pPr>
        <w:ind w:left="2880" w:hanging="360"/>
      </w:pPr>
      <w:rPr>
        <w:rFonts w:ascii="Symbol" w:hAnsi="Symbol" w:hint="default"/>
      </w:rPr>
    </w:lvl>
    <w:lvl w:ilvl="4" w:tplc="B0CC1C12" w:tentative="1">
      <w:start w:val="1"/>
      <w:numFmt w:val="bullet"/>
      <w:lvlText w:val="o"/>
      <w:lvlJc w:val="left"/>
      <w:pPr>
        <w:ind w:left="3600" w:hanging="360"/>
      </w:pPr>
      <w:rPr>
        <w:rFonts w:ascii="Courier New" w:hAnsi="Courier New" w:cs="Courier New" w:hint="default"/>
      </w:rPr>
    </w:lvl>
    <w:lvl w:ilvl="5" w:tplc="37D414BC" w:tentative="1">
      <w:start w:val="1"/>
      <w:numFmt w:val="bullet"/>
      <w:lvlText w:val=""/>
      <w:lvlJc w:val="left"/>
      <w:pPr>
        <w:ind w:left="4320" w:hanging="360"/>
      </w:pPr>
      <w:rPr>
        <w:rFonts w:ascii="Wingdings" w:hAnsi="Wingdings" w:hint="default"/>
      </w:rPr>
    </w:lvl>
    <w:lvl w:ilvl="6" w:tplc="ECAC46FE" w:tentative="1">
      <w:start w:val="1"/>
      <w:numFmt w:val="bullet"/>
      <w:lvlText w:val=""/>
      <w:lvlJc w:val="left"/>
      <w:pPr>
        <w:ind w:left="5040" w:hanging="360"/>
      </w:pPr>
      <w:rPr>
        <w:rFonts w:ascii="Symbol" w:hAnsi="Symbol" w:hint="default"/>
      </w:rPr>
    </w:lvl>
    <w:lvl w:ilvl="7" w:tplc="EA904EF2" w:tentative="1">
      <w:start w:val="1"/>
      <w:numFmt w:val="bullet"/>
      <w:lvlText w:val="o"/>
      <w:lvlJc w:val="left"/>
      <w:pPr>
        <w:ind w:left="5760" w:hanging="360"/>
      </w:pPr>
      <w:rPr>
        <w:rFonts w:ascii="Courier New" w:hAnsi="Courier New" w:cs="Courier New" w:hint="default"/>
      </w:rPr>
    </w:lvl>
    <w:lvl w:ilvl="8" w:tplc="F0745480"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A4D64F7C"/>
    <w:lvl w:ilvl="0" w:tplc="465CC760">
      <w:start w:val="1"/>
      <w:numFmt w:val="bullet"/>
      <w:lvlText w:val=""/>
      <w:lvlJc w:val="left"/>
      <w:pPr>
        <w:ind w:left="720" w:hanging="360"/>
      </w:pPr>
      <w:rPr>
        <w:rFonts w:ascii="Symbol" w:hAnsi="Symbol" w:hint="default"/>
      </w:rPr>
    </w:lvl>
    <w:lvl w:ilvl="1" w:tplc="6C6017E6" w:tentative="1">
      <w:start w:val="1"/>
      <w:numFmt w:val="bullet"/>
      <w:lvlText w:val="o"/>
      <w:lvlJc w:val="left"/>
      <w:pPr>
        <w:ind w:left="1440" w:hanging="360"/>
      </w:pPr>
      <w:rPr>
        <w:rFonts w:ascii="Courier New" w:hAnsi="Courier New" w:cs="Courier New" w:hint="default"/>
      </w:rPr>
    </w:lvl>
    <w:lvl w:ilvl="2" w:tplc="352AE79E" w:tentative="1">
      <w:start w:val="1"/>
      <w:numFmt w:val="bullet"/>
      <w:lvlText w:val=""/>
      <w:lvlJc w:val="left"/>
      <w:pPr>
        <w:ind w:left="2160" w:hanging="360"/>
      </w:pPr>
      <w:rPr>
        <w:rFonts w:ascii="Wingdings" w:hAnsi="Wingdings" w:hint="default"/>
      </w:rPr>
    </w:lvl>
    <w:lvl w:ilvl="3" w:tplc="270EBB52" w:tentative="1">
      <w:start w:val="1"/>
      <w:numFmt w:val="bullet"/>
      <w:lvlText w:val=""/>
      <w:lvlJc w:val="left"/>
      <w:pPr>
        <w:ind w:left="2880" w:hanging="360"/>
      </w:pPr>
      <w:rPr>
        <w:rFonts w:ascii="Symbol" w:hAnsi="Symbol" w:hint="default"/>
      </w:rPr>
    </w:lvl>
    <w:lvl w:ilvl="4" w:tplc="C47A1744" w:tentative="1">
      <w:start w:val="1"/>
      <w:numFmt w:val="bullet"/>
      <w:lvlText w:val="o"/>
      <w:lvlJc w:val="left"/>
      <w:pPr>
        <w:ind w:left="3600" w:hanging="360"/>
      </w:pPr>
      <w:rPr>
        <w:rFonts w:ascii="Courier New" w:hAnsi="Courier New" w:cs="Courier New" w:hint="default"/>
      </w:rPr>
    </w:lvl>
    <w:lvl w:ilvl="5" w:tplc="09F69910" w:tentative="1">
      <w:start w:val="1"/>
      <w:numFmt w:val="bullet"/>
      <w:lvlText w:val=""/>
      <w:lvlJc w:val="left"/>
      <w:pPr>
        <w:ind w:left="4320" w:hanging="360"/>
      </w:pPr>
      <w:rPr>
        <w:rFonts w:ascii="Wingdings" w:hAnsi="Wingdings" w:hint="default"/>
      </w:rPr>
    </w:lvl>
    <w:lvl w:ilvl="6" w:tplc="A35EE3D2" w:tentative="1">
      <w:start w:val="1"/>
      <w:numFmt w:val="bullet"/>
      <w:lvlText w:val=""/>
      <w:lvlJc w:val="left"/>
      <w:pPr>
        <w:ind w:left="5040" w:hanging="360"/>
      </w:pPr>
      <w:rPr>
        <w:rFonts w:ascii="Symbol" w:hAnsi="Symbol" w:hint="default"/>
      </w:rPr>
    </w:lvl>
    <w:lvl w:ilvl="7" w:tplc="70E0E1D8" w:tentative="1">
      <w:start w:val="1"/>
      <w:numFmt w:val="bullet"/>
      <w:lvlText w:val="o"/>
      <w:lvlJc w:val="left"/>
      <w:pPr>
        <w:ind w:left="5760" w:hanging="360"/>
      </w:pPr>
      <w:rPr>
        <w:rFonts w:ascii="Courier New" w:hAnsi="Courier New" w:cs="Courier New" w:hint="default"/>
      </w:rPr>
    </w:lvl>
    <w:lvl w:ilvl="8" w:tplc="D9FC3796"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3C3C430C"/>
    <w:lvl w:ilvl="0" w:tplc="263C5334">
      <w:start w:val="1"/>
      <w:numFmt w:val="bullet"/>
      <w:lvlText w:val=""/>
      <w:lvlJc w:val="left"/>
      <w:pPr>
        <w:ind w:left="720" w:hanging="360"/>
      </w:pPr>
      <w:rPr>
        <w:rFonts w:ascii="Symbol" w:hAnsi="Symbol" w:hint="default"/>
      </w:rPr>
    </w:lvl>
    <w:lvl w:ilvl="1" w:tplc="5FC455AC" w:tentative="1">
      <w:start w:val="1"/>
      <w:numFmt w:val="bullet"/>
      <w:lvlText w:val="o"/>
      <w:lvlJc w:val="left"/>
      <w:pPr>
        <w:ind w:left="1440" w:hanging="360"/>
      </w:pPr>
      <w:rPr>
        <w:rFonts w:ascii="Courier New" w:hAnsi="Courier New" w:cs="Courier New" w:hint="default"/>
      </w:rPr>
    </w:lvl>
    <w:lvl w:ilvl="2" w:tplc="F8907710" w:tentative="1">
      <w:start w:val="1"/>
      <w:numFmt w:val="bullet"/>
      <w:lvlText w:val=""/>
      <w:lvlJc w:val="left"/>
      <w:pPr>
        <w:ind w:left="2160" w:hanging="360"/>
      </w:pPr>
      <w:rPr>
        <w:rFonts w:ascii="Wingdings" w:hAnsi="Wingdings" w:hint="default"/>
      </w:rPr>
    </w:lvl>
    <w:lvl w:ilvl="3" w:tplc="2FAE80FE" w:tentative="1">
      <w:start w:val="1"/>
      <w:numFmt w:val="bullet"/>
      <w:lvlText w:val=""/>
      <w:lvlJc w:val="left"/>
      <w:pPr>
        <w:ind w:left="2880" w:hanging="360"/>
      </w:pPr>
      <w:rPr>
        <w:rFonts w:ascii="Symbol" w:hAnsi="Symbol" w:hint="default"/>
      </w:rPr>
    </w:lvl>
    <w:lvl w:ilvl="4" w:tplc="EEF251FE" w:tentative="1">
      <w:start w:val="1"/>
      <w:numFmt w:val="bullet"/>
      <w:lvlText w:val="o"/>
      <w:lvlJc w:val="left"/>
      <w:pPr>
        <w:ind w:left="3600" w:hanging="360"/>
      </w:pPr>
      <w:rPr>
        <w:rFonts w:ascii="Courier New" w:hAnsi="Courier New" w:cs="Courier New" w:hint="default"/>
      </w:rPr>
    </w:lvl>
    <w:lvl w:ilvl="5" w:tplc="DEB8F972" w:tentative="1">
      <w:start w:val="1"/>
      <w:numFmt w:val="bullet"/>
      <w:lvlText w:val=""/>
      <w:lvlJc w:val="left"/>
      <w:pPr>
        <w:ind w:left="4320" w:hanging="360"/>
      </w:pPr>
      <w:rPr>
        <w:rFonts w:ascii="Wingdings" w:hAnsi="Wingdings" w:hint="default"/>
      </w:rPr>
    </w:lvl>
    <w:lvl w:ilvl="6" w:tplc="4106FE78" w:tentative="1">
      <w:start w:val="1"/>
      <w:numFmt w:val="bullet"/>
      <w:lvlText w:val=""/>
      <w:lvlJc w:val="left"/>
      <w:pPr>
        <w:ind w:left="5040" w:hanging="360"/>
      </w:pPr>
      <w:rPr>
        <w:rFonts w:ascii="Symbol" w:hAnsi="Symbol" w:hint="default"/>
      </w:rPr>
    </w:lvl>
    <w:lvl w:ilvl="7" w:tplc="0A34AEB0" w:tentative="1">
      <w:start w:val="1"/>
      <w:numFmt w:val="bullet"/>
      <w:lvlText w:val="o"/>
      <w:lvlJc w:val="left"/>
      <w:pPr>
        <w:ind w:left="5760" w:hanging="360"/>
      </w:pPr>
      <w:rPr>
        <w:rFonts w:ascii="Courier New" w:hAnsi="Courier New" w:cs="Courier New" w:hint="default"/>
      </w:rPr>
    </w:lvl>
    <w:lvl w:ilvl="8" w:tplc="496E8204"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154C8B50"/>
    <w:lvl w:ilvl="0" w:tplc="6654168E">
      <w:start w:val="1"/>
      <w:numFmt w:val="bullet"/>
      <w:lvlText w:val=""/>
      <w:lvlJc w:val="left"/>
      <w:pPr>
        <w:ind w:left="720" w:hanging="360"/>
      </w:pPr>
      <w:rPr>
        <w:rFonts w:ascii="Symbol" w:hAnsi="Symbol" w:hint="default"/>
      </w:rPr>
    </w:lvl>
    <w:lvl w:ilvl="1" w:tplc="A87AD49A" w:tentative="1">
      <w:start w:val="1"/>
      <w:numFmt w:val="bullet"/>
      <w:lvlText w:val="o"/>
      <w:lvlJc w:val="left"/>
      <w:pPr>
        <w:ind w:left="1440" w:hanging="360"/>
      </w:pPr>
      <w:rPr>
        <w:rFonts w:ascii="Courier New" w:hAnsi="Courier New" w:cs="Courier New" w:hint="default"/>
      </w:rPr>
    </w:lvl>
    <w:lvl w:ilvl="2" w:tplc="C8A263DC" w:tentative="1">
      <w:start w:val="1"/>
      <w:numFmt w:val="bullet"/>
      <w:lvlText w:val=""/>
      <w:lvlJc w:val="left"/>
      <w:pPr>
        <w:ind w:left="2160" w:hanging="360"/>
      </w:pPr>
      <w:rPr>
        <w:rFonts w:ascii="Wingdings" w:hAnsi="Wingdings" w:hint="default"/>
      </w:rPr>
    </w:lvl>
    <w:lvl w:ilvl="3" w:tplc="83663E78" w:tentative="1">
      <w:start w:val="1"/>
      <w:numFmt w:val="bullet"/>
      <w:lvlText w:val=""/>
      <w:lvlJc w:val="left"/>
      <w:pPr>
        <w:ind w:left="2880" w:hanging="360"/>
      </w:pPr>
      <w:rPr>
        <w:rFonts w:ascii="Symbol" w:hAnsi="Symbol" w:hint="default"/>
      </w:rPr>
    </w:lvl>
    <w:lvl w:ilvl="4" w:tplc="08D4EEC4" w:tentative="1">
      <w:start w:val="1"/>
      <w:numFmt w:val="bullet"/>
      <w:lvlText w:val="o"/>
      <w:lvlJc w:val="left"/>
      <w:pPr>
        <w:ind w:left="3600" w:hanging="360"/>
      </w:pPr>
      <w:rPr>
        <w:rFonts w:ascii="Courier New" w:hAnsi="Courier New" w:cs="Courier New" w:hint="default"/>
      </w:rPr>
    </w:lvl>
    <w:lvl w:ilvl="5" w:tplc="592088D6" w:tentative="1">
      <w:start w:val="1"/>
      <w:numFmt w:val="bullet"/>
      <w:lvlText w:val=""/>
      <w:lvlJc w:val="left"/>
      <w:pPr>
        <w:ind w:left="4320" w:hanging="360"/>
      </w:pPr>
      <w:rPr>
        <w:rFonts w:ascii="Wingdings" w:hAnsi="Wingdings" w:hint="default"/>
      </w:rPr>
    </w:lvl>
    <w:lvl w:ilvl="6" w:tplc="E72AF914" w:tentative="1">
      <w:start w:val="1"/>
      <w:numFmt w:val="bullet"/>
      <w:lvlText w:val=""/>
      <w:lvlJc w:val="left"/>
      <w:pPr>
        <w:ind w:left="5040" w:hanging="360"/>
      </w:pPr>
      <w:rPr>
        <w:rFonts w:ascii="Symbol" w:hAnsi="Symbol" w:hint="default"/>
      </w:rPr>
    </w:lvl>
    <w:lvl w:ilvl="7" w:tplc="0E0E8B00" w:tentative="1">
      <w:start w:val="1"/>
      <w:numFmt w:val="bullet"/>
      <w:lvlText w:val="o"/>
      <w:lvlJc w:val="left"/>
      <w:pPr>
        <w:ind w:left="5760" w:hanging="360"/>
      </w:pPr>
      <w:rPr>
        <w:rFonts w:ascii="Courier New" w:hAnsi="Courier New" w:cs="Courier New" w:hint="default"/>
      </w:rPr>
    </w:lvl>
    <w:lvl w:ilvl="8" w:tplc="19C60C94"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AE44FEF8"/>
    <w:lvl w:ilvl="0" w:tplc="0F4AE8A4">
      <w:start w:val="1"/>
      <w:numFmt w:val="bullet"/>
      <w:lvlText w:val=""/>
      <w:lvlJc w:val="left"/>
      <w:pPr>
        <w:ind w:left="720" w:hanging="360"/>
      </w:pPr>
      <w:rPr>
        <w:rFonts w:ascii="Symbol" w:hAnsi="Symbol" w:hint="default"/>
      </w:rPr>
    </w:lvl>
    <w:lvl w:ilvl="1" w:tplc="88AE0FC4">
      <w:start w:val="1"/>
      <w:numFmt w:val="bullet"/>
      <w:lvlText w:val="•"/>
      <w:lvlJc w:val="left"/>
      <w:pPr>
        <w:ind w:left="1800" w:hanging="720"/>
      </w:pPr>
      <w:rPr>
        <w:rFonts w:ascii="Verdana" w:eastAsia="Times New Roman" w:hAnsi="Verdana" w:cs="Times New Roman" w:hint="default"/>
      </w:rPr>
    </w:lvl>
    <w:lvl w:ilvl="2" w:tplc="38764FDA" w:tentative="1">
      <w:start w:val="1"/>
      <w:numFmt w:val="bullet"/>
      <w:lvlText w:val=""/>
      <w:lvlJc w:val="left"/>
      <w:pPr>
        <w:ind w:left="2160" w:hanging="360"/>
      </w:pPr>
      <w:rPr>
        <w:rFonts w:ascii="Wingdings" w:hAnsi="Wingdings" w:hint="default"/>
      </w:rPr>
    </w:lvl>
    <w:lvl w:ilvl="3" w:tplc="CFF8F622" w:tentative="1">
      <w:start w:val="1"/>
      <w:numFmt w:val="bullet"/>
      <w:lvlText w:val=""/>
      <w:lvlJc w:val="left"/>
      <w:pPr>
        <w:ind w:left="2880" w:hanging="360"/>
      </w:pPr>
      <w:rPr>
        <w:rFonts w:ascii="Symbol" w:hAnsi="Symbol" w:hint="default"/>
      </w:rPr>
    </w:lvl>
    <w:lvl w:ilvl="4" w:tplc="27F657C4" w:tentative="1">
      <w:start w:val="1"/>
      <w:numFmt w:val="bullet"/>
      <w:lvlText w:val="o"/>
      <w:lvlJc w:val="left"/>
      <w:pPr>
        <w:ind w:left="3600" w:hanging="360"/>
      </w:pPr>
      <w:rPr>
        <w:rFonts w:ascii="Courier New" w:hAnsi="Courier New" w:cs="Courier New" w:hint="default"/>
      </w:rPr>
    </w:lvl>
    <w:lvl w:ilvl="5" w:tplc="7606224C" w:tentative="1">
      <w:start w:val="1"/>
      <w:numFmt w:val="bullet"/>
      <w:lvlText w:val=""/>
      <w:lvlJc w:val="left"/>
      <w:pPr>
        <w:ind w:left="4320" w:hanging="360"/>
      </w:pPr>
      <w:rPr>
        <w:rFonts w:ascii="Wingdings" w:hAnsi="Wingdings" w:hint="default"/>
      </w:rPr>
    </w:lvl>
    <w:lvl w:ilvl="6" w:tplc="3180655E" w:tentative="1">
      <w:start w:val="1"/>
      <w:numFmt w:val="bullet"/>
      <w:lvlText w:val=""/>
      <w:lvlJc w:val="left"/>
      <w:pPr>
        <w:ind w:left="5040" w:hanging="360"/>
      </w:pPr>
      <w:rPr>
        <w:rFonts w:ascii="Symbol" w:hAnsi="Symbol" w:hint="default"/>
      </w:rPr>
    </w:lvl>
    <w:lvl w:ilvl="7" w:tplc="577EF6FA" w:tentative="1">
      <w:start w:val="1"/>
      <w:numFmt w:val="bullet"/>
      <w:lvlText w:val="o"/>
      <w:lvlJc w:val="left"/>
      <w:pPr>
        <w:ind w:left="5760" w:hanging="360"/>
      </w:pPr>
      <w:rPr>
        <w:rFonts w:ascii="Courier New" w:hAnsi="Courier New" w:cs="Courier New" w:hint="default"/>
      </w:rPr>
    </w:lvl>
    <w:lvl w:ilvl="8" w:tplc="7CC2A530"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78E69128"/>
    <w:lvl w:ilvl="0" w:tplc="E37216F8">
      <w:start w:val="1"/>
      <w:numFmt w:val="bullet"/>
      <w:lvlText w:val=""/>
      <w:lvlJc w:val="left"/>
      <w:pPr>
        <w:ind w:left="720" w:hanging="360"/>
      </w:pPr>
      <w:rPr>
        <w:rFonts w:ascii="Symbol" w:hAnsi="Symbol" w:hint="default"/>
      </w:rPr>
    </w:lvl>
    <w:lvl w:ilvl="1" w:tplc="8A44F150" w:tentative="1">
      <w:start w:val="1"/>
      <w:numFmt w:val="bullet"/>
      <w:lvlText w:val="o"/>
      <w:lvlJc w:val="left"/>
      <w:pPr>
        <w:ind w:left="1440" w:hanging="360"/>
      </w:pPr>
      <w:rPr>
        <w:rFonts w:ascii="Courier New" w:hAnsi="Courier New" w:cs="Courier New" w:hint="default"/>
      </w:rPr>
    </w:lvl>
    <w:lvl w:ilvl="2" w:tplc="1A188024" w:tentative="1">
      <w:start w:val="1"/>
      <w:numFmt w:val="bullet"/>
      <w:lvlText w:val=""/>
      <w:lvlJc w:val="left"/>
      <w:pPr>
        <w:ind w:left="2160" w:hanging="360"/>
      </w:pPr>
      <w:rPr>
        <w:rFonts w:ascii="Wingdings" w:hAnsi="Wingdings" w:hint="default"/>
      </w:rPr>
    </w:lvl>
    <w:lvl w:ilvl="3" w:tplc="7B944C94" w:tentative="1">
      <w:start w:val="1"/>
      <w:numFmt w:val="bullet"/>
      <w:lvlText w:val=""/>
      <w:lvlJc w:val="left"/>
      <w:pPr>
        <w:ind w:left="2880" w:hanging="360"/>
      </w:pPr>
      <w:rPr>
        <w:rFonts w:ascii="Symbol" w:hAnsi="Symbol" w:hint="default"/>
      </w:rPr>
    </w:lvl>
    <w:lvl w:ilvl="4" w:tplc="1D489E42" w:tentative="1">
      <w:start w:val="1"/>
      <w:numFmt w:val="bullet"/>
      <w:lvlText w:val="o"/>
      <w:lvlJc w:val="left"/>
      <w:pPr>
        <w:ind w:left="3600" w:hanging="360"/>
      </w:pPr>
      <w:rPr>
        <w:rFonts w:ascii="Courier New" w:hAnsi="Courier New" w:cs="Courier New" w:hint="default"/>
      </w:rPr>
    </w:lvl>
    <w:lvl w:ilvl="5" w:tplc="B16867BA" w:tentative="1">
      <w:start w:val="1"/>
      <w:numFmt w:val="bullet"/>
      <w:lvlText w:val=""/>
      <w:lvlJc w:val="left"/>
      <w:pPr>
        <w:ind w:left="4320" w:hanging="360"/>
      </w:pPr>
      <w:rPr>
        <w:rFonts w:ascii="Wingdings" w:hAnsi="Wingdings" w:hint="default"/>
      </w:rPr>
    </w:lvl>
    <w:lvl w:ilvl="6" w:tplc="A950CE28" w:tentative="1">
      <w:start w:val="1"/>
      <w:numFmt w:val="bullet"/>
      <w:lvlText w:val=""/>
      <w:lvlJc w:val="left"/>
      <w:pPr>
        <w:ind w:left="5040" w:hanging="360"/>
      </w:pPr>
      <w:rPr>
        <w:rFonts w:ascii="Symbol" w:hAnsi="Symbol" w:hint="default"/>
      </w:rPr>
    </w:lvl>
    <w:lvl w:ilvl="7" w:tplc="6284D40E" w:tentative="1">
      <w:start w:val="1"/>
      <w:numFmt w:val="bullet"/>
      <w:lvlText w:val="o"/>
      <w:lvlJc w:val="left"/>
      <w:pPr>
        <w:ind w:left="5760" w:hanging="360"/>
      </w:pPr>
      <w:rPr>
        <w:rFonts w:ascii="Courier New" w:hAnsi="Courier New" w:cs="Courier New" w:hint="default"/>
      </w:rPr>
    </w:lvl>
    <w:lvl w:ilvl="8" w:tplc="D30C1074"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E1703C60"/>
    <w:lvl w:ilvl="0" w:tplc="7C123522">
      <w:start w:val="1"/>
      <w:numFmt w:val="bullet"/>
      <w:lvlText w:val=""/>
      <w:lvlJc w:val="left"/>
      <w:pPr>
        <w:ind w:left="720" w:hanging="360"/>
      </w:pPr>
      <w:rPr>
        <w:rFonts w:ascii="Symbol" w:hAnsi="Symbol" w:hint="default"/>
      </w:rPr>
    </w:lvl>
    <w:lvl w:ilvl="1" w:tplc="CB540C14" w:tentative="1">
      <w:start w:val="1"/>
      <w:numFmt w:val="bullet"/>
      <w:lvlText w:val="o"/>
      <w:lvlJc w:val="left"/>
      <w:pPr>
        <w:ind w:left="1440" w:hanging="360"/>
      </w:pPr>
      <w:rPr>
        <w:rFonts w:ascii="Courier New" w:hAnsi="Courier New" w:cs="Courier New" w:hint="default"/>
      </w:rPr>
    </w:lvl>
    <w:lvl w:ilvl="2" w:tplc="D0443C60" w:tentative="1">
      <w:start w:val="1"/>
      <w:numFmt w:val="bullet"/>
      <w:lvlText w:val=""/>
      <w:lvlJc w:val="left"/>
      <w:pPr>
        <w:ind w:left="2160" w:hanging="360"/>
      </w:pPr>
      <w:rPr>
        <w:rFonts w:ascii="Wingdings" w:hAnsi="Wingdings" w:hint="default"/>
      </w:rPr>
    </w:lvl>
    <w:lvl w:ilvl="3" w:tplc="ACAA797C" w:tentative="1">
      <w:start w:val="1"/>
      <w:numFmt w:val="bullet"/>
      <w:lvlText w:val=""/>
      <w:lvlJc w:val="left"/>
      <w:pPr>
        <w:ind w:left="2880" w:hanging="360"/>
      </w:pPr>
      <w:rPr>
        <w:rFonts w:ascii="Symbol" w:hAnsi="Symbol" w:hint="default"/>
      </w:rPr>
    </w:lvl>
    <w:lvl w:ilvl="4" w:tplc="FA56635A" w:tentative="1">
      <w:start w:val="1"/>
      <w:numFmt w:val="bullet"/>
      <w:lvlText w:val="o"/>
      <w:lvlJc w:val="left"/>
      <w:pPr>
        <w:ind w:left="3600" w:hanging="360"/>
      </w:pPr>
      <w:rPr>
        <w:rFonts w:ascii="Courier New" w:hAnsi="Courier New" w:cs="Courier New" w:hint="default"/>
      </w:rPr>
    </w:lvl>
    <w:lvl w:ilvl="5" w:tplc="FC44523A" w:tentative="1">
      <w:start w:val="1"/>
      <w:numFmt w:val="bullet"/>
      <w:lvlText w:val=""/>
      <w:lvlJc w:val="left"/>
      <w:pPr>
        <w:ind w:left="4320" w:hanging="360"/>
      </w:pPr>
      <w:rPr>
        <w:rFonts w:ascii="Wingdings" w:hAnsi="Wingdings" w:hint="default"/>
      </w:rPr>
    </w:lvl>
    <w:lvl w:ilvl="6" w:tplc="F31E6B0C" w:tentative="1">
      <w:start w:val="1"/>
      <w:numFmt w:val="bullet"/>
      <w:lvlText w:val=""/>
      <w:lvlJc w:val="left"/>
      <w:pPr>
        <w:ind w:left="5040" w:hanging="360"/>
      </w:pPr>
      <w:rPr>
        <w:rFonts w:ascii="Symbol" w:hAnsi="Symbol" w:hint="default"/>
      </w:rPr>
    </w:lvl>
    <w:lvl w:ilvl="7" w:tplc="1A1AAD7A" w:tentative="1">
      <w:start w:val="1"/>
      <w:numFmt w:val="bullet"/>
      <w:lvlText w:val="o"/>
      <w:lvlJc w:val="left"/>
      <w:pPr>
        <w:ind w:left="5760" w:hanging="360"/>
      </w:pPr>
      <w:rPr>
        <w:rFonts w:ascii="Courier New" w:hAnsi="Courier New" w:cs="Courier New" w:hint="default"/>
      </w:rPr>
    </w:lvl>
    <w:lvl w:ilvl="8" w:tplc="9EA6C88E"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9AE265B8"/>
    <w:lvl w:ilvl="0" w:tplc="E7C4E428">
      <w:start w:val="1"/>
      <w:numFmt w:val="bullet"/>
      <w:lvlText w:val=""/>
      <w:lvlJc w:val="left"/>
      <w:pPr>
        <w:ind w:left="720" w:hanging="360"/>
      </w:pPr>
      <w:rPr>
        <w:rFonts w:ascii="Symbol" w:hAnsi="Symbol" w:hint="default"/>
      </w:rPr>
    </w:lvl>
    <w:lvl w:ilvl="1" w:tplc="7436A168" w:tentative="1">
      <w:start w:val="1"/>
      <w:numFmt w:val="bullet"/>
      <w:lvlText w:val="o"/>
      <w:lvlJc w:val="left"/>
      <w:pPr>
        <w:ind w:left="1440" w:hanging="360"/>
      </w:pPr>
      <w:rPr>
        <w:rFonts w:ascii="Courier New" w:hAnsi="Courier New" w:cs="Courier New" w:hint="default"/>
      </w:rPr>
    </w:lvl>
    <w:lvl w:ilvl="2" w:tplc="9C1A289E" w:tentative="1">
      <w:start w:val="1"/>
      <w:numFmt w:val="bullet"/>
      <w:lvlText w:val=""/>
      <w:lvlJc w:val="left"/>
      <w:pPr>
        <w:ind w:left="2160" w:hanging="360"/>
      </w:pPr>
      <w:rPr>
        <w:rFonts w:ascii="Wingdings" w:hAnsi="Wingdings" w:hint="default"/>
      </w:rPr>
    </w:lvl>
    <w:lvl w:ilvl="3" w:tplc="A530D13A" w:tentative="1">
      <w:start w:val="1"/>
      <w:numFmt w:val="bullet"/>
      <w:lvlText w:val=""/>
      <w:lvlJc w:val="left"/>
      <w:pPr>
        <w:ind w:left="2880" w:hanging="360"/>
      </w:pPr>
      <w:rPr>
        <w:rFonts w:ascii="Symbol" w:hAnsi="Symbol" w:hint="default"/>
      </w:rPr>
    </w:lvl>
    <w:lvl w:ilvl="4" w:tplc="490C9F16" w:tentative="1">
      <w:start w:val="1"/>
      <w:numFmt w:val="bullet"/>
      <w:lvlText w:val="o"/>
      <w:lvlJc w:val="left"/>
      <w:pPr>
        <w:ind w:left="3600" w:hanging="360"/>
      </w:pPr>
      <w:rPr>
        <w:rFonts w:ascii="Courier New" w:hAnsi="Courier New" w:cs="Courier New" w:hint="default"/>
      </w:rPr>
    </w:lvl>
    <w:lvl w:ilvl="5" w:tplc="AA1451FC" w:tentative="1">
      <w:start w:val="1"/>
      <w:numFmt w:val="bullet"/>
      <w:lvlText w:val=""/>
      <w:lvlJc w:val="left"/>
      <w:pPr>
        <w:ind w:left="4320" w:hanging="360"/>
      </w:pPr>
      <w:rPr>
        <w:rFonts w:ascii="Wingdings" w:hAnsi="Wingdings" w:hint="default"/>
      </w:rPr>
    </w:lvl>
    <w:lvl w:ilvl="6" w:tplc="C54CAA5C" w:tentative="1">
      <w:start w:val="1"/>
      <w:numFmt w:val="bullet"/>
      <w:lvlText w:val=""/>
      <w:lvlJc w:val="left"/>
      <w:pPr>
        <w:ind w:left="5040" w:hanging="360"/>
      </w:pPr>
      <w:rPr>
        <w:rFonts w:ascii="Symbol" w:hAnsi="Symbol" w:hint="default"/>
      </w:rPr>
    </w:lvl>
    <w:lvl w:ilvl="7" w:tplc="091A9768" w:tentative="1">
      <w:start w:val="1"/>
      <w:numFmt w:val="bullet"/>
      <w:lvlText w:val="o"/>
      <w:lvlJc w:val="left"/>
      <w:pPr>
        <w:ind w:left="5760" w:hanging="360"/>
      </w:pPr>
      <w:rPr>
        <w:rFonts w:ascii="Courier New" w:hAnsi="Courier New" w:cs="Courier New" w:hint="default"/>
      </w:rPr>
    </w:lvl>
    <w:lvl w:ilvl="8" w:tplc="01C4FC38"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515A4876"/>
    <w:lvl w:ilvl="0" w:tplc="0114CABC">
      <w:start w:val="1"/>
      <w:numFmt w:val="bullet"/>
      <w:lvlText w:val=""/>
      <w:lvlJc w:val="left"/>
      <w:pPr>
        <w:ind w:left="720" w:hanging="360"/>
      </w:pPr>
      <w:rPr>
        <w:rFonts w:ascii="Symbol" w:hAnsi="Symbol" w:hint="default"/>
      </w:rPr>
    </w:lvl>
    <w:lvl w:ilvl="1" w:tplc="3E186D4A">
      <w:start w:val="1"/>
      <w:numFmt w:val="bullet"/>
      <w:lvlText w:val=""/>
      <w:lvlJc w:val="left"/>
      <w:pPr>
        <w:ind w:left="1440" w:hanging="360"/>
      </w:pPr>
      <w:rPr>
        <w:rFonts w:ascii="Symbol" w:hAnsi="Symbol" w:hint="default"/>
      </w:rPr>
    </w:lvl>
    <w:lvl w:ilvl="2" w:tplc="51A0C382" w:tentative="1">
      <w:start w:val="1"/>
      <w:numFmt w:val="bullet"/>
      <w:lvlText w:val=""/>
      <w:lvlJc w:val="left"/>
      <w:pPr>
        <w:ind w:left="2160" w:hanging="360"/>
      </w:pPr>
      <w:rPr>
        <w:rFonts w:ascii="Wingdings" w:hAnsi="Wingdings" w:hint="default"/>
      </w:rPr>
    </w:lvl>
    <w:lvl w:ilvl="3" w:tplc="E75068E2" w:tentative="1">
      <w:start w:val="1"/>
      <w:numFmt w:val="bullet"/>
      <w:lvlText w:val=""/>
      <w:lvlJc w:val="left"/>
      <w:pPr>
        <w:ind w:left="2880" w:hanging="360"/>
      </w:pPr>
      <w:rPr>
        <w:rFonts w:ascii="Symbol" w:hAnsi="Symbol" w:hint="default"/>
      </w:rPr>
    </w:lvl>
    <w:lvl w:ilvl="4" w:tplc="3E78E656" w:tentative="1">
      <w:start w:val="1"/>
      <w:numFmt w:val="bullet"/>
      <w:lvlText w:val="o"/>
      <w:lvlJc w:val="left"/>
      <w:pPr>
        <w:ind w:left="3600" w:hanging="360"/>
      </w:pPr>
      <w:rPr>
        <w:rFonts w:ascii="Courier New" w:hAnsi="Courier New" w:cs="Courier New" w:hint="default"/>
      </w:rPr>
    </w:lvl>
    <w:lvl w:ilvl="5" w:tplc="2D2C6354" w:tentative="1">
      <w:start w:val="1"/>
      <w:numFmt w:val="bullet"/>
      <w:lvlText w:val=""/>
      <w:lvlJc w:val="left"/>
      <w:pPr>
        <w:ind w:left="4320" w:hanging="360"/>
      </w:pPr>
      <w:rPr>
        <w:rFonts w:ascii="Wingdings" w:hAnsi="Wingdings" w:hint="default"/>
      </w:rPr>
    </w:lvl>
    <w:lvl w:ilvl="6" w:tplc="E6C256E0" w:tentative="1">
      <w:start w:val="1"/>
      <w:numFmt w:val="bullet"/>
      <w:lvlText w:val=""/>
      <w:lvlJc w:val="left"/>
      <w:pPr>
        <w:ind w:left="5040" w:hanging="360"/>
      </w:pPr>
      <w:rPr>
        <w:rFonts w:ascii="Symbol" w:hAnsi="Symbol" w:hint="default"/>
      </w:rPr>
    </w:lvl>
    <w:lvl w:ilvl="7" w:tplc="44C0E14E" w:tentative="1">
      <w:start w:val="1"/>
      <w:numFmt w:val="bullet"/>
      <w:lvlText w:val="o"/>
      <w:lvlJc w:val="left"/>
      <w:pPr>
        <w:ind w:left="5760" w:hanging="360"/>
      </w:pPr>
      <w:rPr>
        <w:rFonts w:ascii="Courier New" w:hAnsi="Courier New" w:cs="Courier New" w:hint="default"/>
      </w:rPr>
    </w:lvl>
    <w:lvl w:ilvl="8" w:tplc="E9922474" w:tentative="1">
      <w:start w:val="1"/>
      <w:numFmt w:val="bullet"/>
      <w:lvlText w:val=""/>
      <w:lvlJc w:val="left"/>
      <w:pPr>
        <w:ind w:left="6480" w:hanging="360"/>
      </w:pPr>
      <w:rPr>
        <w:rFonts w:ascii="Wingdings" w:hAnsi="Wingdings" w:hint="default"/>
      </w:rPr>
    </w:lvl>
  </w:abstractNum>
  <w:abstractNum w:abstractNumId="12">
    <w:nsid w:val="0000000D"/>
    <w:multiLevelType w:val="multilevel"/>
    <w:tmpl w:val="999EE3EE"/>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3">
    <w:nsid w:val="0000000E"/>
    <w:multiLevelType w:val="hybridMultilevel"/>
    <w:tmpl w:val="42FC2B20"/>
    <w:lvl w:ilvl="0" w:tplc="2EE43478">
      <w:start w:val="1"/>
      <w:numFmt w:val="lowerRoman"/>
      <w:pStyle w:val="TextSubtitlenumberingRCItalic"/>
      <w:lvlText w:val="(%1)"/>
      <w:lvlJc w:val="left"/>
      <w:pPr>
        <w:ind w:left="720" w:hanging="360"/>
      </w:pPr>
      <w:rPr>
        <w:rFonts w:hint="default"/>
      </w:rPr>
    </w:lvl>
    <w:lvl w:ilvl="1" w:tplc="3730AEF4" w:tentative="1">
      <w:start w:val="1"/>
      <w:numFmt w:val="lowerLetter"/>
      <w:lvlText w:val="%2."/>
      <w:lvlJc w:val="left"/>
      <w:pPr>
        <w:ind w:left="1440" w:hanging="360"/>
      </w:pPr>
    </w:lvl>
    <w:lvl w:ilvl="2" w:tplc="3A4283D2" w:tentative="1">
      <w:start w:val="1"/>
      <w:numFmt w:val="lowerRoman"/>
      <w:lvlText w:val="%3."/>
      <w:lvlJc w:val="right"/>
      <w:pPr>
        <w:ind w:left="2160" w:hanging="180"/>
      </w:pPr>
    </w:lvl>
    <w:lvl w:ilvl="3" w:tplc="9DC07F58" w:tentative="1">
      <w:start w:val="1"/>
      <w:numFmt w:val="decimal"/>
      <w:lvlText w:val="%4."/>
      <w:lvlJc w:val="left"/>
      <w:pPr>
        <w:ind w:left="2880" w:hanging="360"/>
      </w:pPr>
    </w:lvl>
    <w:lvl w:ilvl="4" w:tplc="B71E8230" w:tentative="1">
      <w:start w:val="1"/>
      <w:numFmt w:val="lowerLetter"/>
      <w:lvlText w:val="%5."/>
      <w:lvlJc w:val="left"/>
      <w:pPr>
        <w:ind w:left="3600" w:hanging="360"/>
      </w:pPr>
    </w:lvl>
    <w:lvl w:ilvl="5" w:tplc="0140331A" w:tentative="1">
      <w:start w:val="1"/>
      <w:numFmt w:val="lowerRoman"/>
      <w:lvlText w:val="%6."/>
      <w:lvlJc w:val="right"/>
      <w:pPr>
        <w:ind w:left="4320" w:hanging="180"/>
      </w:pPr>
    </w:lvl>
    <w:lvl w:ilvl="6" w:tplc="C8B2FEFA" w:tentative="1">
      <w:start w:val="1"/>
      <w:numFmt w:val="decimal"/>
      <w:lvlText w:val="%7."/>
      <w:lvlJc w:val="left"/>
      <w:pPr>
        <w:ind w:left="5040" w:hanging="360"/>
      </w:pPr>
    </w:lvl>
    <w:lvl w:ilvl="7" w:tplc="40487094" w:tentative="1">
      <w:start w:val="1"/>
      <w:numFmt w:val="lowerLetter"/>
      <w:lvlText w:val="%8."/>
      <w:lvlJc w:val="left"/>
      <w:pPr>
        <w:ind w:left="5760" w:hanging="360"/>
      </w:pPr>
    </w:lvl>
    <w:lvl w:ilvl="8" w:tplc="5E52C51A" w:tentative="1">
      <w:start w:val="1"/>
      <w:numFmt w:val="lowerRoman"/>
      <w:lvlText w:val="%9."/>
      <w:lvlJc w:val="right"/>
      <w:pPr>
        <w:ind w:left="6480" w:hanging="180"/>
      </w:pPr>
    </w:lvl>
  </w:abstractNum>
  <w:abstractNum w:abstractNumId="14">
    <w:nsid w:val="0000000F"/>
    <w:multiLevelType w:val="hybridMultilevel"/>
    <w:tmpl w:val="ACAA79B8"/>
    <w:lvl w:ilvl="0" w:tplc="66A8D770">
      <w:numFmt w:val="bullet"/>
      <w:pStyle w:val="Textstand-alonebulletpointJustified"/>
      <w:lvlText w:val="-"/>
      <w:lvlJc w:val="left"/>
      <w:pPr>
        <w:ind w:left="1080" w:hanging="360"/>
      </w:pPr>
      <w:rPr>
        <w:rFonts w:ascii="Times New Roman" w:eastAsia="Times New Roman" w:hAnsi="Times New Roman" w:cs="Times New Roman" w:hint="default"/>
      </w:rPr>
    </w:lvl>
    <w:lvl w:ilvl="1" w:tplc="91027E40" w:tentative="1">
      <w:start w:val="1"/>
      <w:numFmt w:val="bullet"/>
      <w:lvlText w:val="o"/>
      <w:lvlJc w:val="left"/>
      <w:pPr>
        <w:ind w:left="1800" w:hanging="360"/>
      </w:pPr>
      <w:rPr>
        <w:rFonts w:ascii="Courier New" w:hAnsi="Courier New" w:cs="Courier New" w:hint="default"/>
      </w:rPr>
    </w:lvl>
    <w:lvl w:ilvl="2" w:tplc="CF940768" w:tentative="1">
      <w:start w:val="1"/>
      <w:numFmt w:val="bullet"/>
      <w:lvlText w:val=""/>
      <w:lvlJc w:val="left"/>
      <w:pPr>
        <w:ind w:left="2520" w:hanging="360"/>
      </w:pPr>
      <w:rPr>
        <w:rFonts w:ascii="Wingdings" w:hAnsi="Wingdings" w:hint="default"/>
      </w:rPr>
    </w:lvl>
    <w:lvl w:ilvl="3" w:tplc="910E3CC2" w:tentative="1">
      <w:start w:val="1"/>
      <w:numFmt w:val="bullet"/>
      <w:lvlText w:val=""/>
      <w:lvlJc w:val="left"/>
      <w:pPr>
        <w:ind w:left="3240" w:hanging="360"/>
      </w:pPr>
      <w:rPr>
        <w:rFonts w:ascii="Symbol" w:hAnsi="Symbol" w:hint="default"/>
      </w:rPr>
    </w:lvl>
    <w:lvl w:ilvl="4" w:tplc="3CCA760C" w:tentative="1">
      <w:start w:val="1"/>
      <w:numFmt w:val="bullet"/>
      <w:lvlText w:val="o"/>
      <w:lvlJc w:val="left"/>
      <w:pPr>
        <w:ind w:left="3960" w:hanging="360"/>
      </w:pPr>
      <w:rPr>
        <w:rFonts w:ascii="Courier New" w:hAnsi="Courier New" w:cs="Courier New" w:hint="default"/>
      </w:rPr>
    </w:lvl>
    <w:lvl w:ilvl="5" w:tplc="196C98F8" w:tentative="1">
      <w:start w:val="1"/>
      <w:numFmt w:val="bullet"/>
      <w:lvlText w:val=""/>
      <w:lvlJc w:val="left"/>
      <w:pPr>
        <w:ind w:left="4680" w:hanging="360"/>
      </w:pPr>
      <w:rPr>
        <w:rFonts w:ascii="Wingdings" w:hAnsi="Wingdings" w:hint="default"/>
      </w:rPr>
    </w:lvl>
    <w:lvl w:ilvl="6" w:tplc="FD36A6EE" w:tentative="1">
      <w:start w:val="1"/>
      <w:numFmt w:val="bullet"/>
      <w:lvlText w:val=""/>
      <w:lvlJc w:val="left"/>
      <w:pPr>
        <w:ind w:left="5400" w:hanging="360"/>
      </w:pPr>
      <w:rPr>
        <w:rFonts w:ascii="Symbol" w:hAnsi="Symbol" w:hint="default"/>
      </w:rPr>
    </w:lvl>
    <w:lvl w:ilvl="7" w:tplc="95AC8312" w:tentative="1">
      <w:start w:val="1"/>
      <w:numFmt w:val="bullet"/>
      <w:lvlText w:val="o"/>
      <w:lvlJc w:val="left"/>
      <w:pPr>
        <w:ind w:left="6120" w:hanging="360"/>
      </w:pPr>
      <w:rPr>
        <w:rFonts w:ascii="Courier New" w:hAnsi="Courier New" w:cs="Courier New" w:hint="default"/>
      </w:rPr>
    </w:lvl>
    <w:lvl w:ilvl="8" w:tplc="B1048BA2" w:tentative="1">
      <w:start w:val="1"/>
      <w:numFmt w:val="bullet"/>
      <w:lvlText w:val=""/>
      <w:lvlJc w:val="left"/>
      <w:pPr>
        <w:ind w:left="6840" w:hanging="360"/>
      </w:pPr>
      <w:rPr>
        <w:rFonts w:ascii="Wingdings" w:hAnsi="Wingdings" w:hint="default"/>
      </w:rPr>
    </w:lvl>
  </w:abstractNum>
  <w:abstractNum w:abstractNumId="15">
    <w:nsid w:val="00000010"/>
    <w:multiLevelType w:val="hybridMultilevel"/>
    <w:tmpl w:val="125CBDD2"/>
    <w:lvl w:ilvl="0" w:tplc="D5FE109E">
      <w:start w:val="1"/>
      <w:numFmt w:val="lowerRoman"/>
      <w:pStyle w:val="Textstand-alonenumberingRCIndentJustified"/>
      <w:lvlText w:val="(%1)"/>
      <w:lvlJc w:val="left"/>
      <w:pPr>
        <w:ind w:left="720" w:hanging="360"/>
      </w:pPr>
      <w:rPr>
        <w:rFonts w:ascii="Verdana" w:hAnsi="Verdana" w:cs="Times New Roman"/>
        <w:b w:val="0"/>
        <w:bCs w:val="0"/>
        <w:i/>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D6147F86" w:tentative="1">
      <w:start w:val="1"/>
      <w:numFmt w:val="lowerLetter"/>
      <w:lvlText w:val="%2."/>
      <w:lvlJc w:val="left"/>
      <w:pPr>
        <w:ind w:left="1440" w:hanging="360"/>
      </w:pPr>
    </w:lvl>
    <w:lvl w:ilvl="2" w:tplc="CA3253DC" w:tentative="1">
      <w:start w:val="1"/>
      <w:numFmt w:val="lowerRoman"/>
      <w:lvlText w:val="%3."/>
      <w:lvlJc w:val="right"/>
      <w:pPr>
        <w:ind w:left="2160" w:hanging="180"/>
      </w:pPr>
    </w:lvl>
    <w:lvl w:ilvl="3" w:tplc="AF70EE5E" w:tentative="1">
      <w:start w:val="1"/>
      <w:numFmt w:val="decimal"/>
      <w:lvlText w:val="%4."/>
      <w:lvlJc w:val="left"/>
      <w:pPr>
        <w:ind w:left="2880" w:hanging="360"/>
      </w:pPr>
    </w:lvl>
    <w:lvl w:ilvl="4" w:tplc="1598DD1A" w:tentative="1">
      <w:start w:val="1"/>
      <w:numFmt w:val="lowerLetter"/>
      <w:lvlText w:val="%5."/>
      <w:lvlJc w:val="left"/>
      <w:pPr>
        <w:ind w:left="3600" w:hanging="360"/>
      </w:pPr>
    </w:lvl>
    <w:lvl w:ilvl="5" w:tplc="DA20AFF6" w:tentative="1">
      <w:start w:val="1"/>
      <w:numFmt w:val="lowerRoman"/>
      <w:lvlText w:val="%6."/>
      <w:lvlJc w:val="right"/>
      <w:pPr>
        <w:ind w:left="4320" w:hanging="180"/>
      </w:pPr>
    </w:lvl>
    <w:lvl w:ilvl="6" w:tplc="F0629608" w:tentative="1">
      <w:start w:val="1"/>
      <w:numFmt w:val="decimal"/>
      <w:lvlText w:val="%7."/>
      <w:lvlJc w:val="left"/>
      <w:pPr>
        <w:ind w:left="5040" w:hanging="360"/>
      </w:pPr>
    </w:lvl>
    <w:lvl w:ilvl="7" w:tplc="3A30D31A" w:tentative="1">
      <w:start w:val="1"/>
      <w:numFmt w:val="lowerLetter"/>
      <w:lvlText w:val="%8."/>
      <w:lvlJc w:val="left"/>
      <w:pPr>
        <w:ind w:left="5760" w:hanging="360"/>
      </w:pPr>
    </w:lvl>
    <w:lvl w:ilvl="8" w:tplc="431E21E2" w:tentative="1">
      <w:start w:val="1"/>
      <w:numFmt w:val="lowerRoman"/>
      <w:lvlText w:val="%9."/>
      <w:lvlJc w:val="right"/>
      <w:pPr>
        <w:ind w:left="6480" w:hanging="180"/>
      </w:pPr>
    </w:lvl>
  </w:abstractNum>
  <w:abstractNum w:abstractNumId="16">
    <w:nsid w:val="00000011"/>
    <w:multiLevelType w:val="multilevel"/>
    <w:tmpl w:val="28B29544"/>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00000012"/>
    <w:multiLevelType w:val="hybridMultilevel"/>
    <w:tmpl w:val="077C6BBC"/>
    <w:lvl w:ilvl="0" w:tplc="26D295E6">
      <w:start w:val="1"/>
      <w:numFmt w:val="decimal"/>
      <w:pStyle w:val="Textstand-alonenumberingJustified"/>
      <w:lvlText w:val="(%1)"/>
      <w:lvlJc w:val="left"/>
      <w:pPr>
        <w:ind w:left="720" w:hanging="360"/>
      </w:pPr>
      <w:rPr>
        <w:rFonts w:ascii="Verdana" w:hAnsi="Verdana" w:hint="default"/>
        <w:b w:val="0"/>
        <w:i w:val="0"/>
        <w:sz w:val="18"/>
      </w:rPr>
    </w:lvl>
    <w:lvl w:ilvl="1" w:tplc="3B549540" w:tentative="1">
      <w:start w:val="1"/>
      <w:numFmt w:val="lowerLetter"/>
      <w:lvlText w:val="%2."/>
      <w:lvlJc w:val="left"/>
      <w:pPr>
        <w:ind w:left="1440" w:hanging="360"/>
      </w:pPr>
    </w:lvl>
    <w:lvl w:ilvl="2" w:tplc="618CAB80" w:tentative="1">
      <w:start w:val="1"/>
      <w:numFmt w:val="lowerRoman"/>
      <w:lvlText w:val="%3."/>
      <w:lvlJc w:val="right"/>
      <w:pPr>
        <w:ind w:left="2160" w:hanging="180"/>
      </w:pPr>
    </w:lvl>
    <w:lvl w:ilvl="3" w:tplc="B7921100" w:tentative="1">
      <w:start w:val="1"/>
      <w:numFmt w:val="decimal"/>
      <w:lvlText w:val="%4."/>
      <w:lvlJc w:val="left"/>
      <w:pPr>
        <w:ind w:left="2880" w:hanging="360"/>
      </w:pPr>
    </w:lvl>
    <w:lvl w:ilvl="4" w:tplc="84B8F7FC" w:tentative="1">
      <w:start w:val="1"/>
      <w:numFmt w:val="lowerLetter"/>
      <w:lvlText w:val="%5."/>
      <w:lvlJc w:val="left"/>
      <w:pPr>
        <w:ind w:left="3600" w:hanging="360"/>
      </w:pPr>
    </w:lvl>
    <w:lvl w:ilvl="5" w:tplc="0742E122" w:tentative="1">
      <w:start w:val="1"/>
      <w:numFmt w:val="lowerRoman"/>
      <w:lvlText w:val="%6."/>
      <w:lvlJc w:val="right"/>
      <w:pPr>
        <w:ind w:left="4320" w:hanging="180"/>
      </w:pPr>
    </w:lvl>
    <w:lvl w:ilvl="6" w:tplc="5EE4D466" w:tentative="1">
      <w:start w:val="1"/>
      <w:numFmt w:val="decimal"/>
      <w:lvlText w:val="%7."/>
      <w:lvlJc w:val="left"/>
      <w:pPr>
        <w:ind w:left="5040" w:hanging="360"/>
      </w:pPr>
    </w:lvl>
    <w:lvl w:ilvl="7" w:tplc="C58620D8" w:tentative="1">
      <w:start w:val="1"/>
      <w:numFmt w:val="lowerLetter"/>
      <w:lvlText w:val="%8."/>
      <w:lvlJc w:val="left"/>
      <w:pPr>
        <w:ind w:left="5760" w:hanging="360"/>
      </w:pPr>
    </w:lvl>
    <w:lvl w:ilvl="8" w:tplc="89424B2E" w:tentative="1">
      <w:start w:val="1"/>
      <w:numFmt w:val="lowerRoman"/>
      <w:lvlText w:val="%9."/>
      <w:lvlJc w:val="right"/>
      <w:pPr>
        <w:ind w:left="6480" w:hanging="180"/>
      </w:pPr>
    </w:lvl>
  </w:abstractNum>
  <w:abstractNum w:abstractNumId="18">
    <w:nsid w:val="00000013"/>
    <w:multiLevelType w:val="hybridMultilevel"/>
    <w:tmpl w:val="DBBEBFFE"/>
    <w:lvl w:ilvl="0" w:tplc="8FA2E258">
      <w:start w:val="1"/>
      <w:numFmt w:val="lowerLetter"/>
      <w:pStyle w:val="Textstand-alonenumberingLetters"/>
      <w:lvlText w:val="%1)"/>
      <w:lvlJc w:val="left"/>
      <w:pPr>
        <w:ind w:left="720" w:hanging="360"/>
      </w:pPr>
      <w:rPr>
        <w:rFonts w:hint="default"/>
      </w:rPr>
    </w:lvl>
    <w:lvl w:ilvl="1" w:tplc="E7262134" w:tentative="1">
      <w:start w:val="1"/>
      <w:numFmt w:val="lowerLetter"/>
      <w:lvlText w:val="%2."/>
      <w:lvlJc w:val="left"/>
      <w:pPr>
        <w:ind w:left="1440" w:hanging="360"/>
      </w:pPr>
    </w:lvl>
    <w:lvl w:ilvl="2" w:tplc="2014F5AE" w:tentative="1">
      <w:start w:val="1"/>
      <w:numFmt w:val="lowerRoman"/>
      <w:lvlText w:val="%3."/>
      <w:lvlJc w:val="right"/>
      <w:pPr>
        <w:ind w:left="2160" w:hanging="180"/>
      </w:pPr>
    </w:lvl>
    <w:lvl w:ilvl="3" w:tplc="B348603C" w:tentative="1">
      <w:start w:val="1"/>
      <w:numFmt w:val="decimal"/>
      <w:lvlText w:val="%4."/>
      <w:lvlJc w:val="left"/>
      <w:pPr>
        <w:ind w:left="2880" w:hanging="360"/>
      </w:pPr>
    </w:lvl>
    <w:lvl w:ilvl="4" w:tplc="580E9184" w:tentative="1">
      <w:start w:val="1"/>
      <w:numFmt w:val="lowerLetter"/>
      <w:lvlText w:val="%5."/>
      <w:lvlJc w:val="left"/>
      <w:pPr>
        <w:ind w:left="3600" w:hanging="360"/>
      </w:pPr>
    </w:lvl>
    <w:lvl w:ilvl="5" w:tplc="099E4496" w:tentative="1">
      <w:start w:val="1"/>
      <w:numFmt w:val="lowerRoman"/>
      <w:lvlText w:val="%6."/>
      <w:lvlJc w:val="right"/>
      <w:pPr>
        <w:ind w:left="4320" w:hanging="180"/>
      </w:pPr>
    </w:lvl>
    <w:lvl w:ilvl="6" w:tplc="BD7A939A" w:tentative="1">
      <w:start w:val="1"/>
      <w:numFmt w:val="decimal"/>
      <w:lvlText w:val="%7."/>
      <w:lvlJc w:val="left"/>
      <w:pPr>
        <w:ind w:left="5040" w:hanging="360"/>
      </w:pPr>
    </w:lvl>
    <w:lvl w:ilvl="7" w:tplc="F6829136" w:tentative="1">
      <w:start w:val="1"/>
      <w:numFmt w:val="lowerLetter"/>
      <w:lvlText w:val="%8."/>
      <w:lvlJc w:val="left"/>
      <w:pPr>
        <w:ind w:left="5760" w:hanging="360"/>
      </w:pPr>
    </w:lvl>
    <w:lvl w:ilvl="8" w:tplc="46CC5B00" w:tentative="1">
      <w:start w:val="1"/>
      <w:numFmt w:val="lowerRoman"/>
      <w:lvlText w:val="%9."/>
      <w:lvlJc w:val="right"/>
      <w:pPr>
        <w:ind w:left="6480" w:hanging="180"/>
      </w:pPr>
    </w:lvl>
  </w:abstractNum>
  <w:abstractNum w:abstractNumId="19">
    <w:nsid w:val="00000014"/>
    <w:multiLevelType w:val="hybridMultilevel"/>
    <w:tmpl w:val="C652AFAA"/>
    <w:lvl w:ilvl="0" w:tplc="83500608">
      <w:start w:val="1"/>
      <w:numFmt w:val="bullet"/>
      <w:pStyle w:val="Textstand-aloneBulletpoint"/>
      <w:lvlText w:val=""/>
      <w:lvlJc w:val="left"/>
      <w:pPr>
        <w:ind w:left="786" w:hanging="360"/>
      </w:pPr>
      <w:rPr>
        <w:rFonts w:ascii="Symbol" w:hAnsi="Symbol" w:hint="default"/>
      </w:rPr>
    </w:lvl>
    <w:lvl w:ilvl="1" w:tplc="D95C5668" w:tentative="1">
      <w:start w:val="1"/>
      <w:numFmt w:val="bullet"/>
      <w:lvlText w:val="o"/>
      <w:lvlJc w:val="left"/>
      <w:pPr>
        <w:ind w:left="1800" w:hanging="360"/>
      </w:pPr>
      <w:rPr>
        <w:rFonts w:ascii="Courier New" w:hAnsi="Courier New" w:cs="Courier New" w:hint="default"/>
      </w:rPr>
    </w:lvl>
    <w:lvl w:ilvl="2" w:tplc="483CBBFE" w:tentative="1">
      <w:start w:val="1"/>
      <w:numFmt w:val="bullet"/>
      <w:lvlText w:val=""/>
      <w:lvlJc w:val="left"/>
      <w:pPr>
        <w:ind w:left="2520" w:hanging="360"/>
      </w:pPr>
      <w:rPr>
        <w:rFonts w:ascii="Wingdings" w:hAnsi="Wingdings" w:hint="default"/>
      </w:rPr>
    </w:lvl>
    <w:lvl w:ilvl="3" w:tplc="71680A5E" w:tentative="1">
      <w:start w:val="1"/>
      <w:numFmt w:val="bullet"/>
      <w:lvlText w:val=""/>
      <w:lvlJc w:val="left"/>
      <w:pPr>
        <w:ind w:left="3240" w:hanging="360"/>
      </w:pPr>
      <w:rPr>
        <w:rFonts w:ascii="Symbol" w:hAnsi="Symbol" w:hint="default"/>
      </w:rPr>
    </w:lvl>
    <w:lvl w:ilvl="4" w:tplc="FDB6E688" w:tentative="1">
      <w:start w:val="1"/>
      <w:numFmt w:val="bullet"/>
      <w:lvlText w:val="o"/>
      <w:lvlJc w:val="left"/>
      <w:pPr>
        <w:ind w:left="3960" w:hanging="360"/>
      </w:pPr>
      <w:rPr>
        <w:rFonts w:ascii="Courier New" w:hAnsi="Courier New" w:cs="Courier New" w:hint="default"/>
      </w:rPr>
    </w:lvl>
    <w:lvl w:ilvl="5" w:tplc="6F161AC4" w:tentative="1">
      <w:start w:val="1"/>
      <w:numFmt w:val="bullet"/>
      <w:lvlText w:val=""/>
      <w:lvlJc w:val="left"/>
      <w:pPr>
        <w:ind w:left="4680" w:hanging="360"/>
      </w:pPr>
      <w:rPr>
        <w:rFonts w:ascii="Wingdings" w:hAnsi="Wingdings" w:hint="default"/>
      </w:rPr>
    </w:lvl>
    <w:lvl w:ilvl="6" w:tplc="23D63BD0" w:tentative="1">
      <w:start w:val="1"/>
      <w:numFmt w:val="bullet"/>
      <w:lvlText w:val=""/>
      <w:lvlJc w:val="left"/>
      <w:pPr>
        <w:ind w:left="5400" w:hanging="360"/>
      </w:pPr>
      <w:rPr>
        <w:rFonts w:ascii="Symbol" w:hAnsi="Symbol" w:hint="default"/>
      </w:rPr>
    </w:lvl>
    <w:lvl w:ilvl="7" w:tplc="0C9C2090" w:tentative="1">
      <w:start w:val="1"/>
      <w:numFmt w:val="bullet"/>
      <w:lvlText w:val="o"/>
      <w:lvlJc w:val="left"/>
      <w:pPr>
        <w:ind w:left="6120" w:hanging="360"/>
      </w:pPr>
      <w:rPr>
        <w:rFonts w:ascii="Courier New" w:hAnsi="Courier New" w:cs="Courier New" w:hint="default"/>
      </w:rPr>
    </w:lvl>
    <w:lvl w:ilvl="8" w:tplc="9BF2244E" w:tentative="1">
      <w:start w:val="1"/>
      <w:numFmt w:val="bullet"/>
      <w:lvlText w:val=""/>
      <w:lvlJc w:val="left"/>
      <w:pPr>
        <w:ind w:left="6840" w:hanging="360"/>
      </w:pPr>
      <w:rPr>
        <w:rFonts w:ascii="Wingdings" w:hAnsi="Wingdings" w:hint="default"/>
      </w:rPr>
    </w:lvl>
  </w:abstractNum>
  <w:abstractNum w:abstractNumId="20">
    <w:nsid w:val="00000015"/>
    <w:multiLevelType w:val="hybridMultilevel"/>
    <w:tmpl w:val="67B060EA"/>
    <w:lvl w:ilvl="0" w:tplc="04B881A8">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8C2E3222" w:tentative="1">
      <w:start w:val="1"/>
      <w:numFmt w:val="bullet"/>
      <w:lvlText w:val="o"/>
      <w:lvlJc w:val="left"/>
      <w:pPr>
        <w:ind w:left="1440" w:hanging="360"/>
      </w:pPr>
      <w:rPr>
        <w:rFonts w:ascii="Courier New" w:hAnsi="Courier New" w:cs="Courier New" w:hint="default"/>
      </w:rPr>
    </w:lvl>
    <w:lvl w:ilvl="2" w:tplc="D10A16C6" w:tentative="1">
      <w:start w:val="1"/>
      <w:numFmt w:val="bullet"/>
      <w:lvlText w:val=""/>
      <w:lvlJc w:val="left"/>
      <w:pPr>
        <w:ind w:left="2160" w:hanging="360"/>
      </w:pPr>
      <w:rPr>
        <w:rFonts w:ascii="Wingdings" w:hAnsi="Wingdings" w:hint="default"/>
      </w:rPr>
    </w:lvl>
    <w:lvl w:ilvl="3" w:tplc="01E89240" w:tentative="1">
      <w:start w:val="1"/>
      <w:numFmt w:val="bullet"/>
      <w:lvlText w:val=""/>
      <w:lvlJc w:val="left"/>
      <w:pPr>
        <w:ind w:left="2880" w:hanging="360"/>
      </w:pPr>
      <w:rPr>
        <w:rFonts w:ascii="Symbol" w:hAnsi="Symbol" w:hint="default"/>
      </w:rPr>
    </w:lvl>
    <w:lvl w:ilvl="4" w:tplc="0724291A" w:tentative="1">
      <w:start w:val="1"/>
      <w:numFmt w:val="bullet"/>
      <w:lvlText w:val="o"/>
      <w:lvlJc w:val="left"/>
      <w:pPr>
        <w:ind w:left="3600" w:hanging="360"/>
      </w:pPr>
      <w:rPr>
        <w:rFonts w:ascii="Courier New" w:hAnsi="Courier New" w:cs="Courier New" w:hint="default"/>
      </w:rPr>
    </w:lvl>
    <w:lvl w:ilvl="5" w:tplc="349A4E3C" w:tentative="1">
      <w:start w:val="1"/>
      <w:numFmt w:val="bullet"/>
      <w:lvlText w:val=""/>
      <w:lvlJc w:val="left"/>
      <w:pPr>
        <w:ind w:left="4320" w:hanging="360"/>
      </w:pPr>
      <w:rPr>
        <w:rFonts w:ascii="Wingdings" w:hAnsi="Wingdings" w:hint="default"/>
      </w:rPr>
    </w:lvl>
    <w:lvl w:ilvl="6" w:tplc="C020380A" w:tentative="1">
      <w:start w:val="1"/>
      <w:numFmt w:val="bullet"/>
      <w:lvlText w:val=""/>
      <w:lvlJc w:val="left"/>
      <w:pPr>
        <w:ind w:left="5040" w:hanging="360"/>
      </w:pPr>
      <w:rPr>
        <w:rFonts w:ascii="Symbol" w:hAnsi="Symbol" w:hint="default"/>
      </w:rPr>
    </w:lvl>
    <w:lvl w:ilvl="7" w:tplc="42E256A2" w:tentative="1">
      <w:start w:val="1"/>
      <w:numFmt w:val="bullet"/>
      <w:lvlText w:val="o"/>
      <w:lvlJc w:val="left"/>
      <w:pPr>
        <w:ind w:left="5760" w:hanging="360"/>
      </w:pPr>
      <w:rPr>
        <w:rFonts w:ascii="Courier New" w:hAnsi="Courier New" w:cs="Courier New" w:hint="default"/>
      </w:rPr>
    </w:lvl>
    <w:lvl w:ilvl="8" w:tplc="EDC2D5FA"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7C707274"/>
    <w:lvl w:ilvl="0" w:tplc="95964352">
      <w:numFmt w:val="bullet"/>
      <w:lvlText w:val="–"/>
      <w:lvlJc w:val="left"/>
      <w:pPr>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2D1023C0" w:tentative="1">
      <w:start w:val="1"/>
      <w:numFmt w:val="bullet"/>
      <w:lvlText w:val="o"/>
      <w:lvlJc w:val="left"/>
      <w:pPr>
        <w:ind w:left="1440" w:hanging="360"/>
      </w:pPr>
      <w:rPr>
        <w:rFonts w:ascii="Courier New" w:hAnsi="Courier New" w:cs="Courier New" w:hint="default"/>
      </w:rPr>
    </w:lvl>
    <w:lvl w:ilvl="2" w:tplc="E9002BDE" w:tentative="1">
      <w:start w:val="1"/>
      <w:numFmt w:val="bullet"/>
      <w:lvlText w:val=""/>
      <w:lvlJc w:val="left"/>
      <w:pPr>
        <w:ind w:left="2160" w:hanging="360"/>
      </w:pPr>
      <w:rPr>
        <w:rFonts w:ascii="Wingdings" w:hAnsi="Wingdings" w:hint="default"/>
      </w:rPr>
    </w:lvl>
    <w:lvl w:ilvl="3" w:tplc="43BE58E4" w:tentative="1">
      <w:start w:val="1"/>
      <w:numFmt w:val="bullet"/>
      <w:lvlText w:val=""/>
      <w:lvlJc w:val="left"/>
      <w:pPr>
        <w:ind w:left="2880" w:hanging="360"/>
      </w:pPr>
      <w:rPr>
        <w:rFonts w:ascii="Symbol" w:hAnsi="Symbol" w:hint="default"/>
      </w:rPr>
    </w:lvl>
    <w:lvl w:ilvl="4" w:tplc="94783EE2" w:tentative="1">
      <w:start w:val="1"/>
      <w:numFmt w:val="bullet"/>
      <w:lvlText w:val="o"/>
      <w:lvlJc w:val="left"/>
      <w:pPr>
        <w:ind w:left="3600" w:hanging="360"/>
      </w:pPr>
      <w:rPr>
        <w:rFonts w:ascii="Courier New" w:hAnsi="Courier New" w:cs="Courier New" w:hint="default"/>
      </w:rPr>
    </w:lvl>
    <w:lvl w:ilvl="5" w:tplc="F2E4A0BE" w:tentative="1">
      <w:start w:val="1"/>
      <w:numFmt w:val="bullet"/>
      <w:lvlText w:val=""/>
      <w:lvlJc w:val="left"/>
      <w:pPr>
        <w:ind w:left="4320" w:hanging="360"/>
      </w:pPr>
      <w:rPr>
        <w:rFonts w:ascii="Wingdings" w:hAnsi="Wingdings" w:hint="default"/>
      </w:rPr>
    </w:lvl>
    <w:lvl w:ilvl="6" w:tplc="16BEFD3A" w:tentative="1">
      <w:start w:val="1"/>
      <w:numFmt w:val="bullet"/>
      <w:lvlText w:val=""/>
      <w:lvlJc w:val="left"/>
      <w:pPr>
        <w:ind w:left="5040" w:hanging="360"/>
      </w:pPr>
      <w:rPr>
        <w:rFonts w:ascii="Symbol" w:hAnsi="Symbol" w:hint="default"/>
      </w:rPr>
    </w:lvl>
    <w:lvl w:ilvl="7" w:tplc="2578B132" w:tentative="1">
      <w:start w:val="1"/>
      <w:numFmt w:val="bullet"/>
      <w:lvlText w:val="o"/>
      <w:lvlJc w:val="left"/>
      <w:pPr>
        <w:ind w:left="5760" w:hanging="360"/>
      </w:pPr>
      <w:rPr>
        <w:rFonts w:ascii="Courier New" w:hAnsi="Courier New" w:cs="Courier New" w:hint="default"/>
      </w:rPr>
    </w:lvl>
    <w:lvl w:ilvl="8" w:tplc="57304DEC" w:tentative="1">
      <w:start w:val="1"/>
      <w:numFmt w:val="bullet"/>
      <w:lvlText w:val=""/>
      <w:lvlJc w:val="left"/>
      <w:pPr>
        <w:ind w:left="6480" w:hanging="360"/>
      </w:pPr>
      <w:rPr>
        <w:rFonts w:ascii="Wingdings" w:hAnsi="Wingdings" w:hint="default"/>
      </w:rPr>
    </w:lvl>
  </w:abstractNum>
  <w:abstractNum w:abstractNumId="22">
    <w:nsid w:val="161846EB"/>
    <w:multiLevelType w:val="hybridMultilevel"/>
    <w:tmpl w:val="B3D8EC42"/>
    <w:lvl w:ilvl="0" w:tplc="C2E418CA">
      <w:start w:val="1"/>
      <w:numFmt w:val="decimal"/>
      <w:lvlText w:val="(%1)"/>
      <w:lvlJc w:val="left"/>
      <w:pPr>
        <w:ind w:left="1287" w:hanging="360"/>
      </w:pPr>
      <w:rPr>
        <w:rFonts w:hint="default"/>
      </w:rPr>
    </w:lvl>
    <w:lvl w:ilvl="1" w:tplc="853E38A2" w:tentative="1">
      <w:start w:val="1"/>
      <w:numFmt w:val="lowerLetter"/>
      <w:lvlText w:val="%2."/>
      <w:lvlJc w:val="left"/>
      <w:pPr>
        <w:ind w:left="2007" w:hanging="360"/>
      </w:pPr>
    </w:lvl>
    <w:lvl w:ilvl="2" w:tplc="F212429C" w:tentative="1">
      <w:start w:val="1"/>
      <w:numFmt w:val="lowerRoman"/>
      <w:lvlText w:val="%3."/>
      <w:lvlJc w:val="right"/>
      <w:pPr>
        <w:ind w:left="2727" w:hanging="180"/>
      </w:pPr>
    </w:lvl>
    <w:lvl w:ilvl="3" w:tplc="C548DB70" w:tentative="1">
      <w:start w:val="1"/>
      <w:numFmt w:val="decimal"/>
      <w:lvlText w:val="%4."/>
      <w:lvlJc w:val="left"/>
      <w:pPr>
        <w:ind w:left="3447" w:hanging="360"/>
      </w:pPr>
    </w:lvl>
    <w:lvl w:ilvl="4" w:tplc="03227A5C" w:tentative="1">
      <w:start w:val="1"/>
      <w:numFmt w:val="lowerLetter"/>
      <w:lvlText w:val="%5."/>
      <w:lvlJc w:val="left"/>
      <w:pPr>
        <w:ind w:left="4167" w:hanging="360"/>
      </w:pPr>
    </w:lvl>
    <w:lvl w:ilvl="5" w:tplc="C03A229C" w:tentative="1">
      <w:start w:val="1"/>
      <w:numFmt w:val="lowerRoman"/>
      <w:lvlText w:val="%6."/>
      <w:lvlJc w:val="right"/>
      <w:pPr>
        <w:ind w:left="4887" w:hanging="180"/>
      </w:pPr>
    </w:lvl>
    <w:lvl w:ilvl="6" w:tplc="0FA2F522" w:tentative="1">
      <w:start w:val="1"/>
      <w:numFmt w:val="decimal"/>
      <w:lvlText w:val="%7."/>
      <w:lvlJc w:val="left"/>
      <w:pPr>
        <w:ind w:left="5607" w:hanging="360"/>
      </w:pPr>
    </w:lvl>
    <w:lvl w:ilvl="7" w:tplc="DAAA69BE" w:tentative="1">
      <w:start w:val="1"/>
      <w:numFmt w:val="lowerLetter"/>
      <w:lvlText w:val="%8."/>
      <w:lvlJc w:val="left"/>
      <w:pPr>
        <w:ind w:left="6327" w:hanging="360"/>
      </w:pPr>
    </w:lvl>
    <w:lvl w:ilvl="8" w:tplc="112E5B3A" w:tentative="1">
      <w:start w:val="1"/>
      <w:numFmt w:val="lowerRoman"/>
      <w:lvlText w:val="%9."/>
      <w:lvlJc w:val="right"/>
      <w:pPr>
        <w:ind w:left="7047" w:hanging="180"/>
      </w:pPr>
    </w:lvl>
  </w:abstractNum>
  <w:abstractNum w:abstractNumId="23">
    <w:nsid w:val="6EC2470B"/>
    <w:multiLevelType w:val="hybridMultilevel"/>
    <w:tmpl w:val="A9524D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12"/>
    <w:lvlOverride w:ilvl="0">
      <w:lvl w:ilvl="0">
        <w:start w:val="1"/>
        <w:numFmt w:val="decimal"/>
        <w:pStyle w:val="HEADER1Part2"/>
        <w:lvlText w:val="%1."/>
        <w:lvlJc w:val="left"/>
        <w:pPr>
          <w:ind w:left="907" w:hanging="907"/>
        </w:pPr>
        <w:rPr>
          <w:rFonts w:hint="default"/>
        </w:rPr>
      </w:lvl>
    </w:lvlOverride>
    <w:lvlOverride w:ilvl="1">
      <w:lvl w:ilvl="1">
        <w:start w:val="1"/>
        <w:numFmt w:val="decimal"/>
        <w:pStyle w:val="HEADER2Part2"/>
        <w:lvlText w:val="%1.%2."/>
        <w:lvlJc w:val="left"/>
        <w:pPr>
          <w:ind w:left="907" w:hanging="907"/>
        </w:pPr>
        <w:rPr>
          <w:rFonts w:hint="default"/>
        </w:rPr>
      </w:lvl>
    </w:lvlOverride>
    <w:lvlOverride w:ilvl="2">
      <w:lvl w:ilvl="2">
        <w:start w:val="1"/>
        <w:numFmt w:val="decimal"/>
        <w:pStyle w:val="HEADER3Part2"/>
        <w:lvlText w:val="%1.%2.%3."/>
        <w:lvlJc w:val="left"/>
        <w:pPr>
          <w:ind w:left="907" w:hanging="907"/>
        </w:pPr>
        <w:rPr>
          <w:rFonts w:hint="default"/>
        </w:rPr>
      </w:lvl>
    </w:lvlOverride>
    <w:lvlOverride w:ilvl="3">
      <w:lvl w:ilvl="3">
        <w:start w:val="1"/>
        <w:numFmt w:val="decimal"/>
        <w:pStyle w:val="HEADER4Part2"/>
        <w:lvlText w:val="%1.%2.%3.%4."/>
        <w:lvlJc w:val="left"/>
        <w:pPr>
          <w:ind w:left="907" w:hanging="907"/>
        </w:pPr>
        <w:rPr>
          <w:rFonts w:hint="default"/>
        </w:rPr>
      </w:lvl>
    </w:lvlOverride>
    <w:lvlOverride w:ilvl="4">
      <w:lvl w:ilvl="4">
        <w:start w:val="1"/>
        <w:numFmt w:val="lowerLetter"/>
        <w:lvlText w:val="%5."/>
        <w:lvlJc w:val="left"/>
        <w:pPr>
          <w:ind w:left="3666" w:hanging="360"/>
        </w:pPr>
        <w:rPr>
          <w:rFonts w:hint="default"/>
        </w:rPr>
      </w:lvl>
    </w:lvlOverride>
    <w:lvlOverride w:ilvl="5">
      <w:lvl w:ilvl="5">
        <w:start w:val="1"/>
        <w:numFmt w:val="lowerRoman"/>
        <w:lvlText w:val="%6."/>
        <w:lvlJc w:val="right"/>
        <w:pPr>
          <w:ind w:left="4386" w:hanging="180"/>
        </w:pPr>
        <w:rPr>
          <w:rFonts w:hint="default"/>
        </w:rPr>
      </w:lvl>
    </w:lvlOverride>
    <w:lvlOverride w:ilvl="6">
      <w:lvl w:ilvl="6">
        <w:start w:val="1"/>
        <w:numFmt w:val="decimal"/>
        <w:lvlText w:val="%7."/>
        <w:lvlJc w:val="left"/>
        <w:pPr>
          <w:ind w:left="5106" w:hanging="360"/>
        </w:pPr>
        <w:rPr>
          <w:rFonts w:hint="default"/>
        </w:rPr>
      </w:lvl>
    </w:lvlOverride>
    <w:lvlOverride w:ilvl="7">
      <w:lvl w:ilvl="7">
        <w:start w:val="1"/>
        <w:numFmt w:val="lowerLetter"/>
        <w:lvlText w:val="%8."/>
        <w:lvlJc w:val="left"/>
        <w:pPr>
          <w:ind w:left="5826" w:hanging="360"/>
        </w:pPr>
        <w:rPr>
          <w:rFonts w:hint="default"/>
        </w:rPr>
      </w:lvl>
    </w:lvlOverride>
    <w:lvlOverride w:ilvl="8">
      <w:lvl w:ilvl="8">
        <w:start w:val="1"/>
        <w:numFmt w:val="lowerRoman"/>
        <w:lvlText w:val="%9."/>
        <w:lvlJc w:val="right"/>
        <w:pPr>
          <w:ind w:left="6546" w:hanging="180"/>
        </w:pPr>
        <w:rPr>
          <w:rFonts w:hint="default"/>
        </w:rPr>
      </w:lvl>
    </w:lvlOverride>
  </w:num>
  <w:num w:numId="25">
    <w:abstractNumId w:val="12"/>
  </w:num>
  <w:num w:numId="26">
    <w:abstractNumId w:val="12"/>
  </w:num>
  <w:num w:numId="27">
    <w:abstractNumId w:val="12"/>
  </w:num>
  <w:num w:numId="28">
    <w:abstractNumId w:val="2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BIP_SEL001" w:val="&lt;OBJECT&gt;&lt;META&gt;&lt;ID&gt;&lt;/ID&gt;&lt;NAME&gt;BIP_SEL001&lt;/NAME&gt;&lt;TYPE&gt;&lt;ID&gt;21&lt;/ID&gt;&lt;FRIENDLYNAME&gt;Selection&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BIP_SEL003" w:val="&lt;OBJECT&gt;&lt;META&gt;&lt;ID&gt;&lt;/ID&gt;&lt;NAME&gt;BIP_SEL003&lt;/NAME&gt;&lt;TYPE&gt;&lt;ID&gt;21&lt;/ID&gt;&lt;FRIENDLYNAME&gt;Selection&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10/2015 1:54:27 PM&lt;/DYNAMIZEDON&gt;&lt;LASTUPDATEDBY&gt;servela&lt;/LASTUPDATEDBY&gt;&lt;LASTUPDATEDON&gt;7/9/2015 10:10:34 AM&lt;/LASTUPDATEDON&gt;&lt;UTC&gt;1&lt;/UTC&gt;&lt;/UPDATE&gt;&lt;QUERIES bbk=&quot;2691&quot; bbkdesc=&quot;2014 Annual Accounts/EU Annual Accounts/DC - Balance Sheet (xlsx)&quot; datapro=&quot;BS&quot; tdatapro=&quot;BS&quot; author=&quot;&quot; modtime=&quot;7/9/2015 8:27:35 AM&quot; moduser=&quot;servela&quot; rolluptime=&quot;&quot; syuser=&quot;servela&quot; syuzeit=&quot;7/9/2015 8:27:35 AM&quot; root=&quot;/BBOOK/DATAPROVIDER[./META/PROPS/ID='BS']/DATA&quot; colcount=&quot;4&quot; rowcount=&quot;37&quot; url=&quot;&quot; dynamizeds=&quot;SAP Disclosure Management - Production&quot; dynamizedstype=&quot;9&quot; refreshds=&quot;&quot; viewtype=&quot;1&quot;&gt;&lt;QUERY reftype=&quot;ABS&quot; elmntsel=&quot;TABLE&quot; bbk=&quot;2691&quot; bbkdesc=&quot;2014 Annual Accounts/EU Annual Accounts/DC -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7/03/2015 17:26:38&lt;/DYNAMIZEDON&gt;&lt;LASTUPDATEDBY&gt;servela&lt;/LASTUPDATEDBY&gt;&lt;LASTUPDATEDON&gt;7/9/2015 10:10:48 AM&lt;/LASTUPDATEDON&gt;&lt;UTC&gt;1&lt;/UTC&gt;&lt;/UPDATE&gt;&lt;QUERIES bbk=&quot;2692&quot; bbkdesc=&quot;2014 Annual Accounts/EU Annual Accounts/DC - Statement of Financial Performance (xlsx)&quot; datapro=&quot;FP&quot; tdatapro=&quot;FP&quot; author=&quot;&quot; modtime=&quot;7/9/2015 8:27:55 AM&quot; moduser=&quot;servela&quot; rolluptime=&quot;&quot; syuser=&quot;servela&quot; syuzeit=&quot;7/9/2015 8:27:55 AM&quot; root=&quot;/BBOOK/DATAPROVIDER[./META/PROPS/ID='FP']/DATA&quot; colcount=&quot;4&quot; rowcount=&quot;35&quot; url=&quot;&quot; dynamizeds=&quot;SAP Disclosure Management - Production&quot; dynamizedstype=&quot;9&quot; refreshds=&quot;&quot; viewtype=&quot;1&quot;&gt;&lt;QUERY reftype=&quot;ABS&quot; elmntsel=&quot;TABLE&quot; bbk=&quot;2692&quot; bbkdesc=&quot;2014 Annual Accounts/EU Annual Accounts/DC - Statement of Financial Performance (xlsx)&quot; datapro=&quot;FP&quot; infos=&quot;&quot; iscomment=&quot;0&quot;&gt;&lt;SELECT&gt;/BBOOK/DATAPROVIDER[./META/PROPS/ID='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09/07/2015 17:23:37&lt;/DYNAMIZEDON&gt;&lt;LASTUPDATEDBY&gt;koehlmn&lt;/LASTUPDATEDBY&gt;&lt;LASTUPDATEDON&gt;09/07/2015 17:23:37&lt;/LASTUPDATEDON&gt;&lt;UTC&gt;1&lt;/UTC&gt;&lt;/UPDATE&gt;&lt;QUERIES bbk=&quot;2693&quot; bbkdesc=&quot;2014 Annual Accounts/EU Annual Accounts/DC - Cashflow statement (xlsx)&quot; datapro=&quot;CF&quot; tdatapro=&quot;CF&quot; author=&quot;&quot; modtime=&quot;3/13/2015 3:44:48 PM&quot; moduser=&quot;servela&quot; rolluptime=&quot;&quot; syuser=&quot;servela&quot; syuzeit=&quot;3/13/2015 3:44:48 PM&quot; root=&quot;/DATA&quot; colcount=&quot;4&quot; rowcount=&quot;29&quot; url=&quot;&quot; dynamizeds=&quot;SAP Disclosure Management - Production&quot; dynamizedstype=&quot;9&quot; refreshds=&quot;&quot; viewtype=&quot;1&quot;&gt;&lt;QUERY reftype=&quot;ABS&quot; elmntsel=&quot;TABLE&quot; bbk=&quot;2693&quot; bbkdesc=&quot;2014 Annual Accounts/EU Annual Accounts/DC - Cashflow statement automated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0/03/2015 14:01:08&lt;/DYNAMIZEDON&gt;&lt;LASTUPDATEDBY&gt;koehlmn&lt;/LASTUPDATEDBY&gt;&lt;LASTUPDATEDON&gt;7/13/2015 12:11:18 PM&lt;/LASTUPDATEDON&gt;&lt;UTC&gt;1&lt;/UTC&gt;&lt;/UPDATE&gt;&lt;QUERIES bbk=&quot;3133&quot; bbkdesc=&quot;2014 Annual Accounts/EU Annual Accounts/DC - Statment of changes in net assets EU (xlsx)&quot; datapro=&quot;SOC&quot; tdatapro=&quot;SOC&quot; author=&quot;&quot; modtime=&quot;7/13/2015 12:10:36 PM&quot; moduser=&quot;koehlmn&quot; rolluptime=&quot;&quot; syuser=&quot;koehlmn&quot; syuzeit=&quot;7/13/2015 12:10:36 PM&quot; root=&quot;/BBOOK/DATAPROVIDER[./META/PROPS/ID='SOC']/DATA&quot; colcount=&quot;6&quot; rowcount=&quot;18&quot; url=&quot;&quot; dynamizeds=&quot;SAP Disclosure Management - Production&quot; dynamizedstype=&quot;9&quot; refreshds=&quot;&quot; viewtype=&quot;1&quot;&gt;&lt;QUERY reftype=&quot;ABS&quot; elmntsel=&quot;TABLE&quot; bbk=&quot;3133&quot; bbkdesc=&quot;2014 Annual Accounts/EU Annual Accounts/DC - Statment of changes in net assets EU (xlsx)&quot; datapro=&quot;SOC&quot; infos=&quot;&quot; iscomment=&quot;0&quot;&gt;&lt;SELECT&gt;/BBOOK/DATAPROVIDER[./META/PROPS/ID='SOC']/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8.20&lt;/DATE&gt;&lt;DYNAMIZEDBY&gt;vignoal&lt;/DYNAMIZEDBY&gt;&lt;DYNAMIZEDON&gt;08/12/2014 14:39:56&lt;/DYNAMIZEDON&gt;&lt;LASTUPDATEDBY&gt;servela&lt;/LASTUPDATEDBY&gt;&lt;LASTUPDATEDON&gt;7/9/2015 10:11:36 AM&lt;/LASTUPDATEDON&gt;&lt;UTC&gt;1&lt;/UTC&gt;&lt;/UPDATE&gt;&lt;QUERIES bbk=&quot;3029&quot; bbkdesc=&quot;2014 Annual Accounts/EU Annual Accounts/DC - Currency table (xlsx)&quot; datapro=&quot;CURRENCY&quot; tdatapro=&quot;CURRENCY&quot; author=&quot;&quot; modtime=&quot;6/17/2015 2:42:57 PM&quot; moduser=&quot;bocacla&quot; rolluptime=&quot;&quot; syuser=&quot;bocacla&quot; syuzeit=&quot;6/17/2015 2:42:57 PM&quot; root=&quot;/BBOOK/DATAPROVIDER[./META/PROPS/ID='CURRENCY']/DATA&quot; colcount=&quot;6&quot; rowcount=&quot;8&quot; url=&quot;&quot; dynamizeds=&quot;SAP Disclosure Management - Production&quot; dynamizedstype=&quot;9&quot; refreshds=&quot;&quot; viewtype=&quot;1&quot;&gt;&lt;QUERY reftype=&quot;ABS&quot; elmntsel=&quot;TABLE&quot; bbk=&quot;3029&quot; bbkdesc=&quot;2014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8.20&lt;/DATE&gt;&lt;DYNAMIZEDBY&gt;vignoal&lt;/DYNAMIZEDBY&gt;&lt;DYNAMIZEDON&gt;08/12/2014 15:08:19&lt;/DYNAMIZEDON&gt;&lt;LASTUPDATEDBY&gt;servela&lt;/LASTUPDATEDBY&gt;&lt;LASTUPDATEDON&gt;7/9/2015 10:11:36 AM&lt;/LASTUPDATEDON&gt;&lt;UTC&gt;1&lt;/UTC&gt;&lt;/UPDATE&gt;&lt;QUERIES bbk=&quot;3030&quot; bbkdesc=&quot;2014 Annual Accounts/EU Annual Accounts/DC - DeprecRates (xlsx)&quot; datapro=&quot;DEPRECRATES&quot; tdatapro=&quot;DEPRECRATES&quot; author=&quot;&quot; modtime=&quot;6/17/2015 2:42:57 PM&quot; moduser=&quot;bocacla&quot; rolluptime=&quot;&quot; syuser=&quot;bocacla&quot; syuzeit=&quot;6/17/2015 2:42:57 PM&quot; root=&quot;/BBOOK/DATAPROVIDER[./META/PROPS/ID='DEPRECRATES']/DATA&quot; colcount=&quot;2&quot; rowcount=&quot;7&quot; url=&quot;&quot; dynamizeds=&quot;SAP Disclosure Management - Production&quot; dynamizedstype=&quot;9&quot; refreshds=&quot;&quot; viewtype=&quot;1&quot;&gt;&lt;QUERY reftype=&quot;ABS&quot; elmntsel=&quot;TABLE&quot; bbk=&quot;3030&quot; bbkdesc=&quot;2014 Annual Accounts/EU Annual Accounts/DC - DeprecRates (xlsx)&quot; datapro=&quot;DEPRECRATES&quot; infos=&quot;&quot; iscomment=&quot;0&quot;&gt;&lt;SELECT&gt;/BBOOK/DATAPROVIDER[./META/PROPS/ID='DEPRECRATES']/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7/03/2015 13:14:11&lt;/DYNAMIZEDON&gt;&lt;LASTUPDATEDBY&gt;koehlmn&lt;/LASTUPDATEDBY&gt;&lt;LASTUPDATEDON&gt;7/10/2015 9:08:02 AM&lt;/LASTUPDATEDON&gt;&lt;UTC&gt;1&lt;/UTC&gt;&lt;/UPDATE&gt;&lt;QUERIES bbk=&quot;3098&quot; bbkdesc=&quot;2014 Annual Accounts/EU Annual Accounts/DC - Intangible fixed assets (xlsx)&quot; datapro=&quot;ITFA&quot; tdatapro=&quot;ITFA&quot; author=&quot;&quot; modtime=&quot;3/12/2015 9:54:58 AM&quot; moduser=&quot;servela&quot; rolluptime=&quot;&quot; syuser=&quot;servela&quot; syuzeit=&quot;3/12/2015 9:54:58 AM&quot; root=&quot;/DATA&quot; colcount=&quot;2&quot; rowcount=&quot;17&quot; url=&quot;&quot; dynamizeds=&quot;SAP Disclosure Management - Production&quot; dynamizedstype=&quot;9&quot; refreshds=&quot;&quot; viewtype=&quot;1&quot;&gt;&lt;QUERY reftype=&quot;ABS&quot; elmntsel=&quot;TABLE&quot; bbk=&quot;3098&quot; bbkdesc=&quot;2014 Annual Accounts/EU Annual Accounts/DC - Intangible fixed assets (xlsx)&quot; datapro=&quot;ITFA&quot; infos=&quot;&quot; iscomment=&quot;0&quot;&gt;&lt;SELECT&gt;/BBOOK/DATAPROVIDER[./META/PROPS/ID='IT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10/2015 8:47:41 AM&lt;/DYNAMIZEDON&gt;&lt;LASTUPDATEDBY&gt;koehlmn&lt;/LASTUPDATEDBY&gt;&lt;LASTUPDATEDON&gt;7/10/2015 9:00:14 AM&lt;/LASTUPDATEDON&gt;&lt;UTC&gt;1&lt;/UTC&gt;&lt;/UPDATE&gt;&lt;QUERIES bbk=&quot;3136&quot; bbkdesc=&quot;2014 Annual Accounts/EU Annual Accounts/DC - PPE (xlsx)&quot; datapro=&quot;PPE&quot; tdatapro=&quot;PPE&quot; author=&quot;&quot; modtime=&quot;7/10/2015 8:59:52 AM&quot; moduser=&quot;koehlmn&quot; rolluptime=&quot;&quot; syuser=&quot;koehlmn&quot; syuzeit=&quot;7/10/2015 8:59:52 AM&quot; root=&quot;/BBOOK/DATAPROVIDER[./META/PROPS/ID='PPE']/DATA&quot; colcount=&quot;9&quot; rowcount=&quot;18&quot; url=&quot;&quot; dynamizeds=&quot;SAP Disclosure Management - Production&quot; dynamizedstype=&quot;9&quot; refreshds=&quot;&quot; viewtype=&quot;1&quot;&gt;&lt;QUERY reftype=&quot;ABS&quot; elmntsel=&quot;TABLE&quot; bbk=&quot;3136&quot; bbkdesc=&quot;2014 Annual Accounts/EU Annual Accounts/DC - PPE (xlsx)&quot; datapro=&quot;PPE&quot; infos=&quot;&quot; iscomment=&quot;0&quot;&gt;&lt;SELECT&gt;/BBOOK/DATAPROVIDER[./META/PROPS/ID='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25:24&lt;/DYNAMIZEDON&gt;&lt;LASTUPDATEDBY&gt;servela&lt;/LASTUPDATEDBY&gt;&lt;LASTUPDATEDON&gt;7/9/2015 10:12:11 AM&lt;/LASTUPDATEDON&gt;&lt;UTC&gt;1&lt;/UTC&gt;&lt;/UPDATE&gt;&lt;QUERIES bbk=&quot;2698&quot; bbkdesc=&quot;2014 Annual Accounts/EU Annual Accounts/DC - Investments accounted for using the equity method (xlsx)&quot; datapro=&quot;EM&quot; tdatapro=&quot;EM&quot; author=&quot;&quot; modtime=&quot;7/9/2015 8:29:19 AM&quot; moduser=&quot;servela&quot; rolluptime=&quot;&quot; syuser=&quot;servela&quot; syuzeit=&quot;7/9/2015 8:29:19 AM&quot; root=&quot;/BBOOK/DATAPROVIDER[./META/PROPS/ID='EM']/DATA&quot; colcount=&quot;4&quot; rowcount=&quot;5&quot; url=&quot;&quot; dynamizeds=&quot;SAP Disclosure Management - Production&quot; dynamizedstype=&quot;9&quot; refreshds=&quot;&quot; viewtype=&quot;1&quot;&gt;&lt;QUERY reftype=&quot;ABS&quot; elmntsel=&quot;TABLE&quot; bbk=&quot;2698&quot; bbkdesc=&quot;2014 Annual Accounts/EU Annual Accounts/DC - Investments accounted for using the equity method new (xlsx)&quot; datapro=&quot;EM&quot; infos=&quot;&quot; iscomment=&quot;0&quot;&gt;&lt;SELECT&gt;/BBOOK/DATAPROVIDER[./META/PROPS/ID='EM']/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6/03/2015 13:28:27&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JV&quot; tdatapro=&quot;PARTJV&quot; author=&quot;&quot; modtime=&quot;3/13/2015 3:37:54 PM&quot; moduser=&quot;oerboan&quot; rolluptime=&quot;&quot; syuser=&quot;oerboan&quot; syuzeit=&quot;3/13/2015 3:37:54 PM&quot; root=&quot;/DATA&quot; colcount=&quot;9&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JV&quot; infos=&quot;&quot; iscomment=&quot;0&quot;&gt;&lt;SELECT&gt;/BBOOK/DATAPROVIDER[./META/PROPS/ID='PARTJV']/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33:10&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JV2&quot; tdatapro=&quot;PARTJV2&quot; author=&quot;&quot; modtime=&quot;7/2/2015 3:26:00 PM&quot; moduser=&quot;servela&quot; rolluptime=&quot;&quot; syuser=&quot;servela&quot; syuzeit=&quot;7/2/2015 3:26:00 PM&quot; root=&quot;/BBOOK/DATAPROVIDER[./META/PROPS/ID='PARTJV2']/DATA&quot; colcount=&quot;3&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JV2&quot; infos=&quot;&quot; iscomment=&quot;0&quot;&gt;&lt;SELECT&gt;/BBOOK/DATAPROVIDER[./META/PROPS/ID='PARTJV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10/2015 3:12:15 PM&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ASS1&quot; tdatapro=&quot;PARTASS1&quot; author=&quot;&quot; modtime=&quot;3/9/2015 9:07:04 AM&quot; moduser=&quot;oerboan&quot; rolluptime=&quot;&quot; syuser=&quot;oerboan&quot; syuzeit=&quot;3/9/2015 9:07:04 AM&quot; root=&quot;/DATA&quot; colcount=&quot;2&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ASS1&quot; infos=&quot;&quot; iscomment=&quot;0&quot;&gt;&lt;SELECT&gt;/BBOOK/DATAPROVIDER[./META/PROPS/ID='PARTASS1']/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33:45&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ASS2&quot; tdatapro=&quot;PARTASS2&quot; author=&quot;&quot; modtime=&quot;7/2/2015 3:26:00 PM&quot; moduser=&quot;servela&quot; rolluptime=&quot;&quot; syuser=&quot;servela&quot; syuzeit=&quot;7/2/2015 3:26:00 PM&quot; root=&quot;/BBOOK/DATAPROVIDER[./META/PROPS/ID='PARTASS2']/DATA&quot; colcount=&quot;3&quot; rowcount=&quot;6&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ASS2&quot; infos=&quot;&quot; iscomment=&quot;0&quot;&gt;&lt;SELECT&gt;/BBOOK/DATAPROVIDER[./META/PROPS/ID='PARTASS2']/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43:51&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EIF&quot; tdatapro=&quot;EIF&quot; author=&quot;&quot; modtime=&quot;7/2/2015 3:26:00 PM&quot; moduser=&quot;servela&quot; rolluptime=&quot;&quot; syuser=&quot;servela&quot; syuzeit=&quot;7/2/2015 3:26:00 PM&quot; root=&quot;/BBOOK/DATAPROVIDER[./META/PROPS/ID='EIF']/DATA&quot; colcount=&quot;3&quot; rowcount=&quot;5&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EIF&quot; infos=&quot;&quot; iscomment=&quot;0&quot;&gt;&lt;SELECT&gt;/BBOOK/DATAPROVIDER[./META/PROPS/ID='EIF']/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8/03/2015 19:38:34&lt;/DYNAMIZEDON&gt;&lt;LASTUPDATEDBY&gt;koehlmn&lt;/LASTUPDATEDBY&gt;&lt;LASTUPDATEDON&gt;7/13/2015 4:19:08 PM&lt;/LASTUPDATEDON&gt;&lt;UTC&gt;1&lt;/UTC&gt;&lt;/UPDATE&gt;&lt;QUERIES bbk=&quot;2699&quot; bbkdesc=&quot;2014 Annual Accounts/EU Annual Accounts/DC - Financial assets (xlsx)&quot; datapro=&quot;FINA&quot; tdatapro=&quot;FINA&quot; author=&quot;&quot; modtime=&quot;7/13/2015 4:17:55 PM&quot; moduser=&quot;koehlmn&quot; rolluptime=&quot;&quot; syuser=&quot;koehlmn&quot; syuzeit=&quot;7/13/2015 4:17:55 PM&quot; root=&quot;/BBOOK/DATAPROVIDER[./META/PROPS/ID='FINA']/DATA&quot; colcount=&quot;4&quot; rowcount=&quot;11&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FINA&quot; infos=&quot;&quot; iscomment=&quot;0&quot;&gt;&lt;SELECT&gt;/BBOOK/DATAPROVIDER[./META/PROPS/ID='FINA']/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7/03/2015 11:14:41&lt;/DYNAMIZEDON&gt;&lt;LASTUPDATEDBY&gt;koehlmn&lt;/LASTUPDATEDBY&gt;&lt;LASTUPDATEDON&gt;7/13/2015 4:19:20 PM&lt;/LASTUPDATEDON&gt;&lt;UTC&gt;1&lt;/UTC&gt;&lt;/UPDATE&gt;&lt;QUERIES bbk=&quot;2699&quot; bbkdesc=&quot;2014 Annual Accounts/EU Annual Accounts/DC - Financial assets (xlsx)&quot; datapro=&quot;AFS&quot; tdatapro=&quot;AFS&quot; author=&quot;&quot; modtime=&quot;7/13/2015 4:17:55 PM&quot; moduser=&quot;koehlmn&quot; rolluptime=&quot;&quot; syuser=&quot;koehlmn&quot; syuzeit=&quot;7/13/2015 4:17:55 PM&quot; root=&quot;/BBOOK/DATAPROVIDER[./META/PROPS/ID='AFS']/DATA&quot; colcount=&quot;3&quot; rowcount=&quot;17&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AFS&quot; infos=&quot;&quot; iscomment=&quot;0&quot;&gt;&lt;SELECT&gt;/BBOOK/DATAPROVIDER[./META/PROPS/ID='AFS']/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6/11/2014 12:19:07&lt;/DYNAMIZEDON&gt;&lt;LASTUPDATEDBY&gt;koehlmn&lt;/LASTUPDATEDBY&gt;&lt;LASTUPDATEDON&gt;7/13/2015 4:19:13 PM&lt;/LASTUPDATEDON&gt;&lt;UTC&gt;1&lt;/UTC&gt;&lt;/UPDATE&gt;&lt;QUERIES bbk=&quot;2701&quot; bbkdesc=&quot;2014 Annual Accounts/EU Annual Accounts/DC - Fair value hierarchy of available for sale financial assets (xlsx)&quot; datapro=&quot;FVH&quot; tdatapro=&quot;FVH&quot; author=&quot;&quot; modtime=&quot;7/13/2015 4:15:54 PM&quot; moduser=&quot;koehlmn&quot; rolluptime=&quot;&quot; syuser=&quot;koehlmn&quot; syuzeit=&quot;7/13/2015 4:15:54 PM&quot; root=&quot;/BBOOK/DATAPROVIDER[./META/PROPS/ID='FVH']/DATA&quot; colcount=&quot;3&quot; rowcount=&quot;6&quot; url=&quot;&quot; dynamizeds=&quot;SAP Disclosure Management - Production&quot; dynamizedstype=&quot;9&quot; refreshds=&quot;&quot; viewtype=&quot;1&quot;&gt;&lt;QUERY reftype=&quot;ABS&quot; elmntsel=&quot;TABLE&quot; bbk=&quot;2701&quot; bbkdesc=&quot;2014 Annual Accounts/EU Annual Accounts/DC - Fair value hierarchy of available for sale financial assets (xlsx)&quot; datapro=&quot;FVH&quot; infos=&quot;&quot; iscomment=&quot;0&quot;&gt;&lt;SELECT&gt;/BBOOK/DATAPROVIDER[./META/PROPS/ID='FVH']/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3/26/2015 8:14:35 PM&lt;/DYNAMIZEDON&gt;&lt;LASTUPDATEDBY&gt;koehlmn&lt;/LASTUPDATEDBY&gt;&lt;LASTUPDATEDON&gt;7/13/2015 4:19:17 PM&lt;/LASTUPDATEDON&gt;&lt;UTC&gt;1&lt;/UTC&gt;&lt;/UPDATE&gt;&lt;QUERIES bbk=&quot;2535&quot; bbkdesc=&quot;2014 Annual Accounts/EC Annual Accounts/DC - Financial assets (xlsx)&quot; datapro=&quot;RECOFINA&quot; tdatapro=&quot;RECOFINA&quot; author=&quot;&quot; modtime=&quot;7/2/2015 3:26:01 PM&quot; moduser=&quot;servela&quot; rolluptime=&quot;&quot; syuser=&quot;servela&quot; syuzeit=&quot;7/2/2015 3:26:01 PM&quot; root=&quot;/BBOOK/DATAPROVIDER[./META/PROPS/ID='RECOFINA']/DATA&quot; colcount=&quot;2&quot; rowcount=&quot;10&quot; url=&quot;&quot; dynamizeds=&quot;SAP Disclosure Management - Production&quot; dynamizedstype=&quot;9&quot; refreshds=&quot;&quot; viewtype=&quot;1&quot;&gt;&lt;QUERY reftype=&quot;ABS&quot; elmntsel=&quot;TABLE&quot; bbk=&quot;2535&quot; bbkdesc=&quot;2014 Annual Accounts/EC Annual Accounts/DC - Financial assets (xlsx)&quot; datapro=&quot;RECOFINA&quot; infos=&quot;&quot; iscomment=&quot;0&quot;&gt;&lt;SELECT&gt;/BBOOK/DATAPROVIDER[./META/PROPS/ID='RECOFINA']/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3/2015 11:29:48&lt;/DYNAMIZEDON&gt;&lt;LASTUPDATEDBY&gt;koehlmn&lt;/LASTUPDATEDBY&gt;&lt;LASTUPDATEDON&gt;7/13/2015 4:19:11 PM&lt;/LASTUPDATEDON&gt;&lt;UTC&gt;1&lt;/UTC&gt;&lt;/UPDATE&gt;&lt;QUERIES bbk=&quot;2699&quot; bbkdesc=&quot;2014 Annual Accounts/EU Annual Accounts/DC - Financial assets (xlsx)&quot; datapro=&quot;EIB&quot; tdatapro=&quot;EIB&quot; author=&quot;&quot; modtime=&quot;7/13/2015 4:17:55 PM&quot; moduser=&quot;koehlmn&quot; rolluptime=&quot;&quot; syuser=&quot;koehlmn&quot; syuzeit=&quot;7/13/2015 4:17:55 PM&quot; root=&quot;/BBOOK/DATAPROVIDER[./META/PROPS/ID='EIB']/DATA&quot; colcount=&quot;3&quot; rowcount=&quot;5&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EIB&quot; infos=&quot;&quot; iscomment=&quot;0&quot;&gt;&lt;SELECT&gt;/BBOOK/DATAPROVIDER[./META/PROPS/ID='EIB']/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6/03/2015 13:57:11&lt;/DYNAMIZEDON&gt;&lt;LASTUPDATEDBY&gt;koehlmn&lt;/LASTUPDATEDBY&gt;&lt;LASTUPDATEDON&gt;7/13/2015 4:19:10 PM&lt;/LASTUPDATEDON&gt;&lt;UTC&gt;1&lt;/UTC&gt;&lt;/UPDATE&gt;&lt;QUERIES bbk=&quot;2699&quot; bbkdesc=&quot;2014 Annual Accounts/EU Annual Accounts/DC - Financial assets (xlsx)&quot; datapro=&quot;LO&quot; tdatapro=&quot;LO&quot; author=&quot;&quot; modtime=&quot;7/13/2015 4:17:55 PM&quot; moduser=&quot;koehlmn&quot; rolluptime=&quot;&quot; syuser=&quot;koehlmn&quot; syuzeit=&quot;7/13/2015 4:17:55 PM&quot; root=&quot;/BBOOK/DATAPROVIDER[./META/PROPS/ID='LO']/DATA&quot; colcount=&quot;3&quot; rowcount=&quot;5&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LO&quot; infos=&quot;&quot; iscomment=&quot;0&quot;&gt;&lt;SELECT&gt;/BBOOK/DATAPROVIDER[./META/PROPS/ID='LO']/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20/2014 4:09:43 PM&lt;/DYNAMIZEDON&gt;&lt;LASTUPDATEDBY&gt;koehlmn&lt;/LASTUPDATEDBY&gt;&lt;LASTUPDATEDON&gt;7/13/2015 4:19:19 PM&lt;/LASTUPDATEDON&gt;&lt;UTC&gt;1&lt;/UTC&gt;&lt;/UPDATE&gt;&lt;QUERIES bbk=&quot;2771&quot; bbkdesc=&quot;2014 Annual Accounts/EU Annual Accounts/DC - Loans granted from borrowed funds LINKED TO EC (xlsx)&quot; datapro=&quot;LGFBF&quot; tdatapro=&quot;LGFBF&quot; author=&quot;&quot; modtime=&quot;7/13/2015 4:13:47 PM&quot; moduser=&quot;koehlmn&quot; rolluptime=&quot;&quot; syuser=&quot;koehlmn&quot; syuzeit=&quot;7/13/2015 4:13:47 PM&quot; root=&quot;/BBOOK/DATAPROVIDER[./META/PROPS/ID='LGFBF']/DATA&quot; colcount=&quot;7&quot; rowcount=&quot;11&quot; url=&quot;&quot; dynamizeds=&quot;SAP Disclosure Management - Production&quot; dynamizedstype=&quot;9&quot; refreshds=&quot;&quot; viewtype=&quot;1&quot;&gt;&lt;QUERY reftype=&quot;ABS&quot; elmntsel=&quot;TABLE&quot; bbk=&quot;2771&quot; bbkdesc=&quot;2014 Annual Accounts/EU Annual Accounts/DC - Loans granted from borrowed funds LINKED TO EC (except ECSC column) (xlsx)&quot; datapro=&quot;LGFBF&quot; infos=&quot;&quot; iscomment=&quot;0&quot;&gt;&lt;SELECT&gt;/BBOOK/DATAPROVIDER[./META/PROPS/ID='LGFBF']/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0/03/2015 11:09:04&lt;/DYNAMIZEDON&gt;&lt;LASTUPDATEDBY&gt;koehlmn&lt;/LASTUPDATEDBY&gt;&lt;LASTUPDATEDON&gt;7/13/2015 4:19:15 PM&lt;/LASTUPDATEDON&gt;&lt;UTC&gt;1&lt;/UTC&gt;&lt;/UPDATE&gt;&lt;QUERIES bbk=&quot;2764&quot; bbkdesc=&quot;2014 Annual Accounts/EU Annual Accounts/DC - Financial Support Mechanisms (xlsx)&quot; datapro=&quot;BORR2&quot; tdatapro=&quot;BORR2&quot; author=&quot;&quot; modtime=&quot;7/13/2015 4:14:39 PM&quot; moduser=&quot;koehlmn&quot; rolluptime=&quot;&quot; syuser=&quot;koehlmn&quot; syuzeit=&quot;7/13/2015 4:14:39 PM&quot; root=&quot;/BBOOK/DATAPROVIDER[./META/PROPS/ID='BORR2']/DATA&quot; colcount=&quot;3&quot; rowcount=&quot;6&quot; url=&quot;&quot; dynamizeds=&quot;SAP Disclosure Management - Production&quot; dynamizedstype=&quot;9&quot; refreshds=&quot;&quot; viewtype=&quot;1&quot;&gt;&lt;QUERY reftype=&quot;ABS&quot; elmntsel=&quot;TABLE&quot; bbk=&quot;2764&quot; bbkdesc=&quot;2014 Annual Accounts/EU Annual Accounts/DC - Financial Support Mechanisms (xlsx)&quot; datapro=&quot;BORR2&quot; infos=&quot;&quot; iscomment=&quot;0&quot;&gt;&lt;SELECT&gt;/BBOOK/DATAPROVIDER[./META/PROPS/ID='BORR2']/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7/03/2015 15:43:00&lt;/DYNAMIZEDON&gt;&lt;LASTUPDATEDBY&gt;koehlmn&lt;/LASTUPDATEDBY&gt;&lt;LASTUPDATEDON&gt;7/9/2015 4:33:42 PM&lt;/LASTUPDATEDON&gt;&lt;UTC&gt;1&lt;/UTC&gt;&lt;/UPDATE&gt;&lt;QUERIES bbk=&quot;2708&quot; bbkdesc=&quot;2014 Annual Accounts/EU Annual Accounts/DC - Pre-financing (xlsx)&quot; datapro=&quot;PF&quot; tdatapro=&quot;PF&quot; author=&quot;&quot; modtime=&quot;3/12/2015 2:52:02 PM&quot; moduser=&quot;servela&quot; rolluptime=&quot;&quot; syuser=&quot;servela&quot; syuzeit=&quot;3/12/2015 2:52:02 PM&quot; root=&quot;/DATA&quot; colcount=&quot;4&quot; rowcount=&quot;11&quot; url=&quot;&quot; dynamizeds=&quot;SAP Disclosure Management - Production&quot; dynamizedstype=&quot;9&quot; refreshds=&quot;&quot; viewtype=&quot;1&quot;&gt;&lt;QUERY reftype=&quot;ABS&quot; elmntsel=&quot;TABLE&quot; bbk=&quot;2708&quot; bbkdesc=&quot;2014 Annual Accounts/EU Annual Accounts/DC - Pre-financing (xlsx)&quot; datapro=&quot;PF&quot; infos=&quot;&quot; iscomment=&quot;0&quot;&gt;&lt;SELECT&gt;/BBOOK/DATAPROVIDER[./META/PROPS/ID='PF']/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24/03/2015 16:35:32&lt;/DYNAMIZEDON&gt;&lt;LASTUPDATEDBY&gt;koehlmn&lt;/LASTUPDATEDBY&gt;&lt;LASTUPDATEDON&gt;7/10/2015 12:44:08 PM&lt;/LASTUPDATEDON&gt;&lt;UTC&gt;1&lt;/UTC&gt;&lt;/UPDATE&gt;&lt;QUERIES bbk=&quot;2709&quot; bbkdesc=&quot;2014 Annual Accounts/EU Annual Accounts/DC - Pre-financing detailed (xlsx)&quot; datapro=&quot;PFD&quot; tdatapro=&quot;PFD&quot; author=&quot;&quot; modtime=&quot;7/10/2015 12:43:33 PM&quot; moduser=&quot;koehlmn&quot; rolluptime=&quot;&quot; syuser=&quot;koehlmn&quot; syuzeit=&quot;7/10/2015 12:43:33 PM&quot; root=&quot;/BBOOK/DATAPROVIDER[./META/PROPS/ID='PFD']/DATA&quot; colcount=&quot;7&quot; rowcount=&quot;20&quot; url=&quot;&quot; dynamizeds=&quot;SAP Disclosure Management - Production&quot; dynamizedstype=&quot;9&quot; refreshds=&quot;&quot; viewtype=&quot;1&quot;&gt;&lt;QUERY reftype=&quot;ABS&quot; elmntsel=&quot;TABLE&quot; bbk=&quot;2709&quot; bbkdesc=&quot;2014 Annual Accounts/EU Annual Accounts/DC - Pre-financing detailed (xlsx)&quot; datapro=&quot;PFD&quot; infos=&quot;&quot; iscomment=&quot;0&quot;&gt;&lt;SELECT&gt;/BBOOK/DATAPROVIDER[./META/PROPS/ID='PFD']/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16:04&lt;/DYNAMIZEDON&gt;&lt;LASTUPDATEDBY&gt;koehlmn&lt;/LASTUPDATEDBY&gt;&lt;LASTUPDATEDON&gt;7/9/2015 4:33:43 PM&lt;/LASTUPDATEDON&gt;&lt;UTC&gt;1&lt;/UTC&gt;&lt;/UPDATE&gt;&lt;QUERIES bbk=&quot;2536&quot; bbkdesc=&quot;2014 Annual Accounts/EC Annual Accounts/DC - Pre-financing (xlsx)&quot; datapro=&quot;FEIAS&quot; tdatapro=&quot;FEIAS&quot; author=&quot;&quot; modtime=&quot;7/9/2015 7:38:48 AM&quot; moduser=&quot;bularmi&quot; rolluptime=&quot;&quot; syuser=&quot;bularmi&quot; syuzeit=&quot;7/9/2015 7:38:48 AM&quot; root=&quot;/BBOOK/DATAPROVIDER[./META/PROPS/ID='FEIAS']/DATA&quot; colcount=&quot;3&quot; rowcount=&quot;11&quot; url=&quot;&quot; dynamizeds=&quot;SAP Disclosure Management - Production&quot; dynamizedstype=&quot;9&quot; refreshds=&quot;&quot; viewtype=&quot;1&quot;&gt;&lt;QUERY reftype=&quot;ABS&quot; elmntsel=&quot;TABLE&quot; bbk=&quot;2536&quot; bbkdesc=&quot;2014 Annual Accounts/EC Annual Accounts/DC - Pre-financing (xlsx)&quot; datapro=&quot;FEIAS&quot; infos=&quot;&quot; iscomment=&quot;0&quot;&gt;&lt;SELECT&gt;/BBOOK/DATAPROVIDER[./META/PROPS/ID='FEIA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7/03/2015 15:43:02&lt;/DYNAMIZEDON&gt;&lt;LASTUPDATEDBY&gt;koehlmn&lt;/LASTUPDATEDBY&gt;&lt;LASTUPDATEDON&gt;7/13/2015 12:03:21 PM&lt;/LASTUPDATEDON&gt;&lt;UTC&gt;1&lt;/UTC&gt;&lt;/UPDATE&gt;&lt;QUERIES bbk=&quot;2710&quot; bbkdesc=&quot;2014 Annual Accounts/EU Annual Accounts/DC - Exchange receivables and Non-exchange recoverables (xlsx)&quot; datapro=&quot;ERNER&quot; tdatapro=&quot;ERNER&quot; author=&quot;&quot; modtime=&quot;3/12/2015 3:29:26 PM&quot; moduser=&quot;servela&quot; rolluptime=&quot;&quot; syuser=&quot;servela&quot; syuzeit=&quot;3/12/2015 3:29:26 PM&quot; root=&quot;/BBOOK/DATAPROVIDER[./META/PROPS/ID='FEIAS']/DATA&quot; colcount=&quot;4&quot; rowcount=&quot;11&quot; url=&quot;&quot; dynamizeds=&quot;SAP Disclosure Management - Production&quot; dynamizedstype=&quot;9&quot; refreshds=&quot;&quot; viewtype=&quot;1&quot;&gt;&lt;QUERY reftype=&quot;ABS&quot; elmntsel=&quot;TABLE&quot; bbk=&quot;2710&quot; bbkdesc=&quot;2014 Annual Accounts/EU Annual Accounts/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3/26/2015 9:16:56 AM&lt;/DYNAMIZEDON&gt;&lt;LASTUPDATEDBY&gt;koehlmn&lt;/LASTUPDATEDBY&gt;&lt;LASTUPDATEDON&gt;7/13/2015 12:03:19 PM&lt;/LASTUPDATEDON&gt;&lt;UTC&gt;1&lt;/UTC&gt;&lt;/UPDATE&gt;&lt;QUERIES bbk=&quot;2710&quot; bbkdesc=&quot;2014 Annual Accounts/EU Annual Accounts/DC - Exchange receivables and Non-exchange recoverables (xlsx)&quot; datapro=&quot;RNET&quot; tdatapro=&quot;RNET&quot; author=&quot;&quot; modtime=&quot;7/13/2015 12:02:31 PM&quot; moduser=&quot;koehlmn&quot; rolluptime=&quot;&quot; syuser=&quot;koehlmn&quot; syuzeit=&quot;7/13/2015 12:02:31 PM&quot; root=&quot;/BBOOK/DATAPROVIDER[./META/PROPS/ID='RNET']/DATA&quot; colcount=&quot;4&quot; rowcount=&quot;14&quot; url=&quot;&quot; dynamizeds=&quot;SAP Disclosure Management - Production&quot; dynamizedstype=&quot;9&quot; refreshds=&quot;&quot; viewtype=&quot;1&quot;&gt;&lt;QUERY reftype=&quot;ABS&quot; elmntsel=&quot;TABLE&quot; bbk=&quot;2710&quot; bbkdesc=&quot;2014 Annual Accounts/EU Annual Accounts/DC - Exchange receivables and Non-exchange recoverables (xlsx)&quot; datapro=&quot;RNET&quot; infos=&quot;&quot; iscomment=&quot;0&quot;&gt;&lt;SELECT&gt;/BBOOK/DATAPROVIDER[./META/PROPS/ID='RNET']/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7/13/2015 12:19:22 PM&lt;/DYNAMIZEDON&gt;&lt;LASTUPDATEDBY&gt;koehlmn&lt;/LASTUPDATEDBY&gt;&lt;LASTUPDATEDON&gt;7/13/2015 4:23:30 PM&lt;/LASTUPDATEDON&gt;&lt;UTC&gt;1&lt;/UTC&gt;&lt;/UPDATE&gt;&lt;QUERIES bbk=&quot;2711&quot; bbkdesc=&quot;2014 Annual Accounts/EU Annual Accounts/DC - Recoverables from Member States (xlsx)&quot; datapro=&quot;RMS&quot; tdatapro=&quot;RMS&quot; author=&quot;&quot; modtime=&quot;7/13/2015 4:23:00 PM&quot; moduser=&quot;koehlmn&quot; rolluptime=&quot;&quot; syuser=&quot;koehlmn&quot; syuzeit=&quot;7/13/2015 4:23:00 PM&quot; root=&quot;/BBOOK/DATAPROVIDER[./META/PROPS/ID='RMS']/DATA&quot; colcount=&quot;3&quot; rowcount=&quot;22&quot; url=&quot;&quot; dynamizeds=&quot;SAP Disclosure Management - Production&quot; dynamizedstype=&quot;9&quot; refreshds=&quot;&quot; viewtype=&quot;1&quot;&gt;&lt;QUERY reftype=&quot;ABS&quot; elmntsel=&quot;TABLE&quot; bbk=&quot;2711&quot; bbkdesc=&quot;2014 Annual Accounts/EU Annual Accounts/DC - Recoverables from Member States (xlsx)&quot; datapro=&quot;RMS&quot; infos=&quot;&quot; iscomment=&quot;0&quot;&gt;&lt;SELECT&gt;/BBOOK/DATAPROVIDER[./META/PROPS/ID='RM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24/03/2015 16:56:19&lt;/DYNAMIZEDON&gt;&lt;LASTUPDATEDBY&gt;koehlmn&lt;/LASTUPDATEDBY&gt;&lt;LASTUPDATEDON&gt;7/13/2015 12:03:24 PM&lt;/LASTUPDATEDON&gt;&lt;UTC&gt;1&lt;/UTC&gt;&lt;/UPDATE&gt;&lt;QUERIES bbk=&quot;2713&quot; bbkdesc=&quot;2014 Annual Accounts/EU Annual Accounts/DC - Accrued income and Deferred charges (xlsx)&quot; datapro=&quot;AIDC&quot; tdatapro=&quot;AIDC&quot; author=&quot;&quot; modtime=&quot;7/10/2015 9:58:45 AM&quot; moduser=&quot;koehlmn&quot; rolluptime=&quot;&quot; syuser=&quot;koehlmn&quot; syuzeit=&quot;7/10/2015 9:58:45 AM&quot; root=&quot;/BBOOK/DATAPROVIDER[./META/PROPS/ID='AIDC']/DATA&quot; colcount=&quot;3&quot; rowcount=&quot;10&quot; url=&quot;&quot; dynamizeds=&quot;SAP Disclosure Management - Production&quot; dynamizedstype=&quot;9&quot; refreshds=&quot;&quot; viewtype=&quot;1&quot;&gt;&lt;QUERY reftype=&quot;ABS&quot; elmntsel=&quot;TABLE&quot; bbk=&quot;2713&quot; bbkdesc=&quot;2014 Annual Accounts/EU Annual Accounts/DC - Accrued income and Deferred charges (xlsx)&quot; datapro=&quot;AIDC&quot; infos=&quot;&quot; iscomment=&quot;0&quot;&gt;&lt;SELECT&gt;/BBOOK/DATAPROVIDER[./META/PROPS/ID='AIDC']/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2/03/2015 16:43:29&lt;/DYNAMIZEDON&gt;&lt;LASTUPDATEDBY&gt;koehlmn&lt;/LASTUPDATEDBY&gt;&lt;LASTUPDATEDON&gt;7/13/2015 12:03:17 PM&lt;/LASTUPDATEDON&gt;&lt;UTC&gt;1&lt;/UTC&gt;&lt;/UPDATE&gt;&lt;QUERIES bbk=&quot;2710&quot; bbkdesc=&quot;2014 Annual Accounts/EU Annual Accounts/DC - Exchange receivables and Non-exchange recoverables (xlsx)&quot; datapro=&quot;RET&quot; tdatapro=&quot;RET&quot; author=&quot;&quot; modtime=&quot;7/13/2015 12:02:31 PM&quot; moduser=&quot;koehlmn&quot; rolluptime=&quot;&quot; syuser=&quot;koehlmn&quot; syuzeit=&quot;7/13/2015 12:02:31 PM&quot; root=&quot;/BBOOK/DATAPROVIDER[./META/PROPS/ID='RET']/DATA&quot; colcount=&quot;3&quot; rowcount=&quot;12&quot; url=&quot;&quot; dynamizeds=&quot;SAP Disclosure Management - Production&quot; dynamizedstype=&quot;9&quot; refreshds=&quot;&quot; viewtype=&quot;1&quot;&gt;&lt;QUERY reftype=&quot;ABS&quot; elmntsel=&quot;TABLE&quot; bbk=&quot;2710&quot; bbkdesc=&quot;2014 Annual Accounts/EU Annual Accounts/DC - Exchange receivables and Non-exchange recoverables (xlsx)&quot; datapro=&quot;RET&quot; infos=&quot;&quot; iscomment=&quot;0&quot;&gt;&lt;SELECT&gt;/BBOOK/DATAPROVIDER[./META/PROPS/ID='RET']/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17/11/2014 14:33:11&lt;/DYNAMIZEDON&gt;&lt;LASTUPDATEDBY&gt;servela&lt;/LASTUPDATEDBY&gt;&lt;LASTUPDATEDON&gt;7/9/2015 10:14:11 AM&lt;/LASTUPDATEDON&gt;&lt;UTC&gt;1&lt;/UTC&gt;&lt;/UPDATE&gt;&lt;QUERIES bbk=&quot;2714&quot; bbkdesc=&quot;2014 Annual Accounts/EU Annual Accounts/DC - Inventories (xlsx)&quot; datapro=&quot;INV&quot; tdatapro=&quot;INV&quot; author=&quot;&quot; modtime=&quot;7/8/2015 1:36:32 PM&quot; moduser=&quot;servela&quot; rolluptime=&quot;&quot; syuser=&quot;servela&quot; syuzeit=&quot;7/8/2015 1:36:32 PM&quot; root=&quot;/BBOOK/DATAPROVIDER[./META/PROPS/ID='INV']/DATA&quot; colcount=&quot;3&quot; rowcount=&quot;5&quot; url=&quot;&quot; dynamizeds=&quot;SAP Disclosure Management - Production&quot; dynamizedstype=&quot;9&quot; refreshds=&quot;&quot; viewtype=&quot;1&quot;&gt;&lt;QUERY reftype=&quot;ABS&quot; elmntsel=&quot;TABLE&quot; bbk=&quot;2714&quot; bbkdesc=&quot;2014 Annual Accounts/EU Annual Accounts/DC - Inventories (xlsx)&quot; datapro=&quot;INV&quot; infos=&quot;&quot; iscomment=&quot;0&quot;&gt;&lt;SELECT&gt;/BBOOK/DATAPROVIDER[./META/PROPS/ID='INV']/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07:43:45&lt;/DYNAMIZEDON&gt;&lt;LASTUPDATEDBY&gt;koehlmn&lt;/LASTUPDATEDBY&gt;&lt;LASTUPDATEDON&gt;7/13/2015 4:25:33 PM&lt;/LASTUPDATEDON&gt;&lt;UTC&gt;1&lt;/UTC&gt;&lt;/UPDATE&gt;&lt;QUERIES bbk=&quot;2715&quot; bbkdesc=&quot;2014 Annual Accounts/EU Annual Accounts/DC - Cash and cash equivalents (xlsx)&quot; datapro=&quot;CCE&quot; tdatapro=&quot;CCE&quot; author=&quot;&quot; modtime=&quot;3/13/2015 2:17:19 PM&quot; moduser=&quot;servela&quot; rolluptime=&quot;&quot; syuser=&quot;servela&quot; syuzeit=&quot;3/13/2015 2:17:19 PM&quot; root=&quot;/DATA&quot; colcount=&quot;4&quot; rowcount=&quot;12&quot; url=&quot;&quot; dynamizeds=&quot;SAP Disclosure Management - Production&quot; dynamizedstype=&quot;9&quot; refreshds=&quot;&quot; viewtype=&quot;1&quot;&gt;&lt;QUERY reftype=&quot;ABS&quot; elmntsel=&quot;TABLE&quot; bbk=&quot;2715&quot; bbkdesc=&quot;2014 Annual Accounts/EU Annual Accounts/DC - Cash and cash equivalents (xlsx)&quot; datapro=&quot;CCE&quot; infos=&quot;&quot; iscomment=&quot;0&quot;&gt;&lt;SELECT&gt;/BBOOK/DATAPROVIDER[./META/PROPS/ID='CCE']/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6:11:39&lt;/DYNAMIZEDON&gt;&lt;LASTUPDATEDBY&gt;koehlmn&lt;/LASTUPDATEDBY&gt;&lt;LASTUPDATEDON&gt;7/9/2015 3:02:30 PM&lt;/LASTUPDATEDON&gt;&lt;UTC&gt;1&lt;/UTC&gt;&lt;/UPDATE&gt;&lt;QUERIES bbk=&quot;2716&quot; bbkdesc=&quot;2014 Annual Accounts/EU Annual Accounts/DC - Pension and other employee benefits (xlsx)&quot; datapro=&quot;PENS&quot; tdatapro=&quot;PENS&quot; author=&quot;&quot; modtime=&quot;7/9/2015 3:02:02 PM&quot; moduser=&quot;koehlmn&quot; rolluptime=&quot;&quot; syuser=&quot;koehlmn&quot; syuzeit=&quot;7/9/2015 3:02:02 PM&quot; root=&quot;/BBOOK/DATAPROVIDER[./META/PROPS/ID='PENS']/DATA&quot; colcount=&quot;4&quot; rowcount=&quot;6&quot; url=&quot;&quot; dynamizeds=&quot;SAP Disclosure Management - Production&quot; dynamizedstype=&quot;9&quot; refreshds=&quot;&quot; viewtype=&quot;1&quot;&gt;&lt;QUERY reftype=&quot;ABS&quot; elmntsel=&quot;TABLE&quot; bbk=&quot;2716&quot; bbkdesc=&quot;2014 Annual Accounts/EU Annual Accounts/DC - Pension and other employee benefits (xlsx)&quot; datapro=&quot;PENS&quot; infos=&quot;&quot; iscomment=&quot;0&quot;&gt;&lt;SELECT&gt;/BBOOK/DATAPROVIDER[./META/PROPS/ID='PENS']/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03/2015 10:57:48&lt;/DYNAMIZEDON&gt;&lt;LASTUPDATEDBY&gt;koehlmn&lt;/LASTUPDATEDBY&gt;&lt;LASTUPDATEDON&gt;7/13/2015 12:22:57 PM&lt;/LASTUPDATEDON&gt;&lt;UTC&gt;1&lt;/UTC&gt;&lt;/UPDATE&gt;&lt;QUERIES bbk=&quot;2716&quot; bbkdesc=&quot;2014 Annual Accounts/EU Annual Accounts/DC - Pension and other employee benefits (xlsx)&quot; datapro=&quot;GEBL&quot; tdatapro=&quot;GEBL&quot; author=&quot;&quot; modtime=&quot;7/13/2015 12:22:25 PM&quot; moduser=&quot;koehlmn&quot; rolluptime=&quot;&quot; syuser=&quot;koehlmn&quot; syuzeit=&quot;7/13/2015 12:22:25 PM&quot; root=&quot;/BBOOK/DATAPROVIDER[./META/PROPS/ID='GEBL']/DATA&quot; colcount=&quot;4&quot; rowcount=&quot;13&quot; url=&quot;&quot; dynamizeds=&quot;SAP Disclosure Management - Production&quot; dynamizedstype=&quot;9&quot; refreshds=&quot;&quot; viewtype=&quot;1&quot;&gt;&lt;QUERY reftype=&quot;ABS&quot; elmntsel=&quot;TABLE&quot; bbk=&quot;2716&quot; bbkdesc=&quot;2014 Annual Accounts/EU Annual Accounts/DC - Pension and other employee benefits (xlsx)&quot; datapro=&quot;GEBL&quot; infos=&quot;&quot; iscomment=&quot;0&quot;&gt;&lt;SELECT&gt;/BBOOK/DATAPROVIDER[./META/PROPS/ID='GEBL']/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4/07/2015 12:46:19&lt;/DYNAMIZEDON&gt;&lt;LASTUPDATEDBY&gt;vignoal&lt;/LASTUPDATEDBY&gt;&lt;LASTUPDATEDON&gt;14/07/2015 12:46:19&lt;/LASTUPDATEDON&gt;&lt;UTC&gt;1&lt;/UTC&gt;&lt;/UPDATE&gt;&lt;QUERIES bbk=&quot;2716&quot; bbkdesc=&quot;2014 Annual Accounts/EU Annual Accounts/DC - Pension and other employee benefits (xlsx)&quot; datapro=&quot;EBL&quot; tdatapro=&quot;EBL&quot; author=&quot;&quot; modtime=&quot;7/14/2015 12:44:34 PM&quot; moduser=&quot;niyam&quot; rolluptime=&quot;&quot; syuser=&quot;&quot; syuzeit=&quot;&quot; root=&quot;/BBOOK/DATAPROVIDER[./META/PROPS/ID='EBL']/DATA&quot; colcount=&quot;6&quot; rowcount=&quot;3&quot; url=&quot;&quot; dynamizeds=&quot;SAP Disclosure Management - Production&quot; dynamizedstype=&quot;9&quot; refreshds=&quot;&quot; viewtype=&quot;1&quot;&gt;&lt;QUERY reftype=&quot;ABS&quot; elmntsel=&quot;TABLE&quot; bbk=&quot;2716&quot; bbkdesc=&quot;2014 Annual Accounts/EU Annual Accounts/DC - Pension and other employee benefits (xlsx)&quot; datapro=&quot;EBL&quot; infos=&quot;&quot; iscomment=&quot;0&quot;&gt;&lt;SELECT&gt;/BBOOK/DATAPROVIDER[./META/PROPS/ID='EBL']/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6/03/2015 14:10:26&lt;/DYNAMIZEDON&gt;&lt;LASTUPDATEDBY&gt;koehlmn&lt;/LASTUPDATEDBY&gt;&lt;LASTUPDATEDON&gt;7/9/2015 3:05:36 PM&lt;/LASTUPDATEDON&gt;&lt;UTC&gt;1&lt;/UTC&gt;&lt;/UPDATE&gt;&lt;QUERIES bbk=&quot;2719&quot; bbkdesc=&quot;2014 Annual Accounts/EU Annual Accounts/DC - Provisions (xlsx)&quot; datapro=&quot;PROV&quot; tdatapro=&quot;PROV&quot; author=&quot;&quot; modtime=&quot;7/9/2015 3:05:08 PM&quot; moduser=&quot;koehlmn&quot; rolluptime=&quot;&quot; syuser=&quot;koehlmn&quot; syuzeit=&quot;7/9/2015 3:05:08 PM&quot; root=&quot;/BBOOK/DATAPROVIDER[./META/PROPS/ID='PROV']/DATA&quot; colcount=&quot;8&quot; rowcount=&quot;10&quot; url=&quot;&quot; dynamizeds=&quot;SAP Disclosure Management - Production&quot; dynamizedstype=&quot;9&quot; refreshds=&quot;&quot; viewtype=&quot;1&quot;&gt;&lt;QUERY reftype=&quot;ABS&quot; elmntsel=&quot;TABLE&quot; bbk=&quot;2719&quot; bbkdesc=&quot;2014 Annual Accounts/EU Annual Accounts/DC - Provisions (xlsx)&quot; datapro=&quot;PROV&quot; infos=&quot;&quot; iscomment=&quot;0&quot;&gt;&lt;SELECT&gt;/BBOOK/DATAPROVIDER[./META/PROPS/ID='PROV']/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10/2015 2:32:32 PM&lt;/DYNAMIZEDON&gt;&lt;LASTUPDATEDBY&gt;koehlmn&lt;/LASTUPDATEDBY&gt;&lt;LASTUPDATEDON&gt;7/9/2015 3:10:28 PM&lt;/LASTUPDATEDON&gt;&lt;UTC&gt;1&lt;/UTC&gt;&lt;/UPDATE&gt;&lt;QUERIES bbk=&quot;2720&quot; bbkdesc=&quot;2014 Annual Accounts/EU Annual Accounts/DC - Financial liabilities (xlsx)&quot; datapro=&quot;FinL&quot; tdatapro=&quot;FinL&quot; author=&quot;&quot; modtime=&quot;3/2/2015 4:22:47 PM&quot; moduser=&quot;vignale&quot; rolluptime=&quot;&quot; syuser=&quot;vignale&quot; syuzeit=&quot;3/2/2015 4:22:47 PM&quot; root=&quot;/DATA&quot; colcount=&quot;4&quot; rowcount=&quot;11&quot; url=&quot;&quot; dynamizeds=&quot;SAP Disclosure Management - Production&quot; dynamizedstype=&quot;9&quot; refreshds=&quot;&quot; viewtype=&quot;1&quot;&gt;&lt;QUERY reftype=&quot;ABS&quot; elmntsel=&quot;TABLE&quot; bbk=&quot;2720&quot; bbkdesc=&quot;2014 Annual Accounts/EU Annual Accounts/DC - Financial liabilities (xlsx)&quot; datapro=&quot;FinL&quot; infos=&quot;&quot; iscomment=&quot;0&quot;&gt;&lt;SELECT&gt;/BBOOK/DATAPROVIDER[./META/PROPS/ID='Fin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5:59:59&lt;/DYNAMIZEDON&gt;&lt;LASTUPDATEDBY&gt;koehlmn&lt;/LASTUPDATEDBY&gt;&lt;LASTUPDATEDON&gt;7/9/2015 3:10:36 PM&lt;/LASTUPDATEDON&gt;&lt;UTC&gt;1&lt;/UTC&gt;&lt;/UPDATE&gt;&lt;QUERIES bbk=&quot;2720&quot; bbkdesc=&quot;2014 Annual Accounts/EU Annual Accounts/DC - Financial liabilities (xlsx)&quot; datapro=&quot;FinLiabBorrowings&quot; tdatapro=&quot;FinLiabBorrowings&quot; author=&quot;&quot; modtime=&quot;7/9/2015 3:08:16 PM&quot; moduser=&quot;koehlmn&quot; rolluptime=&quot;&quot; syuser=&quot;koehlmn&quot; syuzeit=&quot;7/9/2015 3:08:16 PM&quot; root=&quot;/BBOOK/DATAPROVIDER[./META/PROPS/ID='FinLiabBorrowings']/DATA&quot; colcount=&quot;3&quot; rowcount=&quot;5&quot; url=&quot;&quot; dynamizeds=&quot;SAP Disclosure Management - Production&quot; dynamizedstype=&quot;9&quot; refreshds=&quot;&quot; viewtype=&quot;1&quot;&gt;&lt;QUERY reftype=&quot;ABS&quot; elmntsel=&quot;TABLE&quot; bbk=&quot;2720&quot; bbkdesc=&quot;2014 Annual Accounts/EU Annual Accounts/DC - Financial liabilities (xlsx)&quot; datapro=&quot;FinLiabBorrowings&quot; infos=&quot;&quot; iscomment=&quot;0&quot;&gt;&lt;SELECT&gt;/BBOOK/DATAPROVIDER[./META/PROPS/ID='FinLiabBorrowings']/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4:48:58&lt;/DYNAMIZEDON&gt;&lt;LASTUPDATEDBY&gt;koehlmn&lt;/LASTUPDATEDBY&gt;&lt;LASTUPDATEDON&gt;7/9/2015 3:10:33 PM&lt;/LASTUPDATEDON&gt;&lt;UTC&gt;1&lt;/UTC&gt;&lt;/UPDATE&gt;&lt;QUERIES bbk=&quot;2772&quot; bbkdesc=&quot;2014 Annual Accounts/EU Annual Accounts/DC - Borrowings by Financial instruments (xlsx)&quot; datapro=&quot;BFI&quot; tdatapro=&quot;BFI&quot; author=&quot;&quot; modtime=&quot;11/21/2014 8:16:57 AM&quot; moduser=&quot;vignale&quot; rolluptime=&quot;&quot; syuser=&quot;vignale&quot; syuzeit=&quot;11/21/2014 8:16:57 AM&quot; root=&quot;/DATA&quot; colcount=&quot;7&quot; rowcount=&quot;10&quot; url=&quot;&quot; dynamizeds=&quot;SAP Disclosure Management - Production&quot; dynamizedstype=&quot;9&quot; refreshds=&quot;&quot; viewtype=&quot;1&quot;&gt;&lt;QUERY reftype=&quot;ABS&quot; elmntsel=&quot;TABLE&quot; bbk=&quot;2772&quot; bbkdesc=&quot;2014 Annual Accounts/EU Annual Accounts/DC - Borrowings by Financial instruments LINKED TO EU (except the ECSC column) (xlsx)&quot; datapro=&quot;BFI&quot; infos=&quot;&quot; iscomment=&quot;0&quot;&gt;&lt;SELECT&gt;/BBOOK/DATAPROVIDER[./META/PROPS/ID='B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0/03/2015 11:10:53&lt;/DYNAMIZEDON&gt;&lt;LASTUPDATEDBY&gt;koehlmn&lt;/LASTUPDATEDBY&gt;&lt;LASTUPDATEDON&gt;7/9/2015 3:10:35 PM&lt;/LASTUPDATEDON&gt;&lt;UTC&gt;1&lt;/UTC&gt;&lt;/UPDATE&gt;&lt;QUERIES bbk=&quot;2764&quot; bbkdesc=&quot;2014 Annual Accounts/EU Annual Accounts/DC - Financial Support Mechanisms (xlsx)&quot; datapro=&quot;BORR3&quot; tdatapro=&quot;BORR3&quot; author=&quot;&quot; modtime=&quot;7/2/2015 3:24:18 PM&quot; moduser=&quot;koehlmn&quot; rolluptime=&quot;&quot; syuser=&quot;koehlmn&quot; syuzeit=&quot;7/2/2015 3:24:18 PM&quot; root=&quot;/BBOOK/DATAPROVIDER[./META/PROPS/ID='BORR3']/DATA&quot; colcount=&quot;3&quot; rowcount=&quot;6&quot; url=&quot;&quot; dynamizeds=&quot;SAP Disclosure Management - Production&quot; dynamizedstype=&quot;9&quot; refreshds=&quot;&quot; viewtype=&quot;1&quot;&gt;&lt;QUERY reftype=&quot;ABS&quot; elmntsel=&quot;TABLE&quot; bbk=&quot;2764&quot; bbkdesc=&quot;2014 Annual Accounts/EU Annual Accounts/DC - Financial Support Mechanisms (xlsx)&quot; datapro=&quot;BORR3&quot; infos=&quot;&quot; iscomment=&quot;0&quot;&gt;&lt;SELECT&gt;/BBOOK/DATAPROVIDER[./META/PROPS/ID='BORR3']/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7/03/2015 16:21:08&lt;/DYNAMIZEDON&gt;&lt;LASTUPDATEDBY&gt;koehlmn&lt;/LASTUPDATEDBY&gt;&lt;LASTUPDATEDON&gt;7/9/2015 3:02:32 PM&lt;/LASTUPDATEDON&gt;&lt;UTC&gt;1&lt;/UTC&gt;&lt;/UPDATE&gt;&lt;QUERIES bbk=&quot;2539&quot; bbkdesc=&quot;2014 Annual Accounts/EC Annual Accounts/DC - Pension and other employee benefits (xlsx)&quot; datapro=&quot;SPL&quot; tdatapro=&quot;SPL&quot; author=&quot;&quot; modtime=&quot;7/2/2015 3:27:45 PM&quot; moduser=&quot;servela&quot; rolluptime=&quot;&quot; syuser=&quot;servela&quot; syuzeit=&quot;7/2/2015 3:27:45 PM&quot; root=&quot;/BBOOK/DATAPROVIDER[./META/PROPS/ID='SPL']/DATA&quot; colcount=&quot;3&quot; rowcount=&quot;7&quot; url=&quot;&quot; dynamizeds=&quot;SAP Disclosure Management - Production&quot; dynamizedstype=&quot;9&quot; refreshds=&quot;&quot; viewtype=&quot;1&quot;&gt;&lt;QUERY reftype=&quot;ABS&quot; elmntsel=&quot;TABLE&quot; bbk=&quot;2539&quot; bbkdesc=&quot;2014 Annual Accounts/EC Annual Accounts/DC - Pension and other employee benefits (xlsx)&quot; datapro=&quot;SPL&quot; infos=&quot;&quot; iscomment=&quot;0&quot;&gt;&lt;SELECT&gt;/BBOOK/DATAPROVIDER[./META/PROPS/ID='SPL']/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7/13/2015 12:36:57 PM&lt;/DYNAMIZEDON&gt;&lt;LASTUPDATEDBY&gt;koehlmn&lt;/LASTUPDATEDBY&gt;&lt;LASTUPDATEDON&gt;7/13/2015 12:36:57 PM&lt;/LASTUPDATEDON&gt;&lt;UTC&gt;1&lt;/UTC&gt;&lt;/UPDATE&gt;&lt;QUERIES bbk=&quot;2725&quot; bbkdesc=&quot;2014 Annual Accounts/EU Annual Accounts/DC - Other financial liabilities (xlsx)&quot; datapro=&quot;OthFinanL&quot; tdatapro=&quot;OthFinanL&quot; author=&quot;&quot; modtime=&quot;11/18/2014 8:39:48 AM&quot; moduser=&quot;vignale&quot; rolluptime=&quot;&quot; syuser=&quot;vignale&quot; syuzeit=&quot;11/18/2014 8:39:48 AM&quot; root=&quot;/BBOOK/DATAPROVIDER[./META/PROPS/ID='RMS']/DATA&quot; colcount=&quot;3&quot; rowcount=&quot;13&quot; url=&quot;&quot; dynamizeds=&quot;SAP Disclosure Management - Production&quot; dynamizedstype=&quot;9&quot; refreshds=&quot;&quot; viewtype=&quot;1&quot;&gt;&lt;QUERY reftype=&quot;ABS&quot; elmntsel=&quot;TABLE&quot; bbk=&quot;2725&quot; bbkdesc=&quot;2014 Annual Accounts/EU Annual Accounts/DC - Other financial liabilities (xlsx)&quot; datapro=&quot;OthFinanL&quot; infos=&quot;&quot; iscomment=&quot;0&quot;&gt;&lt;SELECT&gt;/BBOOK/DATAPROVIDER[./META/PROPS/ID='OthFinanL']/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4:50:00&lt;/DYNAMIZEDON&gt;&lt;LASTUPDATEDBY&gt;koehlmn&lt;/LASTUPDATEDBY&gt;&lt;LASTUPDATEDON&gt;7/10/2015 1:33:57 PM&lt;/LASTUPDATEDON&gt;&lt;UTC&gt;1&lt;/UTC&gt;&lt;/UPDATE&gt;&lt;QUERIES bbk=&quot;2726&quot; bbkdesc=&quot;2014 Annual Accounts/EU Annual Accounts/DC - Finance Lease liabilities (xlsx)&quot; datapro=&quot;FL&quot; tdatapro=&quot;FL&quot; author=&quot;&quot; modtime=&quot;11/18/2014 8:39:58 AM&quot; moduser=&quot;vignale&quot; rolluptime=&quot;&quot; syuser=&quot;vignale&quot; syuzeit=&quot;11/18/2014 8:39:58 AM&quot; root=&quot;/DATA&quot; colcount=&quot;5&quot; rowcount=&quot;9&quot; url=&quot;&quot; dynamizeds=&quot;SAP Disclosure Management - Production&quot; dynamizedstype=&quot;9&quot; refreshds=&quot;&quot; viewtype=&quot;1&quot;&gt;&lt;QUERY reftype=&quot;ABS&quot; elmntsel=&quot;TABLE&quot; bbk=&quot;2726&quot; bbkdesc=&quot;2014 Annual Accounts/EU Annual Accounts/DC - Finance Lease liabilities (xlsx)&quot; datapro=&quot;FL&quot; infos=&quot;&quot; iscomment=&quot;0&quot;&gt;&lt;SELECT&gt;/BBOOK/DATAPROVIDER[./META/PROPS/ID='FL']/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7/3/2015 8:08:02 AM&lt;/DYNAMIZEDON&gt;&lt;LASTUPDATEDBY&gt;koehlmn&lt;/LASTUPDATEDBY&gt;&lt;LASTUPDATEDON&gt;7/13/2015 4:04:42 PM&lt;/LASTUPDATEDON&gt;&lt;UTC&gt;1&lt;/UTC&gt;&lt;/UPDATE&gt;&lt;QUERIES bbk=&quot;2727&quot; bbkdesc=&quot;2014 Annual Accounts/EU Annual Accounts/DC - Payables (xlsx)&quot; datapro=&quot;PAYAB&quot; tdatapro=&quot;PAYAB&quot; author=&quot;&quot; modtime=&quot;7/13/2015 4:04:03 PM&quot; moduser=&quot;koehlmn&quot; rolluptime=&quot;&quot; syuser=&quot;koehlmn&quot; syuzeit=&quot;7/13/2015 4:04:03 PM&quot; root=&quot;/BBOOK/DATAPROVIDER[./META/PROPS/ID='PAYAB']/DATA&quot; colcount=&quot;4&quot; rowcount=&quot;23&quot; url=&quot;&quot; dynamizeds=&quot;SAP Disclosure Management - Production&quot; dynamizedstype=&quot;9&quot; refreshds=&quot;&quot; viewtype=&quot;1&quot;&gt;&lt;QUERY reftype=&quot;ABS&quot; elmntsel=&quot;TABLE&quot; bbk=&quot;2727&quot; bbkdesc=&quot;2014 Annual Accounts/EU Annual Accounts/DC - Payables (xlsx)&quot; datapro=&quot;PAYAB&quot; infos=&quot;&quot; iscomment=&quot;0&quot;&gt;&lt;SELECT&gt;/BBOOK/DATAPROVIDER[./META/PROPS/ID='PAYAB']/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9/03/2015 08:32:07&lt;/DYNAMIZEDON&gt;&lt;LASTUPDATEDBY&gt;koehlmn&lt;/LASTUPDATEDBY&gt;&lt;LASTUPDATEDON&gt;7/10/2015 10:16:45 AM&lt;/LASTUPDATEDON&gt;&lt;UTC&gt;1&lt;/UTC&gt;&lt;/UPDATE&gt;&lt;QUERIES bbk=&quot;2728&quot; bbkdesc=&quot;2014 Annual Accounts/EU Annual Accounts/DC - Accrued charges and Deferred income (xlsx)&quot; datapro=&quot;ACCDEF&quot; tdatapro=&quot;ACCDEF&quot; author=&quot;&quot; modtime=&quot;7/10/2015 10:15:56 AM&quot; moduser=&quot;koehlmn&quot; rolluptime=&quot;&quot; syuser=&quot;koehlmn&quot; syuzeit=&quot;7/10/2015 10:15:56 AM&quot; root=&quot;/BBOOK/DATAPROVIDER[./META/PROPS/ID='ACCDEF']/DATA&quot; colcount=&quot;3&quot; rowcount=&quot;6&quot; url=&quot;&quot; dynamizeds=&quot;SAP Disclosure Management - Production&quot; dynamizedstype=&quot;9&quot; refreshds=&quot;&quot; viewtype=&quot;1&quot;&gt;&lt;QUERY reftype=&quot;ABS&quot; elmntsel=&quot;TABLE&quot; bbk=&quot;2728&quot; bbkdesc=&quot;2014 Annual Accounts/EU Annual Accounts/DC - Accrued charges and Deferred income (xlsx)&quot; datapro=&quot;ACCDEF&quot; infos=&quot;&quot; iscomment=&quot;0&quot;&gt;&lt;SELECT&gt;/BBOOK/DATAPROVIDER[./META/PROPS/ID='ACCDEF']/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6/01/2015 15:25:32&lt;/DYNAMIZEDON&gt;&lt;LASTUPDATEDBY&gt;koehlmn&lt;/LASTUPDATEDBY&gt;&lt;LASTUPDATEDON&gt;7/10/2015 10:16:46 AM&lt;/LASTUPDATEDON&gt;&lt;UTC&gt;1&lt;/UTC&gt;&lt;/UPDATE&gt;&lt;QUERIES bbk=&quot;2728&quot; bbkdesc=&quot;2014 Annual Accounts/EU Annual Accounts/DC - Accrued charges and Deferred income (xlsx)&quot; datapro=&quot;SPLITACC&quot; tdatapro=&quot;SPLITACC&quot; author=&quot;&quot; modtime=&quot;7/10/2015 10:15:56 AM&quot; moduser=&quot;koehlmn&quot; rolluptime=&quot;&quot; syuser=&quot;koehlmn&quot; syuzeit=&quot;7/10/2015 10:15:56 AM&quot; root=&quot;/BBOOK/DATAPROVIDER[./META/PROPS/ID='ACCDEF']/DATA&quot; colcount=&quot;3&quot; rowcount=&quot;8&quot; url=&quot;&quot; dynamizeds=&quot;SAP Disclosure Management - Production&quot; dynamizedstype=&quot;9&quot; refreshds=&quot;&quot; viewtype=&quot;1&quot;&gt;&lt;QUERY reftype=&quot;ABS&quot; elmntsel=&quot;TABLE&quot; bbk=&quot;2728&quot; bbkdesc=&quot;2014 Annual Accounts/EU Annual Accounts/DC - Accrued charges and Deferred income (xlsx)&quot; datapro=&quot;SPLITACC&quot; infos=&quot;&quot; iscomment=&quot;0&quot;&gt;&lt;SELECT&gt;/BBOOK/DATAPROVIDER[./META/PROPS/ID='SPLITACC']/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4:19&lt;/DYNAMIZEDON&gt;&lt;LASTUPDATEDBY&gt;servela&lt;/LASTUPDATEDBY&gt;&lt;LASTUPDATEDON&gt;7/9/2015 10:16:31 AM&lt;/LASTUPDATEDON&gt;&lt;UTC&gt;1&lt;/UTC&gt;&lt;/UPDATE&gt;&lt;QUERIES bbk=&quot;2729&quot; bbkdesc=&quot;2014 Annual Accounts/EU Annual Accounts/DC - Reserves (xlsx)&quot; datapro=&quot;RES&quot; tdatapro=&quot;RES&quot; author=&quot;&quot; modtime=&quot;7/8/2015 1:40:38 PM&quot; moduser=&quot;servela&quot; rolluptime=&quot;&quot; syuser=&quot;servela&quot; syuzeit=&quot;7/8/2015 1:40:38 PM&quot; root=&quot;/BBOOK/DATAPROVIDER[./META/PROPS/ID='RES']/DATA&quot; colcount=&quot;4&quot; rowcount=&quot;6&quot; url=&quot;&quot; dynamizeds=&quot;SAP Disclosure Management - Production&quot; dynamizedstype=&quot;9&quot; refreshds=&quot;&quot; viewtype=&quot;1&quot;&gt;&lt;QUERY reftype=&quot;ABS&quot; elmntsel=&quot;TABLE&quot; bbk=&quot;2729&quot; bbkdesc=&quot;2014 Annual Accounts/EU Annual Accounts/DC - Reserves (xlsx)&quot; datapro=&quot;RES&quot; infos=&quot;&quot; iscomment=&quot;0&quot;&gt;&lt;SELECT&gt;/BBOOK/DATAPROVIDER[./META/PROPS/ID='RES']/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3:38&lt;/DYNAMIZEDON&gt;&lt;LASTUPDATEDBY&gt;servela&lt;/LASTUPDATEDBY&gt;&lt;LASTUPDATEDON&gt;7/9/2015 10:16:31 AM&lt;/LASTUPDATEDON&gt;&lt;UTC&gt;1&lt;/UTC&gt;&lt;/UPDATE&gt;&lt;QUERIES bbk=&quot;2730&quot; bbkdesc=&quot;2014 Annual Accounts/EU Annual Accounts/DC - Fair value movements of available for sale financial assets (xlsx)&quot; datapro=&quot;FVMAFS&quot; tdatapro=&quot;FVMAFS&quot; author=&quot;&quot; modtime=&quot;11/18/2014 9:45:08 AM&quot; moduser=&quot;vignale&quot; rolluptime=&quot;&quot; syuser=&quot;vignale&quot; syuzeit=&quot;11/18/2014 9:45:08 AM&quot; root=&quot;/BBOOK/DATAPROVIDER[./META/PROPS/ID='RES']/DATA&quot; colcount=&quot;3&quot; rowcount=&quot;5&quot; url=&quot;&quot; dynamizeds=&quot;SAP Disclosure Management - Production&quot; dynamizedstype=&quot;9&quot; refreshds=&quot;&quot; viewtype=&quot;1&quot;&gt;&lt;QUERY reftype=&quot;ABS&quot; elmntsel=&quot;TABLE&quot; bbk=&quot;2730&quot; bbkdesc=&quot;2014 Annual Accounts/EU Annual Accounts/DC - Fair value movements of on available for sale financial assets (xlsx)&quot; datapro=&quot;FVMAFS&quot; infos=&quot;&quot; iscomment=&quot;0&quot;&gt;&lt;SELECT&gt;/BBOOK/DATAPROVIDER[./META/PROPS/ID='FVMAFS']/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7:20&lt;/DYNAMIZEDON&gt;&lt;LASTUPDATEDBY&gt;koehlmn&lt;/LASTUPDATEDBY&gt;&lt;LASTUPDATEDON&gt;7/9/2015 3:24:54 PM&lt;/LASTUPDATEDON&gt;&lt;UTC&gt;1&lt;/UTC&gt;&lt;/UPDATE&gt;&lt;QUERIES bbk=&quot;2731&quot; bbkdesc=&quot;2014 Annual Accounts/EU Annual Accounts/DC - Amounts to be called from member states (xlsx)&quot; datapro=&quot;MEMST1&quot; tdatapro=&quot;MEMST1&quot; author=&quot;&quot; modtime=&quot;11/18/2014 9:47:08 AM&quot; moduser=&quot;vignale&quot; rolluptime=&quot;&quot; syuser=&quot;vignale&quot; syuzeit=&quot;11/18/2014 9:47:08 AM&quot; root=&quot;/DATA&quot; colcount=&quot;2&quot; rowcount=&quot;8&quot; url=&quot;&quot; dynamizeds=&quot;SAP Disclosure Management - Production&quot; dynamizedstype=&quot;9&quot; refreshds=&quot;&quot; viewtype=&quot;1&quot;&gt;&lt;QUERY reftype=&quot;ABS&quot; elmntsel=&quot;TABLE&quot; bbk=&quot;2731&quot; bbkdesc=&quot;2014 Annual Accounts/EU Annual Accounts/DC - Amounts to be called from member states (xlsx)&quot; datapro=&quot;MEMST1&quot; infos=&quot;&quot; iscomment=&quot;0&quot;&gt;&lt;SELECT&gt;/BBOOK/DATAPROVIDER[./META/PROPS/ID='MEMST1']/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9:30:22 AM&lt;/DYNAMIZEDON&gt;&lt;LASTUPDATEDBY&gt;servela&lt;/LASTUPDATEDBY&gt;&lt;LASTUPDATEDON&gt;7/9/2015 10:17:05 AM&lt;/LASTUPDATEDON&gt;&lt;UTC&gt;1&lt;/UTC&gt;&lt;/UPDATE&gt;&lt;QUERIES bbk=&quot;2548&quot; bbkdesc=&quot;2014 Annual Accounts/EC Annual Accounts/DC - Traditional own resources (xlsx)&quot; datapro=&quot;TOR&quot; tdatapro=&quot;TOR&quot; author=&quot;&quot; modtime=&quot;7/2/2015 3:29:20 PM&quot; moduser=&quot;servela&quot; rolluptime=&quot;&quot; syuser=&quot;servela&quot; syuzeit=&quot;7/2/2015 3:29:20 PM&quot; root=&quot;/BBOOK/DATAPROVIDER[./META/PROPS/ID='TOR']/DATA&quot; colcount=&quot;3&quot; rowcount=&quot;5&quot; url=&quot;&quot; dynamizeds=&quot;SAP Disclosure Management - Production&quot; dynamizedstype=&quot;9&quot; refreshds=&quot;&quot; viewtype=&quot;1&quot;&gt;&lt;QUERY reftype=&quot;ABS&quot; elmntsel=&quot;TABLE&quot; bbk=&quot;2548&quot; bbkdesc=&quot;2014 Annual Accounts/EC Annual Accounts/DC - Traditional own resources (xlsx)&quot; datapro=&quot;TOR&quot; infos=&quot;&quot; iscomment=&quot;0&quot;&gt;&lt;SELECT&gt;/BBOOK/DATAPROVIDER[./META/PROPS/ID='TOR']/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1:47:32 PM&lt;/DYNAMIZEDON&gt;&lt;LASTUPDATEDBY&gt;servela&lt;/LASTUPDATEDBY&gt;&lt;LASTUPDATEDON&gt;7/9/2015 10:17:11 AM&lt;/LASTUPDATEDON&gt;&lt;UTC&gt;1&lt;/UTC&gt;&lt;/UPDATE&gt;&lt;QUERIES bbk=&quot;2733&quot; bbkdesc=&quot;2014 Annual Accounts/EU Annual Accounts/DC - Recovery of expenses (xlsx)&quot; datapro=&quot;RecovExp&quot; tdatapro=&quot;RecovExp&quot; author=&quot;&quot; modtime=&quot;11/18/2014 12:19:16 PM&quot; moduser=&quot;vignale&quot; rolluptime=&quot;&quot; syuser=&quot;vignale&quot; syuzeit=&quot;11/18/2014 12:19:16 PM&quot; root=&quot;/DATA&quot; colcount=&quot;4&quot; rowcount=&quot;8&quot; url=&quot;&quot; dynamizeds=&quot;SAP Disclosure Management - Production&quot; dynamizedstype=&quot;9&quot; refreshds=&quot;&quot; viewtype=&quot;1&quot;&gt;&lt;QUERY reftype=&quot;ABS&quot; elmntsel=&quot;TABLE&quot; bbk=&quot;2733&quot; bbkdesc=&quot;2014 Annual Accounts/EU Annual Accounts/DC - Recovery of expenses (xlsx)&quot; datapro=&quot;RecovExp&quot; infos=&quot;&quot; iscomment=&quot;0&quot;&gt;&lt;SELECT&gt;/BBOOK/DATAPROVIDER[./META/PROPS/ID='RecovExp']/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2/03/2015 17:01:20&lt;/DYNAMIZEDON&gt;&lt;LASTUPDATEDBY&gt;servela&lt;/LASTUPDATEDBY&gt;&lt;LASTUPDATEDON&gt;7/9/2015 10:17:26 AM&lt;/LASTUPDATEDON&gt;&lt;UTC&gt;1&lt;/UTC&gt;&lt;/UPDATE&gt;&lt;QUERIES bbk=&quot;2734&quot; bbkdesc=&quot;2014 Annual Accounts/EU Annual Accounts/DC - Other non-exchange revenue (xlsx)&quot; datapro=&quot;ONER&quot; tdatapro=&quot;ONER&quot; author=&quot;&quot; modtime=&quot;7/8/2015 4:25:55 PM&quot; moduser=&quot;koehlmn&quot; rolluptime=&quot;&quot; syuser=&quot;koehlmn&quot; syuzeit=&quot;7/8/2015 4:25:55 PM&quot; root=&quot;/BBOOK/DATAPROVIDER[./META/PROPS/ID='ONER']/DATA&quot; colcount=&quot;4&quot; rowcount=&quot;10&quot; url=&quot;&quot; dynamizeds=&quot;SAP Disclosure Management - Production&quot; dynamizedstype=&quot;9&quot; refreshds=&quot;&quot; viewtype=&quot;1&quot;&gt;&lt;QUERY reftype=&quot;ABS&quot; elmntsel=&quot;TABLE&quot; bbk=&quot;2734&quot; bbkdesc=&quot;2014 Annual Accounts/EU Annual Accounts/DC - Other non-exchange revenue (xlsx)&quot; datapro=&quot;ONER&quot; infos=&quot;&quot; iscomment=&quot;0&quot;&gt;&lt;SELECT&gt;/BBOOK/DATAPROVIDER[./META/PROPS/ID='ONER']/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4:03:51 PM&lt;/DYNAMIZEDON&gt;&lt;LASTUPDATEDBY&gt;servela&lt;/LASTUPDATEDBY&gt;&lt;LASTUPDATEDON&gt;7/9/2015 10:17:41 AM&lt;/LASTUPDATEDON&gt;&lt;UTC&gt;1&lt;/UTC&gt;&lt;/UPDATE&gt;&lt;QUERIES bbk=&quot;2735&quot; bbkdesc=&quot;2014 Annual Accounts/EU Annual Accounts/DC - Financial income (xlsx)&quot; datapro=&quot;FINREV&quot; tdatapro=&quot;FINREV&quot; author=&quot;&quot; modtime=&quot;7/8/2015 1:46:57 PM&quot; moduser=&quot;servela&quot; rolluptime=&quot;&quot; syuser=&quot;servela&quot; syuzeit=&quot;7/8/2015 1:46:57 PM&quot; root=&quot;/BBOOK/DATAPROVIDER[./META/PROPS/ID='FINREV']/DATA&quot; colcount=&quot;3&quot; rowcount=&quot;15&quot; url=&quot;&quot; dynamizeds=&quot;SAP Disclosure Management - Production&quot; dynamizedstype=&quot;9&quot; refreshds=&quot;&quot; viewtype=&quot;1&quot;&gt;&lt;QUERY reftype=&quot;ABS&quot; elmntsel=&quot;TABLE&quot; bbk=&quot;2735&quot; bbkdesc=&quot;2014 Annual Accounts/EU Annual Accounts/DC - Financial income (xlsx)&quot; datapro=&quot;FINREV&quot; infos=&quot;&quot; iscomment=&quot;0&quot;&gt;&lt;SELECT&gt;/BBOOK/DATAPROVIDER[./META/PROPS/ID='FINREV']/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3/07/2015 16:34:51&lt;/DYNAMIZEDON&gt;&lt;LASTUPDATEDBY&gt;koehlmn&lt;/LASTUPDATEDBY&gt;&lt;LASTUPDATEDON&gt;13/07/2015 16:34:51&lt;/LASTUPDATEDON&gt;&lt;UTC&gt;1&lt;/UTC&gt;&lt;/UPDATE&gt;&lt;QUERIES bbk=&quot;2735&quot; bbkdesc=&quot;2014 Annual Accounts/EU Annual Accounts/DC - Financial income (xlsx)&quot; datapro=&quot;NGL&quot; tdatapro=&quot;NGL&quot; author=&quot;&quot; modtime=&quot;7/13/2015 4:33:45 PM&quot; moduser=&quot;koehlmn&quot; rolluptime=&quot;&quot; syuser=&quot;koehlmn&quot; syuzeit=&quot;7/13/2015 4:33:45 PM&quot; root=&quot;/BBOOK/DATAPROVIDER[./META/PROPS/ID='NGL']/DATA&quot; colcount=&quot;3&quot; rowcount=&quot;5&quot; url=&quot;&quot; dynamizeds=&quot;SAP Disclosure Management - Production&quot; dynamizedstype=&quot;9&quot; refreshds=&quot;&quot; viewtype=&quot;1&quot;&gt;&lt;QUERY reftype=&quot;ABS&quot; elmntsel=&quot;TABLE&quot; bbk=&quot;2735&quot; bbkdesc=&quot;2014 Annual Accounts/EU Annual Accounts/DC - Financial income (xlsx)&quot; datapro=&quot;NGL&quot; infos=&quot;&quot; iscomment=&quot;0&quot;&gt;&lt;SELECT&gt;/BBOOK/DATAPROVIDER[./META/PROPS/ID='NGL']/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09/07/2015 09:49:11&lt;/DYNAMIZEDON&gt;&lt;LASTUPDATEDBY&gt;koehlmn&lt;/LASTUPDATEDBY&gt;&lt;LASTUPDATEDON&gt;7/9/2015 3:33:00 PM&lt;/LASTUPDATEDON&gt;&lt;UTC&gt;1&lt;/UTC&gt;&lt;/UPDATE&gt;&lt;QUERIES bbk=&quot;2736&quot; bbkdesc=&quot;2014 Annual Accounts/EU Annual Accounts/DC - Other exchange revenue (xlsx)&quot; datapro=&quot;OER&quot; tdatapro=&quot;OER&quot; author=&quot;&quot; modtime=&quot;7/9/2015 3:32:41 PM&quot; moduser=&quot;koehlmn&quot; rolluptime=&quot;&quot; syuser=&quot;koehlmn&quot; syuzeit=&quot;7/9/2015 3:32:41 PM&quot; root=&quot;/BBOOK/DATAPROVIDER[./META/PROPS/ID='OER']/DATA&quot; colcount=&quot;3&quot; rowcount=&quot;7&quot; url=&quot;&quot; dynamizeds=&quot;SAP Disclosure Management - Production&quot; dynamizedstype=&quot;9&quot; refreshds=&quot;&quot; viewtype=&quot;1&quot;&gt;&lt;QUERY reftype=&quot;ABS&quot; elmntsel=&quot;TABLE&quot; bbk=&quot;2736&quot; bbkdesc=&quot;2014 Annual Accounts/EU Annual Accounts/DC - Other exchange revenue (xlsx)&quot; datapro=&quot;OER&quot; infos=&quot;&quot; iscomment=&quot;0&quot;&gt;&lt;SELECT&gt;/BBOOK/DATAPROVIDER[./META/PROPS/ID='OER']/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3/2015 09:55:19&lt;/DYNAMIZEDON&gt;&lt;LASTUPDATEDBY&gt;servela&lt;/LASTUPDATEDBY&gt;&lt;LASTUPDATEDON&gt;7/9/2015 10:18:07 AM&lt;/LASTUPDATEDON&gt;&lt;UTC&gt;1&lt;/UTC&gt;&lt;/UPDATE&gt;&lt;QUERIES bbk=&quot;2489&quot; bbkdesc=&quot;2014 Annual Accounts/EC Annual Accounts/DC - Shared Direct and Indirect Management (xlsx)&quot; datapro=&quot;SM&quot; tdatapro=&quot;SM&quot; author=&quot;&quot; modtime=&quot;7/9/2015 9:12:58 AM&quot; moduser=&quot;bularmi&quot; rolluptime=&quot;&quot; syuser=&quot;bularmi&quot; syuzeit=&quot;7/9/2015 9:12:58 AM&quot; root=&quot;/BBOOK/DATAPROVIDER[./META/PROPS/ID='SM']/DATA&quot; colcount=&quot;3&quot; rowcount=&quot;8&quot; url=&quot;&quot; dynamizeds=&quot;SAP Disclosure Management - Production&quot; dynamizedstype=&quot;9&quot; refreshds=&quot;&quot; viewtype=&quot;1&quot;&gt;&lt;QUERY reftype=&quot;ABS&quot; elmntsel=&quot;TABLE&quot; bbk=&quot;2489&quot; bbkdesc=&quot;2014 Annual Accounts/EC Annual Accounts/DC - Shared Direct and Indirect Management (xlsx)&quot; datapro=&quot;SM&quot; infos=&quot;&quot; iscomment=&quot;0&quot;&gt;&lt;SELECT&gt;/BBOOK/DATAPROVIDER[./META/PROPS/ID='SM']/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8/11/2014 13:36:32&lt;/DYNAMIZEDON&gt;&lt;LASTUPDATEDBY&gt;servela&lt;/LASTUPDATEDBY&gt;&lt;LASTUPDATEDON&gt;7/9/2015 10:18:13 AM&lt;/LASTUPDATEDON&gt;&lt;UTC&gt;1&lt;/UTC&gt;&lt;/UPDATE&gt;&lt;QUERIES bbk=&quot;2737&quot; bbkdesc=&quot;2014 Annual Accounts/EU Annual Accounts/DC - Direct and Indirect Management (xlsx)&quot; datapro=&quot;DM&quot; tdatapro=&quot;DM&quot; author=&quot;&quot; modtime=&quot;7/8/2015 1:48:16 PM&quot; moduser=&quot;servela&quot; rolluptime=&quot;&quot; syuser=&quot;servela&quot; syuzeit=&quot;7/8/2015 1:48:16 PM&quot; root=&quot;/BBOOK/DATAPROVIDER[./META/PROPS/ID='DM']/DATA&quot; colcount=&quot;3&quot; rowcount=&quot;5&quot; url=&quot;&quot; dynamizeds=&quot;SAP Disclosure Management - Production&quot; dynamizedstype=&quot;9&quot; refreshds=&quot;&quot; viewtype=&quot;1&quot;&gt;&lt;QUERY reftype=&quot;ABS&quot; elmntsel=&quot;TABLE&quot; bbk=&quot;2737&quot; bbkdesc=&quot;2014 Annual Accounts/EU Annual Accounts/DC - Shared Direct and Indirect Management (xlsx)&quot; datapro=&quot;DM&quot; infos=&quot;&quot; iscomment=&quot;0&quot;&gt;&lt;SELECT&gt;/BBOOK/DATAPROVIDER[./META/PROPS/ID='DM']/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8/11/2014 13:37:14&lt;/DYNAMIZEDON&gt;&lt;LASTUPDATEDBY&gt;servela&lt;/LASTUPDATEDBY&gt;&lt;LASTUPDATEDON&gt;7/9/2015 10:18:28 AM&lt;/LASTUPDATEDON&gt;&lt;UTC&gt;1&lt;/UTC&gt;&lt;/UPDATE&gt;&lt;QUERIES bbk=&quot;2737&quot; bbkdesc=&quot;2014 Annual Accounts/EU Annual Accounts/DC - Direct and Indirect Management (xlsx)&quot; datapro=&quot;IM&quot; tdatapro=&quot;IM&quot; author=&quot;&quot; modtime=&quot;7/9/2015 10:18:23 AM&quot; moduser=&quot;servela&quot; rolluptime=&quot;&quot; syuser=&quot;servela&quot; syuzeit=&quot;7/9/2015 10:18:23 AM&quot; root=&quot;/BBOOK/DATAPROVIDER[./META/PROPS/ID='IM']/DATA&quot; colcount=&quot;4&quot; rowcount=&quot;7&quot; url=&quot;&quot; dynamizeds=&quot;SAP Disclosure Management - Production&quot; dynamizedstype=&quot;9&quot; refreshds=&quot;&quot; viewtype=&quot;1&quot;&gt;&lt;QUERY reftype=&quot;ABS&quot; elmntsel=&quot;TABLE&quot; bbk=&quot;2737&quot; bbkdesc=&quot;2014 Annual Accounts/EU Annual Accounts/DC - Shared Direct and Indirect Management (xlsx)&quot; datapro=&quot;IM&quot; infos=&quot;&quot; iscomment=&quot;0&quot;&gt;&lt;SELECT&gt;/BBOOK/DATAPROVIDER[./META/PROPS/ID='IM']/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3/19/2015 2:06:49 PM&lt;/DYNAMIZEDON&gt;&lt;LASTUPDATEDBY&gt;servela&lt;/LASTUPDATEDBY&gt;&lt;LASTUPDATEDON&gt;7/9/2015 10:18:37 AM&lt;/LASTUPDATEDON&gt;&lt;UTC&gt;1&lt;/UTC&gt;&lt;/UPDATE&gt;&lt;QUERIES bbk=&quot;2741&quot; bbkdesc=&quot;2014 Annual Accounts/EU Annual Accounts/DC - Staff and Pension costs (xlsx)&quot; datapro=&quot;SPC&quot; tdatapro=&quot;SPC&quot; author=&quot;&quot; modtime=&quot;7/8/2015 1:48:32 PM&quot; moduser=&quot;servela&quot; rolluptime=&quot;&quot; syuser=&quot;servela&quot; syuzeit=&quot;7/8/2015 1:48:32 PM&quot; root=&quot;/BBOOK/DATAPROVIDER[./META/PROPS/ID='SPC']/DATA&quot; colcount=&quot;3&quot; rowcount=&quot;5&quot; url=&quot;&quot; dynamizeds=&quot;SAP Disclosure Management - Production&quot; dynamizedstype=&quot;9&quot; refreshds=&quot;&quot; viewtype=&quot;1&quot;&gt;&lt;QUERY reftype=&quot;ABS&quot; elmntsel=&quot;TABLE&quot; bbk=&quot;2741&quot; bbkdesc=&quot;2014 Annual Accounts/EU Annual Accounts/DC - Staff and Pension costs (xlsx)&quot; datapro=&quot;SPC&quot; infos=&quot;&quot; iscomment=&quot;0&quot;&gt;&lt;SELECT&gt;/BBOOK/DATAPROVIDER[./META/PROPS/ID='SPC']/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1/2015 08:34:18&lt;/DYNAMIZEDON&gt;&lt;LASTUPDATEDBY&gt;koehlmn&lt;/LASTUPDATEDBY&gt;&lt;LASTUPDATEDON&gt;7/10/2015 12:12:03 PM&lt;/LASTUPDATEDON&gt;&lt;UTC&gt;1&lt;/UTC&gt;&lt;/UPDATE&gt;&lt;QUERIES bbk=&quot;2743&quot; bbkdesc=&quot;2014 Annual Accounts/EU Annual Accounts/DC - Finance costs (xlsx)&quot; datapro=&quot;FINEXP&quot; tdatapro=&quot;FINEXP&quot; author=&quot;&quot; modtime=&quot;7/10/2015 12:10:56 PM&quot; moduser=&quot;koehlmn&quot; rolluptime=&quot;&quot; syuser=&quot;koehlmn&quot; syuzeit=&quot;7/10/2015 12:10:56 PM&quot; root=&quot;/BBOOK/DATAPROVIDER[./META/PROPS/ID='FINEXP']/DATA&quot; colcount=&quot;3&quot; rowcount=&quot;11&quot; url=&quot;&quot; dynamizeds=&quot;SAP Disclosure Management - Production&quot; dynamizedstype=&quot;9&quot; refreshds=&quot;&quot; viewtype=&quot;1&quot;&gt;&lt;QUERY reftype=&quot;ABS&quot; elmntsel=&quot;TABLE&quot; bbk=&quot;2743&quot; bbkdesc=&quot;2014 Annual Accounts/EU Annual Accounts/DC - Finance costs (xlsx)&quot; datapro=&quot;FINEXP&quot; infos=&quot;&quot; iscomment=&quot;0&quot;&gt;&lt;SELECT&gt;/BBOOK/DATAPROVIDER[./META/PROPS/ID='FINEXP']/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6/11/2014 13:07:26&lt;/DYNAMIZEDON&gt;&lt;LASTUPDATEDBY&gt;koehlmn&lt;/LASTUPDATEDBY&gt;&lt;LASTUPDATEDON&gt;7/10/2015 12:12:04 PM&lt;/LASTUPDATEDON&gt;&lt;UTC&gt;1&lt;/UTC&gt;&lt;/UPDATE&gt;&lt;QUERIES bbk=&quot;2743&quot; bbkdesc=&quot;2014 Annual Accounts/EU Annual Accounts/DC - Finance costs (xlsx)&quot; datapro=&quot;NLFL&quot; tdatapro=&quot;NLFL&quot; author=&quot;&quot; modtime=&quot;7/10/2015 12:10:56 PM&quot; moduser=&quot;koehlmn&quot; rolluptime=&quot;&quot; syuser=&quot;koehlmn&quot; syuzeit=&quot;7/10/2015 12:10:56 PM&quot; root=&quot;/BBOOK/DATAPROVIDER[./META/PROPS/ID='NLFL']/DATA&quot; colcount=&quot;3&quot; rowcount=&quot;3&quot; url=&quot;&quot; dynamizeds=&quot;SAP Disclosure Management - Production&quot; dynamizedstype=&quot;9&quot; refreshds=&quot;&quot; viewtype=&quot;1&quot;&gt;&lt;QUERY reftype=&quot;ABS&quot; elmntsel=&quot;TABLE&quot; bbk=&quot;2743&quot; bbkdesc=&quot;2014 Annual Accounts/EU Annual Accounts/DC - Finance costs (xlsx)&quot; datapro=&quot;NLFL&quot; infos=&quot;&quot; iscomment=&quot;0&quot;&gt;&lt;SELECT&gt;/BBOOK/DATAPROVIDER[./META/PROPS/ID='NLFL']/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25/03/2015 12:36:52&lt;/DYNAMIZEDON&gt;&lt;LASTUPDATEDBY&gt;koehlmn&lt;/LASTUPDATEDBY&gt;&lt;LASTUPDATEDON&gt;7/13/2015 4:40:24 PM&lt;/LASTUPDATEDON&gt;&lt;UTC&gt;1&lt;/UTC&gt;&lt;/UPDATE&gt;&lt;QUERIES bbk=&quot;2744&quot; bbkdesc=&quot;2014 Annual Accounts/EU Annual Accounts/DC - Other expenses (xlsx)&quot; datapro=&quot;OE&quot; tdatapro=&quot;OE&quot; author=&quot;&quot; modtime=&quot;7/13/2015 4:40:07 PM&quot; moduser=&quot;koehlmn&quot; rolluptime=&quot;&quot; syuser=&quot;koehlmn&quot; syuzeit=&quot;7/13/2015 4:40:07 PM&quot; root=&quot;/BBOOK/DATAPROVIDER[./META/PROPS/ID='OE']/DATA&quot; colcount=&quot;4&quot; rowcount=&quot;8&quot; url=&quot;&quot; dynamizeds=&quot;SAP Disclosure Management - Production&quot; dynamizedstype=&quot;9&quot; refreshds=&quot;&quot; viewtype=&quot;1&quot;&gt;&lt;QUERY reftype=&quot;ABS&quot; elmntsel=&quot;TABLE&quot; bbk=&quot;2744&quot; bbkdesc=&quot;2014 Annual Accounts/EU Annual Accounts/DC - Other expenses (xlsx)&quot; datapro=&quot;OE&quot; infos=&quot;&quot; iscomment=&quot;0&quot;&gt;&lt;SELECT&gt;/BBOOK/DATAPROVIDER[./META/PROPS/ID='OE']/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3:06:06&lt;/DYNAMIZEDON&gt;&lt;LASTUPDATEDBY&gt;koehlmn&lt;/LASTUPDATEDBY&gt;&lt;LASTUPDATEDON&gt;7/9/2015 3:44:15 PM&lt;/LASTUPDATEDON&gt;&lt;UTC&gt;1&lt;/UTC&gt;&lt;/UPDATE&gt;&lt;QUERIES bbk=&quot;2746&quot; bbkdesc=&quot;2014 Annual Accounts/EU Annual Accounts/DC - Research and Development costs (xlsx)&quot; datapro=&quot;RESCHDEV&quot; tdatapro=&quot;RESCHDEV&quot; author=&quot;&quot; modtime=&quot;7/9/2015 10:19:34 AM&quot; moduser=&quot;servela&quot; rolluptime=&quot;&quot; syuser=&quot;servela&quot; syuzeit=&quot;7/9/2015 10:19:34 AM&quot; root=&quot;/BBOOK/DATAPROVIDER[./META/PROPS/ID='RESCHDEV']/DATA&quot; colcount=&quot;3&quot; rowcount=&quot;5&quot; url=&quot;&quot; dynamizeds=&quot;SAP Disclosure Management - Production&quot; dynamizedstype=&quot;9&quot; refreshds=&quot;&quot; viewtype=&quot;1&quot;&gt;&lt;QUERY reftype=&quot;ABS&quot; elmntsel=&quot;TABLE&quot; bbk=&quot;2746&quot; bbkdesc=&quot;2014 Annual Accounts/EU Annual Accounts/DC - Research and Development costs (xlsx)&quot; datapro=&quot;RESCHDEV&quot; infos=&quot;&quot; iscomment=&quot;0&quot;&gt;&lt;SELECT&gt;/BBOOK/DATAPROVIDER[./META/PROPS/ID='RESCHDEV']/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19/11/2014 13:05:17&lt;/DYNAMIZEDON&gt;&lt;LASTUPDATEDBY&gt;koehlmn&lt;/LASTUPDATEDBY&gt;&lt;LASTUPDATEDON&gt;7/13/2015 11:51:27 AM&lt;/LASTUPDATEDON&gt;&lt;UTC&gt;1&lt;/UTC&gt;&lt;/UPDATE&gt;&lt;QUERIES bbk=&quot;2745&quot; bbkdesc=&quot;2014 Annual Accounts/EU Annual Accounts/DC - Property plant and equipment related expenses (xlsx)&quot; datapro=&quot;PPERE&quot; tdatapro=&quot;PPERE&quot; author=&quot;&quot; modtime=&quot;7/13/2015 11:50:11 AM&quot; moduser=&quot;koehlmn&quot; rolluptime=&quot;&quot; syuser=&quot;koehlmn&quot; syuzeit=&quot;7/13/2015 11:50:11 AM&quot; root=&quot;/BBOOK/DATAPROVIDER[./META/PROPS/ID='PPERE']/DATA&quot; colcount=&quot;5&quot; rowcount=&quot;6&quot; url=&quot;&quot; dynamizeds=&quot;SAP Disclosure Management - Production&quot; dynamizedstype=&quot;9&quot; refreshds=&quot;&quot; viewtype=&quot;1&quot;&gt;&lt;QUERY reftype=&quot;ABS&quot; elmntsel=&quot;TABLE&quot; bbk=&quot;2745&quot; bbkdesc=&quot;2014 Annual Accounts/EU Annual Accounts/DC - Property plant and equipment related expenses (xlsx)&quot; datapro=&quot;PPERE&quot; infos=&quot;&quot; iscomment=&quot;0&quot;&gt;&lt;SELECT&gt;/BBOOK/DATAPROVIDER[./META/PROPS/ID='PPERE']/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7/03/2015 16:32:14&lt;/DYNAMIZEDON&gt;&lt;LASTUPDATEDBY&gt;koehlmn&lt;/LASTUPDATEDBY&gt;&lt;LASTUPDATEDON&gt;7/10/2015 4:18:06 PM&lt;/LASTUPDATEDON&gt;&lt;UTC&gt;1&lt;/UTC&gt;&lt;/UPDATE&gt;&lt;QUERIES bbk=&quot;2751&quot; bbkdesc=&quot;2014 Annual Accounts/EU Annual Accounts/DC - Segment reporting by Multi Financial Framework Headings (xlsx)&quot; datapro=&quot;SRMFH&quot; tdatapro=&quot;SRMFH&quot; author=&quot;&quot; modtime=&quot;7/10/2015 4:17:06 PM&quot; moduser=&quot;koehlmn&quot; rolluptime=&quot;&quot; syuser=&quot;koehlmn&quot; syuzeit=&quot;7/10/2015 4:17:06 PM&quot; root=&quot;/BBOOK/DATAPROVIDER[./META/PROPS/ID='SRMFH']/DATA&quot; colcount=&quot;8&quot; rowcount=&quot;30&quot; url=&quot;&quot; dynamizeds=&quot;SAP Disclosure Management - Production&quot; dynamizedstype=&quot;9&quot; refreshds=&quot;&quot; viewtype=&quot;1&quot;&gt;&lt;QUERY reftype=&quot;ABS&quot; elmntsel=&quot;TABLE&quot; bbk=&quot;2751&quot; bbkdesc=&quot;2014 Annual Accounts/EU Annual Accounts/DC - Segment reporting by Multi Financial Framework Headings (xlsx)&quot; datapro=&quot;SRMFH&quot; infos=&quot;&quot; iscomment=&quot;0&quot;&gt;&lt;SELECT&gt;/BBOOK/DATAPROVIDER[./META/PROPS/ID='SRMFH']/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9/03/2015 13:17:42&lt;/DYNAMIZEDON&gt;&lt;LASTUPDATEDBY&gt;koehlmn&lt;/LASTUPDATEDBY&gt;&lt;LASTUPDATEDON&gt;7/13/2015 1:40:45 PM&lt;/LASTUPDATEDON&gt;&lt;UTC&gt;1&lt;/UTC&gt;&lt;/UPDATE&gt;&lt;QUERIES bbk=&quot;3528&quot; bbkdesc=&quot;2014 Annual Accounts/EU Annual Accounts/DC - Reclassification of 2013 figures (xlsx)&quot; datapro=&quot;RECLASSREV2013&quot; tdatapro=&quot;RECLASSREV2013&quot; author=&quot;&quot; modtime=&quot;7/13/2015 1:39:48 PM&quot; moduser=&quot;koehlmn&quot; rolluptime=&quot;&quot; syuser=&quot;koehlmn&quot; syuzeit=&quot;7/13/2015 1:39:48 PM&quot; root=&quot;/BBOOK/DATAPROVIDER[./META/PROPS/ID='RECLASSREV2013']/DATA&quot; colcount=&quot;14&quot; rowcount=&quot;17&quot; url=&quot;&quot; dynamizeds=&quot;SAP Disclosure Management - Production&quot; dynamizedstype=&quot;9&quot; refreshds=&quot;&quot; viewtype=&quot;1&quot;&gt;&lt;QUERY reftype=&quot;ABS&quot; elmntsel=&quot;TABLE&quot; bbk=&quot;3528&quot; bbkdesc=&quot;2014 Annual Accounts/EU Annual Accounts/DC - Reclassification of 2013 figures (xlsx)&quot; datapro=&quot;RECLASSREV2013&quot; infos=&quot;&quot; iscomment=&quot;0&quot;&gt;&lt;SELECT&gt;/BBOOK/DATAPROVIDER[./META/PROPS/ID='RECLASSREV2013']/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6/03/2015 09:58:41&lt;/DYNAMIZEDON&gt;&lt;LASTUPDATEDBY&gt;koehlmn&lt;/LASTUPDATEDBY&gt;&lt;LASTUPDATEDON&gt;7/13/2015 1:40:48 PM&lt;/LASTUPDATEDON&gt;&lt;UTC&gt;1&lt;/UTC&gt;&lt;/UPDATE&gt;&lt;QUERIES bbk=&quot;3528&quot; bbkdesc=&quot;2014 Annual Accounts/EU Annual Accounts/DC - Reclassification of 2013 figures (xlsx)&quot; datapro=&quot;RECLASSEXP2013&quot; tdatapro=&quot;RECLASSEXP2013&quot; author=&quot;&quot; modtime=&quot;7/13/2015 1:39:48 PM&quot; moduser=&quot;koehlmn&quot; rolluptime=&quot;&quot; syuser=&quot;koehlmn&quot; syuzeit=&quot;7/13/2015 1:39:48 PM&quot; root=&quot;/BBOOK/DATAPROVIDER[./META/PROPS/ID='RECLASSEXP2013']/DATA&quot; colcount=&quot;14&quot; rowcount=&quot;20&quot; url=&quot;&quot; dynamizeds=&quot;SAP Disclosure Management - Production&quot; dynamizedstype=&quot;9&quot; refreshds=&quot;&quot; viewtype=&quot;1&quot;&gt;&lt;QUERY reftype=&quot;ABS&quot; elmntsel=&quot;TABLE&quot; bbk=&quot;3528&quot; bbkdesc=&quot;2014 Annual Accounts/EU Annual Accounts/DC - Reclassification of 2013 figures (xlsx)&quot; datapro=&quot;RECLASSEXP2013&quot; infos=&quot;&quot; iscomment=&quot;0&quot;&gt;&lt;SELECT&gt;/BBOOK/DATAPROVIDER[./META/PROPS/ID='RECLASSEXP2013']/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19/11/2014 14:06:41&lt;/DYNAMIZEDON&gt;&lt;LASTUPDATEDBY&gt;servela&lt;/LASTUPDATEDBY&gt;&lt;LASTUPDATEDON&gt;7/9/2015 10:19:58 AM&lt;/LASTUPDATEDON&gt;&lt;UTC&gt;1&lt;/UTC&gt;&lt;/UPDATE&gt;&lt;QUERIES bbk=&quot;2752&quot; bbkdesc=&quot;2014 Annual Accounts/EU Annual Accounts/DC - Contingent assets (xlsx)&quot; datapro=&quot;CA&quot; tdatapro=&quot;CA&quot; author=&quot;&quot; modtime=&quot;7/8/2015 1:50:55 PM&quot; moduser=&quot;servela&quot; rolluptime=&quot;&quot; syuser=&quot;servela&quot; syuzeit=&quot;7/8/2015 1:50:55 PM&quot; root=&quot;/BBOOK/DATAPROVIDER[./META/PROPS/ID='CA']/DATA&quot; colcount=&quot;3&quot; rowcount=&quot;7&quot; url=&quot;&quot; dynamizeds=&quot;SAP Disclosure Management - Production&quot; dynamizedstype=&quot;9&quot; refreshds=&quot;&quot; viewtype=&quot;1&quot;&gt;&lt;QUERY reftype=&quot;ABS&quot; elmntsel=&quot;TABLE&quot; bbk=&quot;2752&quot; bbkdesc=&quot;2014 Annual Accounts/EU Annual Accounts/DC - Contingent assets (xlsx)&quot; datapro=&quot;CA&quot; infos=&quot;&quot; iscomment=&quot;0&quot;&gt;&lt;SELECT&gt;/BBOOK/DATAPROVIDER[./META/PROPS/ID='CA']/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4/02/2015 08:42:55&lt;/DYNAMIZEDON&gt;&lt;LASTUPDATEDBY&gt;koehlmn&lt;/LASTUPDATEDBY&gt;&lt;LASTUPDATEDON&gt;7/10/2015 2:53:16 PM&lt;/LASTUPDATEDON&gt;&lt;UTC&gt;1&lt;/UTC&gt;&lt;/UPDATE&gt;&lt;QUERIES bbk=&quot;2753&quot; bbkdesc=&quot;2014 Annual Accounts/EU Annual Accounts/DC - Contingent liabilities (xlsx)&quot; datapro=&quot;CL&quot; tdatapro=&quot;CL&quot; author=&quot;&quot; modtime=&quot;7/10/2015 2:52:12 PM&quot; moduser=&quot;koehlmn&quot; rolluptime=&quot;&quot; syuser=&quot;koehlmn&quot; syuzeit=&quot;7/10/2015 2:52:12 PM&quot; root=&quot;/BBOOK/DATAPROVIDER[./META/PROPS/ID='CL']/DATA&quot; colcount=&quot;4&quot; rowcount=&quot;9&quot; url=&quot;&quot; dynamizeds=&quot;SAP Disclosure Management - Production&quot; dynamizedstype=&quot;9&quot; refreshds=&quot;&quot; viewtype=&quot;1&quot;&gt;&lt;QUERY reftype=&quot;ABS&quot; elmntsel=&quot;TABLE&quot; bbk=&quot;2753&quot; bbkdesc=&quot;2014 Annual Accounts/EU Annual Accounts/DC - Contingent liabilities (xlsx)&quot; datapro=&quot;CL&quot; infos=&quot;&quot; iscomment=&quot;0&quot;&gt;&lt;SELECT&gt;/BBOOK/DATAPROVIDER[./META/PROPS/ID='CL']/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9:32:24&lt;/DYNAMIZEDON&gt;&lt;LASTUPDATEDBY&gt;servela&lt;/LASTUPDATEDBY&gt;&lt;LASTUPDATEDON&gt;7/9/2015 10:20:12 AM&lt;/LASTUPDATEDON&gt;&lt;UTC&gt;1&lt;/UTC&gt;&lt;/UPDATE&gt;&lt;QUERIES bbk=&quot;2753&quot; bbkdesc=&quot;2014 Annual Accounts/EU Annual Accounts/DC - Contingent liabilities (xlsx)&quot; datapro=&quot;GUAR&quot; tdatapro=&quot;GUAR&quot; author=&quot;&quot; modtime=&quot;7/8/2015 1:51:29 PM&quot; moduser=&quot;servela&quot; rolluptime=&quot;&quot; syuser=&quot;servela&quot; syuzeit=&quot;7/8/2015 1:51:29 PM&quot; root=&quot;/BBOOK/DATAPROVIDER[./META/PROPS/ID='GUAR']/DATA&quot; colcount=&quot;3&quot; rowcount=&quot;10&quot; url=&quot;&quot; dynamizeds=&quot;SAP Disclosure Management - Production&quot; dynamizedstype=&quot;9&quot; refreshds=&quot;&quot; viewtype=&quot;1&quot;&gt;&lt;QUERY reftype=&quot;ABS&quot; elmntsel=&quot;TABLE&quot; bbk=&quot;2753&quot; bbkdesc=&quot;2014 Annual Accounts/EU Annual Accounts/DC - Contingent liabilities (xlsx)&quot; datapro=&quot;GUAR&quot; infos=&quot;&quot; iscomment=&quot;0&quot;&gt;&lt;SELECT&gt;/BBOOK/DATAPROVIDER[./META/PROPS/ID='GUAR']/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31:08&lt;/DYNAMIZEDON&gt;&lt;LASTUPDATEDBY&gt;koehlmn&lt;/LASTUPDATEDBY&gt;&lt;LASTUPDATEDON&gt;7/10/2015 1:24:35 PM&lt;/LASTUPDATEDON&gt;&lt;UTC&gt;1&lt;/UTC&gt;&lt;/UPDATE&gt;&lt;QUERIES bbk=&quot;2758&quot; bbkdesc=&quot;2014 Annual Accounts/EU Annual Accounts/DC - Outstanding commitments not yet expensed (xlsx)&quot; datapro=&quot;OCNYE&quot; tdatapro=&quot;OCNYE&quot; author=&quot;&quot; modtime=&quot;7/10/2015 1:23:38 PM&quot; moduser=&quot;koehlmn&quot; rolluptime=&quot;&quot; syuser=&quot;koehlmn&quot; syuzeit=&quot;7/10/2015 1:23:38 PM&quot; root=&quot;/BBOOK/DATAPROVIDER[./META/PROPS/ID='OCNYE']/DATA&quot; colcount=&quot;3&quot; rowcount=&quot;3&quot; url=&quot;&quot; dynamizeds=&quot;SAP Disclosure Management - Production&quot; dynamizedstype=&quot;9&quot; refreshds=&quot;&quot; viewtype=&quot;1&quot;&gt;&lt;QUERY reftype=&quot;ABS&quot; elmntsel=&quot;TABLE&quot; bbk=&quot;2758&quot; bbkdesc=&quot;2014 Annual Accounts/EU Annual Accounts/DC - Outstanding commitments not yet expensed (xlsx)&quot; datapro=&quot;OCNYE&quot; infos=&quot;&quot; iscomment=&quot;0&quot;&gt;&lt;SELECT&gt;/BBOOK/DATAPROVIDER[./META/PROPS/ID='OCNYE']/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31:59&lt;/DYNAMIZEDON&gt;&lt;LASTUPDATEDBY&gt;koehlmn&lt;/LASTUPDATEDBY&gt;&lt;LASTUPDATEDON&gt;7/10/2015 1:26:22 PM&lt;/LASTUPDATEDON&gt;&lt;UTC&gt;1&lt;/UTC&gt;&lt;/UPDATE&gt;&lt;QUERIES bbk=&quot;2759&quot; bbkdesc=&quot;2014 Annual Accounts/EU Annual Accounts/DC - Significant legal commitments (xlsx)&quot; datapro=&quot;LEGCOM&quot; tdatapro=&quot;LEGCOM&quot; author=&quot;&quot; modtime=&quot;7/10/2015 1:26:06 PM&quot; moduser=&quot;koehlmn&quot; rolluptime=&quot;&quot; syuser=&quot;koehlmn&quot; syuzeit=&quot;7/10/2015 1:26:06 PM&quot; root=&quot;/BBOOK/DATAPROVIDER[./META/PROPS/ID='LEGCOM']/DATA&quot; colcount=&quot;3&quot; rowcount=&quot;10&quot; url=&quot;&quot; dynamizeds=&quot;SAP Disclosure Management - Production&quot; dynamizedstype=&quot;9&quot; refreshds=&quot;&quot; viewtype=&quot;1&quot;&gt;&lt;QUERY reftype=&quot;ABS&quot; elmntsel=&quot;TABLE&quot; bbk=&quot;2759&quot; bbkdesc=&quot;2014 Annual Accounts/EU Annual Accounts/DC - Significant legal commitments (xlsx)&quot; datapro=&quot;LEGCOM&quot; infos=&quot;&quot; iscomment=&quot;0&quot;&gt;&lt;SELECT&gt;/BBOOK/DATAPROVIDER[./META/PROPS/ID='LEGCOM']/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1/2015 10:26:40&lt;/DYNAMIZEDON&gt;&lt;LASTUPDATEDBY&gt;servela&lt;/LASTUPDATEDBY&gt;&lt;LASTUPDATEDON&gt;7/9/2015 10:20:30 AM&lt;/LASTUPDATEDON&gt;&lt;UTC&gt;1&lt;/UTC&gt;&lt;/UPDATE&gt;&lt;QUERIES bbk=&quot;2531&quot; bbkdesc=&quot;2014 Annual Accounts/EC Annual Accounts/DC - Significant legal commitments (xlsx)&quot; datapro=&quot;STRUCAC&quot; tdatapro=&quot;STRUCAC&quot; author=&quot;&quot; modtime=&quot;7/9/2015 9:29:39 AM&quot; moduser=&quot;bularmi&quot; rolluptime=&quot;&quot; syuser=&quot;bularmi&quot; syuzeit=&quot;7/9/2015 9:29:39 AM&quot; root=&quot;/BBOOK/DATAPROVIDER[./META/PROPS/ID='STRUCAC']/DATA&quot; colcount=&quot;7&quot; rowcount=&quot;15&quot; url=&quot;&quot; dynamizeds=&quot;SAP Disclosure Management - Production&quot; dynamizedstype=&quot;9&quot; refreshds=&quot;&quot; viewtype=&quot;1&quot;&gt;&lt;QUERY reftype=&quot;ABS&quot; elmntsel=&quot;TABLE&quot; bbk=&quot;2531&quot; bbkdesc=&quot;2014 Annual Accounts/EC Annual Accounts/DC - Significant legal commitments (xlsx)&quot; datapro=&quot;STRUCAC&quot; infos=&quot;&quot; iscomment=&quot;0&quot;&gt;&lt;SELECT&gt;/BBOOK/DATAPROVIDER[./META/PROPS/ID='STRUCAC']/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11:43:52&lt;/DYNAMIZEDON&gt;&lt;LASTUPDATEDBY&gt;vignoal&lt;/LASTUPDATEDBY&gt;&lt;LASTUPDATEDON&gt;7/14/2015 12:41:00 PM&lt;/LASTUPDATEDON&gt;&lt;UTC&gt;1&lt;/UTC&gt;&lt;/UPDATE&gt;&lt;QUERIES bbk=&quot;2760&quot; bbkdesc=&quot;2014 Annual Accounts/EU Annual Accounts/DC - Protection of the EU budget (xlsx)&quot; datapro=&quot;FINCOR&quot; tdatapro=&quot;FINCOR&quot; author=&quot;&quot; modtime=&quot;3/27/2015 2:03:41 PM&quot; moduser=&quot;koehlmn&quot; rolluptime=&quot;&quot; syuser=&quot;koehlmn&quot; syuzeit=&quot;3/27/2015 2:03:41 PM&quot; root=&quot;/DATA&quot; colcount=&quot;5&quot; rowcount=&quot;17&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quot; infos=&quot;&quot; iscomment=&quot;0&quot;&gt;&lt;SELECT&gt;/BBOOK/DATAPROVIDER[./META/PROPS/ID='FINCOR']/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11:46:47&lt;/DYNAMIZEDON&gt;&lt;LASTUPDATEDBY&gt;vignoal&lt;/LASTUPDATEDBY&gt;&lt;LASTUPDATEDON&gt;7/14/2015 12:41:01 PM&lt;/LASTUPDATEDON&gt;&lt;UTC&gt;1&lt;/UTC&gt;&lt;/UPDATE&gt;&lt;QUERIES bbk=&quot;2760&quot; bbkdesc=&quot;2014 Annual Accounts/EU Annual Accounts/DC - Protection of the EU budget (xlsx)&quot; datapro=&quot;FINCOR2&quot; tdatapro=&quot;FINCOR2&quot; author=&quot;&quot; modtime=&quot;7/14/2015 12:28:40 PM&quot; moduser=&quot;niyam&quot; rolluptime=&quot;&quot; syuser=&quot;niyam&quot; syuzeit=&quot;7/14/2015 12:28:40 PM&quot; root=&quot;/BBOOK/DATAPROVIDER[./META/PROPS/ID='FINCOR2']/DATA&quot; colcount=&quot;5&quot; rowcount=&quot;17&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2&quot; infos=&quot;&quot; iscomment=&quot;0&quot;&gt;&lt;SELECT&gt;/BBOOK/DATAPROVIDER[./META/PROPS/ID='FINCOR2']/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4/07/2015 12:38:31&lt;/DYNAMIZEDON&gt;&lt;LASTUPDATEDBY&gt;vignoal&lt;/LASTUPDATEDBY&gt;&lt;LASTUPDATEDON&gt;7/14/2015 12:41:58 PM&lt;/LASTUPDATEDON&gt;&lt;UTC&gt;1&lt;/UTC&gt;&lt;/UPDATE&gt;&lt;QUERIES bbk=&quot;2760&quot; bbkdesc=&quot;2014 Annual Accounts/EU Annual Accounts/DC - Protection of the EU budget (xlsx)&quot; datapro=&quot;FINCOR5&quot; tdatapro=&quot;FINCOR5&quot; author=&quot;&quot; modtime=&quot;7/14/2015 12:41:32 PM&quot; moduser=&quot;niyam&quot; rolluptime=&quot;&quot; syuser=&quot;niyam&quot; syuzeit=&quot;7/14/2015 12:41:32 PM&quot; root=&quot;/BBOOK/DATAPROVIDER[./META/PROPS/ID='FINCOR5']/DATA&quot; colcount=&quot;9&quot; rowcount=&quot;9&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5&quot; infos=&quot;&quot; iscomment=&quot;0&quot;&gt;&lt;SELECT&gt;/BBOOK/DATAPROVIDER[./META/PROPS/ID='FINCOR5']/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4/11/2014 08:32:06&lt;/DYNAMIZEDON&gt;&lt;LASTUPDATEDBY&gt;vignoal&lt;/LASTUPDATEDBY&gt;&lt;LASTUPDATEDON&gt;7/14/2015 12:40:58 PM&lt;/LASTUPDATEDON&gt;&lt;UTC&gt;1&lt;/UTC&gt;&lt;/UPDATE&gt;&lt;QUERIES bbk=&quot;2760&quot; bbkdesc=&quot;2014 Annual Accounts/EU Annual Accounts/DC - Protection of the EU budget (xlsx)&quot; datapro=&quot;FINCOR6&quot; tdatapro=&quot;FINCOR6&quot; author=&quot;&quot; modtime=&quot;7/14/2015 12:28:40 PM&quot; moduser=&quot;niyam&quot; rolluptime=&quot;&quot; syuser=&quot;niyam&quot; syuzeit=&quot;7/14/2015 12:28:40 PM&quot; root=&quot;/BBOOK/DATAPROVIDER[./META/PROPS/ID='FINCOR6']/DATA&quot; colcount=&quot;3&quot; rowcount=&quot;15&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6&quot; infos=&quot;&quot; iscomment=&quot;0&quot;&gt;&lt;SELECT&gt;/BBOOK/DATAPROVIDER[./META/PROPS/ID='FINCOR6']/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6/03/2015 13:51:32&lt;/DYNAMIZEDON&gt;&lt;LASTUPDATEDBY&gt;koehlmn&lt;/LASTUPDATEDBY&gt;&lt;LASTUPDATEDON&gt;7/10/2015 1:38:03 PM&lt;/LASTUPDATEDON&gt;&lt;UTC&gt;1&lt;/UTC&gt;&lt;/UPDATE&gt;&lt;QUERIES bbk=&quot;2700&quot; bbkdesc=&quot;2014 Annual Accounts/EU Annual Accounts/DC - Reconciliation by classes of the carrying amounts and fair value (xlsx)&quot; datapro=&quot;CARRAM2&quot; tdatapro=&quot;CARRAM2&quot; author=&quot;&quot; modtime=&quot;7/10/2015 1:36:10 PM&quot; moduser=&quot;koehlmn&quot; rolluptime=&quot;&quot; syuser=&quot;koehlmn&quot; syuzeit=&quot;7/10/2015 1:36:10 PM&quot; root=&quot;/BBOOK/DATAPROVIDER[./META/PROPS/ID='CARRAM2']/DATA&quot; colcount=&quot;5&quot; rowcount=&quot;12&quot; url=&quot;&quot; dynamizeds=&quot;SAP Disclosure Management - Production&quot; dynamizedstype=&quot;9&quot; refreshds=&quot;&quot; viewtype=&quot;1&quot;&gt;&lt;QUERY reftype=&quot;ABS&quot; elmntsel=&quot;TABLE&quot; bbk=&quot;2700&quot; bbkdesc=&quot;2014 Annual Accounts/EU Annual Accounts/DC - Reconciliation by classes of the carrying amounts and fair value (xlsx)&quot; datapro=&quot;CARRAM2&quot; infos=&quot;&quot; iscomment=&quot;0&quot;&gt;&lt;SELECT&gt;/BBOOK/DATAPROVIDER[./META/PROPS/ID='CARRAM2']/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3/30/2015 6:52:24 AM&lt;/DYNAMIZEDON&gt;&lt;LASTUPDATEDBY&gt;koehlmn&lt;/LASTUPDATEDBY&gt;&lt;LASTUPDATEDON&gt;7/10/2015 1:38:05 PM&lt;/LASTUPDATEDON&gt;&lt;UTC&gt;1&lt;/UTC&gt;&lt;/UPDATE&gt;&lt;QUERIES bbk=&quot;2721&quot; bbkdesc=&quot;2014 Annual Accounts/EU Annual Accounts/DC - Carrying amounts and fair value (xlsx)&quot; datapro=&quot;CARRAM1&quot; tdatapro=&quot;CARRAM1&quot; author=&quot;&quot; modtime=&quot;3/11/2015 9:28:43 AM&quot; moduser=&quot;servela&quot; rolluptime=&quot;&quot; syuser=&quot;servela&quot; syuzeit=&quot;3/11/2015 9:28:43 AM&quot; root=&quot;/DATA&quot; colcount=&quot;5&quot; rowcount=&quot;10&quot; url=&quot;&quot; dynamizeds=&quot;SAP Disclosure Management - Production&quot; dynamizedstype=&quot;9&quot; refreshds=&quot;&quot; viewtype=&quot;1&quot;&gt;&lt;QUERY reftype=&quot;ABS&quot; elmntsel=&quot;TABLE&quot; bbk=&quot;2721&quot; bbkdesc=&quot;2014 Annual Accounts/EU Annual Accounts/DC - Carrying amounts and fair value (xlsx)&quot; datapro=&quot;CARRAM1&quot; infos=&quot;&quot; iscomment=&quot;0&quot;&gt;&lt;SELECT&gt;/BBOOK/DATAPROVIDER[./META/PROPS/ID='CARRAM1']/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7/03/2015 16:46:05&lt;/DYNAMIZEDON&gt;&lt;LASTUPDATEDBY&gt;koehlmn&lt;/LASTUPDATEDBY&gt;&lt;LASTUPDATEDON&gt;7/13/2015 11:55:09 AM&lt;/LASTUPDATEDON&gt;&lt;UTC&gt;1&lt;/UTC&gt;&lt;/UPDATE&gt;&lt;QUERIES bbk=&quot;2765&quot; bbkdesc=&quot;2014 Annual Accounts/EU Annual Accounts/DC - Exposure of the EC to currency risk at year end (xlsx)&quot; datapro=&quot;CR&quot; tdatapro=&quot;CR&quot; author=&quot;&quot; modtime=&quot;7/13/2015 11:54:42 AM&quot; moduser=&quot;koehlmn&quot; rolluptime=&quot;&quot; syuser=&quot;koehlmn&quot; syuzeit=&quot;7/13/2015 11:54:42 AM&quot; root=&quot;/BBOOK/DATAPROVIDER[./META/PROPS/ID='CR']/DATA&quot; colcount=&quot;16&quot; rowcount=&quot;13&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CR&quot; infos=&quot;&quot; iscomment=&quot;0&quot;&gt;&lt;SELECT&gt;/BBOOK/DATAPROVIDER[./META/PROPS/ID='CR']/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0:35&lt;/DYNAMIZEDON&gt;&lt;LASTUPDATEDBY&gt;servela&lt;/LASTUPDATEDBY&gt;&lt;LASTUPDATEDON&gt;7/9/2015 10:21:30 AM&lt;/LASTUPDATEDON&gt;&lt;UTC&gt;1&lt;/UTC&gt;&lt;/UPDATE&gt;&lt;QUERIES bbk=&quot;2765&quot; bbkdesc=&quot;2014 Annual Accounts/EU Annual Accounts/DC - Exposure of the EC to currency risk at year end (xlsx)&quot; datapro=&quot;SDS&quot; tdatapro=&quot;SDS&quot; author=&quot;&quot; modtime=&quot;7/9/2015 9:12:50 AM&quot; moduser=&quot;koehlmn&quot; rolluptime=&quot;&quot; syuser=&quot;koehlmn&quot; syuzeit=&quot;7/9/2015 9:12:50 AM&quot; root=&quot;/BBOOK/DATAPROVIDER[./META/PROPS/ID='SDS']/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SDS&quot; infos=&quot;&quot; iscomment=&quot;0&quot;&gt;&lt;SELECT&gt;/BBOOK/DATAPROVIDER[./META/PROPS/ID='SDS']/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1:06&lt;/DYNAMIZEDON&gt;&lt;LASTUPDATEDBY&gt;servela&lt;/LASTUPDATEDBY&gt;&lt;LASTUPDATEDON&gt;7/9/2015 10:21:30 AM&lt;/LASTUPDATEDON&gt;&lt;UTC&gt;1&lt;/UTC&gt;&lt;/UPDATE&gt;&lt;QUERIES bbk=&quot;2765&quot; bbkdesc=&quot;2014 Annual Accounts/EU Annual Accounts/DC - Exposure of the EC to currency risk at year end (xlsx)&quot; datapro=&quot;NAS&quot; tdatapro=&quot;NAS&quot; author=&quot;&quot; modtime=&quot;7/9/2015 9:12:50 AM&quot; moduser=&quot;koehlmn&quot; rolluptime=&quot;&quot; syuser=&quot;koehlmn&quot; syuzeit=&quot;7/9/2015 9:12:50 AM&quot; root=&quot;/BBOOK/DATAPROVIDER[./META/PROPS/ID='NAS']/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NAS&quot; infos=&quot;&quot; iscomment=&quot;0&quot;&gt;&lt;SELECT&gt;/BBOOK/DATAPROVIDER[./META/PROPS/ID='NAS']/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1:36&lt;/DYNAMIZEDON&gt;&lt;LASTUPDATEDBY&gt;servela&lt;/LASTUPDATEDBY&gt;&lt;LASTUPDATEDON&gt;7/9/2015 10:21:30 AM&lt;/LASTUPDATEDON&gt;&lt;UTC&gt;1&lt;/UTC&gt;&lt;/UPDATE&gt;&lt;QUERIES bbk=&quot;2765&quot; bbkdesc=&quot;2014 Annual Accounts/EU Annual Accounts/DC - Exposure of the EC to currency risk at year end (xlsx)&quot; datapro=&quot;SDW&quot; tdatapro=&quot;SDW&quot; author=&quot;&quot; modtime=&quot;7/9/2015 9:12:50 AM&quot; moduser=&quot;koehlmn&quot; rolluptime=&quot;&quot; syuser=&quot;koehlmn&quot; syuzeit=&quot;7/9/2015 9:12:50 AM&quot; root=&quot;/BBOOK/DATAPROVIDER[./META/PROPS/ID='SDW']/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SDW&quot; infos=&quot;&quot; iscomment=&quot;0&quot;&gt;&lt;SELECT&gt;/BBOOK/DATAPROVIDER[./META/PROPS/ID='SDW']/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2:13&lt;/DYNAMIZEDON&gt;&lt;LASTUPDATEDBY&gt;servela&lt;/LASTUPDATEDBY&gt;&lt;LASTUPDATEDON&gt;7/9/2015 10:21:30 AM&lt;/LASTUPDATEDON&gt;&lt;UTC&gt;1&lt;/UTC&gt;&lt;/UPDATE&gt;&lt;QUERIES bbk=&quot;2765&quot; bbkdesc=&quot;2014 Annual Accounts/EU Annual Accounts/DC - Exposure of the EC to currency risk at year end (xlsx)&quot; datapro=&quot;NAW&quot; tdatapro=&quot;NAW&quot; author=&quot;&quot; modtime=&quot;7/9/2015 9:12:50 AM&quot; moduser=&quot;koehlmn&quot; rolluptime=&quot;&quot; syuser=&quot;koehlmn&quot; syuzeit=&quot;7/9/2015 9:12:50 AM&quot; root=&quot;/BBOOK/DATAPROVIDER[./META/PROPS/ID='NAW']/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NAW&quot; infos=&quot;&quot; iscomment=&quot;0&quot;&gt;&lt;SELECT&gt;/BBOOK/DATAPROVIDER[./META/PROPS/ID='NAW']/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18/2014 2:28:51 PM&lt;/DYNAMIZEDON&gt;&lt;LASTUPDATEDBY&gt;servela&lt;/LASTUPDATEDBY&gt;&lt;LASTUPDATEDON&gt;7/9/2015 10:21:44 AM&lt;/LASTUPDATEDON&gt;&lt;UTC&gt;1&lt;/UTC&gt;&lt;/UPDATE&gt;&lt;QUERIES bbk=&quot;2766&quot; bbkdesc=&quot;2014 Annual Accounts/EU Annual Accounts/DC - Interest rate risk (xlsx)&quot; datapro=&quot;IRR&quot; tdatapro=&quot;IRR&quot; author=&quot;&quot; modtime=&quot;7/8/2015 1:55:24 PM&quot; moduser=&quot;servela&quot; rolluptime=&quot;&quot; syuser=&quot;servela&quot; syuzeit=&quot;7/8/2015 1:55:24 PM&quot; root=&quot;/BBOOK/DATAPROVIDER[./META/PROPS/ID='IRR']/DATA&quot; colcount=&quot;3&quot; rowcount=&quot;6&quot; url=&quot;&quot; dynamizeds=&quot;SAP Disclosure Management - Production&quot; dynamizedstype=&quot;9&quot; refreshds=&quot;&quot; viewtype=&quot;1&quot;&gt;&lt;QUERY reftype=&quot;ABS&quot; elmntsel=&quot;TABLE&quot; bbk=&quot;2766&quot; bbkdesc=&quot;2014 Annual Accounts/EU Annual Accounts/DC - Interest rate risk (xlsx)&quot; datapro=&quot;IRR&quot; infos=&quot;&quot; iscomment=&quot;0&quot;&gt;&lt;SELECT&gt;/BBOOK/DATAPROVIDER[./META/PROPS/ID='IRR']/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13:44&lt;/DYNAMIZEDON&gt;&lt;LASTUPDATEDBY&gt;koehlmn&lt;/LASTUPDATEDBY&gt;&lt;LASTUPDATEDON&gt;7/10/2015 1:53:08 PM&lt;/LASTUPDATEDON&gt;&lt;UTC&gt;1&lt;/UTC&gt;&lt;/UPDATE&gt;&lt;QUERIES bbk=&quot;2767&quot; bbkdesc=&quot;2014 Annual Accounts/EU Annual Accounts/DC - Credit risk (xlsx)&quot; datapro=&quot;CDTR&quot; tdatapro=&quot;CDTR&quot; author=&quot;&quot; modtime=&quot;7/10/2015 1:52:36 PM&quot; moduser=&quot;koehlmn&quot; rolluptime=&quot;&quot; syuser=&quot;koehlmn&quot; syuzeit=&quot;7/10/2015 1:52:36 PM&quot; root=&quot;/BBOOK/DATAPROVIDER[./META/PROPS/ID='CDTR']/DATA&quot; colcount=&quot;6&quot; rowcount=&quot;9&quot; url=&quot;&quot; dynamizeds=&quot;SAP Disclosure Management - Production&quot; dynamizedstype=&quot;9&quot; refreshds=&quot;&quot; viewtype=&quot;1&quot;&gt;&lt;QUERY reftype=&quot;ABS&quot; elmntsel=&quot;TABLE&quot; bbk=&quot;2767&quot; bbkdesc=&quot;2014 Annual Accounts/EU Annual Accounts/DC - Credit risk (xlsx)&quot; datapro=&quot;CDTR&quot; infos=&quot;&quot; iscomment=&quot;0&quot;&gt;&lt;SELECT&gt;/BBOOK/DATAPROVIDER[./META/PROPS/ID='CDTR']/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6/11/2014 13:16:20&lt;/DYNAMIZEDON&gt;&lt;LASTUPDATEDBY&gt;koehlmn&lt;/LASTUPDATEDBY&gt;&lt;LASTUPDATEDON&gt;7/14/2015 8:13:34 AM&lt;/LASTUPDATEDON&gt;&lt;UTC&gt;1&lt;/UTC&gt;&lt;/UPDATE&gt;&lt;QUERIES bbk=&quot;2767&quot; bbkdesc=&quot;2014 Annual Accounts/EU Annual Accounts/DC - Credit risk (xlsx)&quot; datapro=&quot;FARC&quot; tdatapro=&quot;FARC&quot; author=&quot;&quot; modtime=&quot;7/14/2015 8:12:40 AM&quot; moduser=&quot;koehlmn&quot; rolluptime=&quot;&quot; syuser=&quot;koehlmn&quot; syuzeit=&quot;7/14/2015 8:12:40 AM&quot; root=&quot;/BBOOK/DATAPROVIDER[./META/PROPS/ID='FARC']/DATA&quot; colcount=&quot;9&quot; rowcount=&quot;14&quot; url=&quot;&quot; dynamizeds=&quot;SAP Disclosure Management - Production&quot; dynamizedstype=&quot;9&quot; refreshds=&quot;&quot; viewtype=&quot;1&quot;&gt;&lt;QUERY reftype=&quot;ABS&quot; elmntsel=&quot;TABLE&quot; bbk=&quot;2767&quot; bbkdesc=&quot;2014 Annual Accounts/EU Annual Accounts/DC - Credit risk (xlsx)&quot; datapro=&quot;FARC&quot; infos=&quot;&quot; iscomment=&quot;0&quot;&gt;&lt;SELECT&gt;/BBOOK/DATAPROVIDER[./META/PROPS/ID='FARC']/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4/07/2015 09:27:13&lt;/DYNAMIZEDON&gt;&lt;LASTUPDATEDBY&gt;vignoal&lt;/LASTUPDATEDBY&gt;&lt;LASTUPDATEDON&gt;14/07/2015 09:27:13&lt;/LASTUPDATEDON&gt;&lt;UTC&gt;1&lt;/UTC&gt;&lt;/UPDATE&gt;&lt;QUERIES bbk=&quot;2768&quot; bbkdesc=&quot;2014 Annual Accounts/EU Annual Accounts/DC - Maturity analysis of financial liabilities (xlsx)&quot; datapro=&quot;LR&quot; tdatapro=&quot;LR&quot; author=&quot;&quot; modtime=&quot;7/10/2015 2:11:45 PM&quot; moduser=&quot;koehlmn&quot; rolluptime=&quot;&quot; syuser=&quot;koehlmn&quot; syuzeit=&quot;7/10/2015 2:11:45 PM&quot; root=&quot;/BBOOK/DATAPROVIDER[./META/PROPS/ID='LR']/DATA&quot; colcount=&quot;5&quot; rowcount=&quot;12&quot; url=&quot;&quot; dynamizeds=&quot;SAP Disclosure Management - Production&quot; dynamizedstype=&quot;9&quot; refreshds=&quot;&quot; viewtype=&quot;1&quot;&gt;&lt;QUERY reftype=&quot;ABS&quot; elmntsel=&quot;TABLE&quot; bbk=&quot;2768&quot; bbkdesc=&quot;2014 Annual Accounts/EU Annual Accounts/DC - Maturity analysis of financial liabilities (xlsx)&quot; datapro=&quot;LR&quot; infos=&quot;&quot; iscomment=&quot;0&quot;&gt;&lt;SELECT&gt;/BBOOK/DATAPROVIDER[./META/PROPS/ID='LR']/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4/11/2014 08:55:33&lt;/DYNAMIZEDON&gt;&lt;LASTUPDATEDBY&gt;servela&lt;/LASTUPDATEDBY&gt;&lt;LASTUPDATEDON&gt;7/9/2015 10:22:22 AM&lt;/LASTUPDATEDON&gt;&lt;UTC&gt;1&lt;/UTC&gt;&lt;/UPDATE&gt;&lt;QUERIES bbk=&quot;2774&quot; bbkdesc=&quot;2014 Annual Accounts/EU Annual Accounts/DC - Related party disclosures (xlsx)&quot; datapro=&quot;KM&quot; tdatapro=&quot;KM&quot; author=&quot;&quot; modtime=&quot;7/8/2015 1:57:17 PM&quot; moduser=&quot;servela&quot; rolluptime=&quot;&quot; syuser=&quot;servela&quot; syuzeit=&quot;7/8/2015 1:57:17 PM&quot; root=&quot;/BBOOK/DATAPROVIDER[./META/PROPS/ID='KM']/DATA&quot; colcount=&quot;6&quot; rowcount=&quot;45&quot; url=&quot;&quot; dynamizeds=&quot;SAP Disclosure Management - Production&quot; dynamizedstype=&quot;9&quot; refreshds=&quot;&quot; viewtype=&quot;1&quot;&gt;&lt;QUERY reftype=&quot;ABS&quot; elmntsel=&quot;TABLE&quot; bbk=&quot;2774&quot; bbkdesc=&quot;2014 Annual Accounts/EU Annual Accounts/DC - Related party disclosures (xlsx)&quot; datapro=&quot;KM&quot; infos=&quot;&quot; iscomment=&quot;0&quot;&gt;&lt;SELECT&gt;/BBOOK/DATAPROVIDER[./META/PROPS/ID='KM']/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3:20:48&lt;/DYNAMIZEDON&gt;&lt;LASTUPDATEDBY&gt;vignoal&lt;/LASTUPDATEDBY&gt;&lt;LASTUPDATEDON&gt;7/14/2015 9:15:28 AM&lt;/LASTUPDATEDON&gt;&lt;UTC&gt;1&lt;/UTC&gt;&lt;/UPDATE&gt;&lt;QUERIES bbk=&quot;2740&quot; bbkdesc=&quot;2014 Annual Accounts/EU Annual Accounts/DC - Scope of consolidation EU (xlsx)&quot; datapro=&quot;CONSO&quot; tdatapro=&quot;CONSO&quot; author=&quot;&quot; modtime=&quot;3/26/2015 12:16:12 PM&quot; moduser=&quot;koehlmn&quot; rolluptime=&quot;&quot; syuser=&quot;koehlmn&quot; syuzeit=&quot;3/26/2015 12:16:12 PM&quot; root=&quot;/BBOOK/DATAPROVIDER[./META/PROPS/ID='CONSO']/DATA&quot; colcount=&quot;2&quot; rowcount=&quot;46&quot; url=&quot;&quot; dynamizeds=&quot;SAP Disclosure Management - Production&quot; dynamizedstype=&quot;9&quot; refreshds=&quot;&quot; viewtype=&quot;1&quot;&gt;&lt;QUERY reftype=&quot;ABS&quot; elmntsel=&quot;TABLE&quot; bbk=&quot;2740&quot; bbkdesc=&quot;2014 Annual Accounts/EU Annual Accounts/DC - Scope of consolidation EU (xlsx)&quot; datapro=&quot;CONSO&quot; infos=&quot;&quot; iscomment=&quot;0&quot;&gt;&lt;SELECT&gt;/BBOOK/DATAPROVIDER[./META/PROPS/ID='CONSO']/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10:13:42&lt;/DYNAMIZEDON&gt;&lt;LASTUPDATEDBY&gt;servela&lt;/LASTUPDATEDBY&gt;&lt;LASTUPDATEDON&gt;7/9/2015 10:22:41 AM&lt;/LASTUPDATEDON&gt;&lt;UTC&gt;1&lt;/UTC&gt;&lt;/UPDATE&gt;&lt;QUERIES bbk=&quot;3466&quot; bbkdesc=&quot;2014 Annual Accounts/EU Annual Accounts/DC - Result of implementation of the EU budget (xlsx)&quot; datapro=&quot;BIP_BudgetResult&quot; tdatapro=&quot;BIP_BudgetResult&quot; author=&quot;&quot; modtime=&quot;3/30/2015 9:27:29 AM&quot; moduser=&quot;koehlmn&quot; rolluptime=&quot;&quot; syuser=&quot;koehlmn&quot; syuzeit=&quot;3/30/2015 9:27:29 AM&quot; root=&quot;/DATA&quot; colcount=&quot;4&quot; rowcount=&quot;9&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BudgetResult&quot; infos=&quot;&quot; iscomment=&quot;0&quot;&gt;&lt;SELECT&gt;/BBOOK/DATAPROVIDER[./META/PROPS/ID='BIP_BudgetResult']/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0.36&lt;/DATE&gt;&lt;DYNAMIZEDBY&gt;vignoal&lt;/DYNAMIZEDBY&gt;&lt;DYNAMIZEDON&gt;23/03/2015 09:33:34&lt;/DYNAMIZEDON&gt;&lt;LASTUPDATEDBY&gt;ghyssbr&lt;/LASTUPDATEDBY&gt;&lt;LASTUPDATEDON&gt;7/10/2015 9:23:01 AM&lt;/LASTUPDATEDON&gt;&lt;UTC&gt;1&lt;/UTC&gt;&lt;/UPDATE&gt;&lt;QUERIES bbk=&quot;3466&quot; bbkdesc=&quot;2014 Annual Accounts/EU Annual Accounts/DC - Result of implementation of the EU budget (xlsx)&quot; datapro=&quot;BIP_Reconciliation&quot; tdatapro=&quot;BIP_Reconciliation&quot; author=&quot;&quot; modtime=&quot;2/24/2015 1:48:41 PM&quot; moduser=&quot;vignale&quot; rolluptime=&quot;&quot; syuser=&quot;vignale&quot; syuzeit=&quot;2/24/2015 1:48:41 PM&quot; root=&quot;/DATA&quot; colcount=&quot;3&quot; rowcount=&quot;20&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Reconciliation&quot; infos=&quot;&quot; iscomment=&quot;0&quot;&gt;&lt;SELECT&gt;/BBOOK/DATAPROVIDER[./META/PROPS/ID='BIP_Reconciliation']/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8/01/2015 15:14:35&lt;/DYNAMIZEDON&gt;&lt;LASTUPDATEDBY&gt;servela&lt;/LASTUPDATEDBY&gt;&lt;LASTUPDATEDON&gt;7/9/2015 10:22:53 AM&lt;/LASTUPDATEDON&gt;&lt;UTC&gt;1&lt;/UTC&gt;&lt;/UPDATE&gt;&lt;QUERIES bbk=&quot;3466&quot; bbkdesc=&quot;2014 Annual Accounts/EU Annual Accounts/DC - Result of implementation of the EU budget (xlsx)&quot; datapro=&quot;BIP_Revenue&quot; tdatapro=&quot;BIP_Revenue&quot; author=&quot;&quot; modtime=&quot;7/8/2015 1:58:02 PM&quot; moduser=&quot;servela&quot; rolluptime=&quot;&quot; syuser=&quot;servela&quot; syuzeit=&quot;7/8/2015 1:58:02 PM&quot; root=&quot;/BBOOK/DATAPROVIDER[./META/PROPS/ID='BIP_Revenue']/DATA&quot; colcount=&quot;6&quot; rowcount=&quot;14&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Revenue&quot; infos=&quot;&quot; iscomment=&quot;0&quot;&gt;&lt;SELECT&gt;/BBOOK/DATAPROVIDER[./META/PROPS/ID='BIP_Revenue']/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8/01/2015 15:49:32&lt;/DYNAMIZEDON&gt;&lt;LASTUPDATEDBY&gt;servela&lt;/LASTUPDATEDBY&gt;&lt;LASTUPDATEDON&gt;7/9/2015 10:23:01 AM&lt;/LASTUPDATEDON&gt;&lt;UTC&gt;1&lt;/UTC&gt;&lt;/UPDATE&gt;&lt;QUERIES bbk=&quot;3466&quot; bbkdesc=&quot;2014 Annual Accounts/EU Annual Accounts/DC - Result of implementation of the EU budget (xlsx)&quot; datapro=&quot;BIP_CommitmentsFWH&quot; tdatapro=&quot;BIP_CommitmentsFWH&quot; author=&quot;&quot; modtime=&quot;7/8/2015 1:58:02 PM&quot; moduser=&quot;servela&quot; rolluptime=&quot;&quot; syuser=&quot;servela&quot; syuzeit=&quot;7/8/2015 1:58:02 PM&quot; root=&quot;/BBOOK/DATAPROVIDER[./META/PROPS/ID='BIP_CommitmentsFWH']/DATA&quot; colcount=&quot;8&quot; rowcount=&quot;15&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CommitmentsFWH&quot; infos=&quot;&quot; iscomment=&quot;0&quot;&gt;&lt;SELECT&gt;/BBOOK/DATAPROVIDER[./META/PROPS/ID='BIP_CommitmentsFWH']/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8/01/2015 16:00:02&lt;/DYNAMIZEDON&gt;&lt;LASTUPDATEDBY&gt;servela&lt;/LASTUPDATEDBY&gt;&lt;LASTUPDATEDON&gt;7/9/2015 10:23:01 AM&lt;/LASTUPDATEDON&gt;&lt;UTC&gt;1&lt;/UTC&gt;&lt;/UPDATE&gt;&lt;QUERIES bbk=&quot;3466&quot; bbkdesc=&quot;2014 Annual Accounts/EU Annual Accounts/DC - Result of implementation of the EU budget (xlsx)&quot; datapro=&quot;BIP_ExpenditureFWH&quot; tdatapro=&quot;BIP_ExpenditureFWH&quot; author=&quot;&quot; modtime=&quot;7/8/2015 1:58:02 PM&quot; moduser=&quot;servela&quot; rolluptime=&quot;&quot; syuser=&quot;servela&quot; syuzeit=&quot;7/8/2015 1:58:02 PM&quot; root=&quot;/BBOOK/DATAPROVIDER[./META/PROPS/ID='BIP_ExpenditureFWH']/DATA&quot; colcount=&quot;8&quot; rowcount=&quot;15&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ExpenditureFWH&quot; infos=&quot;&quot; iscomment=&quot;0&quot;&gt;&lt;SELECT&gt;/BBOOK/DATAPROVIDER[./META/PROPS/ID='BIP_ExpenditureFWH']/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7/2015 15:01:54&lt;/DYNAMIZEDON&gt;&lt;LASTUPDATEDBY&gt;servela&lt;/LASTUPDATEDBY&gt;&lt;LASTUPDATEDON&gt;7/9/2015 10:23:09 AM&lt;/LASTUPDATEDON&gt;&lt;UTC&gt;1&lt;/UTC&gt;&lt;/UPDATE&gt;&lt;QUERIES bbk=&quot;3474&quot; bbkdesc=&quot;2014 Annual Accounts/EU Annual Accounts/DC - Implementation of EU budget expenditure (xlsx)&quot; datapro=&quot;BIP_FinancialFWK20142020&quot; tdatapro=&quot;BIP_FinancialFWK20142020&quot; author=&quot;&quot; modtime=&quot;7/9/2015 10:05:37 AM&quot; moduser=&quot;servela&quot; rolluptime=&quot;&quot; syuser=&quot;servela&quot; syuzeit=&quot;7/9/2015 10:05:37 AM&quot; root=&quot;/BBOOK/DATAPROVIDER[./META/PROPS/ID='BIP_FinancialFWK20142020']/DATA&quot; colcount=&quot;9&quot; rowcount=&quot;17&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FinancialFWK20142020&quot; infos=&quot;&quot; iscomment=&quot;0&quot;&gt;&lt;SELECT&gt;/BBOOK/DATAPROVIDER[./META/PROPS/ID='BIP_FinancialFWK20142020']/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3/2015 8:33:31 AM&lt;/DYNAMIZEDON&gt;&lt;LASTUPDATEDBY&gt;servela&lt;/LASTUPDATEDBY&gt;&lt;LASTUPDATEDON&gt;7/9/2015 10:23:15 AM&lt;/LASTUPDATEDON&gt;&lt;UTC&gt;1&lt;/UTC&gt;&lt;/UPDATE&gt;&lt;QUERIES bbk=&quot;3472&quot; bbkdesc=&quot;2014 Annual Accounts/EU Annual Accounts/DC - Implementation of EU budget revenue (xlsx)&quot; datapro=&quot;BIP_ImplRevenue3&quot; tdatapro=&quot;BIP_ImplRevenue3&quot; author=&quot;&quot; modtime=&quot;7/8/2015 1:58:46 PM&quot; moduser=&quot;servela&quot; rolluptime=&quot;&quot; syuser=&quot;servela&quot; syuzeit=&quot;7/8/2015 1:58:46 PM&quot; root=&quot;/BBOOK/DATAPROVIDER[./META/PROPS/ID='BIP_ImplRevenue3']/DATA&quot; colcount=&quot;12&quot; rowcount=&quot;11&quot; url=&quot;&quot; dynamizeds=&quot;SAP Disclosure Management - Production&quot; dynamizedstype=&quot;9&quot; refreshds=&quot;&quot; viewtype=&quot;1&quot;&gt;&lt;QUERY reftype=&quot;ABS&quot; elmntsel=&quot;TABLE&quot; bbk=&quot;3472&quot; bbkdesc=&quot;2014 Annual Accounts/EU Annual Accounts/DC - Implementation of EU budget revenue (xlsx)&quot; datapro=&quot;BIP_ImplRevenue3&quot; infos=&quot;&quot; iscomment=&quot;0&quot;&gt;&lt;SELECT&gt;/BBOOK/DATAPROVIDER[./META/PROPS/ID='BIP_ImplRevenue3']/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9/01/2015 07:49:49&lt;/DYNAMIZEDON&gt;&lt;LASTUPDATEDBY&gt;servela&lt;/LASTUPDATEDBY&gt;&lt;LASTUPDATEDON&gt;7/9/2015 10:23:15 AM&lt;/LASTUPDATEDON&gt;&lt;UTC&gt;1&lt;/UTC&gt;&lt;/UPDATE&gt;&lt;QUERIES bbk=&quot;3472&quot; bbkdesc=&quot;2014 Annual Accounts/EU Annual Accounts/DC - Implementation of EU budget revenue (xlsx)&quot; datapro=&quot;BIP_ImplRevenue1&quot; tdatapro=&quot;BIP_ImplRevenue1&quot; author=&quot;&quot; modtime=&quot;7/8/2015 1:58:46 PM&quot; moduser=&quot;servela&quot; rolluptime=&quot;&quot; syuser=&quot;servela&quot; syuzeit=&quot;7/8/2015 1:58:46 PM&quot; root=&quot;/BBOOK/DATAPROVIDER[./META/PROPS/ID='BIP_ImplRevenue1']/DATA&quot; colcount=&quot;12&quot; rowcount=&quot;12&quot; url=&quot;&quot; dynamizeds=&quot;SAP Disclosure Management - Production&quot; dynamizedstype=&quot;9&quot; refreshds=&quot;&quot; viewtype=&quot;1&quot;&gt;&lt;QUERY reftype=&quot;ABS&quot; elmntsel=&quot;TABLE&quot; bbk=&quot;3472&quot; bbkdesc=&quot;2014 Annual Accounts/EU Annual Accounts/DC - Implementation of EU budget revenue (xlsx)&quot; datapro=&quot;BIP_ImplRevenue1&quot; infos=&quot;&quot; iscomment=&quot;0&quot;&gt;&lt;SELECT&gt;/BBOOK/DATAPROVIDER[./META/PROPS/ID='BIP_ImplRevenue1']/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3/2015 8:32:42 AM&lt;/DYNAMIZEDON&gt;&lt;LASTUPDATEDBY&gt;servela&lt;/LASTUPDATEDBY&gt;&lt;LASTUPDATEDON&gt;7/9/2015 10:23:15 AM&lt;/LASTUPDATEDON&gt;&lt;UTC&gt;1&lt;/UTC&gt;&lt;/UPDATE&gt;&lt;QUERIES bbk=&quot;3472&quot; bbkdesc=&quot;2014 Annual Accounts/EU Annual Accounts/DC - Implementation of EU budget revenue (xlsx)&quot; datapro=&quot;BIP_ImplRevenue2&quot; tdatapro=&quot;BIP_ImplRevenue2&quot; author=&quot;&quot; modtime=&quot;7/8/2015 1:58:46 PM&quot; moduser=&quot;servela&quot; rolluptime=&quot;&quot; syuser=&quot;servela&quot; syuzeit=&quot;7/8/2015 1:58:46 PM&quot; root=&quot;/BBOOK/DATAPROVIDER[./META/PROPS/ID='BIP_ImplRevenue2']/DATA&quot; colcount=&quot;12&quot; rowcount=&quot;10&quot; url=&quot;&quot; dynamizeds=&quot;SAP Disclosure Management - Production&quot; dynamizedstype=&quot;9&quot; refreshds=&quot;&quot; viewtype=&quot;1&quot;&gt;&lt;QUERY reftype=&quot;ABS&quot; elmntsel=&quot;TABLE&quot; bbk=&quot;3472&quot; bbkdesc=&quot;2014 Annual Accounts/EU Annual Accounts/DC - Implementation of EU budget revenue (xlsx)&quot; datapro=&quot;BIP_ImplRevenue2&quot; infos=&quot;&quot; iscomment=&quot;0&quot;&gt;&lt;SELECT&gt;/BBOOK/DATAPROVIDER[./META/PROPS/ID='BIP_ImplRevenue2']/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9/01/2015 10:12:55&lt;/DYNAMIZEDON&gt;&lt;LASTUPDATEDBY&gt;servela&lt;/LASTUPDATEDBY&gt;&lt;LASTUPDATEDON&gt;7/9/2015 10:23:23 AM&lt;/LASTUPDATEDON&gt;&lt;UTC&gt;1&lt;/UTC&gt;&lt;/UPDATE&gt;&lt;QUERIES bbk=&quot;3474&quot; bbkdesc=&quot;2014 Annual Accounts/EU Annual Accounts/DC - Implementation of EU budget expenditure (xlsx)&quot; datapro=&quot;BIP_BreakdownChangesCommitmentsFWH&quot; tdatapro=&quot;BIP_BreakdownChangesCommitmentsFWH&quot; author=&quot;&quot; modtime=&quot;7/9/2015 10:05:37 AM&quot; moduser=&quot;servela&quot; rolluptime=&quot;&quot; syuser=&quot;servela&quot; syuzeit=&quot;7/9/2015 10:05:37 AM&quot; root=&quot;/BBOOK/DATAPROVIDER[./META/PROPS/ID='BIP_BreakdownChangesCommitmentsFWH']/DATA&quot; colcount=&quot;14&quot; rowcount=&quot;18&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ChangesCommitmentsFWH&quot; infos=&quot;&quot; iscomment=&quot;0&quot;&gt;&lt;SELECT&gt;/BBOOK/DATAPROVIDER[./META/PROPS/ID='BIP_BreakdownChangesCommitmentsFWH']/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9/01/2015 11:10:28&lt;/DYNAMIZEDON&gt;&lt;LASTUPDATEDBY&gt;servela&lt;/LASTUPDATEDBY&gt;&lt;LASTUPDATEDON&gt;7/9/2015 10:23:31 AM&lt;/LASTUPDATEDON&gt;&lt;UTC&gt;1&lt;/UTC&gt;&lt;/UPDATE&gt;&lt;QUERIES bbk=&quot;3474&quot; bbkdesc=&quot;2014 Annual Accounts/EU Annual Accounts/DC - Implementation of EU budget expenditure (xlsx)&quot; datapro=&quot;BIP_CommitmentsFWH&quot; tdatapro=&quot;BIP_CommitmentsFWH&quot; author=&quot;&quot; modtime=&quot;7/9/2015 10:05:37 AM&quot; moduser=&quot;servela&quot; rolluptime=&quot;&quot; syuser=&quot;servela&quot; syuzeit=&quot;7/9/2015 10:05:37 AM&quot; root=&quot;/BBOOK/DATAPROVIDER[./META/PROPS/ID='BIP_CommitmentsFWH']/DATA&quot; colcount=&quot;17&quot; rowcount=&quot;17&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CommitmentsFWH&quot; infos=&quot;&quot; iscomment=&quot;0&quot;&gt;&lt;SELECT&gt;/BBOOK/DATAPROVIDER[./META/PROPS/ID='BIP_CommitmentsFWH']/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9/01/2015 14:30:20&lt;/DYNAMIZEDON&gt;&lt;LASTUPDATEDBY&gt;servela&lt;/LASTUPDATEDBY&gt;&lt;LASTUPDATEDON&gt;7/9/2015 10:23:40 AM&lt;/LASTUPDATEDON&gt;&lt;UTC&gt;1&lt;/UTC&gt;&lt;/UPDATE&gt;&lt;QUERIES bbk=&quot;3474&quot; bbkdesc=&quot;2014 Annual Accounts/EU Annual Accounts/DC - Implementation of EU budget expenditure (xlsx)&quot; datapro=&quot;BIP_ImplPaymentsFWH&quot; tdatapro=&quot;BIP_ImplPaymentsFWH&quot; author=&quot;&quot; modtime=&quot;7/9/2015 10:05:37 AM&quot; moduser=&quot;servela&quot; rolluptime=&quot;&quot; syuser=&quot;servela&quot; syuzeit=&quot;7/9/2015 10:05:37 AM&quot; root=&quot;/BBOOK/DATAPROVIDER[./META/PROPS/ID='BIP_ImplPaymentsFWH']/DATA&quot; colcount=&quot;18&quot; rowcount=&quot;17&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ImplPaymentsFWH&quot; infos=&quot;&quot; iscomment=&quot;0&quot;&gt;&lt;SELECT&gt;/BBOOK/DATAPROVIDER[./META/PROPS/ID='BIP_ImplPaymentsFWH']/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9/01/2015 14:36:10&lt;/DYNAMIZEDON&gt;&lt;LASTUPDATEDBY&gt;servela&lt;/LASTUPDATEDBY&gt;&lt;LASTUPDATEDON&gt;7/9/2015 10:23:50 AM&lt;/LASTUPDATEDON&gt;&lt;UTC&gt;1&lt;/UTC&gt;&lt;/UPDATE&gt;&lt;QUERIES bbk=&quot;3474&quot; bbkdesc=&quot;2014 Annual Accounts/EU Annual Accounts/DC - Implementation of EU budget expenditure (xlsx)&quot; datapro=&quot;BIP_MovCommitmentsOutstanding&quot; tdatapro=&quot;BIP_MovCommitmentsOutstanding&quot; author=&quot;&quot; modtime=&quot;7/9/2015 10:05:37 AM&quot; moduser=&quot;servela&quot; rolluptime=&quot;&quot; syuser=&quot;servela&quot; syuzeit=&quot;7/9/2015 10:05:37 AM&quot; root=&quot;/BBOOK/DATAPROVIDER[./META/PROPS/ID='BIP_MovCommitmentsOutstanding']/DATA&quot; colcount=&quot;11&quot; rowcount=&quot;16&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MovCommitmentsOutstanding&quot; infos=&quot;&quot; iscomment=&quot;0&quot;&gt;&lt;SELECT&gt;/BBOOK/DATAPROVIDER[./META/PROPS/ID='BIP_MovCommitmentsOutstanding']/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8/2015 8:00:40 AM&lt;/DYNAMIZEDON&gt;&lt;LASTUPDATEDBY&gt;servela&lt;/LASTUPDATEDBY&gt;&lt;LASTUPDATEDON&gt;7/9/2015 10:23:58 AM&lt;/LASTUPDATEDON&gt;&lt;UTC&gt;1&lt;/UTC&gt;&lt;/UPDATE&gt;&lt;QUERIES bbk=&quot;3474&quot; bbkdesc=&quot;2014 Annual Accounts/EU Annual Accounts/DC - Implementation of EU budget expenditure (xlsx)&quot; datapro=&quot;BIP_BreakdownRALYearOrigin&quot; tdatapro=&quot;BIP_BreakdownRALYearOrigin&quot; author=&quot;&quot; modtime=&quot;7/9/2015 10:05:37 AM&quot; moduser=&quot;servela&quot; rolluptime=&quot;&quot; syuser=&quot;servela&quot; syuzeit=&quot;7/9/2015 10:05:37 AM&quot; root=&quot;/BBOOK/DATAPROVIDER[./META/PROPS/ID='BIP_BreakdownRALYearOrigin']/DATA&quot; colcount=&quot;11&quot; rowcount=&quot;15&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RALYearOrigin&quot; infos=&quot;&quot; iscomment=&quot;0&quot;&gt;&lt;SELECT&gt;/BBOOK/DATAPROVIDER[./META/PROPS/ID='BIP_BreakdownRALYearOrigin']/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37:49&lt;/DYNAMIZEDON&gt;&lt;LASTUPDATEDBY&gt;servela&lt;/LASTUPDATEDBY&gt;&lt;LASTUPDATEDON&gt;7/9/2015 10:24:06 AM&lt;/LASTUPDATEDON&gt;&lt;UTC&gt;1&lt;/UTC&gt;&lt;/UPDATE&gt;&lt;QUERIES bbk=&quot;3474&quot; bbkdesc=&quot;2014 Annual Accounts/EU Annual Accounts/DC - Implementation of EU budget expenditure (xlsx)&quot; datapro=&quot;BIP_BreakdownChangesCommitmentsPolArea&quot; tdatapro=&quot;BIP_BreakdownChangesCommitmentsPolArea&quot; author=&quot;&quot; modtime=&quot;7/9/2015 10:05:37 AM&quot; moduser=&quot;servela&quot; rolluptime=&quot;&quot; syuser=&quot;servela&quot; syuzeit=&quot;7/9/2015 10:05:37 AM&quot; root=&quot;/BBOOK/DATAPROVIDER[./META/PROPS/ID='BIP_BreakdownChangesCommitmentsPolArea']/DATA&quot; colcount=&quot;14&quot; rowcount=&quot;42&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ChangesCommitmentsPolArea&quot; infos=&quot;&quot; iscomment=&quot;0&quot;&gt;&lt;SELECT&gt;/BBOOK/DATAPROVIDER[./META/PROPS/ID='BIP_BreakdownChangesCommitmentsPolArea']/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2/2015 08:17:03&lt;/DYNAMIZEDON&gt;&lt;LASTUPDATEDBY&gt;servela&lt;/LASTUPDATEDBY&gt;&lt;LASTUPDATEDON&gt;7/9/2015 10:24:13 AM&lt;/LASTUPDATEDON&gt;&lt;UTC&gt;1&lt;/UTC&gt;&lt;/UPDATE&gt;&lt;QUERIES bbk=&quot;3466&quot; bbkdesc=&quot;2014 Annual Accounts/EU Annual Accounts/DC - Result of implementation of the EU budget (xlsx)&quot; datapro=&quot;BIP_CommitmentsPolArea&quot; tdatapro=&quot;BIP_CommitmentsPolArea&quot; author=&quot;&quot; modtime=&quot;7/8/2015 1:58:02 PM&quot; moduser=&quot;servela&quot; rolluptime=&quot;&quot; syuser=&quot;servela&quot; syuzeit=&quot;7/8/2015 1:58:02 PM&quot; root=&quot;/BBOOK/DATAPROVIDER[./META/PROPS/ID='BIP_CommitmentsPolArea']/DATA&quot; colcount=&quot;8&quot; rowcount=&quot;39&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CommitmentsPolArea&quot; infos=&quot;&quot; iscomment=&quot;0&quot;&gt;&lt;SELECT&gt;/BBOOK/DATAPROVIDER[./META/PROPS/ID='BIP_CommitmentsPolArea']/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0:13:11&lt;/DYNAMIZEDON&gt;&lt;LASTUPDATEDBY&gt;servela&lt;/LASTUPDATEDBY&gt;&lt;LASTUPDATEDON&gt;7/9/2015 10:24:21 AM&lt;/LASTUPDATEDON&gt;&lt;UTC&gt;1&lt;/UTC&gt;&lt;/UPDATE&gt;&lt;QUERIES bbk=&quot;3474&quot; bbkdesc=&quot;2014 Annual Accounts/EU Annual Accounts/DC - Implementation of EU budget expenditure (xlsx)&quot; datapro=&quot;BIP_ImplCommitmentPolArea&quot; tdatapro=&quot;BIP_ImplCommitmentPolArea&quot; author=&quot;&quot; modtime=&quot;7/9/2015 10:05:37 AM&quot; moduser=&quot;servela&quot; rolluptime=&quot;&quot; syuser=&quot;servela&quot; syuzeit=&quot;7/9/2015 10:05:37 AM&quot; root=&quot;/BBOOK/DATAPROVIDER[./META/PROPS/ID='BIP_ImplCommitmentPolArea']/DATA&quot; colcount=&quot;17&quot; rowcount=&quot;41&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ImplCommitmentPolArea&quot; infos=&quot;&quot; iscomment=&quot;0&quot;&gt;&lt;SELECT&gt;/BBOOK/DATAPROVIDER[./META/PROPS/ID='BIP_ImplCommitmentPolArea']/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2/2015 08:19:52&lt;/DYNAMIZEDON&gt;&lt;LASTUPDATEDBY&gt;servela&lt;/LASTUPDATEDBY&gt;&lt;LASTUPDATEDON&gt;7/9/2015 10:24:28 AM&lt;/LASTUPDATEDON&gt;&lt;UTC&gt;1&lt;/UTC&gt;&lt;/UPDATE&gt;&lt;QUERIES bbk=&quot;3466&quot; bbkdesc=&quot;2014 Annual Accounts/EU Annual Accounts/DC - Result of implementation of the EU budget (xlsx)&quot; datapro=&quot;BIP_ExpenditurePolArea&quot; tdatapro=&quot;BIP_ExpenditurePolArea&quot; author=&quot;&quot; modtime=&quot;7/8/2015 1:58:02 PM&quot; moduser=&quot;servela&quot; rolluptime=&quot;&quot; syuser=&quot;servela&quot; syuzeit=&quot;7/8/2015 1:58:02 PM&quot; root=&quot;/BBOOK/DATAPROVIDER[./META/PROPS/ID='BIP_ExpenditurePolArea']/DATA&quot; colcount=&quot;8&quot; rowcount=&quot;39&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ExpenditurePolArea&quot; infos=&quot;&quot; iscomment=&quot;0&quot;&gt;&lt;SELECT&gt;/BBOOK/DATAPROVIDER[./META/PROPS/ID='BIP_ExpenditurePolArea']/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39:00&lt;/DYNAMIZEDON&gt;&lt;LASTUPDATEDBY&gt;servela&lt;/LASTUPDATEDBY&gt;&lt;LASTUPDATEDON&gt;7/9/2015 10:24:36 AM&lt;/LASTUPDATEDON&gt;&lt;UTC&gt;1&lt;/UTC&gt;&lt;/UPDATE&gt;&lt;QUERIES bbk=&quot;3474&quot; bbkdesc=&quot;2014 Annual Accounts/EU Annual Accounts/DC - Implementation of EU budget expenditure (xlsx)&quot; datapro=&quot;BIP_ImplPaymentPolArea&quot; tdatapro=&quot;BIP_ImplPaymentPolArea&quot; author=&quot;&quot; modtime=&quot;7/9/2015 10:05:37 AM&quot; moduser=&quot;servela&quot; rolluptime=&quot;&quot; syuser=&quot;servela&quot; syuzeit=&quot;7/9/2015 10:05:37 AM&quot; root=&quot;/BBOOK/DATAPROVIDER[./META/PROPS/ID='BIP_ImplPaymentPolArea']/DATA&quot; colcount=&quot;18&quot; rowcount=&quot;41&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ImplPaymentPolArea&quot; infos=&quot;&quot; iscomment=&quot;0&quot;&gt;&lt;SELECT&gt;/BBOOK/DATAPROVIDER[./META/PROPS/ID='BIP_ImplPaymentPolArea']/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40:25&lt;/DYNAMIZEDON&gt;&lt;LASTUPDATEDBY&gt;servela&lt;/LASTUPDATEDBY&gt;&lt;LASTUPDATEDON&gt;7/9/2015 10:24:45 AM&lt;/LASTUPDATEDON&gt;&lt;UTC&gt;1&lt;/UTC&gt;&lt;/UPDATE&gt;&lt;QUERIES bbk=&quot;3474&quot; bbkdesc=&quot;2014 Annual Accounts/EU Annual Accounts/DC - Implementation of EU budget expenditure (xlsx)&quot; datapro=&quot;BIP_MovementsRALPolArea&quot; tdatapro=&quot;BIP_MovementsRALPolArea&quot; author=&quot;&quot; modtime=&quot;7/9/2015 10:05:37 AM&quot; moduser=&quot;servela&quot; rolluptime=&quot;&quot; syuser=&quot;servela&quot; syuzeit=&quot;7/9/2015 10:05:37 AM&quot; root=&quot;/BBOOK/DATAPROVIDER[./META/PROPS/ID='BIP_MovementsRALPolArea']/DATA&quot; colcount=&quot;11&quot; rowcount=&quot;40&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MovementsRALPolArea&quot; infos=&quot;&quot; iscomment=&quot;0&quot;&gt;&lt;SELECT&gt;/BBOOK/DATAPROVIDER[./META/PROPS/ID='BIP_MovementsRALPolArea']/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5/03/2015 16:41:29&lt;/DYNAMIZEDON&gt;&lt;LASTUPDATEDBY&gt;servela&lt;/LASTUPDATEDBY&gt;&lt;LASTUPDATEDON&gt;7/9/2015 10:24:53 AM&lt;/LASTUPDATEDON&gt;&lt;UTC&gt;1&lt;/UTC&gt;&lt;/UPDATE&gt;&lt;QUERIES bbk=&quot;3474&quot; bbkdesc=&quot;2014 Annual Accounts/EU Annual Accounts/DC - Implementation of EU budget expenditure (xlsx)&quot; datapro=&quot;BIP_BreakdownRALYearOriginPolArea&quot; tdatapro=&quot;BIP_BreakdownRALYearOriginPolArea&quot; author=&quot;&quot; modtime=&quot;7/9/2015 10:05:37 AM&quot; moduser=&quot;servela&quot; rolluptime=&quot;&quot; syuser=&quot;servela&quot; syuzeit=&quot;7/9/2015 10:05:37 AM&quot; root=&quot;/BBOOK/DATAPROVIDER[./META/PROPS/ID='BIP_BreakdownRALYearOriginPolArea']/DATA&quot; colcount=&quot;11&quot; rowcount=&quot;39&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RALYearOriginPolArea&quot; infos=&quot;&quot; iscomment=&quot;0&quot;&gt;&lt;SELECT&gt;/BBOOK/DATAPROVIDER[./META/PROPS/ID='BIP_BreakdownRALYearOriginPolArea']/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11:26&lt;/DYNAMIZEDON&gt;&lt;LASTUPDATEDBY&gt;servela&lt;/LASTUPDATEDBY&gt;&lt;LASTUPDATEDON&gt;7/9/2015 10:25:00 AM&lt;/LASTUPDATEDON&gt;&lt;UTC&gt;1&lt;/UTC&gt;&lt;/UPDATE&gt;&lt;QUERIES bbk=&quot;3476&quot; bbkdesc=&quot;2014 Annual Accounts/EU Annual Accounts/DC - Institutions and agencies (xlsx)&quot; datapro=&quot;BIP_ImplBudgetRevInstit&quot; tdatapro=&quot;BIP_ImplBudgetRevInstit&quot; author=&quot;&quot; modtime=&quot;7/9/2015 9:57:11 AM&quot; moduser=&quot;servela&quot; rolluptime=&quot;&quot; syuser=&quot;servela&quot; syuzeit=&quot;7/9/2015 9:57:11 AM&quot; root=&quot;/BBOOK/DATAPROVIDER[./META/PROPS/ID='BIP_ImplBudgetRevInstit']/DATA&quot; colcount=&quot;11&quot; rowcount=&quot;14&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ImplBudgetRevInstit&quot; infos=&quot;&quot; iscomment=&quot;0&quot;&gt;&lt;SELECT&gt;/BBOOK/DATAPROVIDER[./META/PROPS/ID='BIP_ImplBudgetRevInstit']/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17:00&lt;/DYNAMIZEDON&gt;&lt;LASTUPDATEDBY&gt;servela&lt;/LASTUPDATEDBY&gt;&lt;LASTUPDATEDON&gt;7/9/2015 10:25:06 AM&lt;/LASTUPDATEDON&gt;&lt;UTC&gt;1&lt;/UTC&gt;&lt;/UPDATE&gt;&lt;QUERIES bbk=&quot;3476&quot; bbkdesc=&quot;2014 Annual Accounts/EU Annual Accounts/DC - Institutions and agencies (xlsx)&quot; datapro=&quot;BIP_ImplComPayApprBYInst&quot; tdatapro=&quot;BIP_ImplComPayApprBYInst&quot; author=&quot;&quot; modtime=&quot;7/9/2015 9:57:11 AM&quot; moduser=&quot;servela&quot; rolluptime=&quot;&quot; syuser=&quot;servela&quot; syuzeit=&quot;7/9/2015 9:57:11 AM&quot; root=&quot;/BBOOK/DATAPROVIDER[./META/PROPS/ID='BIP_ImplComPayApprBYInst']/DATA&quot; colcount=&quot;16&quot; rowcount=&quot;15&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ImplComPayApprBYInst&quot; infos=&quot;&quot; iscomment=&quot;0&quot;&gt;&lt;SELECT&gt;/BBOOK/DATAPROVIDER[./META/PROPS/ID='BIP_ImplComPayApprBYInst']/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19:21&lt;/DYNAMIZEDON&gt;&lt;LASTUPDATEDBY&gt;servela&lt;/LASTUPDATEDBY&gt;&lt;LASTUPDATEDON&gt;7/9/2015 10:25:06 AM&lt;/LASTUPDATEDON&gt;&lt;UTC&gt;1&lt;/UTC&gt;&lt;/UPDATE&gt;&lt;QUERIES bbk=&quot;3476&quot; bbkdesc=&quot;2014 Annual Accounts/EU Annual Accounts/DC - Institutions and agencies (xlsx)&quot; datapro=&quot;BIP_ImplComPayApprBYInst2&quot; tdatapro=&quot;BIP_ImplComPayApprBYInst2&quot; author=&quot;&quot; modtime=&quot;7/9/2015 9:57:11 AM&quot; moduser=&quot;servela&quot; rolluptime=&quot;&quot; syuser=&quot;servela&quot; syuzeit=&quot;7/9/2015 9:57:11 AM&quot; root=&quot;/BBOOK/DATAPROVIDER[./META/PROPS/ID='BIP_ImplComPayApprBYInst2']/DATA&quot; colcount=&quot;17&quot; rowcount=&quot;15&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ImplComPayApprBYInst2&quot; infos=&quot;&quot; iscomment=&quot;0&quot;&gt;&lt;SELECT&gt;/BBOOK/DATAPROVIDER[./META/PROPS/ID='BIP_ImplComPayApprBYInst2']/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2/02/2015 08:22:49&lt;/DYNAMIZEDON&gt;&lt;LASTUPDATEDBY&gt;servela&lt;/LASTUPDATEDBY&gt;&lt;LASTUPDATEDON&gt;7/9/2015 10:25:13 AM&lt;/LASTUPDATEDON&gt;&lt;UTC&gt;1&lt;/UTC&gt;&lt;/UPDATE&gt;&lt;QUERIES bbk=&quot;3476&quot; bbkdesc=&quot;2014 Annual Accounts/EU Annual Accounts/DC - Institutions and agencies (xlsx)&quot; datapro=&quot;BIP_AgenIncome&quot; tdatapro=&quot;BIP_AgenIncome&quot; author=&quot;&quot; modtime=&quot;7/9/2015 9:57:11 AM&quot; moduser=&quot;servela&quot; rolluptime=&quot;&quot; syuser=&quot;servela&quot; syuzeit=&quot;7/9/2015 9:57:11 AM&quot; root=&quot;/BBOOK/DATAPROVIDER[./META/PROPS/ID='BIP_AgenIncome']/DATA&quot; colcount=&quot;6&quot; rowcount=&quot;43&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AgenIncome&quot; infos=&quot;&quot; iscomment=&quot;0&quot;&gt;&lt;SELECT&gt;/BBOOK/DATAPROVIDER[./META/PROPS/ID='BIP_AgenIncome']/DATA/ROW&lt;/SELECT&gt;&lt;FILTERS&gt;&lt;FILTER&gt;&lt;/FILTER&gt;&lt;/FILTERS&gt;&lt;/QUERY&gt;&lt;/QUERIES&gt;&lt;/OBJECT&gt;"/>
    <w:docVar w:name="BIP_META_DOC_TBL00116" w:val="&lt;OBJECT&gt;&lt;META&gt;&lt;ID&gt;&lt;/ID&gt;&lt;NAME&gt;DOC_TBL0011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8/2015 1:22:55 PM&lt;/DYNAMIZEDON&gt;&lt;LASTUPDATEDBY&gt;servela&lt;/LASTUPDATEDBY&gt;&lt;LASTUPDATEDON&gt;7/9/2015 10:25:13 AM&lt;/LASTUPDATEDON&gt;&lt;UTC&gt;1&lt;/UTC&gt;&lt;/UPDATE&gt;&lt;QUERIES bbk=&quot;3476&quot; bbkdesc=&quot;2014 Annual Accounts/EU Annual Accounts/DC - Institutions and agencies (xlsx)&quot; datapro=&quot;BIP_AgenIncome2&quot; tdatapro=&quot;BIP_AgenIncome2&quot; author=&quot;&quot; modtime=&quot;7/9/2015 9:57:11 AM&quot; moduser=&quot;servela&quot; rolluptime=&quot;&quot; syuser=&quot;servela&quot; syuzeit=&quot;7/9/2015 9:57:11 AM&quot; root=&quot;/BBOOK/DATAPROVIDER[./META/PROPS/ID='BIP_AgenIncome2']/DATA&quot; colcount=&quot;5&quot; rowcount=&quot;6&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AgenIncome2&quot; infos=&quot;&quot; iscomment=&quot;0&quot;&gt;&lt;SELECT&gt;/BBOOK/DATAPROVIDER[./META/PROPS/ID='BIP_AgenIncome2']/DATA/ROW&lt;/SELECT&gt;&lt;FILTERS&gt;&lt;FILTER&gt;&lt;/FILTER&gt;&lt;/FILTERS&gt;&lt;/QUERY&gt;&lt;/QUERIES&gt;&lt;/OBJECT&gt;"/>
    <w:docVar w:name="BIP_META_DOC_TBL00117" w:val="&lt;OBJECT&gt;&lt;META&gt;&lt;ID&gt;&lt;/ID&gt;&lt;NAME&gt;DOC_TBL0011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7/03/2015 15:50:48&lt;/DYNAMIZEDON&gt;&lt;LASTUPDATEDBY&gt;servela&lt;/LASTUPDATEDBY&gt;&lt;LASTUPDATEDON&gt;7/9/2015 10:25:20 AM&lt;/LASTUPDATEDON&gt;&lt;UTC&gt;1&lt;/UTC&gt;&lt;/UPDATE&gt;&lt;QUERIES bbk=&quot;3476&quot; bbkdesc=&quot;2014 Annual Accounts/EU Annual Accounts/DC - Institutions and agencies (xlsx)&quot; datapro=&quot;BIP_ComPayApprBYAgen&quot; tdatapro=&quot;BIP_ComPayApprBYAgen&quot; author=&quot;&quot; modtime=&quot;7/9/2015 9:57:11 AM&quot; moduser=&quot;servela&quot; rolluptime=&quot;&quot; syuser=&quot;servela&quot; syuzeit=&quot;7/9/2015 9:57:11 AM&quot; root=&quot;/BBOOK/DATAPROVIDER[./META/PROPS/ID='BIP_ComPayApprBYAgen']/DATA&quot; colcount=&quot;7&quot; rowcount=&quot;44&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ComPayApprBYAgen&quot; infos=&quot;&quot; iscomment=&quot;0&quot;&gt;&lt;SELECT&gt;/BBOOK/DATAPROVIDER[./META/PROPS/ID='BIP_ComPayApprBYAgen']/DATA/ROW&lt;/SELECT&gt;&lt;FILTERS&gt;&lt;FILTER&gt;&lt;/FILTER&gt;&lt;/FILTERS&gt;&lt;/QUERY&gt;&lt;/QUERIES&gt;&lt;/OBJECT&gt;"/>
    <w:docVar w:name="BIP_META_DOC_TBL00118" w:val="&lt;OBJECT&gt;&lt;META&gt;&lt;ID&gt;&lt;/ID&gt;&lt;NAME&gt;DOC_TBL0011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32:35&lt;/DYNAMIZEDON&gt;&lt;LASTUPDATEDBY&gt;servela&lt;/LASTUPDATEDBY&gt;&lt;LASTUPDATEDON&gt;7/9/2015 10:25:20 AM&lt;/LASTUPDATEDON&gt;&lt;UTC&gt;1&lt;/UTC&gt;&lt;/UPDATE&gt;&lt;QUERIES bbk=&quot;3476&quot; bbkdesc=&quot;2014 Annual Accounts/EU Annual Accounts/DC - Institutions and agencies (xlsx)&quot; datapro=&quot;BIP_ComPayApprBYAgen2&quot; tdatapro=&quot;BIP_ComPayApprBYAgen2&quot; author=&quot;&quot; modtime=&quot;7/9/2015 9:57:11 AM&quot; moduser=&quot;servela&quot; rolluptime=&quot;&quot; syuser=&quot;servela&quot; syuzeit=&quot;7/9/2015 9:57:11 AM&quot; root=&quot;/BBOOK/DATAPROVIDER[./META/PROPS/ID='BIP_ComPayApprBYAgen2']/DATA&quot; colcount=&quot;7&quot; rowcount=&quot;7&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ComPayApprBYAgen2&quot; infos=&quot;&quot; iscomment=&quot;0&quot;&gt;&lt;SELECT&gt;/BBOOK/DATAPROVIDER[./META/PROPS/ID='BIP_ComPayApprBYAgen2']/DATA/ROW&lt;/SELECT&gt;&lt;FILTERS&gt;&lt;FILTER&gt;&lt;/FILTER&gt;&lt;/FILTERS&gt;&lt;/QUERY&gt;&lt;/QUERIES&gt;&lt;/OBJECT&gt;"/>
    <w:docVar w:name="BIP_META_DOC_TBL00119" w:val="&lt;OBJECT&gt;&lt;META&gt;&lt;ID&gt;&lt;/ID&gt;&lt;NAME&gt;DOC_TBL0011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35:10&lt;/DYNAMIZEDON&gt;&lt;LASTUPDATEDBY&gt;servela&lt;/LASTUPDATEDBY&gt;&lt;LASTUPDATEDON&gt;7/9/2015 10:25:27 AM&lt;/LASTUPDATEDON&gt;&lt;UTC&gt;1&lt;/UTC&gt;&lt;/UPDATE&gt;&lt;QUERIES bbk=&quot;3476&quot; bbkdesc=&quot;2014 Annual Accounts/EU Annual Accounts/DC - Institutions and agencies (xlsx)&quot; datapro=&quot;BIP_BudgResult&quot; tdatapro=&quot;BIP_BudgResult&quot; author=&quot;&quot; modtime=&quot;7/9/2015 9:57:11 AM&quot; moduser=&quot;servela&quot; rolluptime=&quot;&quot; syuser=&quot;servela&quot; syuzeit=&quot;7/9/2015 9:57:11 AM&quot; root=&quot;/BBOOK/DATAPROVIDER[./META/PROPS/ID='BIP_BudgResult']/DATA&quot; colcount=&quot;5&quot; rowcount=&quot;10&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BudgResult&quot; infos=&quot;&quot; iscomment=&quot;0&quot;&gt;&lt;SELECT&gt;/BBOOK/DATAPROVIDER[./META/PROPS/ID='BIP_BudgResult']/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2691&quot; bbdesc=&quot;2014 Annual Accounts/EU Annual Accounts/DC - Balance Sheet (xlsx)&quot; dsname=&quot;SAP Disclosure Management - Production&quot;&gt;&lt;VARIABLES /&gt;&lt;/BBOOK&gt;&lt;BBOOK bbname=&quot;2692&quot; bbdesc=&quot;2014 Annual Accounts/EU Annual Accounts/DC - Statement of Financial Performance (xlsx)&quot; dsname=&quot;SAP Disclosure Management - Production&quot;&gt;&lt;VARIABLES /&gt;&lt;/BBOOK&gt;&lt;BBOOK bbname=&quot;2693&quot; bbdesc=&quot;2014 Annual Accounts/EU Annual Accounts/DC - Cashflow statement (xlsx)&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3133&quot; bbdesc=&quot;2014 Annual Accounts/EU Annual Accounts/DC - Statment of changes in net assets EU (xlsx)&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3098&quot; bbdesc=&quot;2014 Annual Accounts/EU Annual Accounts/DC - Intangible fixed assets (xlsx)&quot; dsname=&quot;SAP Disclosure Management - Production&quot;&gt;&lt;VARIABLES /&gt;&lt;/BBOOK&gt;&lt;BBOOK bbname=&quot;2697&quot; bbdesc=&quot;2014 Annual Accounts/EU Annual Accounts/DC - Property plant and equipment (xlsx)&quot; dsname=&quot;SAP Disclosure Management - Production&quot;&gt;&lt;VARIABLES /&gt;&lt;/BBOOK&gt;&lt;BBOOK bbname=&quot;3136&quot; bbdesc=&quot;2014 Annual Accounts/EU Annual Accounts/DC - PPE (xlsx)&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2698&quot; bbdesc=&quot;2014 Annual Accounts/EU Annual Accounts/DC - Investments accounted for using the equity method (xlsx)&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2678&quot; bbdesc=&quot;2014 Annual Accounts/EU Annual Accounts/DC - Financial assets (xlsx)&quot; dsname=&quot;SAP Disclosure Management - Production&quot;&gt;&lt;VARIABLES /&gt;&lt;/BBOOK&gt;&lt;BBOOK bbname=&quot;2699&quot; bbdesc=&quot;2014 Annual Accounts/EU Annual Accounts/DC - Financial assets (xlsx)&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2701&quot; bbdesc=&quot;2014 Annual Accounts/EU Annual Accounts/DC - Fair value hierarchy of available for sale financial assets (xlsx)&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2771&quot; bbdesc=&quot;2014 Annual Accounts/EU Annual Accounts/DC - Loans granted from borrowed funds LINKED TO EC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2764&quot; bbdesc=&quot;2014 Annual Accounts/EU Annual Accounts/DC - Financial Support Mechanisms (xlsx)&quot; dsname=&quot;SAP Disclosure Management - Production&quot;&gt;&lt;VARIABLES /&gt;&lt;/BBOOK&gt;&lt;BBOOK bbname=&quot;2708&quot; bbdesc=&quot;2014 Annual Accounts/EU Annual Accounts/DC - Pre-financing (xlsx)&quot; dsname=&quot;SAP Disclosure Management - Production&quot;&gt;&lt;VARIABLES /&gt;&lt;/BBOOK&gt;&lt;BBOOK bbname=&quot;2709&quot; bbdesc=&quot;2014 Annual Accounts/EU Annual Accounts/DC - Pre-financing detailed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710&quot; bbdesc=&quot;2014 Annual Accounts/EU Annual Accounts/DC - Exchange receivables and Non-exchange recoverables (xlsx)&quot; dsname=&quot;SAP Disclosure Management - Production&quot;&gt;&lt;VARIABLES /&gt;&lt;/BBOOK&gt;&lt;BBOOK bbname=&quot;2711&quot; bbdesc=&quot;2014 Annual Accounts/EU Annual Accounts/DC - Recoverables from Member States (xlsx)&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2714&quot; bbdesc=&quot;2014 Annual Accounts/EU Annual Accounts/DC - Inventories (xlsx)&quot; dsname=&quot;SAP Disclosure Management - Production&quot;&gt;&lt;VARIABLES /&gt;&lt;/BBOOK&gt;&lt;BBOOK bbname=&quot;2715&quot; bbdesc=&quot;2014 Annual Accounts/EU Annual Accounts/DC - Cash and cash equivalents (xlsx)&quot; dsname=&quot;SAP Disclosure Management - Production&quot;&gt;&lt;VARIABLES /&gt;&lt;/BBOOK&gt;&lt;BBOOK bbname=&quot;2716&quot; bbdesc=&quot;2014 Annual Accounts/EU Annual Accounts/DC - Pension and other employee benefits (xlsx)&quot; dsname=&quot;SAP Disclosure Management - Production&quot;&gt;&lt;VARIABLES /&gt;&lt;/BBOOK&gt;&lt;BBOOK bbname=&quot;2539&quot; bbdesc=&quot;2014 Annual Accounts/EC Annual Accounts/DC - Pension and other employee benefits (xlsx)&quot; dsname=&quot;SAP Disclosure Management - Production&quot;&gt;&lt;VARIABLES /&gt;&lt;/BBOOK&gt;&lt;BBOOK bbname=&quot;2728&quot; bbdesc=&quot;2014 Annual Accounts/EU Annual Accounts/DC - Accrued charges and Deferred income (xlsx)&quot; dsname=&quot;SAP Disclosure Management - Production&quot;&gt;&lt;VARIABLES /&gt;&lt;/BBOOK&gt;&lt;BBOOK bbname=&quot;2719&quot; bbdesc=&quot;2014 Annual Accounts/EU Annual Accounts/DC - Provisions (xlsx)&quot; dsname=&quot;SAP Disclosure Management - Production&quot;&gt;&lt;VARIABLES /&gt;&lt;/BBOOK&gt;&lt;BBOOK bbname=&quot;2720&quot; bbdesc=&quot;2014 Annual Accounts/EU Annual Accounts/DC - Financial liabilities (xlsx)&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2725&quot; bbdesc=&quot;2014 Annual Accounts/EU Annual Accounts/DC - Other financial liabilities (xlsx)&quot; dsname=&quot;SAP Disclosure Management - Production&quot;&gt;&lt;VARIABLES /&gt;&lt;/BBOOK&gt;&lt;BBOOK bbname=&quot;2726&quot; bbdesc=&quot;2014 Annual Accounts/EU Annual Accounts/DC - Finance Lease liabilities (xlsx)&quot; dsname=&quot;SAP Disclosure Management - Production&quot;&gt;&lt;VARIABLES /&gt;&lt;/BBOOK&gt;&lt;BBOOK bbname=&quot;2772&quot; bbdesc=&quot;2014 Annual Accounts/EU Annual Accounts/DC - Borrowings by Financial instruments (xlsx)&quot; dsname=&quot;SAP Disclosure Management - Production&quot;&gt;&lt;VARIABLES /&gt;&lt;/BBOOK&gt;&lt;BBOOK bbname=&quot;2542&quot; bbdesc=&quot;2014 Annual Accounts/EC Annual Accounts/DC - Borrowings (xlsx)&quot; dsname=&quot;SAP Disclosure Management - Production&quot;&gt;&lt;VARIABLES /&gt;&lt;/BBOOK&gt;&lt;BBOOK bbname=&quot;2727&quot; bbdesc=&quot;2014 Annual Accounts/EU Annual Accounts/DC - Payables (xlsx)&quot; dsname=&quot;SAP Disclosure Management - Production&quot;&gt;&lt;VARIABLES /&gt;&lt;/BBOOK&gt;&lt;BBOOK bbname=&quot;2458&quot; bbdesc=&quot;2014 Annual Accounts/EC Annual Accounts/DC - Payables (xlsx)&quot; dsname=&quot;SAP Disclosure Management - Production&quot;&gt;&lt;VARIABLES /&gt;&lt;/BBOOK&gt;&lt;BBOOK bbname=&quot;2729&quot; bbdesc=&quot;2014 Annual Accounts/EU Annual Accounts/DC - Reserves (xlsx)&quot; dsname=&quot;SAP Disclosure Management - Production&quot;&gt;&lt;VARIABLES /&gt;&lt;/BBOOK&gt;&lt;BBOOK bbname=&quot;2730&quot; bbdesc=&quot;2014 Annual Accounts/EU Annual Accounts/DC - Fair value movements of available for sale financial assets (xlsx)&quot; dsname=&quot;SAP Disclosure Management - Production&quot;&gt;&lt;VARIABLES /&gt;&lt;/BBOOK&gt;&lt;BBOOK bbname=&quot;2731&quot; bbdesc=&quot;2014 Annual Accounts/EU Annual Accounts/DC - Amounts to be called from member states (xlsx)&quot; dsname=&quot;SAP Disclosure Management - Production&quot;&gt;&lt;VARIABLES /&gt;&lt;/BBOOK&gt;&lt;BBOOK bbname=&quot;2548&quot; bbdesc=&quot;2014 Annual Accounts/EC Annual Accounts/DC - Traditional own resources (xlsx)&quot; dsname=&quot;SAP Disclosure Management - Production&quot;&gt;&lt;VARIABLES /&gt;&lt;/BBOOK&gt;&lt;BBOOK bbname=&quot;2732&quot; bbdesc=&quot;2014 Annual Accounts/EU Annual Accounts/DC - Traditional own resource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2733&quot; bbdesc=&quot;2014 Annual Accounts/EU Annual Accounts/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2734&quot; bbdesc=&quot;2014 Annual Accounts/EU Annual Accounts/DC - Other non-exchange revenue (xlsx)&quot; dsname=&quot;SAP Disclosure Management - Production&quot;&gt;&lt;VARIABLES /&gt;&lt;/BBOOK&gt;&lt;BBOOK bbname=&quot;2735&quot; bbdesc=&quot;2014 Annual Accounts/EU Annual Accounts/DC - Financial income (xlsx)&quot; dsname=&quot;SAP Disclosure Management - Production&quot;&gt;&lt;VARIABLES /&gt;&lt;/BBOOK&gt;&lt;BBOOK bbname=&quot;2736&quot; bbdesc=&quot;2014 Annual Accounts/EU Annual Accounts/DC - Other exchange revenue (xlsx)&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2741&quot; bbdesc=&quot;2014 Annual Accounts/EU Annual Accounts/DC - Staff and Pension costs (xlsx)&quot; dsname=&quot;SAP Disclosure Management - Production&quot;&gt;&lt;VARIABLES /&gt;&lt;/BBOOK&gt;&lt;BBOOK bbname=&quot;2743&quot; bbdesc=&quot;2014 Annual Accounts/EU Annual Accounts/DC - Finance costs (xlsx)&quot; dsname=&quot;SAP Disclosure Management - Production&quot;&gt;&lt;VARIABLES /&gt;&lt;/BBOOK&gt;&lt;BBOOK bbname=&quot;2744&quot; bbdesc=&quot;2014 Annual Accounts/EU Annual Accounts/DC - Other expenses (xlsx)&quot; dsname=&quot;SAP Disclosure Management - Production&quot;&gt;&lt;VARIABLES /&gt;&lt;/BBOOK&gt;&lt;BBOOK bbname=&quot;2745&quot; bbdesc=&quot;2014 Annual Accounts/EU Annual Accounts/DC - Property plant and equipment related expenses (xlsx)&quot; dsname=&quot;SAP Disclosure Management - Production&quot;&gt;&lt;VARIABLES /&gt;&lt;/BBOOK&gt;&lt;BBOOK bbname=&quot;2746&quot; bbdesc=&quot;2014 Annual Accounts/EU Annual Accounts/DC - Research and Development costs (xlsx)&quot; dsname=&quot;SAP Disclosure Management - Production&quot;&gt;&lt;VARIABLES /&gt;&lt;/BBOOK&gt;&lt;BBOOK bbname=&quot;2751&quot; bbdesc=&quot;2014 Annual Accounts/EU Annual Accounts/DC - Segment reporting by Multi Financial Framework Headings (xlsx)&quot; dsname=&quot;SAP Disclosure Management - Production&quot;&gt;&lt;VARIABLES /&gt;&lt;/BBOOK&gt;&lt;BBOOK bbname=&quot;3528&quot; bbdesc=&quot;2014 Annual Accounts/EU Annual Accounts/DC - Reclassification of 2013 figures (xlsx)&quot; dsname=&quot;SAP Disclosure Management - Production&quot;&gt;&lt;VARIABLES /&gt;&lt;/BBOOK&gt;&lt;BBOOK bbname=&quot;2752&quot; bbdesc=&quot;2014 Annual Accounts/EU Annual Accounts/DC - Contingent assets (xlsx)&quot; dsname=&quot;SAP Disclosure Management - Production&quot;&gt;&lt;VARIABLES /&gt;&lt;/BBOOK&gt;&lt;BBOOK bbname=&quot;2753&quot; bbdesc=&quot;2014 Annual Accounts/EU Annual Accounts/DC - Contingent liabilities (xlsx)&quot; dsname=&quot;SAP Disclosure Management - Production&quot;&gt;&lt;VARIABLES /&gt;&lt;/BBOOK&gt;&lt;BBOOK bbname=&quot;2754&quot; bbdesc=&quot;2014 Annual Accounts/EU Annual Accounts/DC - Guarantees given (xlsx)&quot; dsname=&quot;SAP Disclosure Management - Production&quot;&gt;&lt;VARIABLES /&gt;&lt;/BBOOK&gt;&lt;BBOOK bbname=&quot;2529&quot; bbdesc=&quot;2014 Annual Accounts/EC Annual Accounts/DC - Guarantees given (xlsx)&quot; dsname=&quot;SAP Disclosure Management - Production&quot;&gt;&lt;VARIABLES /&gt;&lt;/BBOOK&gt;&lt;BBOOK bbname=&quot;2758&quot; bbdesc=&quot;2014 Annual Accounts/EU Annual Accounts/DC - Outstanding commitments not yet expensed (xlsx)&quot; dsname=&quot;SAP Disclosure Management - Production&quot;&gt;&lt;VARIABLES /&gt;&lt;/BBOOK&gt;&lt;BBOOK bbname=&quot;2759&quot; bbdesc=&quot;2014 Annual Accounts/EU Annual Accounts/DC - Significant legal commitments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2760&quot; bbdesc=&quot;2014 Annual Accounts/EU Annual Accounts/DC - Protection of the EU budget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766&quot; bbdesc=&quot;2014 Annual Accounts/EU Annual Accounts/DC - Interest rate risk (xlsx)&quot; dsname=&quot;SAP Disclosure Management - Production&quot;&gt;&lt;VARIABLES /&gt;&lt;/BBOOK&gt;&lt;BBOOK bbname=&quot;2767&quot; bbdesc=&quot;2014 Annual Accounts/EU Annual Accounts/DC - Credit risk (xlsx)&quot; dsname=&quot;SAP Disclosure Management - Production&quot;&gt;&lt;VARIABLES /&gt;&lt;/BBOOK&gt;&lt;BBOOK bbname=&quot;2768&quot; bbdesc=&quot;2014 Annual Accounts/EU Annual Accounts/DC - Maturity analysis of financial liabilities (xlsx)&quot; dsname=&quot;SAP Disclosure Management - Production&quot;&gt;&lt;VARIABLES /&gt;&lt;/BBOOK&gt;&lt;BBOOK bbname=&quot;2774&quot; bbdesc=&quot;2014 Annual Accounts/EU Annual Accounts/DC - Related party disclosures (xlsx)&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2740&quot; bbdesc=&quot;2014 Annual Accounts/EU Annual Accounts/DC - Scope of consolidation EU (xlsx)&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3466&quot; bbdesc=&quot;2014 Annual Accounts/EU Annual Accounts/DC - Result of implementation of the EU budget (xlsx)&quot; dsname=&quot;SAP Disclosure Management - Production&quot;&gt;&lt;VARIABLES /&gt;&lt;/BBOOK&gt;&lt;BBOOK bbname=&quot;3474&quot; bbdesc=&quot;2014 Annual Accounts/EU Annual Accounts/DC - Implementation of EU budget expenditure (xlsx)&quot; dsname=&quot;SAP Disclosure Management - Production&quot;&gt;&lt;VARIABLES /&gt;&lt;/BBOOK&gt;&lt;BBOOK bbname=&quot;3472&quot; bbdesc=&quot;2014 Annual Accounts/EU Annual Accounts/DC - Implementation of EU budget revenue (xlsx)&quot; dsname=&quot;SAP Disclosure Management - Production&quot;&gt;&lt;VARIABLES /&gt;&lt;/BBOOK&gt;&lt;BBOOK bbname=&quot;3476&quot; bbdesc=&quot;2014 Annual Accounts/EU Annual Accounts/DC - Institutions and agencies (xlsx)&quot; dsname=&quot;SAP Disclosure Management - Production&quot;&gt;&lt;VARIABLES /&gt;&lt;/BBOOK&gt;&lt;/BBOOKS&gt;"/>
    <w:docVar w:name="COVERPAGE_EXISTS" w:val="True"/>
    <w:docVar w:name="DM_WB_C2597_METADATA" w:val="&lt;ChapterMetadata&gt;&lt;ChapterId&gt;2597&lt;/ChapterId&gt;&lt;ChapterName&gt;Cover and first page&lt;/ChapterName&gt;&lt;ChapterNoOfPages&gt;-1&lt;/ChapterNoOfPages&gt;&lt;ChapterVersion&gt;5&lt;/ChapterVersion&gt;&lt;/ChapterMetadata&gt;"/>
    <w:docVar w:name="DM_WB_C2598_METADATA" w:val="&lt;ChapterMetadata&gt;&lt;ChapterId&gt;2598&lt;/ChapterId&gt;&lt;ChapterName&gt;Table of contents (1)&lt;/ChapterName&gt;&lt;ChapterNoOfPages&gt;-1&lt;/ChapterNoOfPages&gt;&lt;ChapterVersion&gt;5&lt;/ChapterVersion&gt;&lt;/ChapterMetadata&gt;"/>
    <w:docVar w:name="DM_WB_C2599_METADATA" w:val="&lt;ChapterMetadata&gt;&lt;ChapterId&gt;2599&lt;/ChapterId&gt;&lt;ChapterName&gt;Consolidated financial statements and explanatory notes&lt;/ChapterName&gt;&lt;ChapterNoOfPages&gt;-1&lt;/ChapterNoOfPages&gt;&lt;ChapterVersion&gt;5&lt;/ChapterVersion&gt;&lt;/ChapterMetadata&gt;"/>
    <w:docVar w:name="DM_WB_C2600_METADATA" w:val="&lt;ChapterMetadata&gt;&lt;ChapterId&gt;2600&lt;/ChapterId&gt;&lt;ChapterName&gt;Notes to the financial statements&lt;/ChapterName&gt;&lt;ChapterNoOfPages&gt;-1&lt;/ChapterNoOfPages&gt;&lt;ChapterVersion&gt;3&lt;/ChapterVersion&gt;&lt;/ChapterMetadata&gt;"/>
    <w:docVar w:name="DM_WB_C2601_METADATA" w:val="&lt;ChapterMetadata&gt;&lt;ChapterId&gt;2601&lt;/ChapterId&gt;&lt;ChapterName&gt;Significant accounting policies&lt;/ChapterName&gt;&lt;ChapterNoOfPages&gt;-1&lt;/ChapterNoOfPages&gt;&lt;ChapterVersion&gt;81&lt;/ChapterVersion&gt;&lt;/ChapterMetadata&gt;"/>
    <w:docVar w:name="DM_WB_C2602_METADATA" w:val="&lt;ChapterMetadata&gt;&lt;ChapterId&gt;2602&lt;/ChapterId&gt;&lt;ChapterName&gt;Notes to the balance sheet&lt;/ChapterName&gt;&lt;ChapterNoOfPages&gt;-1&lt;/ChapterNoOfPages&gt;&lt;ChapterVersion&gt;4&lt;/ChapterVersion&gt;&lt;/ChapterMetadata&gt;"/>
    <w:docVar w:name="DM_WB_C2603_METADATA" w:val="&lt;ChapterMetadata&gt;&lt;ChapterId&gt;2603&lt;/ChapterId&gt;&lt;ChapterName&gt;Notes to the statement of financial performance&lt;/ChapterName&gt;&lt;ChapterNoOfPages&gt;-1&lt;/ChapterNoOfPages&gt;&lt;ChapterVersion&gt;5&lt;/ChapterVersion&gt;&lt;/ChapterMetadata&gt;"/>
    <w:docVar w:name="DM_WB_C2604_METADATA" w:val="&lt;ChapterMetadata&gt;&lt;ChapterId&gt;2604&lt;/ChapterId&gt;&lt;ChapterName&gt;Notes to the cashflow statement&lt;/ChapterName&gt;&lt;ChapterNoOfPages&gt;-1&lt;/ChapterNoOfPages&gt;&lt;ChapterVersion&gt;6&lt;/ChapterVersion&gt;&lt;/ChapterMetadata&gt;"/>
    <w:docVar w:name="DM_WB_C2605_METADATA" w:val="&lt;ChapterMetadata&gt;&lt;ChapterId&gt;2605&lt;/ChapterId&gt;&lt;ChapterName&gt;Contingent assets and liabilities and other significant disclosures&lt;/ChapterName&gt;&lt;ChapterNoOfPages&gt;-1&lt;/ChapterNoOfPages&gt;&lt;ChapterVersion&gt;4&lt;/ChapterVersion&gt;&lt;/ChapterMetadata&gt;"/>
    <w:docVar w:name="DM_WB_C2606_METADATA" w:val="&lt;ChapterMetadata&gt;&lt;ChapterId&gt;2606&lt;/ChapterId&gt;&lt;ChapterName&gt;Protection of the EU Budget&lt;/ChapterName&gt;&lt;ChapterNoOfPages&gt;-1&lt;/ChapterNoOfPages&gt;&lt;ChapterVersion&gt;64&lt;/ChapterVersion&gt;&lt;/ChapterMetadata&gt;"/>
    <w:docVar w:name="DM_WB_C2608_METADATA" w:val="&lt;ChapterMetadata&gt;&lt;ChapterId&gt;2608&lt;/ChapterId&gt;&lt;ChapterName&gt;Financial risk management&lt;/ChapterName&gt;&lt;ChapterNoOfPages&gt;-1&lt;/ChapterNoOfPages&gt;&lt;ChapterVersion&gt;21&lt;/ChapterVersion&gt;&lt;/ChapterMetadata&gt;"/>
    <w:docVar w:name="DM_WB_C2609_METADATA" w:val="&lt;ChapterMetadata&gt;&lt;ChapterId&gt;2609&lt;/ChapterId&gt;&lt;ChapterName&gt;Related party disclosures&lt;/ChapterName&gt;&lt;ChapterNoOfPages&gt;-1&lt;/ChapterNoOfPages&gt;&lt;ChapterVersion&gt;23&lt;/ChapterVersion&gt;&lt;/ChapterMetadata&gt;"/>
    <w:docVar w:name="DM_WB_C2610_METADATA" w:val="&lt;ChapterMetadata&gt;&lt;ChapterId&gt;2610&lt;/ChapterId&gt;&lt;ChapterName&gt;Events after balance sheet date&lt;/ChapterName&gt;&lt;ChapterNoOfPages&gt;-1&lt;/ChapterNoOfPages&gt;&lt;ChapterVersion&gt;5&lt;/ChapterVersion&gt;&lt;/ChapterMetadata&gt;"/>
    <w:docVar w:name="DM_WB_C2612_METADATA" w:val="&lt;ChapterMetadata&gt;&lt;ChapterId&gt;2612&lt;/ChapterId&gt;&lt;ChapterName&gt;Financial statements discussion document&lt;/ChapterName&gt;&lt;ChapterNoOfPages&gt;-1&lt;/ChapterNoOfPages&gt;&lt;ChapterVersion&gt;168&lt;/ChapterVersion&gt;&lt;/ChapterMetadata&gt;"/>
    <w:docVar w:name="DM_WB_C2613_METADATA" w:val="&lt;ChapterMetadata&gt;&lt;ChapterId&gt;2613&lt;/ChapterId&gt;&lt;ChapterName&gt;Table of contents (2)&lt;/ChapterName&gt;&lt;ChapterNoOfPages&gt;-1&lt;/ChapterNoOfPages&gt;&lt;ChapterVersion&gt;5&lt;/ChapterVersion&gt;&lt;/ChapterMetadata&gt;"/>
    <w:docVar w:name="DM_WB_C2614_METADATA" w:val="&lt;ChapterMetadata&gt;&lt;ChapterId&gt;2614&lt;/ChapterId&gt;&lt;ChapterName&gt;Balance sheet&lt;/ChapterName&gt;&lt;ChapterNoOfPages&gt;-1&lt;/ChapterNoOfPages&gt;&lt;ChapterVersion&gt;32&lt;/ChapterVersion&gt;&lt;/ChapterMetadata&gt;"/>
    <w:docVar w:name="DM_WB_C2615_METADATA" w:val="&lt;ChapterMetadata&gt;&lt;ChapterId&gt;2615&lt;/ChapterId&gt;&lt;ChapterName&gt;Statement of financial performance&lt;/ChapterName&gt;&lt;ChapterNoOfPages&gt;-1&lt;/ChapterNoOfPages&gt;&lt;ChapterVersion&gt;51&lt;/ChapterVersion&gt;&lt;/ChapterMetadata&gt;"/>
    <w:docVar w:name="DM_WB_C2616_METADATA" w:val="&lt;ChapterMetadata&gt;&lt;ChapterId&gt;2616&lt;/ChapterId&gt;&lt;ChapterName&gt;Cashflow statement&lt;/ChapterName&gt;&lt;ChapterNoOfPages&gt;-1&lt;/ChapterNoOfPages&gt;&lt;ChapterVersion&gt;26&lt;/ChapterVersion&gt;&lt;/ChapterMetadata&gt;"/>
    <w:docVar w:name="DM_WB_C2617_METADATA" w:val="&lt;ChapterMetadata&gt;&lt;ChapterId&gt;2617&lt;/ChapterId&gt;&lt;ChapterName&gt;Statement of changes in net assets&lt;/ChapterName&gt;&lt;ChapterNoOfPages&gt;-1&lt;/ChapterNoOfPages&gt;&lt;ChapterVersion&gt;20&lt;/ChapterVersion&gt;&lt;/ChapterMetadata&gt;"/>
    <w:docVar w:name="DM_WB_C2622_METADATA" w:val="&lt;ChapterMetadata&gt;&lt;ChapterId&gt;2622&lt;/ChapterId&gt;&lt;ChapterName&gt;Assets&lt;/ChapterName&gt;&lt;ChapterNoOfPages&gt;-1&lt;/ChapterNoOfPages&gt;&lt;ChapterVersion&gt;5&lt;/ChapterVersion&gt;&lt;/ChapterMetadata&gt;"/>
    <w:docVar w:name="DM_WB_C2623_METADATA" w:val="&lt;ChapterMetadata&gt;&lt;ChapterId&gt;2623&lt;/ChapterId&gt;&lt;ChapterName&gt;Intangible assets&lt;/ChapterName&gt;&lt;ChapterNoOfPages&gt;-1&lt;/ChapterNoOfPages&gt;&lt;ChapterVersion&gt;26&lt;/ChapterVersion&gt;&lt;/ChapterMetadata&gt;"/>
    <w:docVar w:name="DM_WB_C2624_METADATA" w:val="&lt;ChapterMetadata&gt;&lt;ChapterId&gt;2624&lt;/ChapterId&gt;&lt;ChapterName&gt;Property plant and equipment TEXT&lt;/ChapterName&gt;&lt;ChapterNoOfPages&gt;-1&lt;/ChapterNoOfPages&gt;&lt;ChapterVersion&gt;22&lt;/ChapterVersion&gt;&lt;/ChapterMetadata&gt;"/>
    <w:docVar w:name="DM_WB_C2625_METADATA" w:val="&lt;ChapterMetadata&gt;&lt;ChapterId&gt;2625&lt;/ChapterId&gt;&lt;ChapterName&gt;Investments accounted for using the equity method&lt;/ChapterName&gt;&lt;ChapterNoOfPages&gt;-1&lt;/ChapterNoOfPages&gt;&lt;ChapterVersion&gt;45&lt;/ChapterVersion&gt;&lt;/ChapterMetadata&gt;"/>
    <w:docVar w:name="DM_WB_C2626_METADATA" w:val="&lt;ChapterMetadata&gt;&lt;ChapterId&gt;2626&lt;/ChapterId&gt;&lt;ChapterName&gt;Financial assets&lt;/ChapterName&gt;&lt;ChapterNoOfPages&gt;-1&lt;/ChapterNoOfPages&gt;&lt;ChapterVersion&gt;88&lt;/ChapterVersion&gt;&lt;/ChapterMetadata&gt;"/>
    <w:docVar w:name="DM_WB_C2627_METADATA" w:val="&lt;ChapterMetadata&gt;&lt;ChapterId&gt;2627&lt;/ChapterId&gt;&lt;ChapterName&gt;Pre-financing&lt;/ChapterName&gt;&lt;ChapterNoOfPages&gt;-1&lt;/ChapterNoOfPages&gt;&lt;ChapterVersion&gt;81&lt;/ChapterVersion&gt;&lt;/ChapterMetadata&gt;"/>
    <w:docVar w:name="DM_WB_C2628_METADATA" w:val="&lt;ChapterMetadata&gt;&lt;ChapterId&gt;2628&lt;/ChapterId&gt;&lt;ChapterName&gt;Exchange receivables and non-exchange recoverables&lt;/ChapterName&gt;&lt;ChapterNoOfPages&gt;-1&lt;/ChapterNoOfPages&gt;&lt;ChapterVersion&gt;68&lt;/ChapterVersion&gt;&lt;/ChapterMetadata&gt;"/>
    <w:docVar w:name="DM_WB_C2629_METADATA" w:val="&lt;ChapterMetadata&gt;&lt;ChapterId&gt;2629&lt;/ChapterId&gt;&lt;ChapterName&gt;Inventories&lt;/ChapterName&gt;&lt;ChapterNoOfPages&gt;-1&lt;/ChapterNoOfPages&gt;&lt;ChapterVersion&gt;15&lt;/ChapterVersion&gt;&lt;/ChapterMetadata&gt;"/>
    <w:docVar w:name="DM_WB_C2630_METADATA" w:val="&lt;ChapterMetadata&gt;&lt;ChapterId&gt;2630&lt;/ChapterId&gt;&lt;ChapterName&gt;Cash and cash equivalents&lt;/ChapterName&gt;&lt;ChapterNoOfPages&gt;-1&lt;/ChapterNoOfPages&gt;&lt;ChapterVersion&gt;35&lt;/ChapterVersion&gt;&lt;/ChapterMetadata&gt;"/>
    <w:docVar w:name="DM_WB_C2631_METADATA" w:val="&lt;ChapterMetadata&gt;&lt;ChapterId&gt;2631&lt;/ChapterId&gt;&lt;ChapterName&gt;Liabilities&lt;/ChapterName&gt;&lt;ChapterNoOfPages&gt;-1&lt;/ChapterNoOfPages&gt;&lt;ChapterVersion&gt;5&lt;/ChapterVersion&gt;&lt;/ChapterMetadata&gt;"/>
    <w:docVar w:name="DM_WB_C2632_METADATA" w:val="&lt;ChapterMetadata&gt;&lt;ChapterId&gt;2632&lt;/ChapterId&gt;&lt;ChapterName&gt;Pension and other employee benefits&lt;/ChapterName&gt;&lt;ChapterNoOfPages&gt;-1&lt;/ChapterNoOfPages&gt;&lt;ChapterVersion&gt;57&lt;/ChapterVersion&gt;&lt;/ChapterMetadata&gt;"/>
    <w:docVar w:name="DM_WB_C2633_METADATA" w:val="&lt;ChapterMetadata&gt;&lt;ChapterId&gt;2633&lt;/ChapterId&gt;&lt;ChapterName&gt;Provisions&lt;/ChapterName&gt;&lt;ChapterNoOfPages&gt;-1&lt;/ChapterNoOfPages&gt;&lt;ChapterVersion&gt;36&lt;/ChapterVersion&gt;&lt;/ChapterMetadata&gt;"/>
    <w:docVar w:name="DM_WB_C2634_METADATA" w:val="&lt;ChapterMetadata&gt;&lt;ChapterId&gt;2634&lt;/ChapterId&gt;&lt;ChapterName&gt;Financial liabilities&lt;/ChapterName&gt;&lt;ChapterNoOfPages&gt;-1&lt;/ChapterNoOfPages&gt;&lt;ChapterVersion&gt;50&lt;/ChapterVersion&gt;&lt;/ChapterMetadata&gt;"/>
    <w:docVar w:name="DM_WB_C2635_METADATA" w:val="&lt;ChapterMetadata&gt;&lt;ChapterId&gt;2635&lt;/ChapterId&gt;&lt;ChapterName&gt;Payables&lt;/ChapterName&gt;&lt;ChapterNoOfPages&gt;-1&lt;/ChapterNoOfPages&gt;&lt;ChapterVersion&gt;54&lt;/ChapterVersion&gt;&lt;/ChapterMetadata&gt;"/>
    <w:docVar w:name="DM_WB_C2636_METADATA" w:val="&lt;ChapterMetadata&gt;&lt;ChapterId&gt;2636&lt;/ChapterId&gt;&lt;ChapterName&gt;Accrued charges and deferred income&lt;/ChapterName&gt;&lt;ChapterNoOfPages&gt;-1&lt;/ChapterNoOfPages&gt;&lt;ChapterVersion&gt;24&lt;/ChapterVersion&gt;&lt;/ChapterMetadata&gt;"/>
    <w:docVar w:name="DM_WB_C2637_METADATA" w:val="&lt;ChapterMetadata&gt;&lt;ChapterId&gt;2637&lt;/ChapterId&gt;&lt;ChapterName&gt;Net assets - Reserves&lt;/ChapterName&gt;&lt;ChapterNoOfPages&gt;-1&lt;/ChapterNoOfPages&gt;&lt;ChapterVersion&gt;30&lt;/ChapterVersion&gt;&lt;/ChapterMetadata&gt;"/>
    <w:docVar w:name="DM_WB_C2638_METADATA" w:val="&lt;ChapterMetadata&gt;&lt;ChapterId&gt;2638&lt;/ChapterId&gt;&lt;ChapterName&gt;Net assets - Amounts to be called from member states&lt;/ChapterName&gt;&lt;ChapterNoOfPages&gt;-1&lt;/ChapterNoOfPages&gt;&lt;ChapterVersion&gt;22&lt;/ChapterVersion&gt;&lt;/ChapterMetadata&gt;"/>
    <w:docVar w:name="DM_WB_C2639_METADATA" w:val="&lt;ChapterMetadata&gt;&lt;ChapterId&gt;2639&lt;/ChapterId&gt;&lt;ChapterName&gt;Reclassification of 2013 figures&lt;/ChapterName&gt;&lt;ChapterNoOfPages&gt;-1&lt;/ChapterNoOfPages&gt;&lt;ChapterVersion&gt;35&lt;/ChapterVersion&gt;&lt;/ChapterMetadata&gt;"/>
    <w:docVar w:name="DM_WB_C2640_METADATA" w:val="&lt;ChapterMetadata&gt;&lt;ChapterId&gt;2640&lt;/ChapterId&gt;&lt;ChapterName&gt;Non-exchange revenue TAXES&lt;/ChapterName&gt;&lt;ChapterNoOfPages&gt;-1&lt;/ChapterNoOfPages&gt;&lt;ChapterVersion&gt;8&lt;/ChapterVersion&gt;&lt;/ChapterMetadata&gt;"/>
    <w:docVar w:name="DM_WB_C2641_METADATA" w:val="&lt;ChapterMetadata&gt;&lt;ChapterId&gt;2641&lt;/ChapterId&gt;&lt;ChapterName&gt;GNI resources revenue&lt;/ChapterName&gt;&lt;ChapterNoOfPages&gt;-1&lt;/ChapterNoOfPages&gt;&lt;ChapterVersion&gt;10&lt;/ChapterVersion&gt;&lt;/ChapterMetadata&gt;"/>
    <w:docVar w:name="DM_WB_C2642_METADATA" w:val="&lt;ChapterMetadata&gt;&lt;ChapterId&gt;2642&lt;/ChapterId&gt;&lt;ChapterName&gt;Traditional own resources&lt;/ChapterName&gt;&lt;ChapterNoOfPages&gt;-1&lt;/ChapterNoOfPages&gt;&lt;ChapterVersion&gt;26&lt;/ChapterVersion&gt;&lt;/ChapterMetadata&gt;"/>
    <w:docVar w:name="DM_WB_C2643_METADATA" w:val="&lt;ChapterMetadata&gt;&lt;ChapterId&gt;2643&lt;/ChapterId&gt;&lt;ChapterName&gt;VAT resources&lt;/ChapterName&gt;&lt;ChapterNoOfPages&gt;-1&lt;/ChapterNoOfPages&gt;&lt;ChapterVersion&gt;15&lt;/ChapterVersion&gt;&lt;/ChapterMetadata&gt;"/>
    <w:docVar w:name="DM_WB_C2644_METADATA" w:val="&lt;ChapterMetadata&gt;&lt;ChapterId&gt;2644&lt;/ChapterId&gt;&lt;ChapterName&gt;Non-exchange revenue TRANSFERS&lt;/ChapterName&gt;&lt;ChapterNoOfPages&gt;-1&lt;/ChapterNoOfPages&gt;&lt;ChapterVersion&gt;6&lt;/ChapterVersion&gt;&lt;/ChapterMetadata&gt;"/>
    <w:docVar w:name="DM_WB_C2645_METADATA" w:val="&lt;ChapterMetadata&gt;&lt;ChapterId&gt;2645&lt;/ChapterId&gt;&lt;ChapterName&gt;Fines&lt;/ChapterName&gt;&lt;ChapterNoOfPages&gt;-1&lt;/ChapterNoOfPages&gt;&lt;ChapterVersion&gt;10&lt;/ChapterVersion&gt;&lt;/ChapterMetadata&gt;"/>
    <w:docVar w:name="DM_WB_C2646_METADATA" w:val="&lt;ChapterMetadata&gt;&lt;ChapterId&gt;2646&lt;/ChapterId&gt;&lt;ChapterName&gt;Recovery of expenses&lt;/ChapterName&gt;&lt;ChapterNoOfPages&gt;-1&lt;/ChapterNoOfPages&gt;&lt;ChapterVersion&gt;31&lt;/ChapterVersion&gt;&lt;/ChapterMetadata&gt;"/>
    <w:docVar w:name="DM_WB_C2647_METADATA" w:val="&lt;ChapterMetadata&gt;&lt;ChapterId&gt;2647&lt;/ChapterId&gt;&lt;ChapterName&gt;Other non-exchange revenue&lt;/ChapterName&gt;&lt;ChapterNoOfPages&gt;-1&lt;/ChapterNoOfPages&gt;&lt;ChapterVersion&gt;38&lt;/ChapterVersion&gt;&lt;/ChapterMetadata&gt;"/>
    <w:docVar w:name="DM_WB_C2648_METADATA" w:val="&lt;ChapterMetadata&gt;&lt;ChapterId&gt;2648&lt;/ChapterId&gt;&lt;ChapterName&gt;Exchange revenue&lt;/ChapterName&gt;&lt;ChapterNoOfPages&gt;-1&lt;/ChapterNoOfPages&gt;&lt;ChapterVersion&gt;5&lt;/ChapterVersion&gt;&lt;/ChapterMetadata&gt;"/>
    <w:docVar w:name="DM_WB_C2649_METADATA" w:val="&lt;ChapterMetadata&gt;&lt;ChapterId&gt;2649&lt;/ChapterId&gt;&lt;ChapterName&gt;Financial income&lt;/ChapterName&gt;&lt;ChapterNoOfPages&gt;-1&lt;/ChapterNoOfPages&gt;&lt;ChapterVersion&gt;28&lt;/ChapterVersion&gt;&lt;/ChapterMetadata&gt;"/>
    <w:docVar w:name="DM_WB_C2650_METADATA" w:val="&lt;ChapterMetadata&gt;&lt;ChapterId&gt;2650&lt;/ChapterId&gt;&lt;ChapterName&gt;Other exchange revenue&lt;/ChapterName&gt;&lt;ChapterNoOfPages&gt;-1&lt;/ChapterNoOfPages&gt;&lt;ChapterVersion&gt;30&lt;/ChapterVersion&gt;&lt;/ChapterMetadata&gt;"/>
    <w:docVar w:name="DM_WB_C2651_METADATA" w:val="&lt;ChapterMetadata&gt;&lt;ChapterId&gt;2651&lt;/ChapterId&gt;&lt;ChapterName&gt;Expenses - Transfer payments and subsidies by management mode&lt;/ChapterName&gt;&lt;ChapterNoOfPages&gt;-1&lt;/ChapterNoOfPages&gt;&lt;ChapterVersion&gt;6&lt;/ChapterVersion&gt;&lt;/ChapterMetadata&gt;"/>
    <w:docVar w:name="DM_WB_C2652_METADATA" w:val="&lt;ChapterMetadata&gt;&lt;ChapterId&gt;2652&lt;/ChapterId&gt;&lt;ChapterName&gt;Shared management&lt;/ChapterName&gt;&lt;ChapterNoOfPages&gt;-1&lt;/ChapterNoOfPages&gt;&lt;ChapterVersion&gt;31&lt;/ChapterVersion&gt;&lt;/ChapterMetadata&gt;"/>
    <w:docVar w:name="DM_WB_C2653_METADATA" w:val="&lt;ChapterMetadata&gt;&lt;ChapterId&gt;2653&lt;/ChapterId&gt;&lt;ChapterName&gt;Direct management&lt;/ChapterName&gt;&lt;ChapterNoOfPages&gt;-1&lt;/ChapterNoOfPages&gt;&lt;ChapterVersion&gt;24&lt;/ChapterVersion&gt;&lt;/ChapterMetadata&gt;"/>
    <w:docVar w:name="DM_WB_C2654_METADATA" w:val="&lt;ChapterMetadata&gt;&lt;ChapterId&gt;2654&lt;/ChapterId&gt;&lt;ChapterName&gt;Indirect management&lt;/ChapterName&gt;&lt;ChapterNoOfPages&gt;-1&lt;/ChapterNoOfPages&gt;&lt;ChapterVersion&gt;19&lt;/ChapterVersion&gt;&lt;/ChapterMetadata&gt;"/>
    <w:docVar w:name="DM_WB_C2655_METADATA" w:val="&lt;ChapterMetadata&gt;&lt;ChapterId&gt;2655&lt;/ChapterId&gt;&lt;ChapterName&gt;Staff and pension costs&lt;/ChapterName&gt;&lt;ChapterNoOfPages&gt;-1&lt;/ChapterNoOfPages&gt;&lt;ChapterVersion&gt;20&lt;/ChapterVersion&gt;&lt;/ChapterMetadata&gt;"/>
    <w:docVar w:name="DM_WB_C2656_METADATA" w:val="&lt;ChapterMetadata&gt;&lt;ChapterId&gt;2656&lt;/ChapterId&gt;&lt;ChapterName&gt;Changes in employee benefits actuarial assumptions&lt;/ChapterName&gt;&lt;ChapterNoOfPages&gt;-1&lt;/ChapterNoOfPages&gt;&lt;ChapterVersion&gt;13&lt;/ChapterVersion&gt;&lt;/ChapterMetadata&gt;"/>
    <w:docVar w:name="DM_WB_C2657_METADATA" w:val="&lt;ChapterMetadata&gt;&lt;ChapterId&gt;2657&lt;/ChapterId&gt;&lt;ChapterName&gt;Finance costs&lt;/ChapterName&gt;&lt;ChapterNoOfPages&gt;-1&lt;/ChapterNoOfPages&gt;&lt;ChapterVersion&gt;31&lt;/ChapterVersion&gt;&lt;/ChapterMetadata&gt;"/>
    <w:docVar w:name="DM_WB_C2658_METADATA" w:val="&lt;ChapterMetadata&gt;&lt;ChapterId&gt;2658&lt;/ChapterId&gt;&lt;ChapterName&gt;Share of net deficit of joint ventures and associates&lt;/ChapterName&gt;&lt;ChapterNoOfPages&gt;-1&lt;/ChapterNoOfPages&gt;&lt;ChapterVersion&gt;6&lt;/ChapterVersion&gt;&lt;/ChapterMetadata&gt;"/>
    <w:docVar w:name="DM_WB_C2659_METADATA" w:val="&lt;ChapterMetadata&gt;&lt;ChapterId&gt;2659&lt;/ChapterId&gt;&lt;ChapterName&gt;Other expenses&lt;/ChapterName&gt;&lt;ChapterNoOfPages&gt;-1&lt;/ChapterNoOfPages&gt;&lt;ChapterVersion&gt;39&lt;/ChapterVersion&gt;&lt;/ChapterMetadata&gt;"/>
    <w:docVar w:name="DM_WB_C2660_METADATA" w:val="&lt;ChapterMetadata&gt;&lt;ChapterId&gt;2660&lt;/ChapterId&gt;&lt;ChapterName&gt;Segment reporting by multi financial framework headings&lt;/ChapterName&gt;&lt;ChapterNoOfPages&gt;-1&lt;/ChapterNoOfPages&gt;&lt;ChapterVersion&gt;35&lt;/ChapterVersion&gt;&lt;/ChapterMetadata&gt;"/>
    <w:docVar w:name="DM_WB_C2661_METADATA" w:val="&lt;ChapterMetadata&gt;&lt;ChapterId&gt;2661&lt;/ChapterId&gt;&lt;ChapterName&gt;Contingent assets&lt;/ChapterName&gt;&lt;ChapterNoOfPages&gt;-1&lt;/ChapterNoOfPages&gt;&lt;ChapterVersion&gt;16&lt;/ChapterVersion&gt;&lt;/ChapterMetadata&gt;"/>
    <w:docVar w:name="DM_WB_C2662_METADATA" w:val="&lt;ChapterMetadata&gt;&lt;ChapterId&gt;2662&lt;/ChapterId&gt;&lt;ChapterName&gt;Contingent liabilities&lt;/ChapterName&gt;&lt;ChapterNoOfPages&gt;-1&lt;/ChapterNoOfPages&gt;&lt;ChapterVersion&gt;35&lt;/ChapterVersion&gt;&lt;/ChapterMetadata&gt;"/>
    <w:docVar w:name="DM_WB_C2663_METADATA" w:val="&lt;ChapterMetadata&gt;&lt;ChapterId&gt;2663&lt;/ChapterId&gt;&lt;ChapterName&gt;Other significant disclosures&lt;/ChapterName&gt;&lt;ChapterNoOfPages&gt;-1&lt;/ChapterNoOfPages&gt;&lt;ChapterVersion&gt;38&lt;/ChapterVersion&gt;&lt;/ChapterMetadata&gt;"/>
    <w:docVar w:name="DM_WB_C2664_METADATA" w:val="&lt;ChapterMetadata&gt;&lt;ChapterId&gt;2664&lt;/ChapterId&gt;&lt;ChapterName&gt;Currency risks&lt;/ChapterName&gt;&lt;ChapterNoOfPages&gt;-1&lt;/ChapterNoOfPages&gt;&lt;ChapterVersion&gt;29&lt;/ChapterVersion&gt;&lt;/ChapterMetadata&gt;"/>
    <w:docVar w:name="DM_WB_C2665_METADATA" w:val="&lt;ChapterMetadata&gt;&lt;ChapterId&gt;2665&lt;/ChapterId&gt;&lt;ChapterName&gt;Interest rate risk&lt;/ChapterName&gt;&lt;ChapterNoOfPages&gt;-1&lt;/ChapterNoOfPages&gt;&lt;ChapterVersion&gt;27&lt;/ChapterVersion&gt;&lt;/ChapterMetadata&gt;"/>
    <w:docVar w:name="DM_WB_C2666_METADATA" w:val="&lt;ChapterMetadata&gt;&lt;ChapterId&gt;2666&lt;/ChapterId&gt;&lt;ChapterName&gt;Credit risk&lt;/ChapterName&gt;&lt;ChapterNoOfPages&gt;-1&lt;/ChapterNoOfPages&gt;&lt;ChapterVersion&gt;39&lt;/ChapterVersion&gt;&lt;/ChapterMetadata&gt;"/>
    <w:docVar w:name="DM_WB_C2667_METADATA" w:val="&lt;ChapterMetadata&gt;&lt;ChapterId&gt;2667&lt;/ChapterId&gt;&lt;ChapterName&gt;Liquidity risk&lt;/ChapterName&gt;&lt;ChapterNoOfPages&gt;-1&lt;/ChapterNoOfPages&gt;&lt;ChapterVersion&gt;30&lt;/ChapterVersion&gt;&lt;/ChapterMetadata&gt;"/>
    <w:docVar w:name="DM_WB_C2686_METADATA" w:val="&lt;ChapterMetadata&gt;&lt;ChapterId&gt;2686&lt;/ChapterId&gt;&lt;ChapterName&gt;Note accompanying the consolidated accounts&lt;/ChapterName&gt;&lt;ChapterNoOfPages&gt;-1&lt;/ChapterNoOfPages&gt;&lt;ChapterVersion&gt;3&lt;/ChapterVersion&gt;&lt;/ChapterMetadata&gt;"/>
    <w:docVar w:name="DM_WB_C2738_METADATA" w:val="&lt;ChapterMetadata&gt;&lt;ChapterId&gt;2738&lt;/ChapterId&gt;&lt;ChapterName&gt;Scope of consolidation&lt;/ChapterName&gt;&lt;ChapterNoOfPages&gt;-1&lt;/ChapterNoOfPages&gt;&lt;ChapterVersion&gt;21&lt;/ChapterVersion&gt;&lt;/ChapterMetadata&gt;"/>
    <w:docVar w:name="DM_WB_C3425_METADATA" w:val="&lt;ChapterMetadata&gt;&lt;ChapterId&gt;3425&lt;/ChapterId&gt;&lt;ChapterName&gt;Table of Content 3&lt;/ChapterName&gt;&lt;ChapterNoOfPages&gt;-1&lt;/ChapterNoOfPages&gt;&lt;ChapterVersion&gt;5&lt;/ChapterVersion&gt;&lt;/ChapterMetadata&gt;"/>
    <w:docVar w:name="DM_WB_C3427_METADATA" w:val="&lt;ChapterMetadata&gt;&lt;ChapterId&gt;3427&lt;/ChapterId&gt;&lt;ChapterName&gt;Notes to the aggregated reports on the implementation of the budget&lt;/ChapterName&gt;&lt;ChapterNoOfPages&gt;-1&lt;/ChapterNoOfPages&gt;&lt;ChapterVersion&gt;36&lt;/ChapterVersion&gt;&lt;/ChapterMetadata&gt;"/>
    <w:docVar w:name="DM_WB_C3428_METADATA" w:val="&lt;ChapterMetadata&gt;&lt;ChapterId&gt;3428&lt;/ChapterId&gt;&lt;ChapterName&gt;EU Budget result&lt;/ChapterName&gt;&lt;ChapterNoOfPages&gt;-1&lt;/ChapterNoOfPages&gt;&lt;ChapterVersion&gt;13&lt;/ChapterVersion&gt;&lt;/ChapterMetadata&gt;"/>
    <w:docVar w:name="DM_WB_C3429_METADATA" w:val="&lt;ChapterMetadata&gt;&lt;ChapterId&gt;3429&lt;/ChapterId&gt;&lt;ChapterName&gt;Reconciliation of Economic result with Budget result&lt;/ChapterName&gt;&lt;ChapterNoOfPages&gt;-1&lt;/ChapterNoOfPages&gt;&lt;ChapterVersion&gt;12&lt;/ChapterVersion&gt;&lt;/ChapterMetadata&gt;"/>
    <w:docVar w:name="DM_WB_C3431_METADATA" w:val="&lt;ChapterMetadata&gt;&lt;ChapterId&gt;3431&lt;/ChapterId&gt;&lt;ChapterName&gt;Statement of comparison of budget and actual amounts - Budget revenue&lt;/ChapterName&gt;&lt;ChapterNoOfPages&gt;-1&lt;/ChapterNoOfPages&gt;&lt;ChapterVersion&gt;14&lt;/ChapterVersion&gt;&lt;/ChapterMetadata&gt;"/>
    <w:docVar w:name="DM_WB_C3432_METADATA" w:val="&lt;ChapterMetadata&gt;&lt;ChapterId&gt;3432&lt;/ChapterId&gt;&lt;ChapterName&gt;Implementation of EU budget revenue&lt;/ChapterName&gt;&lt;ChapterNoOfPages&gt;-1&lt;/ChapterNoOfPages&gt;&lt;ChapterVersion&gt;2&lt;/ChapterVersion&gt;&lt;/ChapterMetadata&gt;"/>
    <w:docVar w:name="DM_WB_C3433_METADATA" w:val="&lt;ChapterMetadata&gt;&lt;ChapterId&gt;3433&lt;/ChapterId&gt;&lt;ChapterName&gt;Summary of implementation of budget revenue&lt;/ChapterName&gt;&lt;ChapterNoOfPages&gt;-1&lt;/ChapterNoOfPages&gt;&lt;ChapterVersion&gt;16&lt;/ChapterVersion&gt;&lt;/ChapterMetadata&gt;"/>
    <w:docVar w:name="DM_WB_C3435_METADATA" w:val="&lt;ChapterMetadata&gt;&lt;ChapterId&gt;3435&lt;/ChapterId&gt;&lt;ChapterName&gt;Implementation of EU budget expenditure&lt;/ChapterName&gt;&lt;ChapterNoOfPages&gt;-1&lt;/ChapterNoOfPages&gt;&lt;ChapterVersion&gt;2&lt;/ChapterVersion&gt;&lt;/ChapterMetadata&gt;"/>
    <w:docVar w:name="DM_WB_C3436_METADATA" w:val="&lt;ChapterMetadata&gt;&lt;ChapterId&gt;3436&lt;/ChapterId&gt;&lt;ChapterName&gt;MFF - BD and changes in Comm and Paym appropriations&lt;/ChapterName&gt;&lt;ChapterNoOfPages&gt;-1&lt;/ChapterNoOfPages&gt;&lt;ChapterVersion&gt;13&lt;/ChapterVersion&gt;&lt;/ChapterMetadata&gt;"/>
    <w:docVar w:name="DM_WB_C3437_METADATA" w:val="&lt;ChapterMetadata&gt;&lt;ChapterId&gt;3437&lt;/ChapterId&gt;&lt;ChapterName&gt;MFF - Implementation of Comm appropriations&lt;/ChapterName&gt;&lt;ChapterNoOfPages&gt;-1&lt;/ChapterNoOfPages&gt;&lt;ChapterVersion&gt;12&lt;/ChapterVersion&gt;&lt;/ChapterMetadata&gt;"/>
    <w:docVar w:name="DM_WB_C3438_METADATA" w:val="&lt;ChapterMetadata&gt;&lt;ChapterId&gt;3438&lt;/ChapterId&gt;&lt;ChapterName&gt;MFF - Implementation of Paym appropriations&lt;/ChapterName&gt;&lt;ChapterNoOfPages&gt;-1&lt;/ChapterNoOfPages&gt;&lt;ChapterVersion&gt;12&lt;/ChapterVersion&gt;&lt;/ChapterMetadata&gt;"/>
    <w:docVar w:name="DM_WB_C3439_METADATA" w:val="&lt;ChapterMetadata&gt;&lt;ChapterId&gt;3439&lt;/ChapterId&gt;&lt;ChapterName&gt;MFF - Movements in commitments outstanding (RAL)&lt;/ChapterName&gt;&lt;ChapterNoOfPages&gt;-1&lt;/ChapterNoOfPages&gt;&lt;ChapterVersion&gt;11&lt;/ChapterVersion&gt;&lt;/ChapterMetadata&gt;"/>
    <w:docVar w:name="DM_WB_C3440_METADATA" w:val="&lt;ChapterMetadata&gt;&lt;ChapterId&gt;3440&lt;/ChapterId&gt;&lt;ChapterName&gt;MFF - BD of Commitments outstanding by year of origin&lt;/ChapterName&gt;&lt;ChapterNoOfPages&gt;-1&lt;/ChapterNoOfPages&gt;&lt;ChapterVersion&gt;12&lt;/ChapterVersion&gt;&lt;/ChapterMetadata&gt;"/>
    <w:docVar w:name="DM_WB_C3441_METADATA" w:val="&lt;ChapterMetadata&gt;&lt;ChapterId&gt;3441&lt;/ChapterId&gt;&lt;ChapterName&gt;Policy area - BD and changes in commitments and payments appropriations&lt;/ChapterName&gt;&lt;ChapterNoOfPages&gt;-1&lt;/ChapterNoOfPages&gt;&lt;ChapterVersion&gt;14&lt;/ChapterVersion&gt;&lt;/ChapterMetadata&gt;"/>
    <w:docVar w:name="DM_WB_C3442_METADATA" w:val="&lt;ChapterMetadata&gt;&lt;ChapterId&gt;3442&lt;/ChapterId&gt;&lt;ChapterName&gt;Policy area - Implementation of Comm appropriations&lt;/ChapterName&gt;&lt;ChapterNoOfPages&gt;-1&lt;/ChapterNoOfPages&gt;&lt;ChapterVersion&gt;14&lt;/ChapterVersion&gt;&lt;/ChapterMetadata&gt;"/>
    <w:docVar w:name="DM_WB_C3443_METADATA" w:val="&lt;ChapterMetadata&gt;&lt;ChapterId&gt;3443&lt;/ChapterId&gt;&lt;ChapterName&gt;Policy area - Implementation of Paym appropriations&lt;/ChapterName&gt;&lt;ChapterNoOfPages&gt;-1&lt;/ChapterNoOfPages&gt;&lt;ChapterVersion&gt;12&lt;/ChapterVersion&gt;&lt;/ChapterMetadata&gt;"/>
    <w:docVar w:name="DM_WB_C3444_METADATA" w:val="&lt;ChapterMetadata&gt;&lt;ChapterId&gt;3444&lt;/ChapterId&gt;&lt;ChapterName&gt;Policy area - Movements in Comm outstanding&lt;/ChapterName&gt;&lt;ChapterNoOfPages&gt;-1&lt;/ChapterNoOfPages&gt;&lt;ChapterVersion&gt;11&lt;/ChapterVersion&gt;&lt;/ChapterMetadata&gt;"/>
    <w:docVar w:name="DM_WB_C3445_METADATA" w:val="&lt;ChapterMetadata&gt;&lt;ChapterId&gt;3445&lt;/ChapterId&gt;&lt;ChapterName&gt;Policy area - BD of comm outstanding by year of origin&lt;/ChapterName&gt;&lt;ChapterNoOfPages&gt;-1&lt;/ChapterNoOfPages&gt;&lt;ChapterVersion&gt;11&lt;/ChapterVersion&gt;&lt;/ChapterMetadata&gt;"/>
    <w:docVar w:name="DM_WB_C3448_METADATA" w:val="&lt;ChapterMetadata&gt;&lt;ChapterId&gt;3448&lt;/ChapterId&gt;&lt;ChapterName&gt;EU Institutions and agencies&lt;/ChapterName&gt;&lt;ChapterNoOfPages&gt;-1&lt;/ChapterNoOfPages&gt;&lt;ChapterVersion&gt;2&lt;/ChapterVersion&gt;&lt;/ChapterMetadata&gt;"/>
    <w:docVar w:name="DM_WB_C3449_METADATA" w:val="&lt;ChapterMetadata&gt;&lt;ChapterId&gt;3449&lt;/ChapterId&gt;&lt;ChapterName&gt;Institutions - Summary of implementation of budget revenue&lt;/ChapterName&gt;&lt;ChapterNoOfPages&gt;-1&lt;/ChapterNoOfPages&gt;&lt;ChapterVersion&gt;15&lt;/ChapterVersion&gt;&lt;/ChapterMetadata&gt;"/>
    <w:docVar w:name="DM_WB_C3450_METADATA" w:val="&lt;ChapterMetadata&gt;&lt;ChapterId&gt;3450&lt;/ChapterId&gt;&lt;ChapterName&gt;Institutions - Implementation of Comm and payment appropriations&lt;/ChapterName&gt;&lt;ChapterNoOfPages&gt;-1&lt;/ChapterNoOfPages&gt;&lt;ChapterVersion&gt;14&lt;/ChapterVersion&gt;&lt;/ChapterMetadata&gt;"/>
    <w:docVar w:name="DM_WB_C3451_METADATA" w:val="&lt;ChapterMetadata&gt;&lt;ChapterId&gt;3451&lt;/ChapterId&gt;&lt;ChapterName&gt;Commitment and payment appropr by agency&lt;/ChapterName&gt;&lt;ChapterNoOfPages&gt;-1&lt;/ChapterNoOfPages&gt;&lt;ChapterVersion&gt;14&lt;/ChapterVersion&gt;&lt;/ChapterMetadata&gt;"/>
    <w:docVar w:name="DM_WB_C3452_METADATA" w:val="&lt;ChapterMetadata&gt;&lt;ChapterId&gt;3452&lt;/ChapterId&gt;&lt;ChapterName&gt;Agencies income - budget forecasts entitlements and amounts received&lt;/ChapterName&gt;&lt;ChapterNoOfPages&gt;-1&lt;/ChapterNoOfPages&gt;&lt;ChapterVersion&gt;13&lt;/ChapterVersion&gt;&lt;/ChapterMetadata&gt;"/>
    <w:docVar w:name="DM_WB_C3453_METADATA" w:val="&lt;ChapterMetadata&gt;&lt;ChapterId&gt;3453&lt;/ChapterId&gt;&lt;ChapterName&gt;EU budget result including agencies&lt;/ChapterName&gt;&lt;ChapterNoOfPages&gt;-1&lt;/ChapterNoOfPages&gt;&lt;ChapterVersion&gt;13&lt;/ChapterVersion&gt;&lt;/ChapterMetadata&gt;"/>
    <w:docVar w:name="DM_WB_C3455_METADATA" w:val="&lt;ChapterMetadata&gt;&lt;ChapterId&gt;3455&lt;/ChapterId&gt;&lt;ChapterName&gt;Aggregated reports on the implementation of the budget and explanatory notes 2014&lt;/ChapterName&gt;&lt;ChapterNoOfPages&gt;-1&lt;/ChapterNoOfPages&gt;&lt;ChapterVersion&gt;3&lt;/ChapterVersion&gt;&lt;/ChapterMetadata&gt;"/>
    <w:docVar w:name="DM_WB_C3457_METADATA" w:val="&lt;ChapterMetadata&gt;&lt;ChapterId&gt;3457&lt;/ChapterId&gt;&lt;ChapterName&gt;Statement of comparison of budget and actual amounts - Budget expenditure&lt;/ChapterName&gt;&lt;ChapterNoOfPages&gt;-1&lt;/ChapterNoOfPages&gt;&lt;ChapterVersion&gt;15&lt;/ChapterVersion&gt;&lt;/ChapterMetadata&gt;"/>
    <w:docVar w:name="DM_WB_C3458_METADATA" w:val="&lt;ChapterMetadata&gt;&lt;ChapterId&gt;3458&lt;/ChapterId&gt;&lt;ChapterName&gt;Notes to the EU budget result&lt;/ChapterName&gt;&lt;ChapterNoOfPages&gt;-1&lt;/ChapterNoOfPages&gt;&lt;ChapterVersion&gt;12&lt;/ChapterVersion&gt;&lt;/ChapterMetadata&gt;"/>
    <w:docVar w:name="DM_WB_C3459_METADATA" w:val="&lt;ChapterMetadata&gt;&lt;ChapterId&gt;3459&lt;/ChapterId&gt;&lt;ChapterName&gt;Notes to the reconciliation of economic result with budget result&lt;/ChapterName&gt;&lt;ChapterNoOfPages&gt;-1&lt;/ChapterNoOfPages&gt;&lt;ChapterVersion&gt;6&lt;/ChapterVersion&gt;&lt;/ChapterMetadata&gt;"/>
    <w:docVar w:name="DM_WB_C3461_METADATA" w:val="&lt;ChapterMetadata&gt;&lt;ChapterId&gt;3461&lt;/ChapterId&gt;&lt;ChapterName&gt;Revenue implementation text&lt;/ChapterName&gt;&lt;ChapterNoOfPages&gt;-1&lt;/ChapterNoOfPages&gt;&lt;ChapterVersion&gt;16&lt;/ChapterVersion&gt;&lt;/ChapterMetadata&gt;"/>
    <w:docVar w:name="DM_WB_C3462_METADATA" w:val="&lt;ChapterMetadata&gt;&lt;ChapterId&gt;3462&lt;/ChapterId&gt;&lt;ChapterName&gt;Policy area - Comparison of budget and actual commitments&lt;/ChapterName&gt;&lt;ChapterNoOfPages&gt;-1&lt;/ChapterNoOfPages&gt;&lt;ChapterVersion&gt;15&lt;/ChapterVersion&gt;&lt;/ChapterMetadata&gt;"/>
    <w:docVar w:name="DM_WB_C3463_METADATA" w:val="&lt;ChapterMetadata&gt;&lt;ChapterId&gt;3463&lt;/ChapterId&gt;&lt;ChapterName&gt;Policy area - Comparison of budget and actual payments&lt;/ChapterName&gt;&lt;ChapterNoOfPages&gt;-1&lt;/ChapterNoOfPages&gt;&lt;ChapterVersion&gt;13&lt;/ChapterVersion&gt;&lt;/ChapterMetadata&gt;"/>
    <w:docVar w:name="DM_WB_C3464_METADATA" w:val="&lt;ChapterMetadata&gt;&lt;ChapterId&gt;3464&lt;/ChapterId&gt;&lt;ChapterName&gt;Implementation of 2014 expenditure&lt;/ChapterName&gt;&lt;ChapterNoOfPages&gt;-1&lt;/ChapterNoOfPages&gt;&lt;ChapterVersion&gt;10&lt;/ChapterVersion&gt;&lt;/ChapterMetadata&gt;"/>
    <w:docVar w:name="DM_WB_C3505_METADATA" w:val="&lt;ChapterMetadata&gt;&lt;ChapterId&gt;3505&lt;/ChapterId&gt;&lt;ChapterName&gt;Property plant and equipment TABLE&lt;/ChapterName&gt;&lt;ChapterNoOfPages&gt;-1&lt;/ChapterNoOfPages&gt;&lt;ChapterVersion&gt;23&lt;/ChapterVersion&gt;&lt;/ChapterMetadata&gt;"/>
    <w:docVar w:name="DM_WB_C3527_METADATA" w:val="&lt;ChapterMetadata&gt;&lt;ChapterId&gt;3527&lt;/ChapterId&gt;&lt;ChapterName&gt;Currency risks - text&lt;/ChapterName&gt;&lt;ChapterNoOfPages&gt;-1&lt;/ChapterNoOfPages&gt;&lt;ChapterVersion&gt;18&lt;/ChapterVersion&gt;&lt;/ChapterMetadata&gt;"/>
    <w:docVar w:name="DM_WB_C3534_METADATA" w:val="&lt;ChapterMetadata&gt;&lt;ChapterId&gt;3534&lt;/ChapterId&gt;&lt;ChapterName&gt;Reconciliation of carrying amount and fair value of financial instruments&lt;/ChapterName&gt;&lt;ChapterNoOfPages&gt;-1&lt;/ChapterNoOfPages&gt;&lt;ChapterVersion&gt;20&lt;/ChapterVersion&gt;&lt;/ChapterMetadata&gt;"/>
    <w:docVar w:name="DM_WB_C3883_METADATA" w:val="&lt;ChapterMetadata&gt;&lt;ChapterId&gt;3883&lt;/ChapterId&gt;&lt;ChapterName&gt;Significant accounting policies - Title&lt;/ChapterName&gt;&lt;ChapterNoOfPages&gt;-1&lt;/ChapterNoOfPages&gt;&lt;ChapterVersion&gt;3&lt;/ChapterVersion&gt;&lt;/ChapterMetadata&gt;"/>
    <w:docVar w:name="doc_tbl00002_1_1" w:val="|@|1|2057"/>
    <w:docVar w:name="doc_tbl00004_1_1" w:val="|@|1|2057"/>
    <w:docVar w:name="doc_tbl00006_1_1" w:val="Type of asset|@|1|2057"/>
    <w:docVar w:name="doc_tbl00021_1_1" w:val="|@|1|2057"/>
    <w:docVar w:name="doc_tbl00032_1_1" w:val="|@|1|2057"/>
    <w:docVar w:name="doc_tbl00092_1_1" w:val="|@|1|2057"/>
    <w:docVar w:name="doc_tbl00093_1_1" w:val="|@|1|2057"/>
    <w:docVar w:name="doc_tbl00094_1_1" w:val="|@|1|2057"/>
    <w:docVar w:name="DocStatus" w:val="Green"/>
    <w:docVar w:name="FigNum" w:val="1"/>
    <w:docVar w:name="LW_CONFIDENCE" w:val=" "/>
    <w:docVar w:name="LW_CONST_RESTREINT_UE" w:val="RESTREINT UE/EU RESTRICTED"/>
    <w:docVar w:name="LW_CORRIGENDUM" w:val="&lt;UNUSED&gt;"/>
    <w:docVar w:name="LW_COVERPAGE_GUID" w:val="B1EB5B58A8BB475DB288364DE2A3E38D"/>
    <w:docVar w:name="LW_CROSSREFERENCE" w:val="&lt;UNUSED&gt;"/>
    <w:docVar w:name="LW_DocType" w:val="NORMAL"/>
    <w:docVar w:name="LW_EMISSION" w:val="23.7.2015"/>
    <w:docVar w:name="LW_EMISSION_ISODATE" w:val="2015-07-23"/>
    <w:docVar w:name="LW_EMISSION_LOCATION" w:val="BRX"/>
    <w:docVar w:name="LW_EMISSION_PREFIX" w:val="\u1041?\u1088?\u1102?\u1082?\u1089?\u1077?\u1083?, "/>
    <w:docVar w:name="LW_EMISSION_SUFFIX" w:val=" \u1075?."/>
    <w:docVar w:name="LW_ID_DOCTYPE_NONLW" w:val="CP-009"/>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5) 377"/>
    <w:docVar w:name="LW_REF.INTERNE" w:val="&lt;UNUSED&gt;"/>
    <w:docVar w:name="LW_SOUS.TITRE.OBJ.CP" w:val="&lt;UNUSED&gt;"/>
    <w:docVar w:name="LW_SUPERTITRE" w:val="&lt;UNUSED&gt;"/>
    <w:docVar w:name="LW_TITRE.OBJ.CP" w:val="\u1050?\u1054?\u1053?\u1057?\u1054?\u1051?\u1048?\u1044?\u1048?\u1056?\u1040?\u1053?\u1048? \u1043?\u1054?\u1044?\u1048?\u1064?\u1053?\u1048? \u1054?\u1058?\u1063?\u1045?\u1058?\u1048? \u1053?\u1040? \u1045?\u1042?\u1056?\u1054?\u1055?\u1045?\u1049?\u1057?\u1050?\u1048?\u1071? \u1057?\u1066?\u1070?\u1047?\u1040? \u1047?\u1040? 2014 \u1043?."/>
    <w:docVar w:name="LW_TYPE.DOC.CP" w:val="\u1057?\u1066?\u1054?\u1041?\u1065?\u1045?\u1053?\u1048?\u1045? \u1053?\u1040? \u1050?\u1054?\u1052?\u1048?\u1057?\u1048?\u1071?\u1058?\u1040?"/>
    <w:docVar w:name="LW_TYPE.DOC.CP.USERTEXT" w:val="\u1044?\u1054? \u1045?\u1042?\u1056?\u1054?\u1055?\u1045?\u1049?\u1057?\u1050?\u1048?\u1071? \u1055?\u1040?\u1056?\u1051?\u1040?\u1052?\u1045?\u1053?\u1058?, \u1057?\u1066?\u1042?\u1045?\u1058?\u1040? \u1048? \u1057?\u1052?\u1045?\u1058?\u1053?\u1040?\u1058?\u1040? \u1055?\u1040?\u1051?\u1040?\u1058?\u1040?"/>
  </w:docVars>
  <w:rsids>
    <w:rsidRoot w:val="00E7728E"/>
    <w:rsid w:val="0004057B"/>
    <w:rsid w:val="00056CE7"/>
    <w:rsid w:val="0007393B"/>
    <w:rsid w:val="000B7C2B"/>
    <w:rsid w:val="000F04D2"/>
    <w:rsid w:val="00101459"/>
    <w:rsid w:val="001075AF"/>
    <w:rsid w:val="00114221"/>
    <w:rsid w:val="00116387"/>
    <w:rsid w:val="0012099B"/>
    <w:rsid w:val="00186ABB"/>
    <w:rsid w:val="001A159C"/>
    <w:rsid w:val="001A472B"/>
    <w:rsid w:val="001A62AA"/>
    <w:rsid w:val="001C635F"/>
    <w:rsid w:val="001D39BE"/>
    <w:rsid w:val="00205192"/>
    <w:rsid w:val="00226A4D"/>
    <w:rsid w:val="002959CC"/>
    <w:rsid w:val="002A6B91"/>
    <w:rsid w:val="002E1AFE"/>
    <w:rsid w:val="002F240A"/>
    <w:rsid w:val="003572DA"/>
    <w:rsid w:val="00386B0F"/>
    <w:rsid w:val="003879AD"/>
    <w:rsid w:val="003A3A39"/>
    <w:rsid w:val="003D264A"/>
    <w:rsid w:val="00402B9F"/>
    <w:rsid w:val="00425701"/>
    <w:rsid w:val="00426F0A"/>
    <w:rsid w:val="00443338"/>
    <w:rsid w:val="004B309B"/>
    <w:rsid w:val="004F7F0A"/>
    <w:rsid w:val="00503894"/>
    <w:rsid w:val="005233AB"/>
    <w:rsid w:val="00541D20"/>
    <w:rsid w:val="005A17DF"/>
    <w:rsid w:val="005A36C4"/>
    <w:rsid w:val="005D3A22"/>
    <w:rsid w:val="005F4D01"/>
    <w:rsid w:val="005F66D3"/>
    <w:rsid w:val="006868FC"/>
    <w:rsid w:val="006C2486"/>
    <w:rsid w:val="006C6903"/>
    <w:rsid w:val="006D12DB"/>
    <w:rsid w:val="0072577F"/>
    <w:rsid w:val="00762493"/>
    <w:rsid w:val="00776037"/>
    <w:rsid w:val="007B09E9"/>
    <w:rsid w:val="007C0B3B"/>
    <w:rsid w:val="007C0DF8"/>
    <w:rsid w:val="007C2AD5"/>
    <w:rsid w:val="007C2CFA"/>
    <w:rsid w:val="00803415"/>
    <w:rsid w:val="00823FE4"/>
    <w:rsid w:val="00830B7F"/>
    <w:rsid w:val="0083781B"/>
    <w:rsid w:val="00875458"/>
    <w:rsid w:val="008A7D59"/>
    <w:rsid w:val="008C16AE"/>
    <w:rsid w:val="009137BE"/>
    <w:rsid w:val="00923D12"/>
    <w:rsid w:val="00945E7C"/>
    <w:rsid w:val="009471AD"/>
    <w:rsid w:val="009756AC"/>
    <w:rsid w:val="009936B2"/>
    <w:rsid w:val="009B21B2"/>
    <w:rsid w:val="009B2853"/>
    <w:rsid w:val="009E7428"/>
    <w:rsid w:val="009F48DE"/>
    <w:rsid w:val="009F5616"/>
    <w:rsid w:val="009F6ABD"/>
    <w:rsid w:val="00A4536F"/>
    <w:rsid w:val="00A675FE"/>
    <w:rsid w:val="00A82E61"/>
    <w:rsid w:val="00AC6FC1"/>
    <w:rsid w:val="00AD001C"/>
    <w:rsid w:val="00AD31D6"/>
    <w:rsid w:val="00AF33A1"/>
    <w:rsid w:val="00AF4755"/>
    <w:rsid w:val="00B019A2"/>
    <w:rsid w:val="00B03FA7"/>
    <w:rsid w:val="00B1413E"/>
    <w:rsid w:val="00B55B79"/>
    <w:rsid w:val="00B70643"/>
    <w:rsid w:val="00B82250"/>
    <w:rsid w:val="00BB1B4E"/>
    <w:rsid w:val="00BB7516"/>
    <w:rsid w:val="00BD5073"/>
    <w:rsid w:val="00C21E0C"/>
    <w:rsid w:val="00C36EFA"/>
    <w:rsid w:val="00C47120"/>
    <w:rsid w:val="00C946BD"/>
    <w:rsid w:val="00D368BD"/>
    <w:rsid w:val="00D477EB"/>
    <w:rsid w:val="00D64639"/>
    <w:rsid w:val="00D756BA"/>
    <w:rsid w:val="00DA549F"/>
    <w:rsid w:val="00DE311B"/>
    <w:rsid w:val="00DF38D4"/>
    <w:rsid w:val="00E44E62"/>
    <w:rsid w:val="00E5643C"/>
    <w:rsid w:val="00E7728E"/>
    <w:rsid w:val="00E77B23"/>
    <w:rsid w:val="00E8741F"/>
    <w:rsid w:val="00F12CBE"/>
    <w:rsid w:val="00F148BC"/>
    <w:rsid w:val="00F1765A"/>
    <w:rsid w:val="00F21E87"/>
    <w:rsid w:val="00F32A23"/>
    <w:rsid w:val="00F50689"/>
    <w:rsid w:val="00F738EA"/>
    <w:rsid w:val="00F75541"/>
    <w:rsid w:val="00F818AC"/>
    <w:rsid w:val="00FF01B2"/>
    <w:rsid w:val="00FF6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bg-BG"/>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B09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paragraph" w:customStyle="1" w:styleId="Textstand-alone">
    <w:name w:val="Text_stand-alone"/>
    <w:basedOn w:val="Normal"/>
    <w:qFormat/>
    <w:rsid w:val="00F35B1B"/>
    <w:pPr>
      <w:spacing w:before="240" w:after="240"/>
      <w:jc w:val="both"/>
    </w:pPr>
    <w:rPr>
      <w:rFonts w:ascii="Verdana" w:hAnsi="Verdana"/>
      <w:noProof/>
      <w:sz w:val="18"/>
      <w:szCs w:val="18"/>
    </w:rPr>
  </w:style>
  <w:style w:type="paragraph" w:customStyle="1" w:styleId="FIRSTCHAPTERPAGE">
    <w:name w:val="FIRST_CHAPTER_PAGE"/>
    <w:basedOn w:val="Normal"/>
    <w:qFormat/>
    <w:rsid w:val="00C61F02"/>
    <w:pPr>
      <w:spacing w:before="240" w:after="720"/>
    </w:pPr>
    <w:rPr>
      <w:rFonts w:ascii="Verdana" w:hAnsi="Verdana"/>
      <w:b/>
      <w:color w:val="016794"/>
      <w:sz w:val="40"/>
      <w:szCs w:val="40"/>
    </w:rPr>
  </w:style>
  <w:style w:type="paragraph" w:customStyle="1" w:styleId="HEADER1Part4">
    <w:name w:val="HEADER 1_Part 4"/>
    <w:basedOn w:val="HEADER1Part3"/>
    <w:qFormat/>
    <w:rsid w:val="00632F43"/>
    <w:pPr>
      <w:numPr>
        <w:numId w:val="1"/>
      </w:numPr>
    </w:pPr>
  </w:style>
  <w:style w:type="paragraph" w:customStyle="1" w:styleId="HEADER2Part4">
    <w:name w:val="HEADER 2_Part 4"/>
    <w:basedOn w:val="HEADER2Part3"/>
    <w:qFormat/>
    <w:rsid w:val="0039477C"/>
    <w:pPr>
      <w:numPr>
        <w:numId w:val="1"/>
      </w:numPr>
    </w:pPr>
  </w:style>
  <w:style w:type="paragraph" w:customStyle="1" w:styleId="HEADER2Part3">
    <w:name w:val="HEADER 2_Part 3"/>
    <w:basedOn w:val="Normal"/>
    <w:qFormat/>
    <w:rsid w:val="00C61F02"/>
    <w:pPr>
      <w:numPr>
        <w:ilvl w:val="1"/>
        <w:numId w:val="2"/>
      </w:numPr>
      <w:tabs>
        <w:tab w:val="left" w:pos="907"/>
      </w:tabs>
      <w:spacing w:before="360" w:after="360"/>
    </w:pPr>
    <w:rPr>
      <w:rFonts w:ascii="Verdana" w:hAnsi="Verdana"/>
      <w:b/>
      <w:noProof/>
      <w:color w:val="016794"/>
      <w:sz w:val="28"/>
      <w:szCs w:val="30"/>
    </w:rPr>
  </w:style>
  <w:style w:type="paragraph" w:customStyle="1" w:styleId="HEADER1Part3">
    <w:name w:val="HEADER 1_Part 3"/>
    <w:basedOn w:val="Normal"/>
    <w:qFormat/>
    <w:rsid w:val="00C61F02"/>
    <w:pPr>
      <w:numPr>
        <w:numId w:val="2"/>
      </w:numPr>
      <w:tabs>
        <w:tab w:val="left" w:pos="907"/>
      </w:tabs>
      <w:spacing w:after="240"/>
    </w:pPr>
    <w:rPr>
      <w:rFonts w:ascii="Verdana" w:hAnsi="Verdana"/>
      <w:b/>
      <w:color w:val="016794"/>
      <w:sz w:val="32"/>
      <w:szCs w:val="32"/>
    </w:rPr>
  </w:style>
  <w:style w:type="paragraph" w:customStyle="1" w:styleId="HEADER3Part3">
    <w:name w:val="HEADER 3_Part 3"/>
    <w:basedOn w:val="HEADER3Part1"/>
    <w:qFormat/>
    <w:rsid w:val="00C61F02"/>
    <w:pPr>
      <w:numPr>
        <w:numId w:val="2"/>
      </w:numPr>
    </w:pPr>
  </w:style>
  <w:style w:type="paragraph" w:customStyle="1" w:styleId="HEADER3Part1">
    <w:name w:val="HEADER 3_Part 1"/>
    <w:basedOn w:val="Normal"/>
    <w:qFormat/>
    <w:rsid w:val="00C61F02"/>
    <w:pPr>
      <w:numPr>
        <w:ilvl w:val="2"/>
        <w:numId w:val="3"/>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C61F02"/>
    <w:pPr>
      <w:numPr>
        <w:numId w:val="3"/>
      </w:numPr>
      <w:jc w:val="both"/>
    </w:pPr>
  </w:style>
  <w:style w:type="paragraph" w:customStyle="1" w:styleId="HEADER2Part1">
    <w:name w:val="HEADER 2 _Part 1"/>
    <w:basedOn w:val="Normal"/>
    <w:qFormat/>
    <w:rsid w:val="00C61F02"/>
    <w:pPr>
      <w:numPr>
        <w:ilvl w:val="1"/>
        <w:numId w:val="3"/>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C61F02"/>
    <w:pPr>
      <w:numPr>
        <w:ilvl w:val="3"/>
      </w:numPr>
    </w:pPr>
    <w:rPr>
      <w:sz w:val="18"/>
      <w:szCs w:val="18"/>
    </w:rPr>
  </w:style>
  <w:style w:type="paragraph" w:customStyle="1" w:styleId="HEADER3Part4">
    <w:name w:val="HEADER 3_Part 4"/>
    <w:basedOn w:val="HEADER3Part3"/>
    <w:qFormat/>
    <w:rsid w:val="0039477C"/>
    <w:pPr>
      <w:numPr>
        <w:numId w:val="1"/>
      </w:numPr>
    </w:pPr>
  </w:style>
  <w:style w:type="paragraph" w:customStyle="1" w:styleId="HEADER4Part4">
    <w:name w:val="HEADER 4_Part 4"/>
    <w:basedOn w:val="HEADER3Part2"/>
    <w:qFormat/>
    <w:rsid w:val="0039477C"/>
    <w:pPr>
      <w:numPr>
        <w:ilvl w:val="3"/>
        <w:numId w:val="1"/>
      </w:numPr>
    </w:pPr>
  </w:style>
  <w:style w:type="paragraph" w:customStyle="1" w:styleId="HEADER3Part2">
    <w:name w:val="HEADER 3_Part 2"/>
    <w:basedOn w:val="HEADER3Part1"/>
    <w:qFormat/>
    <w:rsid w:val="00C61F02"/>
    <w:pPr>
      <w:numPr>
        <w:numId w:val="13"/>
      </w:numPr>
      <w:tabs>
        <w:tab w:val="clear" w:pos="907"/>
      </w:tabs>
    </w:pPr>
  </w:style>
  <w:style w:type="paragraph" w:customStyle="1" w:styleId="DGTextstand-alone">
    <w:name w:val="DG_Text_stand-alone"/>
    <w:link w:val="DGTextstand-aloneChar"/>
    <w:rsid w:val="00385E47"/>
    <w:pPr>
      <w:spacing w:before="240" w:after="240"/>
      <w:jc w:val="both"/>
    </w:pPr>
    <w:rPr>
      <w:rFonts w:ascii="Verdana" w:hAnsi="Verdana"/>
      <w:noProof/>
      <w:sz w:val="18"/>
      <w:szCs w:val="18"/>
    </w:rPr>
  </w:style>
  <w:style w:type="character" w:customStyle="1" w:styleId="DGTextstand-aloneChar">
    <w:name w:val="DG_Text_stand-alone Char"/>
    <w:link w:val="DGTextstand-alone"/>
    <w:rsid w:val="00385E47"/>
    <w:rPr>
      <w:rFonts w:ascii="Verdana" w:eastAsia="Times New Roman" w:hAnsi="Verdana"/>
      <w:noProof/>
      <w:sz w:val="18"/>
      <w:szCs w:val="18"/>
      <w:lang w:eastAsia="bg-BG"/>
    </w:rPr>
  </w:style>
  <w:style w:type="paragraph" w:customStyle="1" w:styleId="HEADER5">
    <w:name w:val="HEADER 5"/>
    <w:basedOn w:val="Normal"/>
    <w:qFormat/>
    <w:rsid w:val="00C61F02"/>
    <w:rPr>
      <w:rFonts w:ascii="Verdana" w:hAnsi="Verdana"/>
      <w:b/>
      <w:color w:val="016794"/>
      <w:sz w:val="18"/>
      <w:szCs w:val="18"/>
    </w:rPr>
  </w:style>
  <w:style w:type="paragraph" w:customStyle="1" w:styleId="Text8pItalicLeft">
    <w:name w:val="Text_8p_Italic_Left"/>
    <w:qFormat/>
    <w:rsid w:val="00C61F02"/>
    <w:pPr>
      <w:pBdr>
        <w:top w:val="nil"/>
        <w:left w:val="nil"/>
        <w:bottom w:val="nil"/>
        <w:right w:val="nil"/>
        <w:between w:val="nil"/>
        <w:bar w:val="nil"/>
      </w:pBdr>
    </w:pPr>
    <w:rPr>
      <w:rFonts w:ascii="Verdana" w:hAnsi="Verdana"/>
      <w:bCs/>
      <w:i/>
      <w:noProof/>
      <w:sz w:val="16"/>
      <w:bdr w:val="nil"/>
    </w:rPr>
  </w:style>
  <w:style w:type="paragraph" w:customStyle="1" w:styleId="Text8pItalicRight025EUR">
    <w:name w:val="Text_8p_Italic_Right_0.25_EUR"/>
    <w:qFormat/>
    <w:rsid w:val="00C61F02"/>
    <w:pPr>
      <w:pBdr>
        <w:top w:val="nil"/>
        <w:left w:val="nil"/>
        <w:bottom w:val="nil"/>
        <w:right w:val="nil"/>
        <w:between w:val="nil"/>
        <w:bar w:val="nil"/>
      </w:pBdr>
      <w:ind w:right="142"/>
      <w:jc w:val="right"/>
    </w:pPr>
    <w:rPr>
      <w:rFonts w:ascii="Verdana" w:hAnsi="Verdana"/>
      <w:i/>
      <w:noProof/>
      <w:sz w:val="16"/>
      <w:szCs w:val="18"/>
      <w:bdr w:val="nil"/>
    </w:rPr>
  </w:style>
  <w:style w:type="paragraph" w:customStyle="1" w:styleId="Heading10pNormalLeft">
    <w:name w:val="Heading_10p_Normal_Left"/>
    <w:qFormat/>
    <w:rsid w:val="00C61F02"/>
    <w:pPr>
      <w:pBdr>
        <w:top w:val="nil"/>
        <w:left w:val="nil"/>
        <w:bottom w:val="nil"/>
        <w:right w:val="nil"/>
        <w:between w:val="nil"/>
        <w:bar w:val="nil"/>
      </w:pBdr>
    </w:pPr>
    <w:rPr>
      <w:rFonts w:ascii="Verdana" w:hAnsi="Verdana"/>
      <w:noProof/>
      <w:color w:val="FFFFFF"/>
      <w:szCs w:val="30"/>
      <w:bdr w:val="nil"/>
    </w:rPr>
  </w:style>
  <w:style w:type="paragraph" w:customStyle="1" w:styleId="Heading10pNormalRight025">
    <w:name w:val="Heading_10p_Normal_Right_0.25"/>
    <w:qFormat/>
    <w:rsid w:val="00C61F02"/>
    <w:pPr>
      <w:pBdr>
        <w:top w:val="nil"/>
        <w:left w:val="nil"/>
        <w:bottom w:val="nil"/>
        <w:right w:val="nil"/>
        <w:between w:val="nil"/>
        <w:bar w:val="nil"/>
      </w:pBdr>
      <w:ind w:right="142"/>
      <w:jc w:val="right"/>
    </w:pPr>
    <w:rPr>
      <w:rFonts w:ascii="Verdana" w:hAnsi="Verdana"/>
      <w:noProof/>
      <w:color w:val="FFFFFF"/>
      <w:szCs w:val="30"/>
      <w:bdr w:val="nil"/>
    </w:rPr>
  </w:style>
  <w:style w:type="paragraph" w:customStyle="1" w:styleId="Text9pBoldLeft">
    <w:name w:val="Text_9p_Bold_Left"/>
    <w:qFormat/>
    <w:rsid w:val="00C61F02"/>
    <w:pPr>
      <w:pBdr>
        <w:top w:val="nil"/>
        <w:left w:val="nil"/>
        <w:bottom w:val="nil"/>
        <w:right w:val="nil"/>
        <w:between w:val="nil"/>
        <w:bar w:val="nil"/>
      </w:pBdr>
    </w:pPr>
    <w:rPr>
      <w:rFonts w:ascii="Verdana" w:hAnsi="Verdana"/>
      <w:b/>
      <w:noProof/>
      <w:sz w:val="18"/>
      <w:szCs w:val="18"/>
      <w:bdr w:val="nil"/>
    </w:rPr>
  </w:style>
  <w:style w:type="paragraph" w:customStyle="1" w:styleId="Figures9pBoldRight025">
    <w:name w:val="Figures_9p_Bold_Right_0.25"/>
    <w:qFormat/>
    <w:rsid w:val="00C61F02"/>
    <w:pPr>
      <w:pBdr>
        <w:top w:val="nil"/>
        <w:left w:val="nil"/>
        <w:bottom w:val="nil"/>
        <w:right w:val="nil"/>
        <w:between w:val="nil"/>
        <w:bar w:val="nil"/>
      </w:pBdr>
      <w:ind w:right="142"/>
      <w:jc w:val="right"/>
    </w:pPr>
    <w:rPr>
      <w:rFonts w:ascii="Verdana" w:hAnsi="Verdana"/>
      <w:b/>
      <w:noProof/>
      <w:sz w:val="18"/>
      <w:szCs w:val="18"/>
      <w:bdr w:val="nil"/>
    </w:rPr>
  </w:style>
  <w:style w:type="paragraph" w:customStyle="1" w:styleId="Text9pItalicLeft">
    <w:name w:val="Text_9p_Italic_Left"/>
    <w:qFormat/>
    <w:rsid w:val="00C61F02"/>
    <w:pPr>
      <w:pBdr>
        <w:top w:val="nil"/>
        <w:left w:val="nil"/>
        <w:bottom w:val="nil"/>
        <w:right w:val="nil"/>
        <w:between w:val="nil"/>
        <w:bar w:val="nil"/>
      </w:pBdr>
    </w:pPr>
    <w:rPr>
      <w:rFonts w:ascii="Verdana" w:hAnsi="Verdana"/>
      <w:i/>
      <w:noProof/>
      <w:sz w:val="18"/>
      <w:szCs w:val="18"/>
      <w:bdr w:val="nil"/>
    </w:rPr>
  </w:style>
  <w:style w:type="paragraph" w:customStyle="1" w:styleId="Figures9pItalicRight025">
    <w:name w:val="Figures_9p_Italic_Right_0.25"/>
    <w:qFormat/>
    <w:rsid w:val="00C61F02"/>
    <w:pPr>
      <w:pBdr>
        <w:top w:val="nil"/>
        <w:left w:val="nil"/>
        <w:bottom w:val="nil"/>
        <w:right w:val="nil"/>
        <w:between w:val="nil"/>
        <w:bar w:val="nil"/>
      </w:pBdr>
      <w:ind w:right="142"/>
      <w:jc w:val="right"/>
    </w:pPr>
    <w:rPr>
      <w:rFonts w:ascii="Verdana" w:hAnsi="Verdana"/>
      <w:i/>
      <w:noProof/>
      <w:sz w:val="18"/>
      <w:szCs w:val="18"/>
      <w:bdr w:val="nil"/>
    </w:rPr>
  </w:style>
  <w:style w:type="paragraph" w:customStyle="1" w:styleId="Heading9pNormalCentered">
    <w:name w:val="Heading_9p_Normal_Centered"/>
    <w:qFormat/>
    <w:rsid w:val="00C61F02"/>
    <w:pPr>
      <w:jc w:val="center"/>
    </w:pPr>
    <w:rPr>
      <w:rFonts w:ascii="Verdana" w:hAnsi="Verdana" w:cs="Calibri"/>
      <w:bCs/>
      <w:color w:val="FFFFFF"/>
      <w:sz w:val="18"/>
      <w:szCs w:val="22"/>
    </w:rPr>
  </w:style>
  <w:style w:type="paragraph" w:customStyle="1" w:styleId="Heading9pNormalRight01">
    <w:name w:val="Heading_9p_Normal_Right_0.1"/>
    <w:basedOn w:val="Heading9pNormalRight025"/>
    <w:qFormat/>
    <w:rsid w:val="00C61F02"/>
    <w:pPr>
      <w:ind w:right="57"/>
    </w:pPr>
  </w:style>
  <w:style w:type="paragraph" w:customStyle="1" w:styleId="Heading9pNormalRight025">
    <w:name w:val="Heading_9p_Normal_Right_0.25"/>
    <w:basedOn w:val="Heading9pNormalCentered"/>
    <w:qFormat/>
    <w:rsid w:val="00C61F02"/>
    <w:pPr>
      <w:pBdr>
        <w:top w:val="nil"/>
        <w:left w:val="nil"/>
        <w:bottom w:val="nil"/>
        <w:right w:val="nil"/>
        <w:between w:val="nil"/>
        <w:bar w:val="nil"/>
      </w:pBdr>
      <w:ind w:right="142"/>
      <w:jc w:val="right"/>
    </w:pPr>
    <w:rPr>
      <w:bdr w:val="nil"/>
    </w:rPr>
  </w:style>
  <w:style w:type="paragraph" w:customStyle="1" w:styleId="Figures9pItalicBoldRight025">
    <w:name w:val="Figures_9p_ItalicBold_Right_0.25"/>
    <w:qFormat/>
    <w:rsid w:val="00C61F02"/>
    <w:pPr>
      <w:ind w:right="142"/>
      <w:jc w:val="right"/>
    </w:pPr>
    <w:rPr>
      <w:rFonts w:ascii="Verdana" w:hAnsi="Verdana"/>
      <w:b/>
      <w:i/>
      <w:noProof/>
      <w:sz w:val="18"/>
      <w:szCs w:val="18"/>
    </w:rPr>
  </w:style>
  <w:style w:type="paragraph" w:styleId="NormalWeb">
    <w:name w:val="Normal (Web)"/>
    <w:basedOn w:val="Normal"/>
    <w:uiPriority w:val="99"/>
    <w:semiHidden/>
    <w:unhideWhenUsed/>
    <w:rsid w:val="00273170"/>
    <w:pPr>
      <w:spacing w:before="100" w:beforeAutospacing="1" w:after="100" w:afterAutospacing="1"/>
    </w:pPr>
    <w:rPr>
      <w:rFonts w:eastAsiaTheme="minorEastAsia"/>
    </w:rPr>
  </w:style>
  <w:style w:type="paragraph" w:styleId="Header">
    <w:name w:val="header"/>
    <w:basedOn w:val="Normal"/>
    <w:link w:val="HeaderChar"/>
    <w:rsid w:val="00C61F02"/>
    <w:pPr>
      <w:tabs>
        <w:tab w:val="center" w:pos="4677"/>
        <w:tab w:val="right" w:pos="9355"/>
      </w:tabs>
    </w:pPr>
  </w:style>
  <w:style w:type="character" w:customStyle="1" w:styleId="HeaderChar">
    <w:name w:val="Header Char"/>
    <w:link w:val="Header"/>
    <w:rsid w:val="00C61F02"/>
    <w:rPr>
      <w:rFonts w:ascii="Times New Roman" w:eastAsia="Times New Roman" w:hAnsi="Times New Roman"/>
      <w:sz w:val="24"/>
      <w:szCs w:val="24"/>
    </w:rPr>
  </w:style>
  <w:style w:type="paragraph" w:styleId="Footer">
    <w:name w:val="footer"/>
    <w:basedOn w:val="Normal"/>
    <w:link w:val="FooterChar"/>
    <w:uiPriority w:val="99"/>
    <w:rsid w:val="00C61F02"/>
    <w:pPr>
      <w:tabs>
        <w:tab w:val="center" w:pos="4677"/>
        <w:tab w:val="right" w:pos="9355"/>
      </w:tabs>
    </w:pPr>
  </w:style>
  <w:style w:type="character" w:customStyle="1" w:styleId="FooterChar">
    <w:name w:val="Footer Char"/>
    <w:link w:val="Footer"/>
    <w:uiPriority w:val="99"/>
    <w:rsid w:val="00C61F02"/>
    <w:rPr>
      <w:rFonts w:ascii="Times New Roman" w:eastAsia="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SignatureRightItalic">
    <w:name w:val="Signature_Right + Italic"/>
    <w:basedOn w:val="Normal"/>
    <w:qFormat/>
    <w:rsid w:val="00C96E76"/>
    <w:pPr>
      <w:spacing w:before="240"/>
      <w:ind w:left="4394" w:right="1128"/>
      <w:jc w:val="center"/>
    </w:pPr>
    <w:rPr>
      <w:rFonts w:ascii="Verdana" w:hAnsi="Verdana"/>
      <w:i/>
      <w:sz w:val="18"/>
      <w:szCs w:val="18"/>
    </w:rPr>
  </w:style>
  <w:style w:type="paragraph" w:customStyle="1" w:styleId="SignatureRight">
    <w:name w:val="Signature_Right"/>
    <w:basedOn w:val="SignatureRightItalic"/>
    <w:qFormat/>
    <w:rsid w:val="00C96E76"/>
    <w:rPr>
      <w:i w:val="0"/>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Italic0">
    <w:name w:val="Signature_Right Italic"/>
    <w:basedOn w:val="SignatureRightBold"/>
    <w:qFormat/>
    <w:rsid w:val="00C96E76"/>
    <w:rPr>
      <w:b w:val="0"/>
      <w:i/>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jc w:val="left"/>
    </w:pPr>
    <w:rPr>
      <w:b/>
      <w:color w:val="016794"/>
      <w:sz w:val="28"/>
    </w:rPr>
  </w:style>
  <w:style w:type="paragraph" w:customStyle="1" w:styleId="Text9pItalicCentered">
    <w:name w:val="Text_9p_Italic_Centered"/>
    <w:qFormat/>
    <w:rsid w:val="004962AB"/>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9pItalicLeft3p">
    <w:name w:val="Text_9p_Italic_Left_3p"/>
    <w:basedOn w:val="Text9pItalicLeft"/>
    <w:qFormat/>
    <w:rsid w:val="007540AA"/>
    <w:pPr>
      <w:spacing w:after="60"/>
    </w:p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1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F9658A"/>
    <w:pPr>
      <w:numPr>
        <w:ilvl w:val="1"/>
        <w:numId w:val="13"/>
      </w:numPr>
      <w:tabs>
        <w:tab w:val="left" w:pos="907"/>
      </w:tabs>
      <w:spacing w:before="360" w:after="360"/>
    </w:pPr>
    <w:rPr>
      <w:rFonts w:ascii="Verdana" w:hAnsi="Verdana"/>
      <w:b/>
      <w:color w:val="016794"/>
      <w:sz w:val="28"/>
      <w:szCs w:val="28"/>
    </w:rPr>
  </w:style>
  <w:style w:type="paragraph" w:customStyle="1" w:styleId="HEADER4Part2">
    <w:name w:val="HEADER 4_Part 2"/>
    <w:basedOn w:val="HEADER4Part1"/>
    <w:qFormat/>
    <w:rsid w:val="00F9658A"/>
    <w:pPr>
      <w:numPr>
        <w:numId w:val="13"/>
      </w:numPr>
    </w:pPr>
  </w:style>
  <w:style w:type="paragraph" w:customStyle="1" w:styleId="Text9pBoldLeft025">
    <w:name w:val="Text_9p_Bold_Left_0.25"/>
    <w:qFormat/>
    <w:rsid w:val="00EC6DE6"/>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rsid w:val="00EC6DE6"/>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SubtitlenumberingRCItalic">
    <w:name w:val="Text_Subtitle_(numbering RC Italic)"/>
    <w:basedOn w:val="Normal"/>
    <w:qFormat/>
    <w:rsid w:val="00D033B9"/>
    <w:pPr>
      <w:numPr>
        <w:numId w:val="14"/>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1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16"/>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17"/>
      </w:numPr>
    </w:pPr>
    <w:rPr>
      <w:rFonts w:ascii="Verdana" w:hAnsi="Verdana"/>
      <w:i/>
      <w:sz w:val="18"/>
      <w:szCs w:val="18"/>
    </w:rPr>
  </w:style>
  <w:style w:type="paragraph" w:customStyle="1" w:styleId="Heading7pNormalRight01">
    <w:name w:val="Heading_7p_Normal_Right_0.1"/>
    <w:qFormat/>
    <w:rsid w:val="003C74F7"/>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Heading7pNormalRight025">
    <w:name w:val="Heading_7p_Normal_Right_0.25"/>
    <w:basedOn w:val="Heading7pNormalRight01"/>
    <w:qFormat/>
    <w:rsid w:val="003C74F7"/>
    <w:pPr>
      <w:ind w:right="142"/>
    </w:pPr>
  </w:style>
  <w:style w:type="paragraph" w:customStyle="1" w:styleId="Text7pItalicLeft">
    <w:name w:val="Text_7p_Italic_Left"/>
    <w:qFormat/>
    <w:rsid w:val="003C74F7"/>
    <w:pPr>
      <w:pBdr>
        <w:top w:val="nil"/>
        <w:left w:val="nil"/>
        <w:bottom w:val="nil"/>
        <w:right w:val="nil"/>
        <w:between w:val="nil"/>
        <w:bar w:val="nil"/>
      </w:pBdr>
    </w:pPr>
    <w:rPr>
      <w:rFonts w:ascii="Verdana" w:eastAsia="Calibri" w:hAnsi="Verdana"/>
      <w:bCs/>
      <w:i/>
      <w:noProof/>
      <w:sz w:val="14"/>
      <w:bdr w:val="nil"/>
    </w:rPr>
  </w:style>
  <w:style w:type="paragraph" w:customStyle="1" w:styleId="Figures7pItalicRight025">
    <w:name w:val="Figures_7p_Italic_Right_0.25"/>
    <w:basedOn w:val="Figures8pItalicRight025"/>
    <w:qFormat/>
    <w:rsid w:val="003C74F7"/>
    <w:rPr>
      <w:sz w:val="14"/>
    </w:rPr>
  </w:style>
  <w:style w:type="paragraph" w:customStyle="1" w:styleId="Figures8pItalicRight025">
    <w:name w:val="Figures_8p_Italic_Right_0.25"/>
    <w:qFormat/>
    <w:rsid w:val="003C74F7"/>
    <w:pPr>
      <w:pBdr>
        <w:top w:val="nil"/>
        <w:left w:val="nil"/>
        <w:bottom w:val="nil"/>
        <w:right w:val="nil"/>
        <w:between w:val="nil"/>
        <w:bar w:val="nil"/>
      </w:pBdr>
      <w:ind w:right="142"/>
      <w:jc w:val="right"/>
    </w:pPr>
    <w:rPr>
      <w:rFonts w:ascii="Verdana" w:eastAsia="Calibri" w:hAnsi="Verdana"/>
      <w:i/>
      <w:noProof/>
      <w:sz w:val="16"/>
      <w:szCs w:val="18"/>
      <w:bdr w:val="nil"/>
    </w:rPr>
  </w:style>
  <w:style w:type="paragraph" w:customStyle="1" w:styleId="Text7pBoldLeft">
    <w:name w:val="Text_7p_Bold_Left"/>
    <w:qFormat/>
    <w:rsid w:val="003C74F7"/>
    <w:pPr>
      <w:pBdr>
        <w:top w:val="nil"/>
        <w:left w:val="nil"/>
        <w:bottom w:val="nil"/>
        <w:right w:val="nil"/>
        <w:between w:val="nil"/>
        <w:bar w:val="nil"/>
      </w:pBdr>
    </w:pPr>
    <w:rPr>
      <w:rFonts w:ascii="Verdana" w:eastAsia="Calibri" w:hAnsi="Verdana"/>
      <w:b/>
      <w:noProof/>
      <w:sz w:val="14"/>
      <w:szCs w:val="18"/>
      <w:bdr w:val="nil"/>
    </w:rPr>
  </w:style>
  <w:style w:type="paragraph" w:customStyle="1" w:styleId="Figures7pBoldRight025">
    <w:name w:val="Figures_7p_Bold_Right_0.25"/>
    <w:qFormat/>
    <w:rsid w:val="003C74F7"/>
    <w:pPr>
      <w:pBdr>
        <w:top w:val="nil"/>
        <w:left w:val="nil"/>
        <w:bottom w:val="nil"/>
        <w:right w:val="nil"/>
        <w:between w:val="nil"/>
        <w:bar w:val="nil"/>
      </w:pBdr>
      <w:ind w:right="142"/>
      <w:jc w:val="right"/>
    </w:pPr>
    <w:rPr>
      <w:rFonts w:ascii="Verdana" w:eastAsia="Calibri" w:hAnsi="Verdana"/>
      <w:b/>
      <w:noProof/>
      <w:sz w:val="14"/>
      <w:szCs w:val="18"/>
      <w:bdr w:val="nil"/>
    </w:rPr>
  </w:style>
  <w:style w:type="paragraph" w:customStyle="1" w:styleId="Heading10pNormalCentered">
    <w:name w:val="Heading_10p_Normal_Centered"/>
    <w:qFormat/>
    <w:rsid w:val="003C74F7"/>
    <w:pPr>
      <w:pBdr>
        <w:top w:val="nil"/>
        <w:left w:val="nil"/>
        <w:bottom w:val="nil"/>
        <w:right w:val="nil"/>
        <w:between w:val="nil"/>
        <w:bar w:val="nil"/>
      </w:pBdr>
      <w:jc w:val="center"/>
    </w:pPr>
    <w:rPr>
      <w:rFonts w:ascii="Verdana" w:eastAsia="Calibri" w:hAnsi="Verdana"/>
      <w:noProof/>
      <w:color w:val="FFFFFF"/>
      <w:szCs w:val="30"/>
      <w:bdr w:val="nil"/>
    </w:rPr>
  </w:style>
  <w:style w:type="paragraph" w:customStyle="1" w:styleId="Heading9pNormalLeft">
    <w:name w:val="Heading_9p_Normal_Left"/>
    <w:basedOn w:val="Heading9pNormalCentered"/>
    <w:qFormat/>
    <w:rsid w:val="0066275A"/>
    <w:pPr>
      <w:jc w:val="left"/>
    </w:pPr>
  </w:style>
  <w:style w:type="paragraph" w:customStyle="1" w:styleId="Text9pNormalLeft">
    <w:name w:val="Text_9p_Normal_Left"/>
    <w:basedOn w:val="Text9pItalicLeft"/>
    <w:qFormat/>
    <w:rsid w:val="00C357FF"/>
    <w:rPr>
      <w:i w:val="0"/>
    </w:rPr>
  </w:style>
  <w:style w:type="paragraph" w:customStyle="1" w:styleId="Heading8pNormalRight025">
    <w:name w:val="Heading_8p_Normal_Right_0.25"/>
    <w:basedOn w:val="Heading10pNormalRight025"/>
    <w:qFormat/>
    <w:rsid w:val="00263A32"/>
    <w:rPr>
      <w:sz w:val="16"/>
    </w:rPr>
  </w:style>
  <w:style w:type="paragraph" w:customStyle="1" w:styleId="Text8pBoldLeft">
    <w:name w:val="Text_8p_Bold_Left"/>
    <w:qFormat/>
    <w:rsid w:val="00263A32"/>
    <w:rPr>
      <w:rFonts w:ascii="Verdana" w:eastAsia="Calibri" w:hAnsi="Verdana"/>
      <w:b/>
      <w:bCs/>
      <w:noProof/>
      <w:sz w:val="16"/>
    </w:rPr>
  </w:style>
  <w:style w:type="paragraph" w:customStyle="1" w:styleId="Figures8pBoldRight025">
    <w:name w:val="Figures_8p_Bold_Right_0.25"/>
    <w:qFormat/>
    <w:rsid w:val="00263A32"/>
    <w:pPr>
      <w:ind w:right="142"/>
      <w:jc w:val="right"/>
    </w:pPr>
    <w:rPr>
      <w:rFonts w:ascii="Verdana" w:eastAsia="Calibri" w:hAnsi="Verdana"/>
      <w:b/>
      <w:bCs/>
      <w:noProof/>
      <w:sz w:val="16"/>
    </w:rPr>
  </w:style>
  <w:style w:type="paragraph" w:customStyle="1" w:styleId="Text7pItalicRight025">
    <w:name w:val="Text_7p_Italic_Right_0.25"/>
    <w:basedOn w:val="Text8pItalicRight025EUR"/>
    <w:qFormat/>
    <w:rsid w:val="0059539A"/>
    <w:rPr>
      <w:sz w:val="14"/>
    </w:rPr>
  </w:style>
  <w:style w:type="paragraph" w:customStyle="1" w:styleId="Heading7pNormalCentered">
    <w:name w:val="Heading_7p_Normal_Centered"/>
    <w:basedOn w:val="Heading8pNormalCentered"/>
    <w:qFormat/>
    <w:rsid w:val="0059539A"/>
    <w:rPr>
      <w:sz w:val="14"/>
    </w:rPr>
  </w:style>
  <w:style w:type="paragraph" w:customStyle="1" w:styleId="Heading8pNormalCentered">
    <w:name w:val="Heading_8p_Normal_Centered"/>
    <w:qFormat/>
    <w:rsid w:val="0059539A"/>
    <w:pPr>
      <w:jc w:val="center"/>
    </w:pPr>
    <w:rPr>
      <w:rFonts w:ascii="Verdana" w:eastAsia="Calibri" w:hAnsi="Verdana"/>
      <w:noProof/>
      <w:color w:val="FFFFFF"/>
      <w:sz w:val="16"/>
      <w:szCs w:val="30"/>
    </w:rPr>
  </w:style>
  <w:style w:type="paragraph" w:customStyle="1" w:styleId="Figures9pNormalRight025">
    <w:name w:val="Figures_9p_Normal_Right_0.25"/>
    <w:basedOn w:val="Figures9pItalicRight025"/>
    <w:qFormat/>
    <w:rsid w:val="003B78ED"/>
    <w:rPr>
      <w:i w:val="0"/>
    </w:rPr>
  </w:style>
  <w:style w:type="paragraph" w:customStyle="1" w:styleId="Heading8pNormalLeft">
    <w:name w:val="Heading_8p_Normal_Left"/>
    <w:qFormat/>
    <w:rsid w:val="003B78ED"/>
    <w:rPr>
      <w:rFonts w:ascii="Verdana" w:hAnsi="Verdana" w:cs="Calibri"/>
      <w:bCs/>
      <w:color w:val="FFFFFF"/>
      <w:sz w:val="16"/>
      <w:szCs w:val="22"/>
    </w:rPr>
  </w:style>
  <w:style w:type="paragraph" w:customStyle="1" w:styleId="Textstand-alonenumberingJustified">
    <w:name w:val="Text_stand-alone_(numbering) + Justified"/>
    <w:basedOn w:val="Normal"/>
    <w:qFormat/>
    <w:rsid w:val="000C3655"/>
    <w:pPr>
      <w:numPr>
        <w:numId w:val="18"/>
      </w:numPr>
      <w:spacing w:after="240"/>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9"/>
      </w:numPr>
      <w:spacing w:after="240"/>
      <w:ind w:left="357" w:hanging="357"/>
    </w:pPr>
    <w:rPr>
      <w:rFonts w:ascii="Verdana" w:hAnsi="Verdana"/>
      <w:sz w:val="18"/>
      <w:szCs w:val="18"/>
    </w:rPr>
  </w:style>
  <w:style w:type="paragraph" w:customStyle="1" w:styleId="Text5pItalicRight025">
    <w:name w:val="Text_5p_Italic_Right_0.25"/>
    <w:basedOn w:val="Text6pItalicRight025"/>
    <w:qFormat/>
    <w:rsid w:val="00227404"/>
    <w:rPr>
      <w:sz w:val="10"/>
    </w:rPr>
  </w:style>
  <w:style w:type="paragraph" w:customStyle="1" w:styleId="Text6pItalicRight025">
    <w:name w:val="Text_6p_Italic_Right_0.25"/>
    <w:basedOn w:val="Text7pItalicRight025"/>
    <w:qFormat/>
    <w:rsid w:val="00227404"/>
    <w:rPr>
      <w:sz w:val="12"/>
    </w:rPr>
  </w:style>
  <w:style w:type="paragraph" w:customStyle="1" w:styleId="Figures6pBoldRight01">
    <w:name w:val="Figures_6p_Bold_Right_0.1"/>
    <w:basedOn w:val="Figures7pBoldRight025"/>
    <w:qFormat/>
    <w:rsid w:val="00227404"/>
    <w:pPr>
      <w:ind w:right="57"/>
    </w:pPr>
    <w:rPr>
      <w:sz w:val="12"/>
      <w:szCs w:val="12"/>
    </w:rPr>
  </w:style>
  <w:style w:type="paragraph" w:customStyle="1" w:styleId="Figures6pItalicRight01">
    <w:name w:val="Figures_6p_Italic_Right_0.1"/>
    <w:basedOn w:val="Figures7pItalicRight025"/>
    <w:qFormat/>
    <w:rsid w:val="00227404"/>
    <w:pPr>
      <w:ind w:right="57"/>
    </w:pPr>
    <w:rPr>
      <w:sz w:val="12"/>
      <w:szCs w:val="12"/>
    </w:rPr>
  </w:style>
  <w:style w:type="paragraph" w:customStyle="1" w:styleId="Text7pNormalLeft">
    <w:name w:val="Text_7p_Normal_Left"/>
    <w:basedOn w:val="Text8pNormalLeft"/>
    <w:qFormat/>
    <w:rsid w:val="00F32630"/>
    <w:rPr>
      <w:noProof/>
      <w:sz w:val="14"/>
    </w:rPr>
  </w:style>
  <w:style w:type="paragraph" w:customStyle="1" w:styleId="Text8pNormalLeft">
    <w:name w:val="Text_8p_Normal_Left"/>
    <w:qFormat/>
    <w:rsid w:val="00F32630"/>
    <w:pPr>
      <w:ind w:left="34"/>
    </w:pPr>
    <w:rPr>
      <w:rFonts w:ascii="Verdana" w:eastAsia="Calibri" w:hAnsi="Verdana"/>
      <w:bCs/>
      <w:sz w:val="16"/>
    </w:rPr>
  </w:style>
  <w:style w:type="paragraph" w:customStyle="1" w:styleId="Textstand-aloneBulletpoint">
    <w:name w:val="Text_stand-alone Bullet point"/>
    <w:basedOn w:val="Normal"/>
    <w:qFormat/>
    <w:rsid w:val="0073685D"/>
    <w:pPr>
      <w:numPr>
        <w:numId w:val="20"/>
      </w:numPr>
      <w:spacing w:after="240"/>
      <w:ind w:left="1080"/>
      <w:contextualSpacing/>
    </w:pPr>
    <w:rPr>
      <w:rFonts w:ascii="Verdana" w:hAnsi="Verdana"/>
      <w:sz w:val="18"/>
      <w:szCs w:val="18"/>
    </w:rPr>
  </w:style>
  <w:style w:type="paragraph" w:customStyle="1" w:styleId="Heading8pNormalRight01">
    <w:name w:val="Heading_8p_Normal_Right_0.1"/>
    <w:qFormat/>
    <w:rsid w:val="006E03F9"/>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Figures8pNormalRight025">
    <w:name w:val="Figures_8p_Normal_Right_0.25"/>
    <w:basedOn w:val="Figures8pItalicRight025"/>
    <w:qFormat/>
    <w:rsid w:val="006E03F9"/>
    <w:rPr>
      <w:i w:val="0"/>
    </w:rPr>
  </w:style>
  <w:style w:type="paragraph" w:customStyle="1" w:styleId="Text9pItalicLeft025">
    <w:name w:val="Text_9p_Italic_Left_0.25"/>
    <w:basedOn w:val="Text9pItalicLeft"/>
    <w:qFormat/>
    <w:rsid w:val="00F722E6"/>
    <w:pPr>
      <w:ind w:left="142"/>
    </w:pPr>
  </w:style>
  <w:style w:type="paragraph" w:customStyle="1" w:styleId="Text9pItalicBoldLeft">
    <w:name w:val="Text_9p_ItalicBold_Left"/>
    <w:qFormat/>
    <w:rsid w:val="00F722E6"/>
    <w:rPr>
      <w:rFonts w:ascii="Verdana" w:eastAsia="Calibri" w:hAnsi="Verdana"/>
      <w:b/>
      <w:i/>
      <w:noProof/>
      <w:sz w:val="18"/>
      <w:szCs w:val="18"/>
    </w:r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ERTITLE3">
    <w:name w:val="HEADER_TITLE_3"/>
    <w:basedOn w:val="HEADERTITLE1"/>
    <w:qFormat/>
    <w:rsid w:val="009E7E05"/>
    <w:rPr>
      <w:sz w:val="24"/>
    </w:rPr>
  </w:style>
  <w:style w:type="paragraph" w:customStyle="1" w:styleId="Heading9pBoldCentered">
    <w:name w:val="Heading_9p_Bold_Centered"/>
    <w:qFormat/>
    <w:rsid w:val="007B61AA"/>
    <w:pPr>
      <w:pBdr>
        <w:top w:val="nil"/>
        <w:left w:val="nil"/>
        <w:bottom w:val="nil"/>
        <w:right w:val="nil"/>
        <w:between w:val="nil"/>
        <w:bar w:val="nil"/>
      </w:pBdr>
      <w:jc w:val="center"/>
    </w:pPr>
    <w:rPr>
      <w:rFonts w:ascii="Verdana" w:hAnsi="Verdana"/>
      <w:b/>
      <w:noProof/>
      <w:sz w:val="18"/>
      <w:szCs w:val="18"/>
      <w:bdr w:val="nil"/>
    </w:r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rPr>
  </w:style>
  <w:style w:type="paragraph" w:customStyle="1" w:styleId="Figures7pNormalRight025">
    <w:name w:val="Figures_7p_Normal_Right_0.25"/>
    <w:basedOn w:val="Figures7pItalicRight025"/>
    <w:qFormat/>
    <w:rsid w:val="00BB7E20"/>
    <w:rPr>
      <w:i w:val="0"/>
    </w:rPr>
  </w:style>
  <w:style w:type="paragraph" w:customStyle="1" w:styleId="Heading7pBoldLeft">
    <w:name w:val="Heading_7p_Bold_Left"/>
    <w:qFormat/>
    <w:rsid w:val="002C1CBD"/>
    <w:pPr>
      <w:pBdr>
        <w:top w:val="nil"/>
        <w:left w:val="nil"/>
        <w:bottom w:val="nil"/>
        <w:right w:val="nil"/>
        <w:between w:val="nil"/>
        <w:bar w:val="nil"/>
      </w:pBdr>
    </w:pPr>
    <w:rPr>
      <w:rFonts w:ascii="Verdana" w:eastAsia="Calibri" w:hAnsi="Verdana"/>
      <w:b/>
      <w:noProof/>
      <w:sz w:val="14"/>
      <w:szCs w:val="18"/>
      <w:bdr w:val="nil"/>
    </w:rPr>
  </w:style>
  <w:style w:type="paragraph" w:styleId="TOC1">
    <w:name w:val="toc 1"/>
    <w:aliases w:val="Level 1 TOC"/>
    <w:basedOn w:val="Normal"/>
    <w:next w:val="Normal"/>
    <w:autoRedefine/>
    <w:uiPriority w:val="39"/>
    <w:rsid w:val="00F818AC"/>
    <w:pPr>
      <w:tabs>
        <w:tab w:val="right" w:leader="dot" w:pos="9629"/>
      </w:tabs>
      <w:spacing w:after="100"/>
    </w:pPr>
    <w:rPr>
      <w:rFonts w:ascii="Verdana" w:hAnsi="Verdana"/>
      <w:noProof/>
      <w:color w:val="016794"/>
      <w:sz w:val="22"/>
      <w:szCs w:val="21"/>
    </w:rPr>
  </w:style>
  <w:style w:type="character" w:styleId="Hyperlink">
    <w:name w:val="Hyperlink"/>
    <w:basedOn w:val="DefaultParagraphFont"/>
    <w:uiPriority w:val="99"/>
    <w:unhideWhenUsed/>
    <w:rsid w:val="00375FD9"/>
    <w:rPr>
      <w:color w:val="0000FF" w:themeColor="hyperlink"/>
      <w:u w:val="single"/>
    </w:rPr>
  </w:style>
  <w:style w:type="paragraph" w:styleId="TOC2">
    <w:name w:val="toc 2"/>
    <w:aliases w:val="Level 2 TOC"/>
    <w:basedOn w:val="Normal"/>
    <w:next w:val="Normal"/>
    <w:autoRedefine/>
    <w:uiPriority w:val="39"/>
    <w:unhideWhenUsed/>
    <w:rsid w:val="005F66D3"/>
    <w:pPr>
      <w:tabs>
        <w:tab w:val="left" w:pos="1134"/>
        <w:tab w:val="right" w:leader="dot" w:pos="9628"/>
      </w:tabs>
      <w:spacing w:after="120"/>
      <w:ind w:left="567"/>
    </w:pPr>
    <w:rPr>
      <w:rFonts w:ascii="Verdana" w:hAnsi="Verdana"/>
      <w:noProof/>
      <w:color w:val="016794"/>
      <w:sz w:val="20"/>
      <w:szCs w:val="22"/>
    </w:rPr>
  </w:style>
  <w:style w:type="paragraph" w:styleId="BalloonText">
    <w:name w:val="Balloon Text"/>
    <w:basedOn w:val="Normal"/>
    <w:link w:val="BalloonTextChar"/>
    <w:rsid w:val="00827CE4"/>
    <w:rPr>
      <w:rFonts w:ascii="Tahoma" w:hAnsi="Tahoma" w:cs="Tahoma"/>
      <w:sz w:val="16"/>
      <w:szCs w:val="16"/>
    </w:rPr>
  </w:style>
  <w:style w:type="character" w:customStyle="1" w:styleId="BalloonTextChar">
    <w:name w:val="Balloon Text Char"/>
    <w:basedOn w:val="DefaultParagraphFont"/>
    <w:link w:val="BalloonText"/>
    <w:rsid w:val="00827CE4"/>
    <w:rPr>
      <w:rFonts w:ascii="Tahoma" w:hAnsi="Tahoma" w:cs="Tahoma"/>
      <w:sz w:val="16"/>
      <w:szCs w:val="16"/>
    </w:rPr>
  </w:style>
  <w:style w:type="paragraph" w:customStyle="1" w:styleId="TOC">
    <w:name w:val="TOC"/>
    <w:aliases w:val="Level 3 TOC"/>
    <w:basedOn w:val="TOC3"/>
    <w:qFormat/>
    <w:rsid w:val="008A4A80"/>
    <w:pPr>
      <w:tabs>
        <w:tab w:val="right" w:leader="dot" w:pos="9628"/>
      </w:tabs>
      <w:ind w:left="680"/>
    </w:pPr>
    <w:rPr>
      <w:rFonts w:ascii="Verdana" w:hAnsi="Verdana"/>
      <w:sz w:val="20"/>
    </w:rPr>
  </w:style>
  <w:style w:type="paragraph" w:styleId="TOC3">
    <w:name w:val="toc 3"/>
    <w:basedOn w:val="Normal"/>
    <w:next w:val="Normal"/>
    <w:autoRedefine/>
    <w:rsid w:val="008A4A80"/>
    <w:pPr>
      <w:spacing w:after="100"/>
      <w:ind w:left="480"/>
    </w:pPr>
  </w:style>
  <w:style w:type="character" w:customStyle="1" w:styleId="Marker">
    <w:name w:val="Marker"/>
    <w:basedOn w:val="DefaultParagraphFont"/>
    <w:rsid w:val="0012099B"/>
    <w:rPr>
      <w:color w:val="0000FF"/>
      <w:shd w:val="clear" w:color="auto" w:fill="auto"/>
    </w:rPr>
  </w:style>
  <w:style w:type="paragraph" w:customStyle="1" w:styleId="Pagedecouverture">
    <w:name w:val="Page de couverture"/>
    <w:basedOn w:val="Normal"/>
    <w:next w:val="Normal"/>
    <w:rsid w:val="0012099B"/>
    <w:pPr>
      <w:jc w:val="both"/>
    </w:pPr>
    <w:rPr>
      <w:rFonts w:eastAsiaTheme="minorHAnsi"/>
      <w:szCs w:val="22"/>
    </w:rPr>
  </w:style>
  <w:style w:type="paragraph" w:customStyle="1" w:styleId="FooterCoverPage">
    <w:name w:val="Footer Cover Page"/>
    <w:basedOn w:val="Normal"/>
    <w:link w:val="FooterCoverPageChar"/>
    <w:rsid w:val="0012099B"/>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12099B"/>
    <w:rPr>
      <w:rFonts w:ascii="Verdana" w:hAnsi="Verdana"/>
      <w:color w:val="016794"/>
      <w:sz w:val="52"/>
      <w:szCs w:val="52"/>
    </w:rPr>
  </w:style>
  <w:style w:type="character" w:customStyle="1" w:styleId="FooterCoverPageChar">
    <w:name w:val="Footer Cover Page Char"/>
    <w:basedOn w:val="CoverPageChar"/>
    <w:link w:val="FooterCoverPage"/>
    <w:rsid w:val="0012099B"/>
    <w:rPr>
      <w:rFonts w:ascii="Verdana" w:hAnsi="Verdana"/>
      <w:color w:val="016794"/>
      <w:sz w:val="24"/>
      <w:szCs w:val="24"/>
    </w:rPr>
  </w:style>
  <w:style w:type="paragraph" w:customStyle="1" w:styleId="HeaderCoverPage">
    <w:name w:val="Header Cover Page"/>
    <w:basedOn w:val="Normal"/>
    <w:link w:val="HeaderCoverPageChar"/>
    <w:rsid w:val="0012099B"/>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12099B"/>
    <w:rPr>
      <w:rFonts w:ascii="Verdana" w:hAnsi="Verdana"/>
      <w:color w:val="016794"/>
      <w:sz w:val="24"/>
      <w:szCs w:val="24"/>
    </w:rPr>
  </w:style>
  <w:style w:type="character" w:customStyle="1" w:styleId="Heading1Char">
    <w:name w:val="Heading 1 Char"/>
    <w:basedOn w:val="DefaultParagraphFont"/>
    <w:link w:val="Heading1"/>
    <w:rsid w:val="007B09E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B09E9"/>
    <w:pPr>
      <w:spacing w:line="276" w:lineRule="auto"/>
      <w:outlineLvl w:val="9"/>
    </w:pPr>
  </w:style>
  <w:style w:type="paragraph" w:styleId="CommentText">
    <w:name w:val="annotation text"/>
    <w:basedOn w:val="Normal"/>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bg-BG"/>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B09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paragraph" w:customStyle="1" w:styleId="Textstand-alone">
    <w:name w:val="Text_stand-alone"/>
    <w:basedOn w:val="Normal"/>
    <w:qFormat/>
    <w:rsid w:val="00F35B1B"/>
    <w:pPr>
      <w:spacing w:before="240" w:after="240"/>
      <w:jc w:val="both"/>
    </w:pPr>
    <w:rPr>
      <w:rFonts w:ascii="Verdana" w:hAnsi="Verdana"/>
      <w:noProof/>
      <w:sz w:val="18"/>
      <w:szCs w:val="18"/>
    </w:rPr>
  </w:style>
  <w:style w:type="paragraph" w:customStyle="1" w:styleId="FIRSTCHAPTERPAGE">
    <w:name w:val="FIRST_CHAPTER_PAGE"/>
    <w:basedOn w:val="Normal"/>
    <w:qFormat/>
    <w:rsid w:val="00C61F02"/>
    <w:pPr>
      <w:spacing w:before="240" w:after="720"/>
    </w:pPr>
    <w:rPr>
      <w:rFonts w:ascii="Verdana" w:hAnsi="Verdana"/>
      <w:b/>
      <w:color w:val="016794"/>
      <w:sz w:val="40"/>
      <w:szCs w:val="40"/>
    </w:rPr>
  </w:style>
  <w:style w:type="paragraph" w:customStyle="1" w:styleId="HEADER1Part4">
    <w:name w:val="HEADER 1_Part 4"/>
    <w:basedOn w:val="HEADER1Part3"/>
    <w:qFormat/>
    <w:rsid w:val="00632F43"/>
    <w:pPr>
      <w:numPr>
        <w:numId w:val="1"/>
      </w:numPr>
    </w:pPr>
  </w:style>
  <w:style w:type="paragraph" w:customStyle="1" w:styleId="HEADER2Part4">
    <w:name w:val="HEADER 2_Part 4"/>
    <w:basedOn w:val="HEADER2Part3"/>
    <w:qFormat/>
    <w:rsid w:val="0039477C"/>
    <w:pPr>
      <w:numPr>
        <w:numId w:val="1"/>
      </w:numPr>
    </w:pPr>
  </w:style>
  <w:style w:type="paragraph" w:customStyle="1" w:styleId="HEADER2Part3">
    <w:name w:val="HEADER 2_Part 3"/>
    <w:basedOn w:val="Normal"/>
    <w:qFormat/>
    <w:rsid w:val="00C61F02"/>
    <w:pPr>
      <w:numPr>
        <w:ilvl w:val="1"/>
        <w:numId w:val="2"/>
      </w:numPr>
      <w:tabs>
        <w:tab w:val="left" w:pos="907"/>
      </w:tabs>
      <w:spacing w:before="360" w:after="360"/>
    </w:pPr>
    <w:rPr>
      <w:rFonts w:ascii="Verdana" w:hAnsi="Verdana"/>
      <w:b/>
      <w:noProof/>
      <w:color w:val="016794"/>
      <w:sz w:val="28"/>
      <w:szCs w:val="30"/>
    </w:rPr>
  </w:style>
  <w:style w:type="paragraph" w:customStyle="1" w:styleId="HEADER1Part3">
    <w:name w:val="HEADER 1_Part 3"/>
    <w:basedOn w:val="Normal"/>
    <w:qFormat/>
    <w:rsid w:val="00C61F02"/>
    <w:pPr>
      <w:numPr>
        <w:numId w:val="2"/>
      </w:numPr>
      <w:tabs>
        <w:tab w:val="left" w:pos="907"/>
      </w:tabs>
      <w:spacing w:after="240"/>
    </w:pPr>
    <w:rPr>
      <w:rFonts w:ascii="Verdana" w:hAnsi="Verdana"/>
      <w:b/>
      <w:color w:val="016794"/>
      <w:sz w:val="32"/>
      <w:szCs w:val="32"/>
    </w:rPr>
  </w:style>
  <w:style w:type="paragraph" w:customStyle="1" w:styleId="HEADER3Part3">
    <w:name w:val="HEADER 3_Part 3"/>
    <w:basedOn w:val="HEADER3Part1"/>
    <w:qFormat/>
    <w:rsid w:val="00C61F02"/>
    <w:pPr>
      <w:numPr>
        <w:numId w:val="2"/>
      </w:numPr>
    </w:pPr>
  </w:style>
  <w:style w:type="paragraph" w:customStyle="1" w:styleId="HEADER3Part1">
    <w:name w:val="HEADER 3_Part 1"/>
    <w:basedOn w:val="Normal"/>
    <w:qFormat/>
    <w:rsid w:val="00C61F02"/>
    <w:pPr>
      <w:numPr>
        <w:ilvl w:val="2"/>
        <w:numId w:val="3"/>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C61F02"/>
    <w:pPr>
      <w:numPr>
        <w:numId w:val="3"/>
      </w:numPr>
      <w:jc w:val="both"/>
    </w:pPr>
  </w:style>
  <w:style w:type="paragraph" w:customStyle="1" w:styleId="HEADER2Part1">
    <w:name w:val="HEADER 2 _Part 1"/>
    <w:basedOn w:val="Normal"/>
    <w:qFormat/>
    <w:rsid w:val="00C61F02"/>
    <w:pPr>
      <w:numPr>
        <w:ilvl w:val="1"/>
        <w:numId w:val="3"/>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C61F02"/>
    <w:pPr>
      <w:numPr>
        <w:ilvl w:val="3"/>
      </w:numPr>
    </w:pPr>
    <w:rPr>
      <w:sz w:val="18"/>
      <w:szCs w:val="18"/>
    </w:rPr>
  </w:style>
  <w:style w:type="paragraph" w:customStyle="1" w:styleId="HEADER3Part4">
    <w:name w:val="HEADER 3_Part 4"/>
    <w:basedOn w:val="HEADER3Part3"/>
    <w:qFormat/>
    <w:rsid w:val="0039477C"/>
    <w:pPr>
      <w:numPr>
        <w:numId w:val="1"/>
      </w:numPr>
    </w:pPr>
  </w:style>
  <w:style w:type="paragraph" w:customStyle="1" w:styleId="HEADER4Part4">
    <w:name w:val="HEADER 4_Part 4"/>
    <w:basedOn w:val="HEADER3Part2"/>
    <w:qFormat/>
    <w:rsid w:val="0039477C"/>
    <w:pPr>
      <w:numPr>
        <w:ilvl w:val="3"/>
        <w:numId w:val="1"/>
      </w:numPr>
    </w:pPr>
  </w:style>
  <w:style w:type="paragraph" w:customStyle="1" w:styleId="HEADER3Part2">
    <w:name w:val="HEADER 3_Part 2"/>
    <w:basedOn w:val="HEADER3Part1"/>
    <w:qFormat/>
    <w:rsid w:val="00C61F02"/>
    <w:pPr>
      <w:numPr>
        <w:numId w:val="13"/>
      </w:numPr>
      <w:tabs>
        <w:tab w:val="clear" w:pos="907"/>
      </w:tabs>
    </w:pPr>
  </w:style>
  <w:style w:type="paragraph" w:customStyle="1" w:styleId="DGTextstand-alone">
    <w:name w:val="DG_Text_stand-alone"/>
    <w:link w:val="DGTextstand-aloneChar"/>
    <w:rsid w:val="00385E47"/>
    <w:pPr>
      <w:spacing w:before="240" w:after="240"/>
      <w:jc w:val="both"/>
    </w:pPr>
    <w:rPr>
      <w:rFonts w:ascii="Verdana" w:hAnsi="Verdana"/>
      <w:noProof/>
      <w:sz w:val="18"/>
      <w:szCs w:val="18"/>
    </w:rPr>
  </w:style>
  <w:style w:type="character" w:customStyle="1" w:styleId="DGTextstand-aloneChar">
    <w:name w:val="DG_Text_stand-alone Char"/>
    <w:link w:val="DGTextstand-alone"/>
    <w:rsid w:val="00385E47"/>
    <w:rPr>
      <w:rFonts w:ascii="Verdana" w:eastAsia="Times New Roman" w:hAnsi="Verdana"/>
      <w:noProof/>
      <w:sz w:val="18"/>
      <w:szCs w:val="18"/>
      <w:lang w:eastAsia="bg-BG"/>
    </w:rPr>
  </w:style>
  <w:style w:type="paragraph" w:customStyle="1" w:styleId="HEADER5">
    <w:name w:val="HEADER 5"/>
    <w:basedOn w:val="Normal"/>
    <w:qFormat/>
    <w:rsid w:val="00C61F02"/>
    <w:rPr>
      <w:rFonts w:ascii="Verdana" w:hAnsi="Verdana"/>
      <w:b/>
      <w:color w:val="016794"/>
      <w:sz w:val="18"/>
      <w:szCs w:val="18"/>
    </w:rPr>
  </w:style>
  <w:style w:type="paragraph" w:customStyle="1" w:styleId="Text8pItalicLeft">
    <w:name w:val="Text_8p_Italic_Left"/>
    <w:qFormat/>
    <w:rsid w:val="00C61F02"/>
    <w:pPr>
      <w:pBdr>
        <w:top w:val="nil"/>
        <w:left w:val="nil"/>
        <w:bottom w:val="nil"/>
        <w:right w:val="nil"/>
        <w:between w:val="nil"/>
        <w:bar w:val="nil"/>
      </w:pBdr>
    </w:pPr>
    <w:rPr>
      <w:rFonts w:ascii="Verdana" w:hAnsi="Verdana"/>
      <w:bCs/>
      <w:i/>
      <w:noProof/>
      <w:sz w:val="16"/>
      <w:bdr w:val="nil"/>
    </w:rPr>
  </w:style>
  <w:style w:type="paragraph" w:customStyle="1" w:styleId="Text8pItalicRight025EUR">
    <w:name w:val="Text_8p_Italic_Right_0.25_EUR"/>
    <w:qFormat/>
    <w:rsid w:val="00C61F02"/>
    <w:pPr>
      <w:pBdr>
        <w:top w:val="nil"/>
        <w:left w:val="nil"/>
        <w:bottom w:val="nil"/>
        <w:right w:val="nil"/>
        <w:between w:val="nil"/>
        <w:bar w:val="nil"/>
      </w:pBdr>
      <w:ind w:right="142"/>
      <w:jc w:val="right"/>
    </w:pPr>
    <w:rPr>
      <w:rFonts w:ascii="Verdana" w:hAnsi="Verdana"/>
      <w:i/>
      <w:noProof/>
      <w:sz w:val="16"/>
      <w:szCs w:val="18"/>
      <w:bdr w:val="nil"/>
    </w:rPr>
  </w:style>
  <w:style w:type="paragraph" w:customStyle="1" w:styleId="Heading10pNormalLeft">
    <w:name w:val="Heading_10p_Normal_Left"/>
    <w:qFormat/>
    <w:rsid w:val="00C61F02"/>
    <w:pPr>
      <w:pBdr>
        <w:top w:val="nil"/>
        <w:left w:val="nil"/>
        <w:bottom w:val="nil"/>
        <w:right w:val="nil"/>
        <w:between w:val="nil"/>
        <w:bar w:val="nil"/>
      </w:pBdr>
    </w:pPr>
    <w:rPr>
      <w:rFonts w:ascii="Verdana" w:hAnsi="Verdana"/>
      <w:noProof/>
      <w:color w:val="FFFFFF"/>
      <w:szCs w:val="30"/>
      <w:bdr w:val="nil"/>
    </w:rPr>
  </w:style>
  <w:style w:type="paragraph" w:customStyle="1" w:styleId="Heading10pNormalRight025">
    <w:name w:val="Heading_10p_Normal_Right_0.25"/>
    <w:qFormat/>
    <w:rsid w:val="00C61F02"/>
    <w:pPr>
      <w:pBdr>
        <w:top w:val="nil"/>
        <w:left w:val="nil"/>
        <w:bottom w:val="nil"/>
        <w:right w:val="nil"/>
        <w:between w:val="nil"/>
        <w:bar w:val="nil"/>
      </w:pBdr>
      <w:ind w:right="142"/>
      <w:jc w:val="right"/>
    </w:pPr>
    <w:rPr>
      <w:rFonts w:ascii="Verdana" w:hAnsi="Verdana"/>
      <w:noProof/>
      <w:color w:val="FFFFFF"/>
      <w:szCs w:val="30"/>
      <w:bdr w:val="nil"/>
    </w:rPr>
  </w:style>
  <w:style w:type="paragraph" w:customStyle="1" w:styleId="Text9pBoldLeft">
    <w:name w:val="Text_9p_Bold_Left"/>
    <w:qFormat/>
    <w:rsid w:val="00C61F02"/>
    <w:pPr>
      <w:pBdr>
        <w:top w:val="nil"/>
        <w:left w:val="nil"/>
        <w:bottom w:val="nil"/>
        <w:right w:val="nil"/>
        <w:between w:val="nil"/>
        <w:bar w:val="nil"/>
      </w:pBdr>
    </w:pPr>
    <w:rPr>
      <w:rFonts w:ascii="Verdana" w:hAnsi="Verdana"/>
      <w:b/>
      <w:noProof/>
      <w:sz w:val="18"/>
      <w:szCs w:val="18"/>
      <w:bdr w:val="nil"/>
    </w:rPr>
  </w:style>
  <w:style w:type="paragraph" w:customStyle="1" w:styleId="Figures9pBoldRight025">
    <w:name w:val="Figures_9p_Bold_Right_0.25"/>
    <w:qFormat/>
    <w:rsid w:val="00C61F02"/>
    <w:pPr>
      <w:pBdr>
        <w:top w:val="nil"/>
        <w:left w:val="nil"/>
        <w:bottom w:val="nil"/>
        <w:right w:val="nil"/>
        <w:between w:val="nil"/>
        <w:bar w:val="nil"/>
      </w:pBdr>
      <w:ind w:right="142"/>
      <w:jc w:val="right"/>
    </w:pPr>
    <w:rPr>
      <w:rFonts w:ascii="Verdana" w:hAnsi="Verdana"/>
      <w:b/>
      <w:noProof/>
      <w:sz w:val="18"/>
      <w:szCs w:val="18"/>
      <w:bdr w:val="nil"/>
    </w:rPr>
  </w:style>
  <w:style w:type="paragraph" w:customStyle="1" w:styleId="Text9pItalicLeft">
    <w:name w:val="Text_9p_Italic_Left"/>
    <w:qFormat/>
    <w:rsid w:val="00C61F02"/>
    <w:pPr>
      <w:pBdr>
        <w:top w:val="nil"/>
        <w:left w:val="nil"/>
        <w:bottom w:val="nil"/>
        <w:right w:val="nil"/>
        <w:between w:val="nil"/>
        <w:bar w:val="nil"/>
      </w:pBdr>
    </w:pPr>
    <w:rPr>
      <w:rFonts w:ascii="Verdana" w:hAnsi="Verdana"/>
      <w:i/>
      <w:noProof/>
      <w:sz w:val="18"/>
      <w:szCs w:val="18"/>
      <w:bdr w:val="nil"/>
    </w:rPr>
  </w:style>
  <w:style w:type="paragraph" w:customStyle="1" w:styleId="Figures9pItalicRight025">
    <w:name w:val="Figures_9p_Italic_Right_0.25"/>
    <w:qFormat/>
    <w:rsid w:val="00C61F02"/>
    <w:pPr>
      <w:pBdr>
        <w:top w:val="nil"/>
        <w:left w:val="nil"/>
        <w:bottom w:val="nil"/>
        <w:right w:val="nil"/>
        <w:between w:val="nil"/>
        <w:bar w:val="nil"/>
      </w:pBdr>
      <w:ind w:right="142"/>
      <w:jc w:val="right"/>
    </w:pPr>
    <w:rPr>
      <w:rFonts w:ascii="Verdana" w:hAnsi="Verdana"/>
      <w:i/>
      <w:noProof/>
      <w:sz w:val="18"/>
      <w:szCs w:val="18"/>
      <w:bdr w:val="nil"/>
    </w:rPr>
  </w:style>
  <w:style w:type="paragraph" w:customStyle="1" w:styleId="Heading9pNormalCentered">
    <w:name w:val="Heading_9p_Normal_Centered"/>
    <w:qFormat/>
    <w:rsid w:val="00C61F02"/>
    <w:pPr>
      <w:jc w:val="center"/>
    </w:pPr>
    <w:rPr>
      <w:rFonts w:ascii="Verdana" w:hAnsi="Verdana" w:cs="Calibri"/>
      <w:bCs/>
      <w:color w:val="FFFFFF"/>
      <w:sz w:val="18"/>
      <w:szCs w:val="22"/>
    </w:rPr>
  </w:style>
  <w:style w:type="paragraph" w:customStyle="1" w:styleId="Heading9pNormalRight01">
    <w:name w:val="Heading_9p_Normal_Right_0.1"/>
    <w:basedOn w:val="Heading9pNormalRight025"/>
    <w:qFormat/>
    <w:rsid w:val="00C61F02"/>
    <w:pPr>
      <w:ind w:right="57"/>
    </w:pPr>
  </w:style>
  <w:style w:type="paragraph" w:customStyle="1" w:styleId="Heading9pNormalRight025">
    <w:name w:val="Heading_9p_Normal_Right_0.25"/>
    <w:basedOn w:val="Heading9pNormalCentered"/>
    <w:qFormat/>
    <w:rsid w:val="00C61F02"/>
    <w:pPr>
      <w:pBdr>
        <w:top w:val="nil"/>
        <w:left w:val="nil"/>
        <w:bottom w:val="nil"/>
        <w:right w:val="nil"/>
        <w:between w:val="nil"/>
        <w:bar w:val="nil"/>
      </w:pBdr>
      <w:ind w:right="142"/>
      <w:jc w:val="right"/>
    </w:pPr>
    <w:rPr>
      <w:bdr w:val="nil"/>
    </w:rPr>
  </w:style>
  <w:style w:type="paragraph" w:customStyle="1" w:styleId="Figures9pItalicBoldRight025">
    <w:name w:val="Figures_9p_ItalicBold_Right_0.25"/>
    <w:qFormat/>
    <w:rsid w:val="00C61F02"/>
    <w:pPr>
      <w:ind w:right="142"/>
      <w:jc w:val="right"/>
    </w:pPr>
    <w:rPr>
      <w:rFonts w:ascii="Verdana" w:hAnsi="Verdana"/>
      <w:b/>
      <w:i/>
      <w:noProof/>
      <w:sz w:val="18"/>
      <w:szCs w:val="18"/>
    </w:rPr>
  </w:style>
  <w:style w:type="paragraph" w:styleId="NormalWeb">
    <w:name w:val="Normal (Web)"/>
    <w:basedOn w:val="Normal"/>
    <w:uiPriority w:val="99"/>
    <w:semiHidden/>
    <w:unhideWhenUsed/>
    <w:rsid w:val="00273170"/>
    <w:pPr>
      <w:spacing w:before="100" w:beforeAutospacing="1" w:after="100" w:afterAutospacing="1"/>
    </w:pPr>
    <w:rPr>
      <w:rFonts w:eastAsiaTheme="minorEastAsia"/>
    </w:rPr>
  </w:style>
  <w:style w:type="paragraph" w:styleId="Header">
    <w:name w:val="header"/>
    <w:basedOn w:val="Normal"/>
    <w:link w:val="HeaderChar"/>
    <w:rsid w:val="00C61F02"/>
    <w:pPr>
      <w:tabs>
        <w:tab w:val="center" w:pos="4677"/>
        <w:tab w:val="right" w:pos="9355"/>
      </w:tabs>
    </w:pPr>
  </w:style>
  <w:style w:type="character" w:customStyle="1" w:styleId="HeaderChar">
    <w:name w:val="Header Char"/>
    <w:link w:val="Header"/>
    <w:rsid w:val="00C61F02"/>
    <w:rPr>
      <w:rFonts w:ascii="Times New Roman" w:eastAsia="Times New Roman" w:hAnsi="Times New Roman"/>
      <w:sz w:val="24"/>
      <w:szCs w:val="24"/>
    </w:rPr>
  </w:style>
  <w:style w:type="paragraph" w:styleId="Footer">
    <w:name w:val="footer"/>
    <w:basedOn w:val="Normal"/>
    <w:link w:val="FooterChar"/>
    <w:uiPriority w:val="99"/>
    <w:rsid w:val="00C61F02"/>
    <w:pPr>
      <w:tabs>
        <w:tab w:val="center" w:pos="4677"/>
        <w:tab w:val="right" w:pos="9355"/>
      </w:tabs>
    </w:pPr>
  </w:style>
  <w:style w:type="character" w:customStyle="1" w:styleId="FooterChar">
    <w:name w:val="Footer Char"/>
    <w:link w:val="Footer"/>
    <w:uiPriority w:val="99"/>
    <w:rsid w:val="00C61F02"/>
    <w:rPr>
      <w:rFonts w:ascii="Times New Roman" w:eastAsia="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SignatureRightItalic">
    <w:name w:val="Signature_Right + Italic"/>
    <w:basedOn w:val="Normal"/>
    <w:qFormat/>
    <w:rsid w:val="00C96E76"/>
    <w:pPr>
      <w:spacing w:before="240"/>
      <w:ind w:left="4394" w:right="1128"/>
      <w:jc w:val="center"/>
    </w:pPr>
    <w:rPr>
      <w:rFonts w:ascii="Verdana" w:hAnsi="Verdana"/>
      <w:i/>
      <w:sz w:val="18"/>
      <w:szCs w:val="18"/>
    </w:rPr>
  </w:style>
  <w:style w:type="paragraph" w:customStyle="1" w:styleId="SignatureRight">
    <w:name w:val="Signature_Right"/>
    <w:basedOn w:val="SignatureRightItalic"/>
    <w:qFormat/>
    <w:rsid w:val="00C96E76"/>
    <w:rPr>
      <w:i w:val="0"/>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Italic0">
    <w:name w:val="Signature_Right Italic"/>
    <w:basedOn w:val="SignatureRightBold"/>
    <w:qFormat/>
    <w:rsid w:val="00C96E76"/>
    <w:rPr>
      <w:b w:val="0"/>
      <w:i/>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jc w:val="left"/>
    </w:pPr>
    <w:rPr>
      <w:b/>
      <w:color w:val="016794"/>
      <w:sz w:val="28"/>
    </w:rPr>
  </w:style>
  <w:style w:type="paragraph" w:customStyle="1" w:styleId="Text9pItalicCentered">
    <w:name w:val="Text_9p_Italic_Centered"/>
    <w:qFormat/>
    <w:rsid w:val="004962AB"/>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9pItalicLeft3p">
    <w:name w:val="Text_9p_Italic_Left_3p"/>
    <w:basedOn w:val="Text9pItalicLeft"/>
    <w:qFormat/>
    <w:rsid w:val="007540AA"/>
    <w:pPr>
      <w:spacing w:after="60"/>
    </w:p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1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F9658A"/>
    <w:pPr>
      <w:numPr>
        <w:ilvl w:val="1"/>
        <w:numId w:val="13"/>
      </w:numPr>
      <w:tabs>
        <w:tab w:val="left" w:pos="907"/>
      </w:tabs>
      <w:spacing w:before="360" w:after="360"/>
    </w:pPr>
    <w:rPr>
      <w:rFonts w:ascii="Verdana" w:hAnsi="Verdana"/>
      <w:b/>
      <w:color w:val="016794"/>
      <w:sz w:val="28"/>
      <w:szCs w:val="28"/>
    </w:rPr>
  </w:style>
  <w:style w:type="paragraph" w:customStyle="1" w:styleId="HEADER4Part2">
    <w:name w:val="HEADER 4_Part 2"/>
    <w:basedOn w:val="HEADER4Part1"/>
    <w:qFormat/>
    <w:rsid w:val="00F9658A"/>
    <w:pPr>
      <w:numPr>
        <w:numId w:val="13"/>
      </w:numPr>
    </w:pPr>
  </w:style>
  <w:style w:type="paragraph" w:customStyle="1" w:styleId="Text9pBoldLeft025">
    <w:name w:val="Text_9p_Bold_Left_0.25"/>
    <w:qFormat/>
    <w:rsid w:val="00EC6DE6"/>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rsid w:val="00EC6DE6"/>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SubtitlenumberingRCItalic">
    <w:name w:val="Text_Subtitle_(numbering RC Italic)"/>
    <w:basedOn w:val="Normal"/>
    <w:qFormat/>
    <w:rsid w:val="00D033B9"/>
    <w:pPr>
      <w:numPr>
        <w:numId w:val="14"/>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1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16"/>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17"/>
      </w:numPr>
    </w:pPr>
    <w:rPr>
      <w:rFonts w:ascii="Verdana" w:hAnsi="Verdana"/>
      <w:i/>
      <w:sz w:val="18"/>
      <w:szCs w:val="18"/>
    </w:rPr>
  </w:style>
  <w:style w:type="paragraph" w:customStyle="1" w:styleId="Heading7pNormalRight01">
    <w:name w:val="Heading_7p_Normal_Right_0.1"/>
    <w:qFormat/>
    <w:rsid w:val="003C74F7"/>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Heading7pNormalRight025">
    <w:name w:val="Heading_7p_Normal_Right_0.25"/>
    <w:basedOn w:val="Heading7pNormalRight01"/>
    <w:qFormat/>
    <w:rsid w:val="003C74F7"/>
    <w:pPr>
      <w:ind w:right="142"/>
    </w:pPr>
  </w:style>
  <w:style w:type="paragraph" w:customStyle="1" w:styleId="Text7pItalicLeft">
    <w:name w:val="Text_7p_Italic_Left"/>
    <w:qFormat/>
    <w:rsid w:val="003C74F7"/>
    <w:pPr>
      <w:pBdr>
        <w:top w:val="nil"/>
        <w:left w:val="nil"/>
        <w:bottom w:val="nil"/>
        <w:right w:val="nil"/>
        <w:between w:val="nil"/>
        <w:bar w:val="nil"/>
      </w:pBdr>
    </w:pPr>
    <w:rPr>
      <w:rFonts w:ascii="Verdana" w:eastAsia="Calibri" w:hAnsi="Verdana"/>
      <w:bCs/>
      <w:i/>
      <w:noProof/>
      <w:sz w:val="14"/>
      <w:bdr w:val="nil"/>
    </w:rPr>
  </w:style>
  <w:style w:type="paragraph" w:customStyle="1" w:styleId="Figures7pItalicRight025">
    <w:name w:val="Figures_7p_Italic_Right_0.25"/>
    <w:basedOn w:val="Figures8pItalicRight025"/>
    <w:qFormat/>
    <w:rsid w:val="003C74F7"/>
    <w:rPr>
      <w:sz w:val="14"/>
    </w:rPr>
  </w:style>
  <w:style w:type="paragraph" w:customStyle="1" w:styleId="Figures8pItalicRight025">
    <w:name w:val="Figures_8p_Italic_Right_0.25"/>
    <w:qFormat/>
    <w:rsid w:val="003C74F7"/>
    <w:pPr>
      <w:pBdr>
        <w:top w:val="nil"/>
        <w:left w:val="nil"/>
        <w:bottom w:val="nil"/>
        <w:right w:val="nil"/>
        <w:between w:val="nil"/>
        <w:bar w:val="nil"/>
      </w:pBdr>
      <w:ind w:right="142"/>
      <w:jc w:val="right"/>
    </w:pPr>
    <w:rPr>
      <w:rFonts w:ascii="Verdana" w:eastAsia="Calibri" w:hAnsi="Verdana"/>
      <w:i/>
      <w:noProof/>
      <w:sz w:val="16"/>
      <w:szCs w:val="18"/>
      <w:bdr w:val="nil"/>
    </w:rPr>
  </w:style>
  <w:style w:type="paragraph" w:customStyle="1" w:styleId="Text7pBoldLeft">
    <w:name w:val="Text_7p_Bold_Left"/>
    <w:qFormat/>
    <w:rsid w:val="003C74F7"/>
    <w:pPr>
      <w:pBdr>
        <w:top w:val="nil"/>
        <w:left w:val="nil"/>
        <w:bottom w:val="nil"/>
        <w:right w:val="nil"/>
        <w:between w:val="nil"/>
        <w:bar w:val="nil"/>
      </w:pBdr>
    </w:pPr>
    <w:rPr>
      <w:rFonts w:ascii="Verdana" w:eastAsia="Calibri" w:hAnsi="Verdana"/>
      <w:b/>
      <w:noProof/>
      <w:sz w:val="14"/>
      <w:szCs w:val="18"/>
      <w:bdr w:val="nil"/>
    </w:rPr>
  </w:style>
  <w:style w:type="paragraph" w:customStyle="1" w:styleId="Figures7pBoldRight025">
    <w:name w:val="Figures_7p_Bold_Right_0.25"/>
    <w:qFormat/>
    <w:rsid w:val="003C74F7"/>
    <w:pPr>
      <w:pBdr>
        <w:top w:val="nil"/>
        <w:left w:val="nil"/>
        <w:bottom w:val="nil"/>
        <w:right w:val="nil"/>
        <w:between w:val="nil"/>
        <w:bar w:val="nil"/>
      </w:pBdr>
      <w:ind w:right="142"/>
      <w:jc w:val="right"/>
    </w:pPr>
    <w:rPr>
      <w:rFonts w:ascii="Verdana" w:eastAsia="Calibri" w:hAnsi="Verdana"/>
      <w:b/>
      <w:noProof/>
      <w:sz w:val="14"/>
      <w:szCs w:val="18"/>
      <w:bdr w:val="nil"/>
    </w:rPr>
  </w:style>
  <w:style w:type="paragraph" w:customStyle="1" w:styleId="Heading10pNormalCentered">
    <w:name w:val="Heading_10p_Normal_Centered"/>
    <w:qFormat/>
    <w:rsid w:val="003C74F7"/>
    <w:pPr>
      <w:pBdr>
        <w:top w:val="nil"/>
        <w:left w:val="nil"/>
        <w:bottom w:val="nil"/>
        <w:right w:val="nil"/>
        <w:between w:val="nil"/>
        <w:bar w:val="nil"/>
      </w:pBdr>
      <w:jc w:val="center"/>
    </w:pPr>
    <w:rPr>
      <w:rFonts w:ascii="Verdana" w:eastAsia="Calibri" w:hAnsi="Verdana"/>
      <w:noProof/>
      <w:color w:val="FFFFFF"/>
      <w:szCs w:val="30"/>
      <w:bdr w:val="nil"/>
    </w:rPr>
  </w:style>
  <w:style w:type="paragraph" w:customStyle="1" w:styleId="Heading9pNormalLeft">
    <w:name w:val="Heading_9p_Normal_Left"/>
    <w:basedOn w:val="Heading9pNormalCentered"/>
    <w:qFormat/>
    <w:rsid w:val="0066275A"/>
    <w:pPr>
      <w:jc w:val="left"/>
    </w:pPr>
  </w:style>
  <w:style w:type="paragraph" w:customStyle="1" w:styleId="Text9pNormalLeft">
    <w:name w:val="Text_9p_Normal_Left"/>
    <w:basedOn w:val="Text9pItalicLeft"/>
    <w:qFormat/>
    <w:rsid w:val="00C357FF"/>
    <w:rPr>
      <w:i w:val="0"/>
    </w:rPr>
  </w:style>
  <w:style w:type="paragraph" w:customStyle="1" w:styleId="Heading8pNormalRight025">
    <w:name w:val="Heading_8p_Normal_Right_0.25"/>
    <w:basedOn w:val="Heading10pNormalRight025"/>
    <w:qFormat/>
    <w:rsid w:val="00263A32"/>
    <w:rPr>
      <w:sz w:val="16"/>
    </w:rPr>
  </w:style>
  <w:style w:type="paragraph" w:customStyle="1" w:styleId="Text8pBoldLeft">
    <w:name w:val="Text_8p_Bold_Left"/>
    <w:qFormat/>
    <w:rsid w:val="00263A32"/>
    <w:rPr>
      <w:rFonts w:ascii="Verdana" w:eastAsia="Calibri" w:hAnsi="Verdana"/>
      <w:b/>
      <w:bCs/>
      <w:noProof/>
      <w:sz w:val="16"/>
    </w:rPr>
  </w:style>
  <w:style w:type="paragraph" w:customStyle="1" w:styleId="Figures8pBoldRight025">
    <w:name w:val="Figures_8p_Bold_Right_0.25"/>
    <w:qFormat/>
    <w:rsid w:val="00263A32"/>
    <w:pPr>
      <w:ind w:right="142"/>
      <w:jc w:val="right"/>
    </w:pPr>
    <w:rPr>
      <w:rFonts w:ascii="Verdana" w:eastAsia="Calibri" w:hAnsi="Verdana"/>
      <w:b/>
      <w:bCs/>
      <w:noProof/>
      <w:sz w:val="16"/>
    </w:rPr>
  </w:style>
  <w:style w:type="paragraph" w:customStyle="1" w:styleId="Text7pItalicRight025">
    <w:name w:val="Text_7p_Italic_Right_0.25"/>
    <w:basedOn w:val="Text8pItalicRight025EUR"/>
    <w:qFormat/>
    <w:rsid w:val="0059539A"/>
    <w:rPr>
      <w:sz w:val="14"/>
    </w:rPr>
  </w:style>
  <w:style w:type="paragraph" w:customStyle="1" w:styleId="Heading7pNormalCentered">
    <w:name w:val="Heading_7p_Normal_Centered"/>
    <w:basedOn w:val="Heading8pNormalCentered"/>
    <w:qFormat/>
    <w:rsid w:val="0059539A"/>
    <w:rPr>
      <w:sz w:val="14"/>
    </w:rPr>
  </w:style>
  <w:style w:type="paragraph" w:customStyle="1" w:styleId="Heading8pNormalCentered">
    <w:name w:val="Heading_8p_Normal_Centered"/>
    <w:qFormat/>
    <w:rsid w:val="0059539A"/>
    <w:pPr>
      <w:jc w:val="center"/>
    </w:pPr>
    <w:rPr>
      <w:rFonts w:ascii="Verdana" w:eastAsia="Calibri" w:hAnsi="Verdana"/>
      <w:noProof/>
      <w:color w:val="FFFFFF"/>
      <w:sz w:val="16"/>
      <w:szCs w:val="30"/>
    </w:rPr>
  </w:style>
  <w:style w:type="paragraph" w:customStyle="1" w:styleId="Figures9pNormalRight025">
    <w:name w:val="Figures_9p_Normal_Right_0.25"/>
    <w:basedOn w:val="Figures9pItalicRight025"/>
    <w:qFormat/>
    <w:rsid w:val="003B78ED"/>
    <w:rPr>
      <w:i w:val="0"/>
    </w:rPr>
  </w:style>
  <w:style w:type="paragraph" w:customStyle="1" w:styleId="Heading8pNormalLeft">
    <w:name w:val="Heading_8p_Normal_Left"/>
    <w:qFormat/>
    <w:rsid w:val="003B78ED"/>
    <w:rPr>
      <w:rFonts w:ascii="Verdana" w:hAnsi="Verdana" w:cs="Calibri"/>
      <w:bCs/>
      <w:color w:val="FFFFFF"/>
      <w:sz w:val="16"/>
      <w:szCs w:val="22"/>
    </w:rPr>
  </w:style>
  <w:style w:type="paragraph" w:customStyle="1" w:styleId="Textstand-alonenumberingJustified">
    <w:name w:val="Text_stand-alone_(numbering) + Justified"/>
    <w:basedOn w:val="Normal"/>
    <w:qFormat/>
    <w:rsid w:val="000C3655"/>
    <w:pPr>
      <w:numPr>
        <w:numId w:val="18"/>
      </w:numPr>
      <w:spacing w:after="240"/>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9"/>
      </w:numPr>
      <w:spacing w:after="240"/>
      <w:ind w:left="357" w:hanging="357"/>
    </w:pPr>
    <w:rPr>
      <w:rFonts w:ascii="Verdana" w:hAnsi="Verdana"/>
      <w:sz w:val="18"/>
      <w:szCs w:val="18"/>
    </w:rPr>
  </w:style>
  <w:style w:type="paragraph" w:customStyle="1" w:styleId="Text5pItalicRight025">
    <w:name w:val="Text_5p_Italic_Right_0.25"/>
    <w:basedOn w:val="Text6pItalicRight025"/>
    <w:qFormat/>
    <w:rsid w:val="00227404"/>
    <w:rPr>
      <w:sz w:val="10"/>
    </w:rPr>
  </w:style>
  <w:style w:type="paragraph" w:customStyle="1" w:styleId="Text6pItalicRight025">
    <w:name w:val="Text_6p_Italic_Right_0.25"/>
    <w:basedOn w:val="Text7pItalicRight025"/>
    <w:qFormat/>
    <w:rsid w:val="00227404"/>
    <w:rPr>
      <w:sz w:val="12"/>
    </w:rPr>
  </w:style>
  <w:style w:type="paragraph" w:customStyle="1" w:styleId="Figures6pBoldRight01">
    <w:name w:val="Figures_6p_Bold_Right_0.1"/>
    <w:basedOn w:val="Figures7pBoldRight025"/>
    <w:qFormat/>
    <w:rsid w:val="00227404"/>
    <w:pPr>
      <w:ind w:right="57"/>
    </w:pPr>
    <w:rPr>
      <w:sz w:val="12"/>
      <w:szCs w:val="12"/>
    </w:rPr>
  </w:style>
  <w:style w:type="paragraph" w:customStyle="1" w:styleId="Figures6pItalicRight01">
    <w:name w:val="Figures_6p_Italic_Right_0.1"/>
    <w:basedOn w:val="Figures7pItalicRight025"/>
    <w:qFormat/>
    <w:rsid w:val="00227404"/>
    <w:pPr>
      <w:ind w:right="57"/>
    </w:pPr>
    <w:rPr>
      <w:sz w:val="12"/>
      <w:szCs w:val="12"/>
    </w:rPr>
  </w:style>
  <w:style w:type="paragraph" w:customStyle="1" w:styleId="Text7pNormalLeft">
    <w:name w:val="Text_7p_Normal_Left"/>
    <w:basedOn w:val="Text8pNormalLeft"/>
    <w:qFormat/>
    <w:rsid w:val="00F32630"/>
    <w:rPr>
      <w:noProof/>
      <w:sz w:val="14"/>
    </w:rPr>
  </w:style>
  <w:style w:type="paragraph" w:customStyle="1" w:styleId="Text8pNormalLeft">
    <w:name w:val="Text_8p_Normal_Left"/>
    <w:qFormat/>
    <w:rsid w:val="00F32630"/>
    <w:pPr>
      <w:ind w:left="34"/>
    </w:pPr>
    <w:rPr>
      <w:rFonts w:ascii="Verdana" w:eastAsia="Calibri" w:hAnsi="Verdana"/>
      <w:bCs/>
      <w:sz w:val="16"/>
    </w:rPr>
  </w:style>
  <w:style w:type="paragraph" w:customStyle="1" w:styleId="Textstand-aloneBulletpoint">
    <w:name w:val="Text_stand-alone Bullet point"/>
    <w:basedOn w:val="Normal"/>
    <w:qFormat/>
    <w:rsid w:val="0073685D"/>
    <w:pPr>
      <w:numPr>
        <w:numId w:val="20"/>
      </w:numPr>
      <w:spacing w:after="240"/>
      <w:ind w:left="1080"/>
      <w:contextualSpacing/>
    </w:pPr>
    <w:rPr>
      <w:rFonts w:ascii="Verdana" w:hAnsi="Verdana"/>
      <w:sz w:val="18"/>
      <w:szCs w:val="18"/>
    </w:rPr>
  </w:style>
  <w:style w:type="paragraph" w:customStyle="1" w:styleId="Heading8pNormalRight01">
    <w:name w:val="Heading_8p_Normal_Right_0.1"/>
    <w:qFormat/>
    <w:rsid w:val="006E03F9"/>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Figures8pNormalRight025">
    <w:name w:val="Figures_8p_Normal_Right_0.25"/>
    <w:basedOn w:val="Figures8pItalicRight025"/>
    <w:qFormat/>
    <w:rsid w:val="006E03F9"/>
    <w:rPr>
      <w:i w:val="0"/>
    </w:rPr>
  </w:style>
  <w:style w:type="paragraph" w:customStyle="1" w:styleId="Text9pItalicLeft025">
    <w:name w:val="Text_9p_Italic_Left_0.25"/>
    <w:basedOn w:val="Text9pItalicLeft"/>
    <w:qFormat/>
    <w:rsid w:val="00F722E6"/>
    <w:pPr>
      <w:ind w:left="142"/>
    </w:pPr>
  </w:style>
  <w:style w:type="paragraph" w:customStyle="1" w:styleId="Text9pItalicBoldLeft">
    <w:name w:val="Text_9p_ItalicBold_Left"/>
    <w:qFormat/>
    <w:rsid w:val="00F722E6"/>
    <w:rPr>
      <w:rFonts w:ascii="Verdana" w:eastAsia="Calibri" w:hAnsi="Verdana"/>
      <w:b/>
      <w:i/>
      <w:noProof/>
      <w:sz w:val="18"/>
      <w:szCs w:val="18"/>
    </w:r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ERTITLE3">
    <w:name w:val="HEADER_TITLE_3"/>
    <w:basedOn w:val="HEADERTITLE1"/>
    <w:qFormat/>
    <w:rsid w:val="009E7E05"/>
    <w:rPr>
      <w:sz w:val="24"/>
    </w:rPr>
  </w:style>
  <w:style w:type="paragraph" w:customStyle="1" w:styleId="Heading9pBoldCentered">
    <w:name w:val="Heading_9p_Bold_Centered"/>
    <w:qFormat/>
    <w:rsid w:val="007B61AA"/>
    <w:pPr>
      <w:pBdr>
        <w:top w:val="nil"/>
        <w:left w:val="nil"/>
        <w:bottom w:val="nil"/>
        <w:right w:val="nil"/>
        <w:between w:val="nil"/>
        <w:bar w:val="nil"/>
      </w:pBdr>
      <w:jc w:val="center"/>
    </w:pPr>
    <w:rPr>
      <w:rFonts w:ascii="Verdana" w:hAnsi="Verdana"/>
      <w:b/>
      <w:noProof/>
      <w:sz w:val="18"/>
      <w:szCs w:val="18"/>
      <w:bdr w:val="nil"/>
    </w:r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rPr>
  </w:style>
  <w:style w:type="paragraph" w:customStyle="1" w:styleId="Figures7pNormalRight025">
    <w:name w:val="Figures_7p_Normal_Right_0.25"/>
    <w:basedOn w:val="Figures7pItalicRight025"/>
    <w:qFormat/>
    <w:rsid w:val="00BB7E20"/>
    <w:rPr>
      <w:i w:val="0"/>
    </w:rPr>
  </w:style>
  <w:style w:type="paragraph" w:customStyle="1" w:styleId="Heading7pBoldLeft">
    <w:name w:val="Heading_7p_Bold_Left"/>
    <w:qFormat/>
    <w:rsid w:val="002C1CBD"/>
    <w:pPr>
      <w:pBdr>
        <w:top w:val="nil"/>
        <w:left w:val="nil"/>
        <w:bottom w:val="nil"/>
        <w:right w:val="nil"/>
        <w:between w:val="nil"/>
        <w:bar w:val="nil"/>
      </w:pBdr>
    </w:pPr>
    <w:rPr>
      <w:rFonts w:ascii="Verdana" w:eastAsia="Calibri" w:hAnsi="Verdana"/>
      <w:b/>
      <w:noProof/>
      <w:sz w:val="14"/>
      <w:szCs w:val="18"/>
      <w:bdr w:val="nil"/>
    </w:rPr>
  </w:style>
  <w:style w:type="paragraph" w:styleId="TOC1">
    <w:name w:val="toc 1"/>
    <w:aliases w:val="Level 1 TOC"/>
    <w:basedOn w:val="Normal"/>
    <w:next w:val="Normal"/>
    <w:autoRedefine/>
    <w:uiPriority w:val="39"/>
    <w:rsid w:val="00F818AC"/>
    <w:pPr>
      <w:tabs>
        <w:tab w:val="right" w:leader="dot" w:pos="9629"/>
      </w:tabs>
      <w:spacing w:after="100"/>
    </w:pPr>
    <w:rPr>
      <w:rFonts w:ascii="Verdana" w:hAnsi="Verdana"/>
      <w:noProof/>
      <w:color w:val="016794"/>
      <w:sz w:val="22"/>
      <w:szCs w:val="21"/>
    </w:rPr>
  </w:style>
  <w:style w:type="character" w:styleId="Hyperlink">
    <w:name w:val="Hyperlink"/>
    <w:basedOn w:val="DefaultParagraphFont"/>
    <w:uiPriority w:val="99"/>
    <w:unhideWhenUsed/>
    <w:rsid w:val="00375FD9"/>
    <w:rPr>
      <w:color w:val="0000FF" w:themeColor="hyperlink"/>
      <w:u w:val="single"/>
    </w:rPr>
  </w:style>
  <w:style w:type="paragraph" w:styleId="TOC2">
    <w:name w:val="toc 2"/>
    <w:aliases w:val="Level 2 TOC"/>
    <w:basedOn w:val="Normal"/>
    <w:next w:val="Normal"/>
    <w:autoRedefine/>
    <w:uiPriority w:val="39"/>
    <w:unhideWhenUsed/>
    <w:rsid w:val="005F66D3"/>
    <w:pPr>
      <w:tabs>
        <w:tab w:val="left" w:pos="1134"/>
        <w:tab w:val="right" w:leader="dot" w:pos="9628"/>
      </w:tabs>
      <w:spacing w:after="120"/>
      <w:ind w:left="567"/>
    </w:pPr>
    <w:rPr>
      <w:rFonts w:ascii="Verdana" w:hAnsi="Verdana"/>
      <w:noProof/>
      <w:color w:val="016794"/>
      <w:sz w:val="20"/>
      <w:szCs w:val="22"/>
    </w:rPr>
  </w:style>
  <w:style w:type="paragraph" w:styleId="BalloonText">
    <w:name w:val="Balloon Text"/>
    <w:basedOn w:val="Normal"/>
    <w:link w:val="BalloonTextChar"/>
    <w:rsid w:val="00827CE4"/>
    <w:rPr>
      <w:rFonts w:ascii="Tahoma" w:hAnsi="Tahoma" w:cs="Tahoma"/>
      <w:sz w:val="16"/>
      <w:szCs w:val="16"/>
    </w:rPr>
  </w:style>
  <w:style w:type="character" w:customStyle="1" w:styleId="BalloonTextChar">
    <w:name w:val="Balloon Text Char"/>
    <w:basedOn w:val="DefaultParagraphFont"/>
    <w:link w:val="BalloonText"/>
    <w:rsid w:val="00827CE4"/>
    <w:rPr>
      <w:rFonts w:ascii="Tahoma" w:hAnsi="Tahoma" w:cs="Tahoma"/>
      <w:sz w:val="16"/>
      <w:szCs w:val="16"/>
    </w:rPr>
  </w:style>
  <w:style w:type="paragraph" w:customStyle="1" w:styleId="TOC">
    <w:name w:val="TOC"/>
    <w:aliases w:val="Level 3 TOC"/>
    <w:basedOn w:val="TOC3"/>
    <w:qFormat/>
    <w:rsid w:val="008A4A80"/>
    <w:pPr>
      <w:tabs>
        <w:tab w:val="right" w:leader="dot" w:pos="9628"/>
      </w:tabs>
      <w:ind w:left="680"/>
    </w:pPr>
    <w:rPr>
      <w:rFonts w:ascii="Verdana" w:hAnsi="Verdana"/>
      <w:sz w:val="20"/>
    </w:rPr>
  </w:style>
  <w:style w:type="paragraph" w:styleId="TOC3">
    <w:name w:val="toc 3"/>
    <w:basedOn w:val="Normal"/>
    <w:next w:val="Normal"/>
    <w:autoRedefine/>
    <w:rsid w:val="008A4A80"/>
    <w:pPr>
      <w:spacing w:after="100"/>
      <w:ind w:left="480"/>
    </w:pPr>
  </w:style>
  <w:style w:type="character" w:customStyle="1" w:styleId="Marker">
    <w:name w:val="Marker"/>
    <w:basedOn w:val="DefaultParagraphFont"/>
    <w:rsid w:val="0012099B"/>
    <w:rPr>
      <w:color w:val="0000FF"/>
      <w:shd w:val="clear" w:color="auto" w:fill="auto"/>
    </w:rPr>
  </w:style>
  <w:style w:type="paragraph" w:customStyle="1" w:styleId="Pagedecouverture">
    <w:name w:val="Page de couverture"/>
    <w:basedOn w:val="Normal"/>
    <w:next w:val="Normal"/>
    <w:rsid w:val="0012099B"/>
    <w:pPr>
      <w:jc w:val="both"/>
    </w:pPr>
    <w:rPr>
      <w:rFonts w:eastAsiaTheme="minorHAnsi"/>
      <w:szCs w:val="22"/>
    </w:rPr>
  </w:style>
  <w:style w:type="paragraph" w:customStyle="1" w:styleId="FooterCoverPage">
    <w:name w:val="Footer Cover Page"/>
    <w:basedOn w:val="Normal"/>
    <w:link w:val="FooterCoverPageChar"/>
    <w:rsid w:val="0012099B"/>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12099B"/>
    <w:rPr>
      <w:rFonts w:ascii="Verdana" w:hAnsi="Verdana"/>
      <w:color w:val="016794"/>
      <w:sz w:val="52"/>
      <w:szCs w:val="52"/>
    </w:rPr>
  </w:style>
  <w:style w:type="character" w:customStyle="1" w:styleId="FooterCoverPageChar">
    <w:name w:val="Footer Cover Page Char"/>
    <w:basedOn w:val="CoverPageChar"/>
    <w:link w:val="FooterCoverPage"/>
    <w:rsid w:val="0012099B"/>
    <w:rPr>
      <w:rFonts w:ascii="Verdana" w:hAnsi="Verdana"/>
      <w:color w:val="016794"/>
      <w:sz w:val="24"/>
      <w:szCs w:val="24"/>
    </w:rPr>
  </w:style>
  <w:style w:type="paragraph" w:customStyle="1" w:styleId="HeaderCoverPage">
    <w:name w:val="Header Cover Page"/>
    <w:basedOn w:val="Normal"/>
    <w:link w:val="HeaderCoverPageChar"/>
    <w:rsid w:val="0012099B"/>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12099B"/>
    <w:rPr>
      <w:rFonts w:ascii="Verdana" w:hAnsi="Verdana"/>
      <w:color w:val="016794"/>
      <w:sz w:val="24"/>
      <w:szCs w:val="24"/>
    </w:rPr>
  </w:style>
  <w:style w:type="character" w:customStyle="1" w:styleId="Heading1Char">
    <w:name w:val="Heading 1 Char"/>
    <w:basedOn w:val="DefaultParagraphFont"/>
    <w:link w:val="Heading1"/>
    <w:rsid w:val="007B09E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B09E9"/>
    <w:pPr>
      <w:spacing w:line="276" w:lineRule="auto"/>
      <w:outlineLvl w:val="9"/>
    </w:pPr>
  </w:style>
  <w:style w:type="paragraph" w:styleId="CommentText">
    <w:name w:val="annotation text"/>
    <w:basedOn w:val="Normal"/>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99" Type="http://schemas.openxmlformats.org/officeDocument/2006/relationships/header" Target="header139.xml"/><Relationship Id="rId21" Type="http://schemas.openxmlformats.org/officeDocument/2006/relationships/header" Target="header6.xml"/><Relationship Id="rId63" Type="http://schemas.openxmlformats.org/officeDocument/2006/relationships/header" Target="header21.xml"/><Relationship Id="rId159" Type="http://schemas.openxmlformats.org/officeDocument/2006/relationships/header" Target="header69.xml"/><Relationship Id="rId324" Type="http://schemas.openxmlformats.org/officeDocument/2006/relationships/header" Target="header152.xml"/><Relationship Id="rId366" Type="http://schemas.openxmlformats.org/officeDocument/2006/relationships/header" Target="header173.xml"/><Relationship Id="rId531" Type="http://schemas.openxmlformats.org/officeDocument/2006/relationships/header" Target="header255.xml"/><Relationship Id="rId573" Type="http://schemas.openxmlformats.org/officeDocument/2006/relationships/header" Target="header276.xml"/><Relationship Id="rId170" Type="http://schemas.openxmlformats.org/officeDocument/2006/relationships/footer" Target="footer74.xml"/><Relationship Id="rId226" Type="http://schemas.openxmlformats.org/officeDocument/2006/relationships/footer" Target="footer102.xml"/><Relationship Id="rId433" Type="http://schemas.openxmlformats.org/officeDocument/2006/relationships/footer" Target="footer205.xml"/><Relationship Id="rId268" Type="http://schemas.openxmlformats.org/officeDocument/2006/relationships/footer" Target="footer123.xml"/><Relationship Id="rId475" Type="http://schemas.openxmlformats.org/officeDocument/2006/relationships/footer" Target="footer226.xml"/><Relationship Id="rId32" Type="http://schemas.openxmlformats.org/officeDocument/2006/relationships/image" Target="media/image4.png"/><Relationship Id="rId74" Type="http://schemas.openxmlformats.org/officeDocument/2006/relationships/footer" Target="footer26.xml"/><Relationship Id="rId128" Type="http://schemas.openxmlformats.org/officeDocument/2006/relationships/footer" Target="footer53.xml"/><Relationship Id="rId335" Type="http://schemas.openxmlformats.org/officeDocument/2006/relationships/header" Target="header157.xml"/><Relationship Id="rId377" Type="http://schemas.openxmlformats.org/officeDocument/2006/relationships/header" Target="header178.xml"/><Relationship Id="rId500" Type="http://schemas.openxmlformats.org/officeDocument/2006/relationships/footer" Target="footer239.xml"/><Relationship Id="rId542" Type="http://schemas.openxmlformats.org/officeDocument/2006/relationships/footer" Target="footer260.xml"/><Relationship Id="rId584" Type="http://schemas.openxmlformats.org/officeDocument/2006/relationships/footer" Target="footer281.xml"/><Relationship Id="rId5" Type="http://schemas.microsoft.com/office/2007/relationships/stylesWithEffects" Target="stylesWithEffects.xml"/><Relationship Id="rId181" Type="http://schemas.openxmlformats.org/officeDocument/2006/relationships/footer" Target="footer79.xml"/><Relationship Id="rId237" Type="http://schemas.openxmlformats.org/officeDocument/2006/relationships/header" Target="header108.xml"/><Relationship Id="rId402" Type="http://schemas.openxmlformats.org/officeDocument/2006/relationships/header" Target="header191.xml"/><Relationship Id="rId279" Type="http://schemas.openxmlformats.org/officeDocument/2006/relationships/header" Target="header129.xml"/><Relationship Id="rId444" Type="http://schemas.openxmlformats.org/officeDocument/2006/relationships/header" Target="header212.xml"/><Relationship Id="rId486" Type="http://schemas.openxmlformats.org/officeDocument/2006/relationships/header" Target="header233.xml"/><Relationship Id="rId43" Type="http://schemas.openxmlformats.org/officeDocument/2006/relationships/footer" Target="footer10.xml"/><Relationship Id="rId139" Type="http://schemas.openxmlformats.org/officeDocument/2006/relationships/footer" Target="footer58.xml"/><Relationship Id="rId290" Type="http://schemas.openxmlformats.org/officeDocument/2006/relationships/footer" Target="footer134.xml"/><Relationship Id="rId304" Type="http://schemas.openxmlformats.org/officeDocument/2006/relationships/footer" Target="footer141.xml"/><Relationship Id="rId346" Type="http://schemas.openxmlformats.org/officeDocument/2006/relationships/footer" Target="footer162.xml"/><Relationship Id="rId388" Type="http://schemas.openxmlformats.org/officeDocument/2006/relationships/footer" Target="footer183.xml"/><Relationship Id="rId511" Type="http://schemas.openxmlformats.org/officeDocument/2006/relationships/footer" Target="footer244.xml"/><Relationship Id="rId553" Type="http://schemas.openxmlformats.org/officeDocument/2006/relationships/footer" Target="footer265.xml"/><Relationship Id="rId609" Type="http://schemas.openxmlformats.org/officeDocument/2006/relationships/header" Target="header294.xml"/><Relationship Id="rId85" Type="http://schemas.openxmlformats.org/officeDocument/2006/relationships/footer" Target="footer31.xml"/><Relationship Id="rId150" Type="http://schemas.openxmlformats.org/officeDocument/2006/relationships/header" Target="header65.xml"/><Relationship Id="rId192" Type="http://schemas.openxmlformats.org/officeDocument/2006/relationships/header" Target="header86.xml"/><Relationship Id="rId206" Type="http://schemas.openxmlformats.org/officeDocument/2006/relationships/footer" Target="footer92.xml"/><Relationship Id="rId413" Type="http://schemas.openxmlformats.org/officeDocument/2006/relationships/header" Target="header196.xml"/><Relationship Id="rId595" Type="http://schemas.openxmlformats.org/officeDocument/2006/relationships/footer" Target="footer286.xml"/><Relationship Id="rId248" Type="http://schemas.openxmlformats.org/officeDocument/2006/relationships/footer" Target="footer113.xml"/><Relationship Id="rId455" Type="http://schemas.openxmlformats.org/officeDocument/2006/relationships/header" Target="header217.xml"/><Relationship Id="rId497" Type="http://schemas.openxmlformats.org/officeDocument/2006/relationships/header" Target="header238.xml"/><Relationship Id="rId12" Type="http://schemas.openxmlformats.org/officeDocument/2006/relationships/header" Target="header2.xml"/><Relationship Id="rId108" Type="http://schemas.openxmlformats.org/officeDocument/2006/relationships/header" Target="header44.xml"/><Relationship Id="rId315" Type="http://schemas.openxmlformats.org/officeDocument/2006/relationships/header" Target="header147.xml"/><Relationship Id="rId357" Type="http://schemas.openxmlformats.org/officeDocument/2006/relationships/header" Target="header168.xml"/><Relationship Id="rId522" Type="http://schemas.openxmlformats.org/officeDocument/2006/relationships/header" Target="header251.xml"/><Relationship Id="rId54" Type="http://schemas.openxmlformats.org/officeDocument/2006/relationships/header" Target="header17.xml"/><Relationship Id="rId96" Type="http://schemas.openxmlformats.org/officeDocument/2006/relationships/header" Target="header38.xml"/><Relationship Id="rId161" Type="http://schemas.openxmlformats.org/officeDocument/2006/relationships/header" Target="header70.xml"/><Relationship Id="rId217" Type="http://schemas.openxmlformats.org/officeDocument/2006/relationships/footer" Target="footer97.xml"/><Relationship Id="rId399" Type="http://schemas.openxmlformats.org/officeDocument/2006/relationships/header" Target="header189.xml"/><Relationship Id="rId564" Type="http://schemas.openxmlformats.org/officeDocument/2006/relationships/header" Target="header272.xml"/><Relationship Id="rId259" Type="http://schemas.openxmlformats.org/officeDocument/2006/relationships/footer" Target="footer118.xml"/><Relationship Id="rId424" Type="http://schemas.openxmlformats.org/officeDocument/2006/relationships/footer" Target="footer201.xml"/><Relationship Id="rId466" Type="http://schemas.openxmlformats.org/officeDocument/2006/relationships/footer" Target="footer222.xml"/><Relationship Id="rId23" Type="http://schemas.openxmlformats.org/officeDocument/2006/relationships/header" Target="header7.xml"/><Relationship Id="rId119" Type="http://schemas.openxmlformats.org/officeDocument/2006/relationships/header" Target="header49.xml"/><Relationship Id="rId270" Type="http://schemas.openxmlformats.org/officeDocument/2006/relationships/header" Target="header125.xml"/><Relationship Id="rId326" Type="http://schemas.openxmlformats.org/officeDocument/2006/relationships/footer" Target="footer152.xml"/><Relationship Id="rId533" Type="http://schemas.openxmlformats.org/officeDocument/2006/relationships/header" Target="header256.xml"/><Relationship Id="rId65" Type="http://schemas.openxmlformats.org/officeDocument/2006/relationships/header" Target="header22.xml"/><Relationship Id="rId130" Type="http://schemas.openxmlformats.org/officeDocument/2006/relationships/footer" Target="footer54.xml"/><Relationship Id="rId368" Type="http://schemas.openxmlformats.org/officeDocument/2006/relationships/footer" Target="footer173.xml"/><Relationship Id="rId575" Type="http://schemas.openxmlformats.org/officeDocument/2006/relationships/header" Target="header277.xml"/><Relationship Id="rId172" Type="http://schemas.openxmlformats.org/officeDocument/2006/relationships/footer" Target="footer75.xml"/><Relationship Id="rId228" Type="http://schemas.openxmlformats.org/officeDocument/2006/relationships/header" Target="header104.xml"/><Relationship Id="rId435" Type="http://schemas.openxmlformats.org/officeDocument/2006/relationships/header" Target="header207.xml"/><Relationship Id="rId477" Type="http://schemas.openxmlformats.org/officeDocument/2006/relationships/header" Target="header228.xml"/><Relationship Id="rId600" Type="http://schemas.openxmlformats.org/officeDocument/2006/relationships/header" Target="header290.xml"/><Relationship Id="rId281" Type="http://schemas.openxmlformats.org/officeDocument/2006/relationships/header" Target="header130.xml"/><Relationship Id="rId337" Type="http://schemas.openxmlformats.org/officeDocument/2006/relationships/footer" Target="footer157.xml"/><Relationship Id="rId502" Type="http://schemas.openxmlformats.org/officeDocument/2006/relationships/footer" Target="footer240.xml"/><Relationship Id="rId34" Type="http://schemas.openxmlformats.org/officeDocument/2006/relationships/image" Target="media/image6.png"/><Relationship Id="rId76" Type="http://schemas.openxmlformats.org/officeDocument/2006/relationships/footer" Target="footer27.xml"/><Relationship Id="rId141" Type="http://schemas.openxmlformats.org/officeDocument/2006/relationships/header" Target="header60.xml"/><Relationship Id="rId379" Type="http://schemas.openxmlformats.org/officeDocument/2006/relationships/footer" Target="footer178.xml"/><Relationship Id="rId544" Type="http://schemas.openxmlformats.org/officeDocument/2006/relationships/footer" Target="footer261.xml"/><Relationship Id="rId586" Type="http://schemas.openxmlformats.org/officeDocument/2006/relationships/footer" Target="footer282.xml"/><Relationship Id="rId7" Type="http://schemas.openxmlformats.org/officeDocument/2006/relationships/webSettings" Target="webSettings.xml"/><Relationship Id="rId183" Type="http://schemas.openxmlformats.org/officeDocument/2006/relationships/header" Target="header81.xml"/><Relationship Id="rId239" Type="http://schemas.openxmlformats.org/officeDocument/2006/relationships/header" Target="header109.xml"/><Relationship Id="rId390" Type="http://schemas.openxmlformats.org/officeDocument/2006/relationships/header" Target="header185.xml"/><Relationship Id="rId404" Type="http://schemas.openxmlformats.org/officeDocument/2006/relationships/footer" Target="footer191.xml"/><Relationship Id="rId446" Type="http://schemas.openxmlformats.org/officeDocument/2006/relationships/footer" Target="footer212.xml"/><Relationship Id="rId611" Type="http://schemas.openxmlformats.org/officeDocument/2006/relationships/header" Target="header295.xml"/><Relationship Id="rId250" Type="http://schemas.openxmlformats.org/officeDocument/2006/relationships/footer" Target="footer114.xml"/><Relationship Id="rId292" Type="http://schemas.openxmlformats.org/officeDocument/2006/relationships/footer" Target="footer135.xml"/><Relationship Id="rId306" Type="http://schemas.openxmlformats.org/officeDocument/2006/relationships/header" Target="header143.xml"/><Relationship Id="rId488" Type="http://schemas.openxmlformats.org/officeDocument/2006/relationships/footer" Target="footer233.xml"/><Relationship Id="rId45" Type="http://schemas.openxmlformats.org/officeDocument/2006/relationships/header" Target="header12.xml"/><Relationship Id="rId87" Type="http://schemas.openxmlformats.org/officeDocument/2006/relationships/header" Target="header33.xml"/><Relationship Id="rId110" Type="http://schemas.openxmlformats.org/officeDocument/2006/relationships/footer" Target="footer44.xml"/><Relationship Id="rId348" Type="http://schemas.openxmlformats.org/officeDocument/2006/relationships/header" Target="header164.xml"/><Relationship Id="rId513" Type="http://schemas.openxmlformats.org/officeDocument/2006/relationships/header" Target="header246.xml"/><Relationship Id="rId555" Type="http://schemas.openxmlformats.org/officeDocument/2006/relationships/header" Target="header267.xml"/><Relationship Id="rId597" Type="http://schemas.openxmlformats.org/officeDocument/2006/relationships/header" Target="header288.xml"/><Relationship Id="rId152" Type="http://schemas.openxmlformats.org/officeDocument/2006/relationships/footer" Target="footer65.xml"/><Relationship Id="rId194" Type="http://schemas.openxmlformats.org/officeDocument/2006/relationships/footer" Target="footer86.xml"/><Relationship Id="rId208" Type="http://schemas.openxmlformats.org/officeDocument/2006/relationships/footer" Target="footer93.xml"/><Relationship Id="rId415" Type="http://schemas.openxmlformats.org/officeDocument/2006/relationships/footer" Target="footer196.xml"/><Relationship Id="rId457" Type="http://schemas.openxmlformats.org/officeDocument/2006/relationships/footer" Target="footer217.xml"/><Relationship Id="rId261" Type="http://schemas.openxmlformats.org/officeDocument/2006/relationships/header" Target="header120.xml"/><Relationship Id="rId499" Type="http://schemas.openxmlformats.org/officeDocument/2006/relationships/footer" Target="footer238.xml"/><Relationship Id="rId14" Type="http://schemas.openxmlformats.org/officeDocument/2006/relationships/footer" Target="footer2.xml"/><Relationship Id="rId56" Type="http://schemas.openxmlformats.org/officeDocument/2006/relationships/footer" Target="footer17.xml"/><Relationship Id="rId317" Type="http://schemas.openxmlformats.org/officeDocument/2006/relationships/header" Target="header148.xml"/><Relationship Id="rId359" Type="http://schemas.openxmlformats.org/officeDocument/2006/relationships/header" Target="header169.xml"/><Relationship Id="rId524" Type="http://schemas.openxmlformats.org/officeDocument/2006/relationships/footer" Target="footer251.xml"/><Relationship Id="rId566" Type="http://schemas.openxmlformats.org/officeDocument/2006/relationships/footer" Target="footer272.xml"/><Relationship Id="rId98" Type="http://schemas.openxmlformats.org/officeDocument/2006/relationships/footer" Target="footer38.xml"/><Relationship Id="rId121" Type="http://schemas.openxmlformats.org/officeDocument/2006/relationships/footer" Target="footer49.xml"/><Relationship Id="rId163" Type="http://schemas.openxmlformats.org/officeDocument/2006/relationships/footer" Target="footer70.xml"/><Relationship Id="rId219" Type="http://schemas.openxmlformats.org/officeDocument/2006/relationships/header" Target="header99.xml"/><Relationship Id="rId370" Type="http://schemas.openxmlformats.org/officeDocument/2006/relationships/footer" Target="footer174.xml"/><Relationship Id="rId426" Type="http://schemas.openxmlformats.org/officeDocument/2006/relationships/header" Target="header203.xml"/><Relationship Id="rId230" Type="http://schemas.openxmlformats.org/officeDocument/2006/relationships/footer" Target="footer104.xml"/><Relationship Id="rId468" Type="http://schemas.openxmlformats.org/officeDocument/2006/relationships/header" Target="header224.xml"/><Relationship Id="rId25" Type="http://schemas.openxmlformats.org/officeDocument/2006/relationships/footer" Target="footer7.xml"/><Relationship Id="rId67" Type="http://schemas.openxmlformats.org/officeDocument/2006/relationships/footer" Target="footer22.xml"/><Relationship Id="rId272" Type="http://schemas.openxmlformats.org/officeDocument/2006/relationships/footer" Target="footer125.xml"/><Relationship Id="rId328" Type="http://schemas.openxmlformats.org/officeDocument/2006/relationships/footer" Target="footer153.xml"/><Relationship Id="rId535" Type="http://schemas.openxmlformats.org/officeDocument/2006/relationships/footer" Target="footer256.xml"/><Relationship Id="rId577" Type="http://schemas.openxmlformats.org/officeDocument/2006/relationships/footer" Target="footer277.xml"/><Relationship Id="rId132" Type="http://schemas.openxmlformats.org/officeDocument/2006/relationships/header" Target="header56.xml"/><Relationship Id="rId174" Type="http://schemas.openxmlformats.org/officeDocument/2006/relationships/header" Target="header77.xml"/><Relationship Id="rId381" Type="http://schemas.openxmlformats.org/officeDocument/2006/relationships/header" Target="header180.xml"/><Relationship Id="rId602" Type="http://schemas.openxmlformats.org/officeDocument/2006/relationships/footer" Target="footer290.xml"/><Relationship Id="rId241" Type="http://schemas.openxmlformats.org/officeDocument/2006/relationships/footer" Target="footer109.xml"/><Relationship Id="rId437" Type="http://schemas.openxmlformats.org/officeDocument/2006/relationships/header" Target="header208.xml"/><Relationship Id="rId479" Type="http://schemas.openxmlformats.org/officeDocument/2006/relationships/header" Target="header229.xml"/><Relationship Id="rId36" Type="http://schemas.openxmlformats.org/officeDocument/2006/relationships/chart" Target="charts/chart2.xml"/><Relationship Id="rId283" Type="http://schemas.openxmlformats.org/officeDocument/2006/relationships/footer" Target="footer130.xml"/><Relationship Id="rId339" Type="http://schemas.openxmlformats.org/officeDocument/2006/relationships/header" Target="header159.xml"/><Relationship Id="rId490" Type="http://schemas.openxmlformats.org/officeDocument/2006/relationships/footer" Target="footer234.xml"/><Relationship Id="rId504" Type="http://schemas.openxmlformats.org/officeDocument/2006/relationships/header" Target="header242.xml"/><Relationship Id="rId546" Type="http://schemas.openxmlformats.org/officeDocument/2006/relationships/header" Target="header263.xml"/><Relationship Id="rId78" Type="http://schemas.openxmlformats.org/officeDocument/2006/relationships/header" Target="header29.xml"/><Relationship Id="rId101" Type="http://schemas.openxmlformats.org/officeDocument/2006/relationships/header" Target="header40.xml"/><Relationship Id="rId143" Type="http://schemas.openxmlformats.org/officeDocument/2006/relationships/header" Target="header61.xml"/><Relationship Id="rId185" Type="http://schemas.openxmlformats.org/officeDocument/2006/relationships/header" Target="header82.xml"/><Relationship Id="rId350" Type="http://schemas.openxmlformats.org/officeDocument/2006/relationships/footer" Target="footer164.xml"/><Relationship Id="rId406" Type="http://schemas.openxmlformats.org/officeDocument/2006/relationships/footer" Target="footer192.xml"/><Relationship Id="rId588" Type="http://schemas.openxmlformats.org/officeDocument/2006/relationships/header" Target="header284.xml"/><Relationship Id="rId9" Type="http://schemas.openxmlformats.org/officeDocument/2006/relationships/endnotes" Target="endnotes.xml"/><Relationship Id="rId210" Type="http://schemas.openxmlformats.org/officeDocument/2006/relationships/header" Target="header95.xml"/><Relationship Id="rId392" Type="http://schemas.openxmlformats.org/officeDocument/2006/relationships/footer" Target="footer185.xml"/><Relationship Id="rId448" Type="http://schemas.openxmlformats.org/officeDocument/2006/relationships/footer" Target="footer213.xml"/><Relationship Id="rId613" Type="http://schemas.openxmlformats.org/officeDocument/2006/relationships/footer" Target="footer295.xml"/><Relationship Id="rId252" Type="http://schemas.openxmlformats.org/officeDocument/2006/relationships/header" Target="header116.xml"/><Relationship Id="rId294" Type="http://schemas.openxmlformats.org/officeDocument/2006/relationships/header" Target="header137.xml"/><Relationship Id="rId308" Type="http://schemas.openxmlformats.org/officeDocument/2006/relationships/footer" Target="footer143.xml"/><Relationship Id="rId515" Type="http://schemas.openxmlformats.org/officeDocument/2006/relationships/header" Target="header247.xml"/><Relationship Id="rId47" Type="http://schemas.openxmlformats.org/officeDocument/2006/relationships/header" Target="header13.xml"/><Relationship Id="rId89" Type="http://schemas.openxmlformats.org/officeDocument/2006/relationships/header" Target="header34.xml"/><Relationship Id="rId112" Type="http://schemas.openxmlformats.org/officeDocument/2006/relationships/footer" Target="footer45.xml"/><Relationship Id="rId154" Type="http://schemas.openxmlformats.org/officeDocument/2006/relationships/footer" Target="footer66.xml"/><Relationship Id="rId361" Type="http://schemas.openxmlformats.org/officeDocument/2006/relationships/footer" Target="footer169.xml"/><Relationship Id="rId557" Type="http://schemas.openxmlformats.org/officeDocument/2006/relationships/header" Target="header268.xml"/><Relationship Id="rId599" Type="http://schemas.openxmlformats.org/officeDocument/2006/relationships/header" Target="header289.xml"/><Relationship Id="rId196" Type="http://schemas.openxmlformats.org/officeDocument/2006/relationships/footer" Target="footer87.xml"/><Relationship Id="rId417" Type="http://schemas.openxmlformats.org/officeDocument/2006/relationships/header" Target="header198.xml"/><Relationship Id="rId459" Type="http://schemas.openxmlformats.org/officeDocument/2006/relationships/header" Target="header219.xml"/><Relationship Id="rId16" Type="http://schemas.openxmlformats.org/officeDocument/2006/relationships/footer" Target="footer3.xml"/><Relationship Id="rId221" Type="http://schemas.openxmlformats.org/officeDocument/2006/relationships/header" Target="header100.xml"/><Relationship Id="rId263" Type="http://schemas.openxmlformats.org/officeDocument/2006/relationships/header" Target="header121.xml"/><Relationship Id="rId319" Type="http://schemas.openxmlformats.org/officeDocument/2006/relationships/footer" Target="footer148.xml"/><Relationship Id="rId470" Type="http://schemas.openxmlformats.org/officeDocument/2006/relationships/footer" Target="footer224.xml"/><Relationship Id="rId526" Type="http://schemas.openxmlformats.org/officeDocument/2006/relationships/footer" Target="footer252.xml"/><Relationship Id="rId58" Type="http://schemas.openxmlformats.org/officeDocument/2006/relationships/footer" Target="footer18.xml"/><Relationship Id="rId123" Type="http://schemas.openxmlformats.org/officeDocument/2006/relationships/header" Target="header51.xml"/><Relationship Id="rId330" Type="http://schemas.openxmlformats.org/officeDocument/2006/relationships/header" Target="header155.xml"/><Relationship Id="rId568" Type="http://schemas.openxmlformats.org/officeDocument/2006/relationships/footer" Target="footer273.xml"/><Relationship Id="rId165" Type="http://schemas.openxmlformats.org/officeDocument/2006/relationships/header" Target="header72.xml"/><Relationship Id="rId372" Type="http://schemas.openxmlformats.org/officeDocument/2006/relationships/header" Target="header176.xml"/><Relationship Id="rId428" Type="http://schemas.openxmlformats.org/officeDocument/2006/relationships/footer" Target="footer203.xml"/><Relationship Id="rId232" Type="http://schemas.openxmlformats.org/officeDocument/2006/relationships/footer" Target="footer105.xml"/><Relationship Id="rId274" Type="http://schemas.openxmlformats.org/officeDocument/2006/relationships/footer" Target="footer126.xml"/><Relationship Id="rId481" Type="http://schemas.openxmlformats.org/officeDocument/2006/relationships/footer" Target="footer229.xml"/><Relationship Id="rId27" Type="http://schemas.openxmlformats.org/officeDocument/2006/relationships/header" Target="header9.xml"/><Relationship Id="rId48" Type="http://schemas.openxmlformats.org/officeDocument/2006/relationships/header" Target="header14.xml"/><Relationship Id="rId69" Type="http://schemas.openxmlformats.org/officeDocument/2006/relationships/header" Target="header24.xml"/><Relationship Id="rId113" Type="http://schemas.openxmlformats.org/officeDocument/2006/relationships/header" Target="header46.xml"/><Relationship Id="rId134" Type="http://schemas.openxmlformats.org/officeDocument/2006/relationships/footer" Target="footer56.xml"/><Relationship Id="rId320" Type="http://schemas.openxmlformats.org/officeDocument/2006/relationships/footer" Target="footer149.xml"/><Relationship Id="rId537" Type="http://schemas.openxmlformats.org/officeDocument/2006/relationships/header" Target="header258.xml"/><Relationship Id="rId558" Type="http://schemas.openxmlformats.org/officeDocument/2006/relationships/header" Target="header269.xml"/><Relationship Id="rId579" Type="http://schemas.openxmlformats.org/officeDocument/2006/relationships/header" Target="header279.xml"/><Relationship Id="rId80" Type="http://schemas.openxmlformats.org/officeDocument/2006/relationships/footer" Target="footer29.xml"/><Relationship Id="rId155" Type="http://schemas.openxmlformats.org/officeDocument/2006/relationships/header" Target="header67.xml"/><Relationship Id="rId176" Type="http://schemas.openxmlformats.org/officeDocument/2006/relationships/footer" Target="footer77.xml"/><Relationship Id="rId197" Type="http://schemas.openxmlformats.org/officeDocument/2006/relationships/header" Target="header88.xml"/><Relationship Id="rId341" Type="http://schemas.openxmlformats.org/officeDocument/2006/relationships/header" Target="header160.xml"/><Relationship Id="rId362" Type="http://schemas.openxmlformats.org/officeDocument/2006/relationships/footer" Target="footer170.xml"/><Relationship Id="rId383" Type="http://schemas.openxmlformats.org/officeDocument/2006/relationships/header" Target="header181.xml"/><Relationship Id="rId418" Type="http://schemas.openxmlformats.org/officeDocument/2006/relationships/footer" Target="footer198.xml"/><Relationship Id="rId439" Type="http://schemas.openxmlformats.org/officeDocument/2006/relationships/footer" Target="footer208.xml"/><Relationship Id="rId590" Type="http://schemas.openxmlformats.org/officeDocument/2006/relationships/footer" Target="footer284.xml"/><Relationship Id="rId604" Type="http://schemas.openxmlformats.org/officeDocument/2006/relationships/footer" Target="footer291.xml"/><Relationship Id="rId201" Type="http://schemas.openxmlformats.org/officeDocument/2006/relationships/header" Target="header90.xml"/><Relationship Id="rId222" Type="http://schemas.openxmlformats.org/officeDocument/2006/relationships/header" Target="header101.xml"/><Relationship Id="rId243" Type="http://schemas.openxmlformats.org/officeDocument/2006/relationships/header" Target="header111.xml"/><Relationship Id="rId264" Type="http://schemas.openxmlformats.org/officeDocument/2006/relationships/header" Target="header122.xml"/><Relationship Id="rId285" Type="http://schemas.openxmlformats.org/officeDocument/2006/relationships/header" Target="header132.xml"/><Relationship Id="rId450" Type="http://schemas.openxmlformats.org/officeDocument/2006/relationships/header" Target="header215.xml"/><Relationship Id="rId471" Type="http://schemas.openxmlformats.org/officeDocument/2006/relationships/header" Target="header225.xml"/><Relationship Id="rId506" Type="http://schemas.openxmlformats.org/officeDocument/2006/relationships/footer" Target="footer242.xml"/><Relationship Id="rId17" Type="http://schemas.openxmlformats.org/officeDocument/2006/relationships/header" Target="header4.xml"/><Relationship Id="rId38" Type="http://schemas.openxmlformats.org/officeDocument/2006/relationships/chart" Target="charts/chart3.xml"/><Relationship Id="rId59" Type="http://schemas.openxmlformats.org/officeDocument/2006/relationships/header" Target="header19.xml"/><Relationship Id="rId103" Type="http://schemas.openxmlformats.org/officeDocument/2006/relationships/footer" Target="footer40.xml"/><Relationship Id="rId124" Type="http://schemas.openxmlformats.org/officeDocument/2006/relationships/footer" Target="footer51.xml"/><Relationship Id="rId310" Type="http://schemas.openxmlformats.org/officeDocument/2006/relationships/footer" Target="footer144.xml"/><Relationship Id="rId492" Type="http://schemas.openxmlformats.org/officeDocument/2006/relationships/header" Target="header236.xml"/><Relationship Id="rId527" Type="http://schemas.openxmlformats.org/officeDocument/2006/relationships/header" Target="header253.xml"/><Relationship Id="rId548" Type="http://schemas.openxmlformats.org/officeDocument/2006/relationships/footer" Target="footer263.xml"/><Relationship Id="rId569" Type="http://schemas.openxmlformats.org/officeDocument/2006/relationships/header" Target="header274.xml"/><Relationship Id="rId70" Type="http://schemas.openxmlformats.org/officeDocument/2006/relationships/footer" Target="footer24.xml"/><Relationship Id="rId91" Type="http://schemas.openxmlformats.org/officeDocument/2006/relationships/footer" Target="footer34.xml"/><Relationship Id="rId145" Type="http://schemas.openxmlformats.org/officeDocument/2006/relationships/footer" Target="footer61.xml"/><Relationship Id="rId166" Type="http://schemas.openxmlformats.org/officeDocument/2006/relationships/footer" Target="footer72.xml"/><Relationship Id="rId187" Type="http://schemas.openxmlformats.org/officeDocument/2006/relationships/footer" Target="footer82.xml"/><Relationship Id="rId331" Type="http://schemas.openxmlformats.org/officeDocument/2006/relationships/footer" Target="footer154.xml"/><Relationship Id="rId352" Type="http://schemas.openxmlformats.org/officeDocument/2006/relationships/footer" Target="footer165.xml"/><Relationship Id="rId373" Type="http://schemas.openxmlformats.org/officeDocument/2006/relationships/footer" Target="footer175.xml"/><Relationship Id="rId394" Type="http://schemas.openxmlformats.org/officeDocument/2006/relationships/footer" Target="footer186.xml"/><Relationship Id="rId408" Type="http://schemas.openxmlformats.org/officeDocument/2006/relationships/header" Target="header194.xml"/><Relationship Id="rId429" Type="http://schemas.openxmlformats.org/officeDocument/2006/relationships/header" Target="header204.xml"/><Relationship Id="rId580" Type="http://schemas.openxmlformats.org/officeDocument/2006/relationships/footer" Target="footer279.xml"/><Relationship Id="rId615" Type="http://schemas.openxmlformats.org/officeDocument/2006/relationships/header" Target="header297.xml"/><Relationship Id="rId1" Type="http://schemas.microsoft.com/office/2006/relationships/keyMapCustomizations" Target="customizations.xml"/><Relationship Id="rId212" Type="http://schemas.openxmlformats.org/officeDocument/2006/relationships/footer" Target="footer95.xml"/><Relationship Id="rId233" Type="http://schemas.openxmlformats.org/officeDocument/2006/relationships/header" Target="header106.xml"/><Relationship Id="rId254" Type="http://schemas.openxmlformats.org/officeDocument/2006/relationships/footer" Target="footer116.xml"/><Relationship Id="rId440" Type="http://schemas.openxmlformats.org/officeDocument/2006/relationships/footer" Target="footer209.xml"/><Relationship Id="rId28" Type="http://schemas.openxmlformats.org/officeDocument/2006/relationships/footer" Target="footer9.xml"/><Relationship Id="rId49" Type="http://schemas.openxmlformats.org/officeDocument/2006/relationships/footer" Target="footer13.xml"/><Relationship Id="rId114" Type="http://schemas.openxmlformats.org/officeDocument/2006/relationships/header" Target="header47.xml"/><Relationship Id="rId275" Type="http://schemas.openxmlformats.org/officeDocument/2006/relationships/header" Target="header127.xml"/><Relationship Id="rId296" Type="http://schemas.openxmlformats.org/officeDocument/2006/relationships/footer" Target="footer137.xml"/><Relationship Id="rId300" Type="http://schemas.openxmlformats.org/officeDocument/2006/relationships/header" Target="header140.xml"/><Relationship Id="rId461" Type="http://schemas.openxmlformats.org/officeDocument/2006/relationships/header" Target="header220.xml"/><Relationship Id="rId482" Type="http://schemas.openxmlformats.org/officeDocument/2006/relationships/footer" Target="footer230.xml"/><Relationship Id="rId517" Type="http://schemas.openxmlformats.org/officeDocument/2006/relationships/footer" Target="footer247.xml"/><Relationship Id="rId538" Type="http://schemas.openxmlformats.org/officeDocument/2006/relationships/footer" Target="footer258.xml"/><Relationship Id="rId559" Type="http://schemas.openxmlformats.org/officeDocument/2006/relationships/footer" Target="footer268.xml"/><Relationship Id="rId60" Type="http://schemas.openxmlformats.org/officeDocument/2006/relationships/header" Target="header20.xml"/><Relationship Id="rId81" Type="http://schemas.openxmlformats.org/officeDocument/2006/relationships/header" Target="header30.xml"/><Relationship Id="rId135" Type="http://schemas.openxmlformats.org/officeDocument/2006/relationships/header" Target="header57.xml"/><Relationship Id="rId156" Type="http://schemas.openxmlformats.org/officeDocument/2006/relationships/header" Target="header68.xml"/><Relationship Id="rId177" Type="http://schemas.openxmlformats.org/officeDocument/2006/relationships/header" Target="header78.xml"/><Relationship Id="rId198" Type="http://schemas.openxmlformats.org/officeDocument/2006/relationships/header" Target="header89.xml"/><Relationship Id="rId321" Type="http://schemas.openxmlformats.org/officeDocument/2006/relationships/header" Target="header150.xml"/><Relationship Id="rId342" Type="http://schemas.openxmlformats.org/officeDocument/2006/relationships/header" Target="header161.xml"/><Relationship Id="rId363" Type="http://schemas.openxmlformats.org/officeDocument/2006/relationships/header" Target="header171.xml"/><Relationship Id="rId384" Type="http://schemas.openxmlformats.org/officeDocument/2006/relationships/header" Target="header182.xml"/><Relationship Id="rId419" Type="http://schemas.openxmlformats.org/officeDocument/2006/relationships/header" Target="header199.xml"/><Relationship Id="rId570" Type="http://schemas.openxmlformats.org/officeDocument/2006/relationships/header" Target="header275.xml"/><Relationship Id="rId591" Type="http://schemas.openxmlformats.org/officeDocument/2006/relationships/header" Target="header285.xml"/><Relationship Id="rId605" Type="http://schemas.openxmlformats.org/officeDocument/2006/relationships/header" Target="header292.xml"/><Relationship Id="rId202" Type="http://schemas.openxmlformats.org/officeDocument/2006/relationships/footer" Target="footer90.xml"/><Relationship Id="rId223" Type="http://schemas.openxmlformats.org/officeDocument/2006/relationships/footer" Target="footer100.xml"/><Relationship Id="rId244" Type="http://schemas.openxmlformats.org/officeDocument/2006/relationships/footer" Target="footer111.xml"/><Relationship Id="rId430" Type="http://schemas.openxmlformats.org/officeDocument/2006/relationships/footer" Target="footer204.xml"/><Relationship Id="rId18" Type="http://schemas.openxmlformats.org/officeDocument/2006/relationships/header" Target="header5.xml"/><Relationship Id="rId39" Type="http://schemas.openxmlformats.org/officeDocument/2006/relationships/chart" Target="charts/chart4.xml"/><Relationship Id="rId265" Type="http://schemas.openxmlformats.org/officeDocument/2006/relationships/footer" Target="footer121.xml"/><Relationship Id="rId286" Type="http://schemas.openxmlformats.org/officeDocument/2006/relationships/footer" Target="footer132.xml"/><Relationship Id="rId451" Type="http://schemas.openxmlformats.org/officeDocument/2006/relationships/footer" Target="footer214.xml"/><Relationship Id="rId472" Type="http://schemas.openxmlformats.org/officeDocument/2006/relationships/footer" Target="footer225.xml"/><Relationship Id="rId493" Type="http://schemas.openxmlformats.org/officeDocument/2006/relationships/footer" Target="footer235.xml"/><Relationship Id="rId507" Type="http://schemas.openxmlformats.org/officeDocument/2006/relationships/header" Target="header243.xml"/><Relationship Id="rId528" Type="http://schemas.openxmlformats.org/officeDocument/2006/relationships/header" Target="header254.xml"/><Relationship Id="rId549" Type="http://schemas.openxmlformats.org/officeDocument/2006/relationships/header" Target="header264.xml"/><Relationship Id="rId50" Type="http://schemas.openxmlformats.org/officeDocument/2006/relationships/footer" Target="footer14.xml"/><Relationship Id="rId104" Type="http://schemas.openxmlformats.org/officeDocument/2006/relationships/footer" Target="footer41.xml"/><Relationship Id="rId125" Type="http://schemas.openxmlformats.org/officeDocument/2006/relationships/header" Target="header52.xml"/><Relationship Id="rId146" Type="http://schemas.openxmlformats.org/officeDocument/2006/relationships/footer" Target="footer62.xml"/><Relationship Id="rId167" Type="http://schemas.openxmlformats.org/officeDocument/2006/relationships/header" Target="header73.xml"/><Relationship Id="rId188" Type="http://schemas.openxmlformats.org/officeDocument/2006/relationships/footer" Target="footer83.xml"/><Relationship Id="rId311" Type="http://schemas.openxmlformats.org/officeDocument/2006/relationships/header" Target="header145.xml"/><Relationship Id="rId332" Type="http://schemas.openxmlformats.org/officeDocument/2006/relationships/footer" Target="footer155.xml"/><Relationship Id="rId353" Type="http://schemas.openxmlformats.org/officeDocument/2006/relationships/header" Target="header166.xml"/><Relationship Id="rId374" Type="http://schemas.openxmlformats.org/officeDocument/2006/relationships/footer" Target="footer176.xml"/><Relationship Id="rId395" Type="http://schemas.openxmlformats.org/officeDocument/2006/relationships/header" Target="header187.xml"/><Relationship Id="rId409" Type="http://schemas.openxmlformats.org/officeDocument/2006/relationships/footer" Target="footer193.xml"/><Relationship Id="rId560" Type="http://schemas.openxmlformats.org/officeDocument/2006/relationships/footer" Target="footer269.xml"/><Relationship Id="rId581" Type="http://schemas.openxmlformats.org/officeDocument/2006/relationships/header" Target="header280.xml"/><Relationship Id="rId71" Type="http://schemas.openxmlformats.org/officeDocument/2006/relationships/header" Target="header25.xml"/><Relationship Id="rId92" Type="http://schemas.openxmlformats.org/officeDocument/2006/relationships/footer" Target="footer35.xml"/><Relationship Id="rId213" Type="http://schemas.openxmlformats.org/officeDocument/2006/relationships/header" Target="header96.xml"/><Relationship Id="rId234" Type="http://schemas.openxmlformats.org/officeDocument/2006/relationships/header" Target="header107.xml"/><Relationship Id="rId420" Type="http://schemas.openxmlformats.org/officeDocument/2006/relationships/header" Target="header200.xml"/><Relationship Id="rId616" Type="http://schemas.openxmlformats.org/officeDocument/2006/relationships/footer" Target="footer297.xml"/><Relationship Id="rId2" Type="http://schemas.openxmlformats.org/officeDocument/2006/relationships/customXml" Target="../customXml/item1.xml"/><Relationship Id="rId29" Type="http://schemas.openxmlformats.org/officeDocument/2006/relationships/image" Target="media/image2.png"/><Relationship Id="rId255" Type="http://schemas.openxmlformats.org/officeDocument/2006/relationships/header" Target="header117.xml"/><Relationship Id="rId276" Type="http://schemas.openxmlformats.org/officeDocument/2006/relationships/header" Target="header128.xml"/><Relationship Id="rId297" Type="http://schemas.openxmlformats.org/officeDocument/2006/relationships/header" Target="header138.xml"/><Relationship Id="rId441" Type="http://schemas.openxmlformats.org/officeDocument/2006/relationships/header" Target="header210.xml"/><Relationship Id="rId462" Type="http://schemas.openxmlformats.org/officeDocument/2006/relationships/header" Target="header221.xml"/><Relationship Id="rId483" Type="http://schemas.openxmlformats.org/officeDocument/2006/relationships/header" Target="header231.xml"/><Relationship Id="rId518" Type="http://schemas.openxmlformats.org/officeDocument/2006/relationships/footer" Target="footer248.xml"/><Relationship Id="rId539" Type="http://schemas.openxmlformats.org/officeDocument/2006/relationships/header" Target="header259.xml"/><Relationship Id="rId40" Type="http://schemas.openxmlformats.org/officeDocument/2006/relationships/image" Target="media/image9.png"/><Relationship Id="rId115" Type="http://schemas.openxmlformats.org/officeDocument/2006/relationships/footer" Target="footer46.xml"/><Relationship Id="rId136" Type="http://schemas.openxmlformats.org/officeDocument/2006/relationships/footer" Target="footer57.xml"/><Relationship Id="rId157" Type="http://schemas.openxmlformats.org/officeDocument/2006/relationships/footer" Target="footer67.xml"/><Relationship Id="rId178" Type="http://schemas.openxmlformats.org/officeDocument/2006/relationships/footer" Target="footer78.xml"/><Relationship Id="rId301" Type="http://schemas.openxmlformats.org/officeDocument/2006/relationships/footer" Target="footer139.xml"/><Relationship Id="rId322" Type="http://schemas.openxmlformats.org/officeDocument/2006/relationships/footer" Target="footer150.xml"/><Relationship Id="rId343" Type="http://schemas.openxmlformats.org/officeDocument/2006/relationships/footer" Target="footer160.xml"/><Relationship Id="rId364" Type="http://schemas.openxmlformats.org/officeDocument/2006/relationships/footer" Target="footer171.xml"/><Relationship Id="rId550" Type="http://schemas.openxmlformats.org/officeDocument/2006/relationships/footer" Target="footer264.xml"/><Relationship Id="rId61" Type="http://schemas.openxmlformats.org/officeDocument/2006/relationships/footer" Target="footer19.xml"/><Relationship Id="rId82" Type="http://schemas.openxmlformats.org/officeDocument/2006/relationships/footer" Target="footer30.xml"/><Relationship Id="rId199" Type="http://schemas.openxmlformats.org/officeDocument/2006/relationships/footer" Target="footer88.xml"/><Relationship Id="rId203" Type="http://schemas.openxmlformats.org/officeDocument/2006/relationships/header" Target="header91.xml"/><Relationship Id="rId385" Type="http://schemas.openxmlformats.org/officeDocument/2006/relationships/footer" Target="footer181.xml"/><Relationship Id="rId571" Type="http://schemas.openxmlformats.org/officeDocument/2006/relationships/footer" Target="footer274.xml"/><Relationship Id="rId592" Type="http://schemas.openxmlformats.org/officeDocument/2006/relationships/footer" Target="footer285.xml"/><Relationship Id="rId606" Type="http://schemas.openxmlformats.org/officeDocument/2006/relationships/header" Target="header293.xml"/><Relationship Id="rId19" Type="http://schemas.openxmlformats.org/officeDocument/2006/relationships/footer" Target="footer4.xml"/><Relationship Id="rId224" Type="http://schemas.openxmlformats.org/officeDocument/2006/relationships/footer" Target="footer101.xml"/><Relationship Id="rId245" Type="http://schemas.openxmlformats.org/officeDocument/2006/relationships/header" Target="header112.xml"/><Relationship Id="rId266" Type="http://schemas.openxmlformats.org/officeDocument/2006/relationships/footer" Target="footer122.xml"/><Relationship Id="rId287" Type="http://schemas.openxmlformats.org/officeDocument/2006/relationships/header" Target="header133.xml"/><Relationship Id="rId410" Type="http://schemas.openxmlformats.org/officeDocument/2006/relationships/footer" Target="footer194.xml"/><Relationship Id="rId431" Type="http://schemas.openxmlformats.org/officeDocument/2006/relationships/header" Target="header205.xml"/><Relationship Id="rId452" Type="http://schemas.openxmlformats.org/officeDocument/2006/relationships/footer" Target="footer215.xml"/><Relationship Id="rId473" Type="http://schemas.openxmlformats.org/officeDocument/2006/relationships/header" Target="header226.xml"/><Relationship Id="rId494" Type="http://schemas.openxmlformats.org/officeDocument/2006/relationships/footer" Target="footer236.xml"/><Relationship Id="rId508" Type="http://schemas.openxmlformats.org/officeDocument/2006/relationships/footer" Target="footer243.xml"/><Relationship Id="rId529" Type="http://schemas.openxmlformats.org/officeDocument/2006/relationships/footer" Target="footer253.xml"/><Relationship Id="rId30" Type="http://schemas.openxmlformats.org/officeDocument/2006/relationships/image" Target="media/image3.png"/><Relationship Id="rId105" Type="http://schemas.openxmlformats.org/officeDocument/2006/relationships/header" Target="header42.xml"/><Relationship Id="rId126" Type="http://schemas.openxmlformats.org/officeDocument/2006/relationships/header" Target="header53.xml"/><Relationship Id="rId147" Type="http://schemas.openxmlformats.org/officeDocument/2006/relationships/header" Target="header63.xml"/><Relationship Id="rId168" Type="http://schemas.openxmlformats.org/officeDocument/2006/relationships/header" Target="header74.xml"/><Relationship Id="rId312" Type="http://schemas.openxmlformats.org/officeDocument/2006/relationships/header" Target="header146.xml"/><Relationship Id="rId333" Type="http://schemas.openxmlformats.org/officeDocument/2006/relationships/header" Target="header156.xml"/><Relationship Id="rId354" Type="http://schemas.openxmlformats.org/officeDocument/2006/relationships/header" Target="header167.xml"/><Relationship Id="rId540" Type="http://schemas.openxmlformats.org/officeDocument/2006/relationships/header" Target="header260.xml"/><Relationship Id="rId51" Type="http://schemas.openxmlformats.org/officeDocument/2006/relationships/header" Target="header15.xml"/><Relationship Id="rId72" Type="http://schemas.openxmlformats.org/officeDocument/2006/relationships/header" Target="header26.xml"/><Relationship Id="rId93" Type="http://schemas.openxmlformats.org/officeDocument/2006/relationships/header" Target="header36.xml"/><Relationship Id="rId189" Type="http://schemas.openxmlformats.org/officeDocument/2006/relationships/header" Target="header84.xml"/><Relationship Id="rId375" Type="http://schemas.openxmlformats.org/officeDocument/2006/relationships/header" Target="header177.xml"/><Relationship Id="rId396" Type="http://schemas.openxmlformats.org/officeDocument/2006/relationships/header" Target="header188.xml"/><Relationship Id="rId561" Type="http://schemas.openxmlformats.org/officeDocument/2006/relationships/header" Target="header270.xml"/><Relationship Id="rId582" Type="http://schemas.openxmlformats.org/officeDocument/2006/relationships/header" Target="header281.xml"/><Relationship Id="rId617"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footer" Target="footer96.xml"/><Relationship Id="rId235" Type="http://schemas.openxmlformats.org/officeDocument/2006/relationships/footer" Target="footer106.xml"/><Relationship Id="rId256" Type="http://schemas.openxmlformats.org/officeDocument/2006/relationships/footer" Target="footer117.xml"/><Relationship Id="rId277" Type="http://schemas.openxmlformats.org/officeDocument/2006/relationships/footer" Target="footer127.xml"/><Relationship Id="rId298" Type="http://schemas.openxmlformats.org/officeDocument/2006/relationships/footer" Target="footer138.xml"/><Relationship Id="rId400" Type="http://schemas.openxmlformats.org/officeDocument/2006/relationships/footer" Target="footer189.xml"/><Relationship Id="rId421" Type="http://schemas.openxmlformats.org/officeDocument/2006/relationships/footer" Target="footer199.xml"/><Relationship Id="rId442" Type="http://schemas.openxmlformats.org/officeDocument/2006/relationships/footer" Target="footer210.xml"/><Relationship Id="rId463" Type="http://schemas.openxmlformats.org/officeDocument/2006/relationships/footer" Target="footer220.xml"/><Relationship Id="rId484" Type="http://schemas.openxmlformats.org/officeDocument/2006/relationships/footer" Target="footer231.xml"/><Relationship Id="rId519" Type="http://schemas.openxmlformats.org/officeDocument/2006/relationships/header" Target="header249.xml"/><Relationship Id="rId116" Type="http://schemas.openxmlformats.org/officeDocument/2006/relationships/footer" Target="footer47.xml"/><Relationship Id="rId137" Type="http://schemas.openxmlformats.org/officeDocument/2006/relationships/header" Target="header58.xml"/><Relationship Id="rId158" Type="http://schemas.openxmlformats.org/officeDocument/2006/relationships/footer" Target="footer68.xml"/><Relationship Id="rId302" Type="http://schemas.openxmlformats.org/officeDocument/2006/relationships/footer" Target="footer140.xml"/><Relationship Id="rId323" Type="http://schemas.openxmlformats.org/officeDocument/2006/relationships/header" Target="header151.xml"/><Relationship Id="rId344" Type="http://schemas.openxmlformats.org/officeDocument/2006/relationships/footer" Target="footer161.xml"/><Relationship Id="rId530" Type="http://schemas.openxmlformats.org/officeDocument/2006/relationships/footer" Target="footer254.xml"/><Relationship Id="rId20" Type="http://schemas.openxmlformats.org/officeDocument/2006/relationships/footer" Target="footer5.xml"/><Relationship Id="rId41" Type="http://schemas.openxmlformats.org/officeDocument/2006/relationships/header" Target="header10.xml"/><Relationship Id="rId62" Type="http://schemas.openxmlformats.org/officeDocument/2006/relationships/footer" Target="footer20.xml"/><Relationship Id="rId83" Type="http://schemas.openxmlformats.org/officeDocument/2006/relationships/header" Target="header31.xml"/><Relationship Id="rId179" Type="http://schemas.openxmlformats.org/officeDocument/2006/relationships/header" Target="header79.xml"/><Relationship Id="rId365" Type="http://schemas.openxmlformats.org/officeDocument/2006/relationships/header" Target="header172.xml"/><Relationship Id="rId386" Type="http://schemas.openxmlformats.org/officeDocument/2006/relationships/footer" Target="footer182.xml"/><Relationship Id="rId551" Type="http://schemas.openxmlformats.org/officeDocument/2006/relationships/header" Target="header265.xml"/><Relationship Id="rId572" Type="http://schemas.openxmlformats.org/officeDocument/2006/relationships/footer" Target="footer275.xml"/><Relationship Id="rId593" Type="http://schemas.openxmlformats.org/officeDocument/2006/relationships/header" Target="header286.xml"/><Relationship Id="rId607" Type="http://schemas.openxmlformats.org/officeDocument/2006/relationships/footer" Target="footer292.xml"/><Relationship Id="rId190" Type="http://schemas.openxmlformats.org/officeDocument/2006/relationships/footer" Target="footer84.xml"/><Relationship Id="rId204" Type="http://schemas.openxmlformats.org/officeDocument/2006/relationships/header" Target="header92.xml"/><Relationship Id="rId225" Type="http://schemas.openxmlformats.org/officeDocument/2006/relationships/header" Target="header102.xml"/><Relationship Id="rId246" Type="http://schemas.openxmlformats.org/officeDocument/2006/relationships/header" Target="header113.xml"/><Relationship Id="rId267" Type="http://schemas.openxmlformats.org/officeDocument/2006/relationships/header" Target="header123.xml"/><Relationship Id="rId288" Type="http://schemas.openxmlformats.org/officeDocument/2006/relationships/header" Target="header134.xml"/><Relationship Id="rId411" Type="http://schemas.openxmlformats.org/officeDocument/2006/relationships/header" Target="header195.xml"/><Relationship Id="rId432" Type="http://schemas.openxmlformats.org/officeDocument/2006/relationships/header" Target="header206.xml"/><Relationship Id="rId453" Type="http://schemas.openxmlformats.org/officeDocument/2006/relationships/header" Target="header216.xml"/><Relationship Id="rId474" Type="http://schemas.openxmlformats.org/officeDocument/2006/relationships/header" Target="header227.xml"/><Relationship Id="rId509" Type="http://schemas.openxmlformats.org/officeDocument/2006/relationships/header" Target="header244.xml"/><Relationship Id="rId106" Type="http://schemas.openxmlformats.org/officeDocument/2006/relationships/footer" Target="footer42.xml"/><Relationship Id="rId127" Type="http://schemas.openxmlformats.org/officeDocument/2006/relationships/footer" Target="footer52.xml"/><Relationship Id="rId313" Type="http://schemas.openxmlformats.org/officeDocument/2006/relationships/footer" Target="footer145.xml"/><Relationship Id="rId495" Type="http://schemas.openxmlformats.org/officeDocument/2006/relationships/header" Target="header237.xml"/><Relationship Id="rId10" Type="http://schemas.openxmlformats.org/officeDocument/2006/relationships/image" Target="media/image1.emf"/><Relationship Id="rId31" Type="http://schemas.openxmlformats.org/officeDocument/2006/relationships/chart" Target="charts/chart1.xml"/><Relationship Id="rId52" Type="http://schemas.openxmlformats.org/officeDocument/2006/relationships/footer" Target="footer15.xml"/><Relationship Id="rId73" Type="http://schemas.openxmlformats.org/officeDocument/2006/relationships/footer" Target="footer25.xml"/><Relationship Id="rId94" Type="http://schemas.openxmlformats.org/officeDocument/2006/relationships/footer" Target="footer36.xml"/><Relationship Id="rId148" Type="http://schemas.openxmlformats.org/officeDocument/2006/relationships/footer" Target="footer63.xml"/><Relationship Id="rId169" Type="http://schemas.openxmlformats.org/officeDocument/2006/relationships/footer" Target="footer73.xml"/><Relationship Id="rId334" Type="http://schemas.openxmlformats.org/officeDocument/2006/relationships/footer" Target="footer156.xml"/><Relationship Id="rId355" Type="http://schemas.openxmlformats.org/officeDocument/2006/relationships/footer" Target="footer166.xml"/><Relationship Id="rId376" Type="http://schemas.openxmlformats.org/officeDocument/2006/relationships/footer" Target="footer177.xml"/><Relationship Id="rId397" Type="http://schemas.openxmlformats.org/officeDocument/2006/relationships/footer" Target="footer187.xml"/><Relationship Id="rId520" Type="http://schemas.openxmlformats.org/officeDocument/2006/relationships/footer" Target="footer249.xml"/><Relationship Id="rId541" Type="http://schemas.openxmlformats.org/officeDocument/2006/relationships/footer" Target="footer259.xml"/><Relationship Id="rId562" Type="http://schemas.openxmlformats.org/officeDocument/2006/relationships/footer" Target="footer270.xml"/><Relationship Id="rId583" Type="http://schemas.openxmlformats.org/officeDocument/2006/relationships/footer" Target="footer280.xml"/><Relationship Id="rId618" Type="http://schemas.openxmlformats.org/officeDocument/2006/relationships/theme" Target="theme/theme1.xml"/><Relationship Id="rId4" Type="http://schemas.openxmlformats.org/officeDocument/2006/relationships/styles" Target="styles.xml"/><Relationship Id="rId180" Type="http://schemas.openxmlformats.org/officeDocument/2006/relationships/header" Target="header80.xml"/><Relationship Id="rId215" Type="http://schemas.openxmlformats.org/officeDocument/2006/relationships/header" Target="header97.xml"/><Relationship Id="rId236" Type="http://schemas.openxmlformats.org/officeDocument/2006/relationships/footer" Target="footer107.xml"/><Relationship Id="rId257" Type="http://schemas.openxmlformats.org/officeDocument/2006/relationships/header" Target="header118.xml"/><Relationship Id="rId278" Type="http://schemas.openxmlformats.org/officeDocument/2006/relationships/footer" Target="footer128.xml"/><Relationship Id="rId401" Type="http://schemas.openxmlformats.org/officeDocument/2006/relationships/header" Target="header190.xml"/><Relationship Id="rId422" Type="http://schemas.openxmlformats.org/officeDocument/2006/relationships/footer" Target="footer200.xml"/><Relationship Id="rId443" Type="http://schemas.openxmlformats.org/officeDocument/2006/relationships/header" Target="header211.xml"/><Relationship Id="rId464" Type="http://schemas.openxmlformats.org/officeDocument/2006/relationships/footer" Target="footer221.xml"/><Relationship Id="rId303" Type="http://schemas.openxmlformats.org/officeDocument/2006/relationships/header" Target="header141.xml"/><Relationship Id="rId485" Type="http://schemas.openxmlformats.org/officeDocument/2006/relationships/header" Target="header232.xml"/><Relationship Id="rId42" Type="http://schemas.openxmlformats.org/officeDocument/2006/relationships/header" Target="header11.xml"/><Relationship Id="rId84" Type="http://schemas.openxmlformats.org/officeDocument/2006/relationships/header" Target="header32.xml"/><Relationship Id="rId138" Type="http://schemas.openxmlformats.org/officeDocument/2006/relationships/header" Target="header59.xml"/><Relationship Id="rId345" Type="http://schemas.openxmlformats.org/officeDocument/2006/relationships/header" Target="header162.xml"/><Relationship Id="rId387" Type="http://schemas.openxmlformats.org/officeDocument/2006/relationships/header" Target="header183.xml"/><Relationship Id="rId510" Type="http://schemas.openxmlformats.org/officeDocument/2006/relationships/header" Target="header245.xml"/><Relationship Id="rId552" Type="http://schemas.openxmlformats.org/officeDocument/2006/relationships/header" Target="header266.xml"/><Relationship Id="rId594" Type="http://schemas.openxmlformats.org/officeDocument/2006/relationships/header" Target="header287.xml"/><Relationship Id="rId608" Type="http://schemas.openxmlformats.org/officeDocument/2006/relationships/footer" Target="footer293.xml"/><Relationship Id="rId191" Type="http://schemas.openxmlformats.org/officeDocument/2006/relationships/header" Target="header85.xml"/><Relationship Id="rId205" Type="http://schemas.openxmlformats.org/officeDocument/2006/relationships/footer" Target="footer91.xml"/><Relationship Id="rId247" Type="http://schemas.openxmlformats.org/officeDocument/2006/relationships/footer" Target="footer112.xml"/><Relationship Id="rId412" Type="http://schemas.openxmlformats.org/officeDocument/2006/relationships/footer" Target="footer195.xml"/><Relationship Id="rId107" Type="http://schemas.openxmlformats.org/officeDocument/2006/relationships/header" Target="header43.xml"/><Relationship Id="rId289" Type="http://schemas.openxmlformats.org/officeDocument/2006/relationships/footer" Target="footer133.xml"/><Relationship Id="rId454" Type="http://schemas.openxmlformats.org/officeDocument/2006/relationships/footer" Target="footer216.xml"/><Relationship Id="rId496" Type="http://schemas.openxmlformats.org/officeDocument/2006/relationships/footer" Target="footer237.xml"/><Relationship Id="rId11" Type="http://schemas.openxmlformats.org/officeDocument/2006/relationships/header" Target="header1.xml"/><Relationship Id="rId53" Type="http://schemas.openxmlformats.org/officeDocument/2006/relationships/header" Target="header16.xml"/><Relationship Id="rId149" Type="http://schemas.openxmlformats.org/officeDocument/2006/relationships/header" Target="header64.xml"/><Relationship Id="rId314" Type="http://schemas.openxmlformats.org/officeDocument/2006/relationships/footer" Target="footer146.xml"/><Relationship Id="rId356" Type="http://schemas.openxmlformats.org/officeDocument/2006/relationships/footer" Target="footer167.xml"/><Relationship Id="rId398" Type="http://schemas.openxmlformats.org/officeDocument/2006/relationships/footer" Target="footer188.xml"/><Relationship Id="rId521" Type="http://schemas.openxmlformats.org/officeDocument/2006/relationships/header" Target="header250.xml"/><Relationship Id="rId563" Type="http://schemas.openxmlformats.org/officeDocument/2006/relationships/header" Target="header271.xml"/><Relationship Id="rId95" Type="http://schemas.openxmlformats.org/officeDocument/2006/relationships/header" Target="header37.xml"/><Relationship Id="rId160" Type="http://schemas.openxmlformats.org/officeDocument/2006/relationships/footer" Target="footer69.xml"/><Relationship Id="rId216" Type="http://schemas.openxmlformats.org/officeDocument/2006/relationships/header" Target="header98.xml"/><Relationship Id="rId423" Type="http://schemas.openxmlformats.org/officeDocument/2006/relationships/header" Target="header201.xml"/><Relationship Id="rId258" Type="http://schemas.openxmlformats.org/officeDocument/2006/relationships/header" Target="header119.xml"/><Relationship Id="rId465" Type="http://schemas.openxmlformats.org/officeDocument/2006/relationships/header" Target="header222.xml"/><Relationship Id="rId22" Type="http://schemas.openxmlformats.org/officeDocument/2006/relationships/footer" Target="footer6.xml"/><Relationship Id="rId64" Type="http://schemas.openxmlformats.org/officeDocument/2006/relationships/footer" Target="footer21.xml"/><Relationship Id="rId118" Type="http://schemas.openxmlformats.org/officeDocument/2006/relationships/footer" Target="footer48.xml"/><Relationship Id="rId325" Type="http://schemas.openxmlformats.org/officeDocument/2006/relationships/footer" Target="footer151.xml"/><Relationship Id="rId367" Type="http://schemas.openxmlformats.org/officeDocument/2006/relationships/footer" Target="footer172.xml"/><Relationship Id="rId532" Type="http://schemas.openxmlformats.org/officeDocument/2006/relationships/footer" Target="footer255.xml"/><Relationship Id="rId574" Type="http://schemas.openxmlformats.org/officeDocument/2006/relationships/footer" Target="footer276.xml"/><Relationship Id="rId171" Type="http://schemas.openxmlformats.org/officeDocument/2006/relationships/header" Target="header75.xml"/><Relationship Id="rId227" Type="http://schemas.openxmlformats.org/officeDocument/2006/relationships/header" Target="header103.xml"/><Relationship Id="rId269" Type="http://schemas.openxmlformats.org/officeDocument/2006/relationships/header" Target="header124.xml"/><Relationship Id="rId434" Type="http://schemas.openxmlformats.org/officeDocument/2006/relationships/footer" Target="footer206.xml"/><Relationship Id="rId476" Type="http://schemas.openxmlformats.org/officeDocument/2006/relationships/footer" Target="footer227.xml"/><Relationship Id="rId33" Type="http://schemas.openxmlformats.org/officeDocument/2006/relationships/image" Target="media/image5.png"/><Relationship Id="rId129" Type="http://schemas.openxmlformats.org/officeDocument/2006/relationships/header" Target="header54.xml"/><Relationship Id="rId280" Type="http://schemas.openxmlformats.org/officeDocument/2006/relationships/footer" Target="footer129.xml"/><Relationship Id="rId336" Type="http://schemas.openxmlformats.org/officeDocument/2006/relationships/header" Target="header158.xml"/><Relationship Id="rId501" Type="http://schemas.openxmlformats.org/officeDocument/2006/relationships/header" Target="header240.xml"/><Relationship Id="rId543" Type="http://schemas.openxmlformats.org/officeDocument/2006/relationships/header" Target="header261.xml"/><Relationship Id="rId75" Type="http://schemas.openxmlformats.org/officeDocument/2006/relationships/header" Target="header27.xml"/><Relationship Id="rId140" Type="http://schemas.openxmlformats.org/officeDocument/2006/relationships/footer" Target="footer59.xml"/><Relationship Id="rId182" Type="http://schemas.openxmlformats.org/officeDocument/2006/relationships/footer" Target="footer80.xml"/><Relationship Id="rId378" Type="http://schemas.openxmlformats.org/officeDocument/2006/relationships/header" Target="header179.xml"/><Relationship Id="rId403" Type="http://schemas.openxmlformats.org/officeDocument/2006/relationships/footer" Target="footer190.xml"/><Relationship Id="rId585" Type="http://schemas.openxmlformats.org/officeDocument/2006/relationships/header" Target="header282.xml"/><Relationship Id="rId6" Type="http://schemas.openxmlformats.org/officeDocument/2006/relationships/settings" Target="settings.xml"/><Relationship Id="rId238" Type="http://schemas.openxmlformats.org/officeDocument/2006/relationships/footer" Target="footer108.xml"/><Relationship Id="rId445" Type="http://schemas.openxmlformats.org/officeDocument/2006/relationships/footer" Target="footer211.xml"/><Relationship Id="rId487" Type="http://schemas.openxmlformats.org/officeDocument/2006/relationships/footer" Target="footer232.xml"/><Relationship Id="rId610" Type="http://schemas.openxmlformats.org/officeDocument/2006/relationships/footer" Target="footer294.xml"/><Relationship Id="rId291" Type="http://schemas.openxmlformats.org/officeDocument/2006/relationships/header" Target="header135.xml"/><Relationship Id="rId305" Type="http://schemas.openxmlformats.org/officeDocument/2006/relationships/header" Target="header142.xml"/><Relationship Id="rId347" Type="http://schemas.openxmlformats.org/officeDocument/2006/relationships/header" Target="header163.xml"/><Relationship Id="rId512" Type="http://schemas.openxmlformats.org/officeDocument/2006/relationships/footer" Target="footer245.xml"/><Relationship Id="rId44" Type="http://schemas.openxmlformats.org/officeDocument/2006/relationships/footer" Target="footer11.xml"/><Relationship Id="rId86" Type="http://schemas.openxmlformats.org/officeDocument/2006/relationships/footer" Target="footer32.xml"/><Relationship Id="rId151" Type="http://schemas.openxmlformats.org/officeDocument/2006/relationships/footer" Target="footer64.xml"/><Relationship Id="rId389" Type="http://schemas.openxmlformats.org/officeDocument/2006/relationships/header" Target="header184.xml"/><Relationship Id="rId554" Type="http://schemas.openxmlformats.org/officeDocument/2006/relationships/footer" Target="footer266.xml"/><Relationship Id="rId596" Type="http://schemas.openxmlformats.org/officeDocument/2006/relationships/footer" Target="footer287.xml"/><Relationship Id="rId193" Type="http://schemas.openxmlformats.org/officeDocument/2006/relationships/footer" Target="footer85.xml"/><Relationship Id="rId207" Type="http://schemas.openxmlformats.org/officeDocument/2006/relationships/header" Target="header93.xml"/><Relationship Id="rId249" Type="http://schemas.openxmlformats.org/officeDocument/2006/relationships/header" Target="header114.xml"/><Relationship Id="rId414" Type="http://schemas.openxmlformats.org/officeDocument/2006/relationships/header" Target="header197.xml"/><Relationship Id="rId456" Type="http://schemas.openxmlformats.org/officeDocument/2006/relationships/header" Target="header218.xml"/><Relationship Id="rId498" Type="http://schemas.openxmlformats.org/officeDocument/2006/relationships/header" Target="header239.xml"/><Relationship Id="rId13" Type="http://schemas.openxmlformats.org/officeDocument/2006/relationships/footer" Target="footer1.xml"/><Relationship Id="rId109" Type="http://schemas.openxmlformats.org/officeDocument/2006/relationships/footer" Target="footer43.xml"/><Relationship Id="rId260" Type="http://schemas.openxmlformats.org/officeDocument/2006/relationships/footer" Target="footer119.xml"/><Relationship Id="rId316" Type="http://schemas.openxmlformats.org/officeDocument/2006/relationships/footer" Target="footer147.xml"/><Relationship Id="rId523" Type="http://schemas.openxmlformats.org/officeDocument/2006/relationships/footer" Target="footer250.xml"/><Relationship Id="rId55" Type="http://schemas.openxmlformats.org/officeDocument/2006/relationships/footer" Target="footer16.xml"/><Relationship Id="rId97" Type="http://schemas.openxmlformats.org/officeDocument/2006/relationships/footer" Target="footer37.xml"/><Relationship Id="rId120" Type="http://schemas.openxmlformats.org/officeDocument/2006/relationships/header" Target="header50.xml"/><Relationship Id="rId358" Type="http://schemas.openxmlformats.org/officeDocument/2006/relationships/footer" Target="footer168.xml"/><Relationship Id="rId565" Type="http://schemas.openxmlformats.org/officeDocument/2006/relationships/footer" Target="footer271.xml"/><Relationship Id="rId162" Type="http://schemas.openxmlformats.org/officeDocument/2006/relationships/header" Target="header71.xml"/><Relationship Id="rId218" Type="http://schemas.openxmlformats.org/officeDocument/2006/relationships/footer" Target="footer98.xml"/><Relationship Id="rId425" Type="http://schemas.openxmlformats.org/officeDocument/2006/relationships/header" Target="header202.xml"/><Relationship Id="rId467" Type="http://schemas.openxmlformats.org/officeDocument/2006/relationships/header" Target="header223.xml"/><Relationship Id="rId271" Type="http://schemas.openxmlformats.org/officeDocument/2006/relationships/footer" Target="footer124.xml"/><Relationship Id="rId24" Type="http://schemas.openxmlformats.org/officeDocument/2006/relationships/header" Target="header8.xml"/><Relationship Id="rId66" Type="http://schemas.openxmlformats.org/officeDocument/2006/relationships/header" Target="header23.xml"/><Relationship Id="rId131" Type="http://schemas.openxmlformats.org/officeDocument/2006/relationships/header" Target="header55.xml"/><Relationship Id="rId327" Type="http://schemas.openxmlformats.org/officeDocument/2006/relationships/header" Target="header153.xml"/><Relationship Id="rId369" Type="http://schemas.openxmlformats.org/officeDocument/2006/relationships/header" Target="header174.xml"/><Relationship Id="rId534" Type="http://schemas.openxmlformats.org/officeDocument/2006/relationships/header" Target="header257.xml"/><Relationship Id="rId576" Type="http://schemas.openxmlformats.org/officeDocument/2006/relationships/header" Target="header278.xml"/><Relationship Id="rId173" Type="http://schemas.openxmlformats.org/officeDocument/2006/relationships/header" Target="header76.xml"/><Relationship Id="rId229" Type="http://schemas.openxmlformats.org/officeDocument/2006/relationships/footer" Target="footer103.xml"/><Relationship Id="rId380" Type="http://schemas.openxmlformats.org/officeDocument/2006/relationships/footer" Target="footer179.xml"/><Relationship Id="rId436" Type="http://schemas.openxmlformats.org/officeDocument/2006/relationships/footer" Target="footer207.xml"/><Relationship Id="rId601" Type="http://schemas.openxmlformats.org/officeDocument/2006/relationships/footer" Target="footer289.xml"/><Relationship Id="rId240" Type="http://schemas.openxmlformats.org/officeDocument/2006/relationships/header" Target="header110.xml"/><Relationship Id="rId478" Type="http://schemas.openxmlformats.org/officeDocument/2006/relationships/footer" Target="footer228.xml"/><Relationship Id="rId35" Type="http://schemas.openxmlformats.org/officeDocument/2006/relationships/image" Target="media/image7.png"/><Relationship Id="rId77" Type="http://schemas.openxmlformats.org/officeDocument/2006/relationships/header" Target="header28.xml"/><Relationship Id="rId100" Type="http://schemas.openxmlformats.org/officeDocument/2006/relationships/footer" Target="footer39.xml"/><Relationship Id="rId282" Type="http://schemas.openxmlformats.org/officeDocument/2006/relationships/header" Target="header131.xml"/><Relationship Id="rId338" Type="http://schemas.openxmlformats.org/officeDocument/2006/relationships/footer" Target="footer158.xml"/><Relationship Id="rId503" Type="http://schemas.openxmlformats.org/officeDocument/2006/relationships/header" Target="header241.xml"/><Relationship Id="rId545" Type="http://schemas.openxmlformats.org/officeDocument/2006/relationships/header" Target="header262.xml"/><Relationship Id="rId587" Type="http://schemas.openxmlformats.org/officeDocument/2006/relationships/header" Target="header283.xml"/><Relationship Id="rId8" Type="http://schemas.openxmlformats.org/officeDocument/2006/relationships/footnotes" Target="footnotes.xml"/><Relationship Id="rId142" Type="http://schemas.openxmlformats.org/officeDocument/2006/relationships/footer" Target="footer60.xml"/><Relationship Id="rId184" Type="http://schemas.openxmlformats.org/officeDocument/2006/relationships/footer" Target="footer81.xml"/><Relationship Id="rId391" Type="http://schemas.openxmlformats.org/officeDocument/2006/relationships/footer" Target="footer184.xml"/><Relationship Id="rId405" Type="http://schemas.openxmlformats.org/officeDocument/2006/relationships/header" Target="header192.xml"/><Relationship Id="rId447" Type="http://schemas.openxmlformats.org/officeDocument/2006/relationships/header" Target="header213.xml"/><Relationship Id="rId612" Type="http://schemas.openxmlformats.org/officeDocument/2006/relationships/header" Target="header296.xml"/><Relationship Id="rId251" Type="http://schemas.openxmlformats.org/officeDocument/2006/relationships/header" Target="header115.xml"/><Relationship Id="rId489" Type="http://schemas.openxmlformats.org/officeDocument/2006/relationships/header" Target="header234.xml"/><Relationship Id="rId46" Type="http://schemas.openxmlformats.org/officeDocument/2006/relationships/footer" Target="footer12.xml"/><Relationship Id="rId293" Type="http://schemas.openxmlformats.org/officeDocument/2006/relationships/header" Target="header136.xml"/><Relationship Id="rId307" Type="http://schemas.openxmlformats.org/officeDocument/2006/relationships/footer" Target="footer142.xml"/><Relationship Id="rId349" Type="http://schemas.openxmlformats.org/officeDocument/2006/relationships/footer" Target="footer163.xml"/><Relationship Id="rId514" Type="http://schemas.openxmlformats.org/officeDocument/2006/relationships/footer" Target="footer246.xml"/><Relationship Id="rId556" Type="http://schemas.openxmlformats.org/officeDocument/2006/relationships/footer" Target="footer267.xml"/><Relationship Id="rId88" Type="http://schemas.openxmlformats.org/officeDocument/2006/relationships/footer" Target="footer33.xml"/><Relationship Id="rId111" Type="http://schemas.openxmlformats.org/officeDocument/2006/relationships/header" Target="header45.xml"/><Relationship Id="rId153" Type="http://schemas.openxmlformats.org/officeDocument/2006/relationships/header" Target="header66.xml"/><Relationship Id="rId195" Type="http://schemas.openxmlformats.org/officeDocument/2006/relationships/header" Target="header87.xml"/><Relationship Id="rId209" Type="http://schemas.openxmlformats.org/officeDocument/2006/relationships/header" Target="header94.xml"/><Relationship Id="rId360" Type="http://schemas.openxmlformats.org/officeDocument/2006/relationships/header" Target="header170.xml"/><Relationship Id="rId416" Type="http://schemas.openxmlformats.org/officeDocument/2006/relationships/footer" Target="footer197.xml"/><Relationship Id="rId598" Type="http://schemas.openxmlformats.org/officeDocument/2006/relationships/footer" Target="footer288.xml"/><Relationship Id="rId220" Type="http://schemas.openxmlformats.org/officeDocument/2006/relationships/footer" Target="footer99.xml"/><Relationship Id="rId458" Type="http://schemas.openxmlformats.org/officeDocument/2006/relationships/footer" Target="footer218.xml"/><Relationship Id="rId15" Type="http://schemas.openxmlformats.org/officeDocument/2006/relationships/header" Target="header3.xml"/><Relationship Id="rId57" Type="http://schemas.openxmlformats.org/officeDocument/2006/relationships/header" Target="header18.xml"/><Relationship Id="rId262" Type="http://schemas.openxmlformats.org/officeDocument/2006/relationships/footer" Target="footer120.xml"/><Relationship Id="rId318" Type="http://schemas.openxmlformats.org/officeDocument/2006/relationships/header" Target="header149.xml"/><Relationship Id="rId525" Type="http://schemas.openxmlformats.org/officeDocument/2006/relationships/header" Target="header252.xml"/><Relationship Id="rId567" Type="http://schemas.openxmlformats.org/officeDocument/2006/relationships/header" Target="header273.xml"/><Relationship Id="rId99" Type="http://schemas.openxmlformats.org/officeDocument/2006/relationships/header" Target="header39.xml"/><Relationship Id="rId122" Type="http://schemas.openxmlformats.org/officeDocument/2006/relationships/footer" Target="footer50.xml"/><Relationship Id="rId164" Type="http://schemas.openxmlformats.org/officeDocument/2006/relationships/footer" Target="footer71.xml"/><Relationship Id="rId371" Type="http://schemas.openxmlformats.org/officeDocument/2006/relationships/header" Target="header175.xml"/><Relationship Id="rId427" Type="http://schemas.openxmlformats.org/officeDocument/2006/relationships/footer" Target="footer202.xml"/><Relationship Id="rId469" Type="http://schemas.openxmlformats.org/officeDocument/2006/relationships/footer" Target="footer223.xml"/><Relationship Id="rId26" Type="http://schemas.openxmlformats.org/officeDocument/2006/relationships/footer" Target="footer8.xml"/><Relationship Id="rId231" Type="http://schemas.openxmlformats.org/officeDocument/2006/relationships/header" Target="header105.xml"/><Relationship Id="rId273" Type="http://schemas.openxmlformats.org/officeDocument/2006/relationships/header" Target="header126.xml"/><Relationship Id="rId329" Type="http://schemas.openxmlformats.org/officeDocument/2006/relationships/header" Target="header154.xml"/><Relationship Id="rId480" Type="http://schemas.openxmlformats.org/officeDocument/2006/relationships/header" Target="header230.xml"/><Relationship Id="rId536" Type="http://schemas.openxmlformats.org/officeDocument/2006/relationships/footer" Target="footer257.xml"/><Relationship Id="rId68" Type="http://schemas.openxmlformats.org/officeDocument/2006/relationships/footer" Target="footer23.xml"/><Relationship Id="rId133" Type="http://schemas.openxmlformats.org/officeDocument/2006/relationships/footer" Target="footer55.xml"/><Relationship Id="rId175" Type="http://schemas.openxmlformats.org/officeDocument/2006/relationships/footer" Target="footer76.xml"/><Relationship Id="rId340" Type="http://schemas.openxmlformats.org/officeDocument/2006/relationships/footer" Target="footer159.xml"/><Relationship Id="rId578" Type="http://schemas.openxmlformats.org/officeDocument/2006/relationships/footer" Target="footer278.xml"/><Relationship Id="rId200" Type="http://schemas.openxmlformats.org/officeDocument/2006/relationships/footer" Target="footer89.xml"/><Relationship Id="rId382" Type="http://schemas.openxmlformats.org/officeDocument/2006/relationships/footer" Target="footer180.xml"/><Relationship Id="rId438" Type="http://schemas.openxmlformats.org/officeDocument/2006/relationships/header" Target="header209.xml"/><Relationship Id="rId603" Type="http://schemas.openxmlformats.org/officeDocument/2006/relationships/header" Target="header291.xml"/><Relationship Id="rId242" Type="http://schemas.openxmlformats.org/officeDocument/2006/relationships/footer" Target="footer110.xml"/><Relationship Id="rId284" Type="http://schemas.openxmlformats.org/officeDocument/2006/relationships/footer" Target="footer131.xml"/><Relationship Id="rId491" Type="http://schemas.openxmlformats.org/officeDocument/2006/relationships/header" Target="header235.xml"/><Relationship Id="rId505" Type="http://schemas.openxmlformats.org/officeDocument/2006/relationships/footer" Target="footer241.xml"/><Relationship Id="rId37" Type="http://schemas.openxmlformats.org/officeDocument/2006/relationships/image" Target="media/image8.png"/><Relationship Id="rId79" Type="http://schemas.openxmlformats.org/officeDocument/2006/relationships/footer" Target="footer28.xml"/><Relationship Id="rId102" Type="http://schemas.openxmlformats.org/officeDocument/2006/relationships/header" Target="header41.xml"/><Relationship Id="rId144" Type="http://schemas.openxmlformats.org/officeDocument/2006/relationships/header" Target="header62.xml"/><Relationship Id="rId547" Type="http://schemas.openxmlformats.org/officeDocument/2006/relationships/footer" Target="footer262.xml"/><Relationship Id="rId589" Type="http://schemas.openxmlformats.org/officeDocument/2006/relationships/footer" Target="footer283.xml"/><Relationship Id="rId90" Type="http://schemas.openxmlformats.org/officeDocument/2006/relationships/header" Target="header35.xml"/><Relationship Id="rId186" Type="http://schemas.openxmlformats.org/officeDocument/2006/relationships/header" Target="header83.xml"/><Relationship Id="rId351" Type="http://schemas.openxmlformats.org/officeDocument/2006/relationships/header" Target="header165.xml"/><Relationship Id="rId393" Type="http://schemas.openxmlformats.org/officeDocument/2006/relationships/header" Target="header186.xml"/><Relationship Id="rId407" Type="http://schemas.openxmlformats.org/officeDocument/2006/relationships/header" Target="header193.xml"/><Relationship Id="rId449" Type="http://schemas.openxmlformats.org/officeDocument/2006/relationships/header" Target="header214.xml"/><Relationship Id="rId614" Type="http://schemas.openxmlformats.org/officeDocument/2006/relationships/footer" Target="footer296.xml"/><Relationship Id="rId211" Type="http://schemas.openxmlformats.org/officeDocument/2006/relationships/footer" Target="footer94.xml"/><Relationship Id="rId253" Type="http://schemas.openxmlformats.org/officeDocument/2006/relationships/footer" Target="footer115.xml"/><Relationship Id="rId295" Type="http://schemas.openxmlformats.org/officeDocument/2006/relationships/footer" Target="footer136.xml"/><Relationship Id="rId309" Type="http://schemas.openxmlformats.org/officeDocument/2006/relationships/header" Target="header144.xml"/><Relationship Id="rId460" Type="http://schemas.openxmlformats.org/officeDocument/2006/relationships/footer" Target="footer219.xml"/><Relationship Id="rId516" Type="http://schemas.openxmlformats.org/officeDocument/2006/relationships/header" Target="header248.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bg-BG" sz="900" b="0" i="1">
                <a:latin typeface="Verdana" panose="020B0604030504040204" pitchFamily="34" charset="0"/>
                <a:ea typeface="Verdana" panose="020B0604030504040204" pitchFamily="34" charset="0"/>
              </a:rPr>
              <a:t>млн. EUR</a:t>
            </a:r>
          </a:p>
        </c:rich>
      </c:tx>
      <c:layout>
        <c:manualLayout>
          <c:xMode val="edge"/>
          <c:yMode val="edge"/>
          <c:x val="1.2201443569553778E-2"/>
          <c:y val="3.2407407407407406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cash!$A$4</c:f>
              <c:strCache>
                <c:ptCount val="1"/>
                <c:pt idx="0">
                  <c:v>Cash</c:v>
                </c:pt>
              </c:strCache>
            </c:strRef>
          </c:tx>
          <c:invertIfNegative val="0"/>
          <c:cat>
            <c:numRef>
              <c:f>cash!$B$3:$F$3</c:f>
              <c:numCache>
                <c:formatCode>General</c:formatCode>
                <c:ptCount val="5"/>
                <c:pt idx="0">
                  <c:v>2010</c:v>
                </c:pt>
                <c:pt idx="1">
                  <c:v>2011</c:v>
                </c:pt>
                <c:pt idx="2">
                  <c:v>2012</c:v>
                </c:pt>
                <c:pt idx="3">
                  <c:v>2013</c:v>
                </c:pt>
                <c:pt idx="4">
                  <c:v>2014</c:v>
                </c:pt>
              </c:numCache>
            </c:numRef>
          </c:cat>
          <c:val>
            <c:numRef>
              <c:f>cash!$B$4:$F$4</c:f>
              <c:numCache>
                <c:formatCode>#\ ##0;\(#\ ##0\);\-</c:formatCode>
                <c:ptCount val="5"/>
                <c:pt idx="0">
                  <c:v>22063</c:v>
                </c:pt>
                <c:pt idx="1">
                  <c:v>18935</c:v>
                </c:pt>
                <c:pt idx="2">
                  <c:v>10674</c:v>
                </c:pt>
                <c:pt idx="3">
                  <c:v>9510</c:v>
                </c:pt>
                <c:pt idx="4">
                  <c:v>17545</c:v>
                </c:pt>
              </c:numCache>
            </c:numRef>
          </c:val>
        </c:ser>
        <c:dLbls>
          <c:showLegendKey val="0"/>
          <c:showVal val="0"/>
          <c:showCatName val="0"/>
          <c:showSerName val="0"/>
          <c:showPercent val="0"/>
          <c:showBubbleSize val="0"/>
        </c:dLbls>
        <c:gapWidth val="150"/>
        <c:shape val="cylinder"/>
        <c:axId val="34215424"/>
        <c:axId val="34216960"/>
        <c:axId val="0"/>
      </c:bar3DChart>
      <c:catAx>
        <c:axId val="34215424"/>
        <c:scaling>
          <c:orientation val="minMax"/>
        </c:scaling>
        <c:delete val="0"/>
        <c:axPos val="b"/>
        <c:numFmt formatCode="General" sourceLinked="1"/>
        <c:majorTickMark val="out"/>
        <c:minorTickMark val="none"/>
        <c:tickLblPos val="nextTo"/>
        <c:crossAx val="34216960"/>
        <c:crosses val="autoZero"/>
        <c:auto val="1"/>
        <c:lblAlgn val="ctr"/>
        <c:lblOffset val="100"/>
        <c:noMultiLvlLbl val="0"/>
      </c:catAx>
      <c:valAx>
        <c:axId val="34216960"/>
        <c:scaling>
          <c:orientation val="minMax"/>
        </c:scaling>
        <c:delete val="0"/>
        <c:axPos val="l"/>
        <c:majorGridlines/>
        <c:numFmt formatCode="#\ ##0;\(#\ ##0\);\-" sourceLinked="1"/>
        <c:majorTickMark val="out"/>
        <c:minorTickMark val="none"/>
        <c:tickLblPos val="nextTo"/>
        <c:crossAx val="342154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900" b="0" i="1" baseline="0">
                <a:latin typeface="Verdana" panose="020B0604030504040204" pitchFamily="34" charset="0"/>
                <a:ea typeface="Verdana" panose="020B0604030504040204" pitchFamily="34" charset="0"/>
              </a:rPr>
              <a:t>млн. EUR</a:t>
            </a:r>
          </a:p>
        </c:rich>
      </c:tx>
      <c:layout>
        <c:manualLayout>
          <c:xMode val="edge"/>
          <c:yMode val="edge"/>
          <c:x val="1.9187445319335063E-2"/>
          <c:y val="4.16666666666666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Sheet1!$A$5</c:f>
              <c:strCache>
                <c:ptCount val="1"/>
              </c:strCache>
            </c:strRef>
          </c:tx>
          <c:invertIfNegative val="0"/>
          <c:cat>
            <c:numRef>
              <c:f>Sheet1!$B$2:$F$2</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2408</c:v>
                </c:pt>
                <c:pt idx="1">
                  <c:v>2731</c:v>
                </c:pt>
                <c:pt idx="2">
                  <c:v>3150</c:v>
                </c:pt>
                <c:pt idx="3" formatCode="#\ ##0;\(#\ ##0\);\-">
                  <c:v>3999</c:v>
                </c:pt>
                <c:pt idx="4" formatCode="#\ ##0;\(#\ ##0\);\-">
                  <c:v>4451</c:v>
                </c:pt>
              </c:numCache>
            </c:numRef>
          </c:val>
        </c:ser>
        <c:dLbls>
          <c:showLegendKey val="0"/>
          <c:showVal val="0"/>
          <c:showCatName val="0"/>
          <c:showSerName val="0"/>
          <c:showPercent val="0"/>
          <c:showBubbleSize val="0"/>
        </c:dLbls>
        <c:gapWidth val="150"/>
        <c:shape val="box"/>
        <c:axId val="34237440"/>
        <c:axId val="34251520"/>
        <c:axId val="0"/>
      </c:bar3DChart>
      <c:catAx>
        <c:axId val="34237440"/>
        <c:scaling>
          <c:orientation val="minMax"/>
        </c:scaling>
        <c:delete val="0"/>
        <c:axPos val="b"/>
        <c:numFmt formatCode="General" sourceLinked="1"/>
        <c:majorTickMark val="out"/>
        <c:minorTickMark val="none"/>
        <c:tickLblPos val="nextTo"/>
        <c:crossAx val="34251520"/>
        <c:crosses val="autoZero"/>
        <c:auto val="1"/>
        <c:lblAlgn val="ctr"/>
        <c:lblOffset val="100"/>
        <c:noMultiLvlLbl val="0"/>
      </c:catAx>
      <c:valAx>
        <c:axId val="34251520"/>
        <c:scaling>
          <c:orientation val="minMax"/>
        </c:scaling>
        <c:delete val="0"/>
        <c:axPos val="l"/>
        <c:majorGridlines/>
        <c:numFmt formatCode="General" sourceLinked="1"/>
        <c:majorTickMark val="out"/>
        <c:minorTickMark val="none"/>
        <c:tickLblPos val="nextTo"/>
        <c:crossAx val="342374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900" b="0" i="1">
                <a:latin typeface="Verdana" panose="020B0604030504040204" pitchFamily="34" charset="0"/>
                <a:ea typeface="Verdana" panose="020B0604030504040204" pitchFamily="34" charset="0"/>
              </a:rPr>
              <a:t>млрд. EUR, по текущи цени</a:t>
            </a:r>
          </a:p>
        </c:rich>
      </c:tx>
      <c:overlay val="0"/>
    </c:title>
    <c:autoTitleDeleted val="0"/>
    <c:plotArea>
      <c:layout/>
      <c:lineChart>
        <c:grouping val="standard"/>
        <c:varyColors val="0"/>
        <c:ser>
          <c:idx val="0"/>
          <c:order val="0"/>
          <c:tx>
            <c:strRef>
              <c:f>GDP!$A$4</c:f>
              <c:strCache>
                <c:ptCount val="1"/>
                <c:pt idx="0">
                  <c:v>GDP EU-28</c:v>
                </c:pt>
              </c:strCache>
            </c:strRef>
          </c:tx>
          <c:cat>
            <c:numRef>
              <c:f>GDP!$B$3:$F$3</c:f>
              <c:numCache>
                <c:formatCode>General</c:formatCode>
                <c:ptCount val="5"/>
                <c:pt idx="0">
                  <c:v>2010</c:v>
                </c:pt>
                <c:pt idx="1">
                  <c:v>2011</c:v>
                </c:pt>
                <c:pt idx="2">
                  <c:v>2012</c:v>
                </c:pt>
                <c:pt idx="3">
                  <c:v>2013</c:v>
                </c:pt>
                <c:pt idx="4">
                  <c:v>2014</c:v>
                </c:pt>
              </c:numCache>
            </c:numRef>
          </c:cat>
          <c:val>
            <c:numRef>
              <c:f>GDP!$B$4:$F$4</c:f>
              <c:numCache>
                <c:formatCode>#\ ##0;\(#\ ##0\);\-</c:formatCode>
                <c:ptCount val="5"/>
                <c:pt idx="0">
                  <c:v>12790</c:v>
                </c:pt>
                <c:pt idx="1">
                  <c:v>13174</c:v>
                </c:pt>
                <c:pt idx="2">
                  <c:v>13426</c:v>
                </c:pt>
                <c:pt idx="3">
                  <c:v>13520</c:v>
                </c:pt>
                <c:pt idx="4">
                  <c:v>13921</c:v>
                </c:pt>
              </c:numCache>
            </c:numRef>
          </c:val>
          <c:smooth val="0"/>
        </c:ser>
        <c:dLbls>
          <c:showLegendKey val="0"/>
          <c:showVal val="0"/>
          <c:showCatName val="0"/>
          <c:showSerName val="0"/>
          <c:showPercent val="0"/>
          <c:showBubbleSize val="0"/>
        </c:dLbls>
        <c:marker val="1"/>
        <c:smooth val="0"/>
        <c:axId val="36311808"/>
        <c:axId val="36313344"/>
      </c:lineChart>
      <c:catAx>
        <c:axId val="36311808"/>
        <c:scaling>
          <c:orientation val="minMax"/>
        </c:scaling>
        <c:delete val="0"/>
        <c:axPos val="b"/>
        <c:numFmt formatCode="General" sourceLinked="1"/>
        <c:majorTickMark val="none"/>
        <c:minorTickMark val="none"/>
        <c:tickLblPos val="nextTo"/>
        <c:crossAx val="36313344"/>
        <c:crosses val="autoZero"/>
        <c:auto val="1"/>
        <c:lblAlgn val="ctr"/>
        <c:lblOffset val="100"/>
        <c:noMultiLvlLbl val="0"/>
      </c:catAx>
      <c:valAx>
        <c:axId val="36313344"/>
        <c:scaling>
          <c:orientation val="minMax"/>
        </c:scaling>
        <c:delete val="0"/>
        <c:axPos val="l"/>
        <c:majorGridlines/>
        <c:numFmt formatCode="#\ ##0;\(#\ ##0\);\-" sourceLinked="1"/>
        <c:majorTickMark val="none"/>
        <c:minorTickMark val="none"/>
        <c:tickLblPos val="nextTo"/>
        <c:crossAx val="363118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bg-BG" sz="900" b="0" i="1">
                <a:latin typeface="Verdana" panose="020B0604030504040204" pitchFamily="34" charset="0"/>
                <a:ea typeface="Verdana" panose="020B0604030504040204" pitchFamily="34" charset="0"/>
              </a:rPr>
              <a:t>млрд. EUR</a:t>
            </a:r>
          </a:p>
        </c:rich>
      </c:tx>
      <c:layout>
        <c:manualLayout>
          <c:xMode val="edge"/>
          <c:yMode val="edge"/>
          <c:x val="2.0791557305336834E-2"/>
          <c:y val="4.1666666666666664E-2"/>
        </c:manualLayout>
      </c:layout>
      <c:overlay val="0"/>
    </c:title>
    <c:autoTitleDeleted val="0"/>
    <c:plotArea>
      <c:layout/>
      <c:lineChart>
        <c:grouping val="standard"/>
        <c:varyColors val="0"/>
        <c:ser>
          <c:idx val="0"/>
          <c:order val="0"/>
          <c:tx>
            <c:strRef>
              <c:f>GDP!$A$9</c:f>
              <c:strCache>
                <c:ptCount val="1"/>
                <c:pt idx="0">
                  <c:v>GNI income</c:v>
                </c:pt>
              </c:strCache>
            </c:strRef>
          </c:tx>
          <c:cat>
            <c:numRef>
              <c:f>GDP!$B$8:$F$8</c:f>
              <c:numCache>
                <c:formatCode>General</c:formatCode>
                <c:ptCount val="5"/>
                <c:pt idx="0">
                  <c:v>2010</c:v>
                </c:pt>
                <c:pt idx="1">
                  <c:v>2011</c:v>
                </c:pt>
                <c:pt idx="2">
                  <c:v>2012</c:v>
                </c:pt>
                <c:pt idx="3">
                  <c:v>2013</c:v>
                </c:pt>
                <c:pt idx="4">
                  <c:v>2014</c:v>
                </c:pt>
              </c:numCache>
            </c:numRef>
          </c:cat>
          <c:val>
            <c:numRef>
              <c:f>GDP!$B$9:$F$9</c:f>
              <c:numCache>
                <c:formatCode>0</c:formatCode>
                <c:ptCount val="5"/>
                <c:pt idx="0">
                  <c:v>91</c:v>
                </c:pt>
                <c:pt idx="1">
                  <c:v>88</c:v>
                </c:pt>
                <c:pt idx="2">
                  <c:v>98</c:v>
                </c:pt>
                <c:pt idx="3">
                  <c:v>110</c:v>
                </c:pt>
                <c:pt idx="4">
                  <c:v>105</c:v>
                </c:pt>
              </c:numCache>
            </c:numRef>
          </c:val>
          <c:smooth val="0"/>
        </c:ser>
        <c:dLbls>
          <c:showLegendKey val="0"/>
          <c:showVal val="0"/>
          <c:showCatName val="0"/>
          <c:showSerName val="0"/>
          <c:showPercent val="0"/>
          <c:showBubbleSize val="0"/>
        </c:dLbls>
        <c:marker val="1"/>
        <c:smooth val="0"/>
        <c:axId val="36325632"/>
        <c:axId val="36343808"/>
      </c:lineChart>
      <c:catAx>
        <c:axId val="36325632"/>
        <c:scaling>
          <c:orientation val="minMax"/>
        </c:scaling>
        <c:delete val="0"/>
        <c:axPos val="b"/>
        <c:numFmt formatCode="General" sourceLinked="1"/>
        <c:majorTickMark val="out"/>
        <c:minorTickMark val="none"/>
        <c:tickLblPos val="nextTo"/>
        <c:crossAx val="36343808"/>
        <c:crosses val="autoZero"/>
        <c:auto val="1"/>
        <c:lblAlgn val="ctr"/>
        <c:lblOffset val="100"/>
        <c:noMultiLvlLbl val="0"/>
      </c:catAx>
      <c:valAx>
        <c:axId val="36343808"/>
        <c:scaling>
          <c:orientation val="minMax"/>
        </c:scaling>
        <c:delete val="0"/>
        <c:axPos val="l"/>
        <c:majorGridlines/>
        <c:numFmt formatCode="0" sourceLinked="1"/>
        <c:majorTickMark val="out"/>
        <c:minorTickMark val="none"/>
        <c:tickLblPos val="nextTo"/>
        <c:crossAx val="363256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286CE-A709-478B-B0FD-60841EBA8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56</Pages>
  <Words>55110</Words>
  <Characters>284166</Characters>
  <Application>Microsoft Office Word</Application>
  <DocSecurity>0</DocSecurity>
  <Lines>16925</Lines>
  <Paragraphs>10584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332632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 Martin (BUDG)</dc:creator>
  <cp:lastModifiedBy>WOJCIECHOWSKA Eliza (SG)</cp:lastModifiedBy>
  <cp:revision>61</cp:revision>
  <cp:lastPrinted>2015-07-17T12:18:00Z</cp:lastPrinted>
  <dcterms:created xsi:type="dcterms:W3CDTF">2015-08-03T09:27:00Z</dcterms:created>
  <dcterms:modified xsi:type="dcterms:W3CDTF">2015-09-30T14:34:00Z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
    <vt:lpwstr>dgUAAB+LCAAAAAAABAA1lIuRxDAIQ1sK+F8P/fdwT2JvZrPjxAYkIRxj1M06pyKi4tV8lV+lnu/ykWeyuW/tqLtqZGXwSw7z9lVk1t51X8U3Kq4eAr5Vjr2OmLyNqDPr1uT8qkk1dh65klDXHDVu3U0gkVdhhPAjOLfqb8odRSwQfDqabJxh8HMCWRtbsBIumY0cwFu0XoEhThaoYnBcCKkaILhfLXKcmp3tFedOHTJJm6+LChsHgQGLhO+qdYo</vt:lpwstr>
  </property>
  <property fmtid="{D5CDD505-2E9C-101B-9397-08002B2CF9AE}" pid="9" name="frecMETA1">
    <vt:lpwstr>USRWkfCRlhxTzMzEYH7bm/xfkAB6E3hFu6ileChMaAKUdpOEk+Ze0kr75hYrsof9YoEgJ+rWwqPQ+k/CWYgbr0x183Tw4LEmkk/R48fmRTqINqovkNef41I5br3WJ3Q1VZvVYhXdYZalNuk2haDhBxjW7f9+2jmKPeiGaCEiDM6fFCG8Ne+g2uQ8UKMYSb131ariaNFjDHsMoUoolR1JWlP9QLMT0vtYYGnRuLdPHSbGnmmeJnh097XEzlJe/bh</vt:lpwstr>
  </property>
  <property fmtid="{D5CDD505-2E9C-101B-9397-08002B2CF9AE}" pid="10" name="frecMETA2">
    <vt:lpwstr>zAF6hWGtKZxp5mpjZpIKY9J9GF5bCUpOu2h/GQoqUrFF82u2OiLclxBXBihJQndG74VRmi7b2lkcfH3tNao/IJWJdUT4SrvaSvPqUREQBLuGxPeR+4aoz8SX9pJjII2rJX9G0alZpCCkZOPxYaVJnsPLknmFx1gYQ6u0WSU4izuxMykqfrWiZl1Pwv2dYTLu2Rlqx2ka0tAz+T06gzVRrcnF2E0TkyTnj0wqOv9+cRD/mQYroW9vsNS0+TZsBqT</vt:lpwstr>
  </property>
  <property fmtid="{D5CDD505-2E9C-101B-9397-08002B2CF9AE}" pid="11" name="frecMETA3">
    <vt:lpwstr>NuaLqOFpKIr3S3P3Fay5ai3275y4jR2sPhj6HL43XmImi2j7hCGXpfh+jXIl4X4774CyU4CCPrqWG2Q8Qe3SS7ndgUAAA==</vt:lpwstr>
  </property>
  <property fmtid="{D5CDD505-2E9C-101B-9397-08002B2CF9AE}" pid="12" name="PeriodId">
    <vt:i4>2</vt:i4>
  </property>
  <property fmtid="{D5CDD505-2E9C-101B-9397-08002B2CF9AE}" pid="13" name="PeriodName">
    <vt:lpwstr>2014 Annual Accounts</vt:lpwstr>
  </property>
  <property fmtid="{D5CDD505-2E9C-101B-9397-08002B2CF9AE}" pid="14" name="ReportId">
    <vt:i4>18</vt:i4>
  </property>
  <property fmtid="{D5CDD505-2E9C-101B-9397-08002B2CF9AE}" pid="15" name="ReportName">
    <vt:lpwstr>EU Annual Accounts</vt:lpwstr>
  </property>
  <property fmtid="{D5CDD505-2E9C-101B-9397-08002B2CF9AE}" pid="16" name="Part">
    <vt:lpwstr>1</vt:lpwstr>
  </property>
  <property fmtid="{D5CDD505-2E9C-101B-9397-08002B2CF9AE}" pid="17" name="Total parts">
    <vt:lpwstr>1</vt:lpwstr>
  </property>
  <property fmtid="{D5CDD505-2E9C-101B-9397-08002B2CF9AE}" pid="18" name="DocStatus">
    <vt:lpwstr>Green</vt:lpwstr>
  </property>
  <property fmtid="{D5CDD505-2E9C-101B-9397-08002B2CF9AE}" pid="19" name="Classification">
    <vt:lpwstr> </vt:lpwstr>
  </property>
</Properties>
</file>