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AC892C8E2114871A3428CC0B8CCF8C7" style="width:450.8pt;height:365.6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ОБЯСНИТЕЛЕН МЕМОРАНДУМ</w:t>
      </w:r>
    </w:p>
    <w:p>
      <w:pPr>
        <w:rPr>
          <w:noProof/>
        </w:rPr>
      </w:pPr>
      <w:r>
        <w:rPr>
          <w:noProof/>
        </w:rPr>
        <w:t>Макар че 11-ият Европейски фонд за развитие</w:t>
      </w:r>
      <w:r>
        <w:rPr>
          <w:rStyle w:val="FootnoteReference"/>
          <w:noProof/>
        </w:rPr>
        <w:footnoteReference w:id="1"/>
      </w:r>
      <w:r>
        <w:rPr>
          <w:noProof/>
        </w:rPr>
        <w:t xml:space="preserve"> (EФР) е влязъл в сила, новата процедура относно вноските на държавите членки, посочена в членове 21—24 от Регламент (ЕС) 2015/323 на Съвета относно финансовия регламент, приложим за 11-ия Европейски фонд за развитие</w:t>
      </w:r>
      <w:r>
        <w:rPr>
          <w:rStyle w:val="FootnoteReference"/>
          <w:noProof/>
        </w:rPr>
        <w:footnoteReference w:id="2"/>
      </w:r>
      <w:r>
        <w:rPr>
          <w:noProof/>
        </w:rPr>
        <w:t>, ще се прилага за първи път за първата част от вноската за 2016 г. В член 63 от Регламент (ЕС) 2015/323 на Съвета се предвижда, че установената в членове 21—24 процедура относно вноските на държавите членки се прилага за първи път към вноските за година N + 2</w:t>
      </w:r>
      <w:r>
        <w:rPr>
          <w:rStyle w:val="FootnoteReference"/>
          <w:noProof/>
        </w:rPr>
        <w:footnoteReference w:id="3"/>
      </w:r>
      <w:r>
        <w:rPr>
          <w:noProof/>
        </w:rPr>
        <w:t>, при условие че Вътрешното споразумение за 11-ия ЕФР влезе в сила след година N (1 март 2015 г. = N+1), така че тези членове ще се прилагат за N+2 (1-ва покана за вноски за 2016 г.). До тази дата Комисията все още се позовава на Финансовия регламент за 10-ия ЕФР</w:t>
      </w:r>
      <w:r>
        <w:rPr>
          <w:rStyle w:val="FootnoteReference"/>
          <w:noProof/>
        </w:rPr>
        <w:footnoteReference w:id="4"/>
      </w:r>
      <w:r>
        <w:rPr>
          <w:noProof/>
        </w:rPr>
        <w:t xml:space="preserve">, членове 57—61, по въпроси, свързани с вноските на държавите членки. </w:t>
      </w:r>
    </w:p>
    <w:p>
      <w:pPr>
        <w:rPr>
          <w:noProof/>
        </w:rPr>
      </w:pPr>
      <w:r>
        <w:rPr>
          <w:noProof/>
        </w:rPr>
        <w:t>Вследствие на това и в съответствие с член 57, параграф 5 от Финансовия регламент за 10-ия ЕФР настоящото предложение се отнася до:</w:t>
      </w:r>
    </w:p>
    <w:p>
      <w:pPr>
        <w:pStyle w:val="ListDash"/>
        <w:rPr>
          <w:noProof/>
        </w:rPr>
      </w:pPr>
      <w:r>
        <w:rPr>
          <w:noProof/>
        </w:rPr>
        <w:t>размера на третата част от вноската за 2015 г.</w:t>
      </w:r>
    </w:p>
    <w:p>
      <w:pPr>
        <w:rPr>
          <w:noProof/>
        </w:rPr>
      </w:pPr>
      <w:r>
        <w:rPr>
          <w:noProof/>
        </w:rPr>
        <w:t>В съответствие с член 57, параграф 7 от Финансовия регламент за 10-ия ЕФР сумата, управлявана от Комисията, и сумата, управлявана от Европейската инвестиционна банка (ЕИБ), се определят поотделно.</w:t>
      </w:r>
    </w:p>
    <w:p>
      <w:pPr>
        <w:rPr>
          <w:noProof/>
        </w:rPr>
      </w:pPr>
      <w:r>
        <w:rPr>
          <w:noProof/>
        </w:rPr>
        <w:t>В съответствие с член 145 от Финансовия регламент за 10-ия ЕФР ЕИБ изпрати на Комисията актуализираните си прогнози за поетите задължения и за плащанията по инструментите, които управлява.</w:t>
      </w:r>
    </w:p>
    <w:p>
      <w:pPr>
        <w:rPr>
          <w:noProof/>
        </w:rPr>
      </w:pPr>
      <w:r>
        <w:rPr>
          <w:noProof/>
        </w:rPr>
        <w:t>В съответствие с член 58, параграф 2 от Финансовия регламент поканите за вноски първо оползотворяват една след друга сумите, предвидени за предходни ЕФР. Поради това поканите за вноски в настоящото предложение се отнасят — както за ЕИБ, така и за Комисията — за суми по 10-ия ЕФР.</w:t>
      </w:r>
    </w:p>
    <w:p>
      <w:pPr>
        <w:rPr>
          <w:noProof/>
        </w:rPr>
      </w:pPr>
      <w:r>
        <w:rPr>
          <w:noProof/>
        </w:rPr>
        <w:t>В съответствие с член 57, параграф 5 от Финансовия регламент за 10-ия ЕФР Съветът трябва да вземе решение по настоящото предложение най-късно 21 календарни дни след като Комисията представи предложението си, а държавите членки трябва да платят втората част от вноската най-късно 21 календарни дни от датата, когато са получили нотификация за решението на Съвета.</w:t>
      </w:r>
    </w:p>
    <w:p>
      <w:pPr>
        <w:rPr>
          <w:noProof/>
        </w:rPr>
      </w:pPr>
      <w:r>
        <w:rPr>
          <w:noProof/>
        </w:rPr>
        <w:t>В съответствие с член 1, втора алинея от Решение 2013/759/EС на Съвета относно преходните мерки за управление на ЕФР за периода от 1 януари 2014 г. до влизането в сила на 11-ия Европейски фонд за развитие („преходен инструмент“)</w:t>
      </w:r>
      <w:r>
        <w:rPr>
          <w:rStyle w:val="FootnoteReference"/>
          <w:noProof/>
        </w:rPr>
        <w:footnoteReference w:id="5"/>
      </w:r>
      <w:r>
        <w:rPr>
          <w:noProof/>
        </w:rPr>
        <w:t xml:space="preserve"> вноските на държавите членки, посочени в член 1, параграф 2, буква а) от вътрешните споразумения за 8-ия, 9-ия и 10-ия ЕФР, съответно се намаляват след влизането в сила на Вътрешното споразумение за 11-ия ЕФР. Намалението ще има въздействие върху вноските на държавите членки за Комисията за 2015 г., 2016 г. и 2017 г. съгласно варианта за корекция, избран от всяка държава членка.</w:t>
      </w:r>
    </w:p>
    <w:p>
      <w:pPr>
        <w:rPr>
          <w:noProof/>
        </w:rPr>
      </w:pPr>
    </w:p>
    <w:p>
      <w:pPr>
        <w:rPr>
          <w:noProof/>
        </w:rPr>
      </w:pPr>
      <w:r>
        <w:rPr>
          <w:noProof/>
        </w:rPr>
        <w:t>В член 60, параграф 1 от Финансовия регламент за 10-ия ЕФР се предвижда, че когато държава членка не плати дължимата част от вноската до определения краен срок, от нея се изисква да плати лихва върху неплатената сума. Условията на плащане на лихвата са посочени в същия член.</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2015/0246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относно финансовите вноски, които трябва да бъдат платени от държавите членки за финансиране на Европейския фонд за развитие през 2015 г., включително третата част от вноската за 2015 г.</w:t>
      </w:r>
    </w:p>
    <w:p>
      <w:pPr>
        <w:pStyle w:val="Institutionquiagit"/>
        <w:rPr>
          <w:noProof/>
        </w:rPr>
      </w:pPr>
      <w:r>
        <w:rPr>
          <w:noProof/>
        </w:rPr>
        <w:t>СЪВЕТЪТ НА ЕВРОПЕЙСКИЯ СЪЮЗ,</w:t>
      </w:r>
    </w:p>
    <w:p>
      <w:pPr>
        <w:rPr>
          <w:noProof/>
        </w:rPr>
      </w:pPr>
      <w:r>
        <w:rPr>
          <w:noProof/>
        </w:rPr>
        <w:t>като взе предвид Договора за Европейския съюз и Договора за функционирането на Европейския съюз,</w:t>
      </w:r>
    </w:p>
    <w:p>
      <w:pPr>
        <w:rPr>
          <w:noProof/>
        </w:rPr>
      </w:pPr>
      <w:r>
        <w:rPr>
          <w:noProof/>
        </w:rPr>
        <w:t>като взе предвид Вътрешното споразумение между представителите на правителствата на държавите членки, заседаващи в рамките на Съвета, относно финансирането на помощта от Общността съгласно многогодишната финансова рамка за периода 2014—2020 г. в съответствие със Споразумението за партньорство АКТБ—ЕС и за разпределението на финансовата помощ за отвъдморските страни и територии, за които се прилага част четвърта от Договора за функционирането на Европейския съюз</w:t>
      </w:r>
      <w:r>
        <w:rPr>
          <w:rStyle w:val="FootnoteReference"/>
          <w:noProof/>
        </w:rPr>
        <w:footnoteReference w:id="6"/>
      </w:r>
      <w:r>
        <w:rPr>
          <w:noProof/>
        </w:rPr>
        <w:t xml:space="preserve"> („Вътрешното споразумение за 10-ия ЕФР“), и по-специално член 7 от него,</w:t>
      </w:r>
    </w:p>
    <w:p>
      <w:pPr>
        <w:rPr>
          <w:noProof/>
        </w:rPr>
      </w:pPr>
      <w:r>
        <w:rPr>
          <w:noProof/>
        </w:rPr>
        <w:t>като взе предвид Регламент (ЕО) № 215/2008 на Съвета от 18 февруари 2008 г. относно Финансовия регламент, приложим за 10-ия Европейски фонд за развитие (наричан по-долу „Финансовият регламент за 10-ия ЕФР“)</w:t>
      </w:r>
      <w:r>
        <w:rPr>
          <w:rStyle w:val="FootnoteReference"/>
          <w:noProof/>
        </w:rPr>
        <w:footnoteReference w:id="7"/>
      </w:r>
      <w:r>
        <w:rPr>
          <w:noProof/>
        </w:rPr>
        <w:t>, и по-специално член 57, параграф 5 от него,</w:t>
      </w:r>
    </w:p>
    <w:p>
      <w:pPr>
        <w:rPr>
          <w:noProof/>
        </w:rPr>
      </w:pPr>
      <w:r>
        <w:rPr>
          <w:noProof/>
        </w:rPr>
        <w:t>като взе предвид предложението на Европейската комисия,</w:t>
      </w:r>
    </w:p>
    <w:p>
      <w:pPr>
        <w:rPr>
          <w:noProof/>
        </w:rPr>
      </w:pPr>
      <w:r>
        <w:rPr>
          <w:noProof/>
        </w:rPr>
        <w:t>като има предвид, че:</w:t>
      </w:r>
    </w:p>
    <w:p>
      <w:pPr>
        <w:pStyle w:val="ManualConsidrant"/>
        <w:rPr>
          <w:noProof/>
        </w:rPr>
      </w:pPr>
      <w:r>
        <w:t>(1)</w:t>
      </w:r>
      <w:r>
        <w:tab/>
      </w:r>
      <w:r>
        <w:rPr>
          <w:noProof/>
        </w:rPr>
        <w:t>В съответствие с процедурата, установена в членове 57—61 от Финансовия регламент за 10-ия ЕФР, в срок до 10 октомври Комисията представя предложение, в което се определят: а) размерът на втората част от вноската за 2015 г.; и б) преразгледана годишна сума на вноската за 2015 г. според действителните потребности в случаите, когато съгласно член 7, параграф 3 от Вътрешното споразумение за 10-ия ЕФР годишната сума се отклонява от действителните потребности.</w:t>
      </w:r>
    </w:p>
    <w:p>
      <w:pPr>
        <w:pStyle w:val="ManualConsidrant"/>
        <w:rPr>
          <w:noProof/>
        </w:rPr>
      </w:pPr>
      <w:r>
        <w:t>(2)</w:t>
      </w:r>
      <w:r>
        <w:tab/>
      </w:r>
      <w:r>
        <w:rPr>
          <w:noProof/>
        </w:rPr>
        <w:t>В съответствие с член 145, първа алинея от Финансовия регламент за 10-ия ЕФР Европейската инвестиционна банка изпрати на Комисията актуализираните си прогнози за поетите задължения и за плащанията по инструментите, които управлява.</w:t>
      </w:r>
    </w:p>
    <w:p>
      <w:pPr>
        <w:pStyle w:val="ManualConsidrant"/>
        <w:rPr>
          <w:noProof/>
        </w:rPr>
      </w:pPr>
      <w:r>
        <w:t>(3)</w:t>
      </w:r>
      <w:r>
        <w:tab/>
      </w:r>
      <w:r>
        <w:rPr>
          <w:noProof/>
        </w:rPr>
        <w:t>В член 58, параграф 2 от Финансовия регламент за 10-ия ЕФР се предвижда, че поканите за вноски първо оползотворяват сумите, предвидени за предходни ЕФР. Затова следва да се отправи покана за вноски за 10-ия ЕФР.</w:t>
      </w:r>
    </w:p>
    <w:p>
      <w:pPr>
        <w:pStyle w:val="ManualConsidrant"/>
        <w:rPr>
          <w:noProof/>
          <w:szCs w:val="24"/>
        </w:rPr>
      </w:pPr>
      <w:r>
        <w:t>(4)</w:t>
      </w:r>
      <w:r>
        <w:tab/>
      </w:r>
      <w:r>
        <w:rPr>
          <w:noProof/>
        </w:rPr>
        <w:t>В съответствие с член 1, втора алинея от Решение 2013/759/EС на Съвета относно преходните мерки за управление на ЕФР за периода от 1 януари 2014 г. до влизането в сила на 11-ия Европейски фонд за развитие („преходен инструмент“)</w:t>
      </w:r>
      <w:r>
        <w:rPr>
          <w:rStyle w:val="FootnoteReference"/>
          <w:noProof/>
        </w:rPr>
        <w:footnoteReference w:id="8"/>
      </w:r>
      <w:r>
        <w:rPr>
          <w:noProof/>
        </w:rPr>
        <w:t xml:space="preserve"> вноските на държавите членки, посочени в член 1, параграф 2, буква а) от вътрешните споразумения за 8-ия, 9-ия и 10-ия ЕФР, съответно се намаляват след влизането в сила на Вътрешното споразумение за 11-ия ЕФР. Намалението ще има въздействие върху вноските на държавите членки за Комисията за 2015 г., 2016 г. и 2017 г. съгласно варианта за корекция, избран от всяка държава членка. </w:t>
      </w:r>
    </w:p>
    <w:p>
      <w:pPr>
        <w:pStyle w:val="ManualConsidrant"/>
        <w:rPr>
          <w:noProof/>
        </w:rPr>
      </w:pPr>
      <w:r>
        <w:t>(5)</w:t>
      </w:r>
      <w:r>
        <w:tab/>
      </w:r>
      <w:r>
        <w:rPr>
          <w:noProof/>
        </w:rPr>
        <w:t>По предложение на Комисията Съветът прие на 10 ноември 2014 г.</w:t>
      </w:r>
      <w:r>
        <w:rPr>
          <w:rStyle w:val="FootnoteReference"/>
          <w:noProof/>
        </w:rPr>
        <w:footnoteReference w:id="9"/>
      </w:r>
      <w:r>
        <w:rPr>
          <w:noProof/>
        </w:rPr>
        <w:t xml:space="preserve"> решение, с което делът на Комисията от вноските на държавите членки за ЕФР за 2015 г. е определен на 3 400 000 000 EUR, а делът на ЕИБ — на 200 000 000 EUR.</w:t>
      </w:r>
    </w:p>
    <w:p>
      <w:pPr>
        <w:pStyle w:val="ManualConsidrant"/>
        <w:rPr>
          <w:noProof/>
        </w:rPr>
      </w:pPr>
      <w:r>
        <w:t>(6)</w:t>
      </w:r>
      <w:r>
        <w:tab/>
      </w:r>
      <w:r>
        <w:rPr>
          <w:noProof/>
        </w:rPr>
        <w:t>След искането на Комисията и ЕИБ общата сума за 2015 г. съблюдава горната граница, изменена от Съвета на 6 юни 2015 г.</w:t>
      </w:r>
      <w:r>
        <w:rPr>
          <w:rStyle w:val="FootnoteReference"/>
          <w:noProof/>
        </w:rPr>
        <w:footnoteReference w:id="10"/>
      </w:r>
      <w:r>
        <w:rPr>
          <w:noProof/>
        </w:rPr>
        <w:t>, от общо 3 400 000 000 EUR, като делът за Комисията възлиза на 3 200 000 000 EUR, а делът на ЕИБ — на 200 000 000 EUR,</w:t>
      </w:r>
    </w:p>
    <w:p>
      <w:pPr>
        <w:pStyle w:val="Formuledadoption"/>
        <w:rPr>
          <w:noProof/>
        </w:rPr>
      </w:pPr>
      <w:r>
        <w:rPr>
          <w:noProof/>
        </w:rPr>
        <w:t xml:space="preserve">ПРИЕ НАСТОЯЩОТО РЕШЕНИЕ: </w:t>
      </w:r>
    </w:p>
    <w:p>
      <w:pPr>
        <w:pStyle w:val="Titrearticle"/>
        <w:rPr>
          <w:noProof/>
        </w:rPr>
      </w:pPr>
      <w:r>
        <w:rPr>
          <w:noProof/>
        </w:rPr>
        <w:t>Член 1</w:t>
      </w:r>
    </w:p>
    <w:p>
      <w:pPr>
        <w:keepLines/>
        <w:rPr>
          <w:noProof/>
        </w:rPr>
      </w:pPr>
      <w:r>
        <w:rPr>
          <w:noProof/>
        </w:rPr>
        <w:t>Отделните вноски за ЕФР, които държавите членки трябва да платят на Комисията като трета част от вноската за 2015 г., са посочени в таблицата в приложение 1а.</w:t>
      </w:r>
    </w:p>
    <w:p>
      <w:pPr>
        <w:rPr>
          <w:noProof/>
        </w:rPr>
      </w:pPr>
      <w:r>
        <w:rPr>
          <w:noProof/>
        </w:rPr>
        <w:t>Плащанията на посочените вноски могат да бъдат комбинирани с корекции, свързани с прилагането на приспадането на средствата, за които са поети задължения съгласно Решение 2013/759/ЕС на Съвета относно преходните мерки за управление на ЕФР за периода от 1 януари 2014 г. до влизането в сила на 11-ия Европейски фонд за развитие, както е посочено в приложение 2в, в съответствие с план за корекции, съобщен на Комисията от всяка държава членка.</w:t>
      </w:r>
    </w:p>
    <w:p>
      <w:pPr>
        <w:pStyle w:val="Titrearticle"/>
        <w:keepNext w:val="0"/>
        <w:rPr>
          <w:noProof/>
        </w:rPr>
      </w:pPr>
      <w:r>
        <w:rPr>
          <w:noProof/>
        </w:rPr>
        <w:t>Член 2</w:t>
      </w:r>
    </w:p>
    <w:p>
      <w:pPr>
        <w:rPr>
          <w:noProof/>
        </w:rPr>
      </w:pPr>
      <w:r>
        <w:rPr>
          <w:noProof/>
        </w:rPr>
        <w:t>Настоящото решение се прилага от датата на приемането му.</w:t>
      </w:r>
    </w:p>
    <w:p>
      <w:pPr>
        <w:pStyle w:val="Titrearticle"/>
        <w:rPr>
          <w:noProof/>
        </w:rPr>
      </w:pPr>
      <w:r>
        <w:rPr>
          <w:noProof/>
        </w:rPr>
        <w:t>Член 3</w:t>
      </w:r>
    </w:p>
    <w:p>
      <w:pPr>
        <w:rPr>
          <w:noProof/>
        </w:rPr>
      </w:pPr>
      <w:r>
        <w:rPr>
          <w:noProof/>
        </w:rPr>
        <w:t>Адресати на настоящото решение са държавите членки.</w:t>
      </w:r>
    </w:p>
    <w:p>
      <w:pPr>
        <w:pStyle w:val="Fait"/>
        <w:rPr>
          <w:noProof/>
        </w:rPr>
      </w:pPr>
      <w:r>
        <w:rPr>
          <w:noProof/>
        </w:rPr>
        <w:t>Съставено в Брюксел на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Вътрешно споразумение между представителите на правителствата на държавите членки, заседаващи в рамките на Съвета, относно финансирането на помощта от Европейския съюз съгласно многогодишната финансова рамка за периода 2014—2020 г. в съответствие със Споразумението за партньорство АКТБ—ЕС и за разпределението на финансовата помощ за отвъдморските страни и територии, за които се прилага част четвърта от Договора за функционирането на Европейския съюз, OВ L 210, 6.8.2013 г. </w:t>
      </w:r>
    </w:p>
  </w:footnote>
  <w:footnote w:id="2">
    <w:p>
      <w:pPr>
        <w:pStyle w:val="FootnoteText"/>
      </w:pPr>
      <w:r>
        <w:rPr>
          <w:rStyle w:val="FootnoteReference"/>
        </w:rPr>
        <w:footnoteRef/>
      </w:r>
      <w:r>
        <w:tab/>
        <w:t>ОВ L 58, 3.3.2015 г., стр. 17.</w:t>
      </w:r>
    </w:p>
  </w:footnote>
  <w:footnote w:id="3">
    <w:p>
      <w:pPr>
        <w:pStyle w:val="FootnoteText"/>
      </w:pPr>
      <w:r>
        <w:rPr>
          <w:rStyle w:val="FootnoteReference"/>
        </w:rPr>
        <w:footnoteRef/>
      </w:r>
      <w:r>
        <w:tab/>
        <w:t xml:space="preserve">Член 63 от Регламент (EС) 2015/323 на Съвета гласи: </w:t>
      </w:r>
      <w:r>
        <w:rPr>
          <w:i/>
        </w:rPr>
        <w:t>„Предвидените в членове 21—24 от настоящия регламент процедури относно вноските на държавите членки се прилагат за първи път към вноските за година N + 2, при условие че Вътрешното споразумение влезе в сила между 1 октомври на година N и 30 септември на година N + 1“.</w:t>
      </w:r>
    </w:p>
  </w:footnote>
  <w:footnote w:id="4">
    <w:p>
      <w:pPr>
        <w:pStyle w:val="FootnoteText"/>
      </w:pPr>
      <w:r>
        <w:rPr>
          <w:rStyle w:val="FootnoteReference"/>
        </w:rPr>
        <w:footnoteRef/>
      </w:r>
      <w:r>
        <w:tab/>
        <w:t>Регламент (ЕО) № 215/2008 на Съвета от 18 февруари 2008 г. относно Финансовия регламент, приложим за 10-ия Европейски фонд за развитие, OВ L 78, 19.3.2008 г., стр. 1.</w:t>
      </w:r>
    </w:p>
  </w:footnote>
  <w:footnote w:id="5">
    <w:p>
      <w:pPr>
        <w:pStyle w:val="FootnoteText"/>
      </w:pPr>
      <w:r>
        <w:rPr>
          <w:rStyle w:val="FootnoteReference"/>
        </w:rPr>
        <w:footnoteRef/>
      </w:r>
      <w:r>
        <w:tab/>
        <w:t>ОВ L 335, 14.12.2013 г., стр. 48.</w:t>
      </w:r>
    </w:p>
  </w:footnote>
  <w:footnote w:id="6">
    <w:p>
      <w:pPr>
        <w:pStyle w:val="FootnoteText"/>
      </w:pPr>
      <w:r>
        <w:rPr>
          <w:rStyle w:val="FootnoteReference"/>
        </w:rPr>
        <w:footnoteRef/>
      </w:r>
      <w:r>
        <w:tab/>
        <w:t>ОВ L 210, 6.8.2013 г., стр. 1.</w:t>
      </w:r>
    </w:p>
  </w:footnote>
  <w:footnote w:id="7">
    <w:p>
      <w:pPr>
        <w:pStyle w:val="FootnoteText"/>
        <w:rPr>
          <w:szCs w:val="24"/>
        </w:rPr>
      </w:pPr>
      <w:r>
        <w:rPr>
          <w:rStyle w:val="FootnoteReference"/>
        </w:rPr>
        <w:footnoteRef/>
      </w:r>
      <w:r>
        <w:tab/>
        <w:t>ОВ L 78, 19.3.2008 г., стр. 1, последно изменен на 11 април 2011 г., ОВ L 102, 16.4.2011 г., стр. 1.</w:t>
      </w:r>
    </w:p>
  </w:footnote>
  <w:footnote w:id="8">
    <w:p>
      <w:pPr>
        <w:pStyle w:val="FootnoteText"/>
      </w:pPr>
      <w:r>
        <w:rPr>
          <w:rStyle w:val="FootnoteReference"/>
        </w:rPr>
        <w:footnoteRef/>
      </w:r>
      <w:r>
        <w:tab/>
        <w:t>ОВ L 335, 14.12.2013 г., стр. 48.</w:t>
      </w:r>
    </w:p>
  </w:footnote>
  <w:footnote w:id="9">
    <w:p>
      <w:pPr>
        <w:pStyle w:val="FootnoteText"/>
      </w:pPr>
      <w:r>
        <w:rPr>
          <w:rStyle w:val="FootnoteReference"/>
        </w:rPr>
        <w:footnoteRef/>
      </w:r>
      <w:r>
        <w:tab/>
        <w:t>Междуинституционално досие 2014/0298 (NLE), документ 14565/14.</w:t>
      </w:r>
    </w:p>
  </w:footnote>
  <w:footnote w:id="10">
    <w:p>
      <w:pPr>
        <w:pStyle w:val="FootnoteText"/>
        <w:rPr>
          <w:lang w:val="fr-BE"/>
        </w:rPr>
      </w:pPr>
      <w:r>
        <w:rPr>
          <w:rStyle w:val="FootnoteReference"/>
        </w:rPr>
        <w:footnoteRef/>
      </w:r>
      <w:r>
        <w:tab/>
        <w:t>Междуинституционално досие 2015/0132 (NLE), документ 10257/15.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CC6047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76EA490"/>
    <w:lvl w:ilvl="0">
      <w:start w:val="1"/>
      <w:numFmt w:val="decimal"/>
      <w:pStyle w:val="ListNumber3"/>
      <w:lvlText w:val="%1."/>
      <w:lvlJc w:val="left"/>
      <w:pPr>
        <w:tabs>
          <w:tab w:val="num" w:pos="926"/>
        </w:tabs>
        <w:ind w:left="926" w:hanging="360"/>
      </w:pPr>
    </w:lvl>
  </w:abstractNum>
  <w:abstractNum w:abstractNumId="2">
    <w:nsid w:val="FFFFFF7F"/>
    <w:multiLevelType w:val="singleLevel"/>
    <w:tmpl w:val="2D94EC7C"/>
    <w:lvl w:ilvl="0">
      <w:start w:val="1"/>
      <w:numFmt w:val="decimal"/>
      <w:pStyle w:val="ListNumber2"/>
      <w:lvlText w:val="%1."/>
      <w:lvlJc w:val="left"/>
      <w:pPr>
        <w:tabs>
          <w:tab w:val="num" w:pos="643"/>
        </w:tabs>
        <w:ind w:left="643" w:hanging="360"/>
      </w:pPr>
    </w:lvl>
  </w:abstractNum>
  <w:abstractNum w:abstractNumId="3">
    <w:nsid w:val="FFFFFF81"/>
    <w:multiLevelType w:val="singleLevel"/>
    <w:tmpl w:val="265C210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B0AC7F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118023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3C6D89A"/>
    <w:lvl w:ilvl="0">
      <w:start w:val="1"/>
      <w:numFmt w:val="decimal"/>
      <w:pStyle w:val="ListNumber"/>
      <w:lvlText w:val="%1."/>
      <w:lvlJc w:val="left"/>
      <w:pPr>
        <w:tabs>
          <w:tab w:val="num" w:pos="360"/>
        </w:tabs>
        <w:ind w:left="360" w:hanging="360"/>
      </w:pPr>
    </w:lvl>
  </w:abstractNum>
  <w:abstractNum w:abstractNumId="7">
    <w:nsid w:val="FFFFFF89"/>
    <w:multiLevelType w:val="singleLevel"/>
    <w:tmpl w:val="52F03D9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2"/>
  </w:num>
  <w:num w:numId="6">
    <w:abstractNumId w:val="22"/>
    <w:lvlOverride w:ilvl="0">
      <w:startOverride w:val="1"/>
    </w:lvlOverride>
  </w:num>
  <w:num w:numId="7">
    <w:abstractNumId w:val="6"/>
  </w:num>
  <w:num w:numId="8">
    <w:abstractNumId w:val="2"/>
  </w:num>
  <w:num w:numId="9">
    <w:abstractNumId w:val="1"/>
  </w:num>
  <w:num w:numId="10">
    <w:abstractNumId w:val="0"/>
  </w:num>
  <w:num w:numId="11">
    <w:abstractNumId w:val="19"/>
  </w:num>
  <w:num w:numId="12">
    <w:abstractNumId w:val="13"/>
  </w:num>
  <w:num w:numId="13">
    <w:abstractNumId w:val="21"/>
  </w:num>
  <w:num w:numId="14">
    <w:abstractNumId w:val="11"/>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oNotTrackMoves/>
  <w:defaultTabStop w:val="720"/>
  <w:characterSpacingControl w:val="doNotCompress"/>
  <w:hdrShapeDefaults>
    <o:shapedefaults v:ext="edit" spidmax="153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5-10-15 11:36:0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3AC892C8E2114871A3428CC0B8CCF8C7"/>
    <w:docVar w:name="LW_CROSSREFERENCE" w:val="&lt;UNUSED&gt;"/>
    <w:docVar w:name="LW_DocType" w:val="COM"/>
    <w:docVar w:name="LW_EMISSION" w:val="23.10.2015"/>
    <w:docVar w:name="LW_EMISSION_ISODATE" w:val="2015-10-23"/>
    <w:docVar w:name="LW_EMISSION_LOCATION" w:val="BRX"/>
    <w:docVar w:name="LW_EMISSION_PREFIX" w:val="Брюксел, "/>
    <w:docVar w:name="LW_EMISSION_SUFFIX" w:val=" \u1075?."/>
    <w:docVar w:name="LW_ID_DOCMODEL" w:val="SJ-019"/>
    <w:docVar w:name="LW_ID_DOCSIGNATURE" w:val="SJ-019"/>
    <w:docVar w:name="LW_ID_DOCSTRUCTURE" w:val="COM/PL/ORG"/>
    <w:docVar w:name="LW_ID_DOCTYPE" w:val="SJ-019"/>
    <w:docVar w:name="LW_ID_STATUT" w:val="SJ-019"/>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246"/>
    <w:docVar w:name="LW_REF.II.NEW.CP_YEAR" w:val="2015"/>
    <w:docVar w:name="LW_REF.INST.NEW" w:val="COM"/>
    <w:docVar w:name="LW_REF.INST.NEW_ADOPTED" w:val="final"/>
    <w:docVar w:name="LW_REF.INST.NEW_TEXT" w:val="(2015) 522"/>
    <w:docVar w:name="LW_REF.INTERNE" w:val="&lt;UNUSED&gt;"/>
    <w:docVar w:name="LW_SOUS.TITRE.OBJ.CP" w:val="&lt;UNUSED&gt;"/>
    <w:docVar w:name="LW_STATUT.CP" w:val="\u1055?\u1088?\u1077?\u1076?\u1083?\u1086?\u1078?\u1077?\u1085?\u1080?\u1077? \u1079?\u1072?"/>
    <w:docVar w:name="LW_SUPERTITRE" w:val="&lt;UNUSED&gt;"/>
    <w:docVar w:name="LW_TITRE.OBJ.CP" w:val="\u1086?\u1090?\u1085?\u1086?\u1089?\u1085?\u1086? \u1092?\u1080?\u1085?\u1072?\u1085?\u1089?\u1086?\u1074?\u1080?\u1090?\u1077? \u1074?\u1085?\u1086?\u1089?\u1082?\u1080?, \u1082?\u1086?\u1080?\u1090?\u1086? \u1090?\u1088?\u1103?\u1073?\u1074?\u1072? \u1076?\u1072? \u1073?\u1098?\u1076?\u1072?\u1090? \u1087?\u1083?\u1072?\u1090?\u1077?\u1085?\u1080? \u1086?\u1090? \u1076?\u1098?\u1088?\u1078?\u1072?\u1074?\u1080?\u1090?\u1077? \u1095?\u1083?\u1077?\u1085?\u1082?\u1080? \u1079?\u1072? \u1092?\u1080?\u1085?\u1072?\u1085?\u1089?\u1080?\u1088?\u1072?\u1085?\u1077? \u1085?\u1072? \u1045?\u1074?\u1088?\u1086?\u1087?\u1077?\u1081?\u1089?\u1082?\u1080?\u1103? \u1092?\u1086?\u1085?\u1076? \u1079?\u1072? \u1088?\u1072?\u1079?\u1074?\u1080?\u1090?\u1080?\u1077? \u1087?\u1088?\u1077?\u1079? 2015 \u1075?., \u1074?\u1082?\u1083?\u1102?\u1095?\u1080?\u1090?\u1077?\u1083?\u1085?\u1086? \u1090?\u1088?\u1077?\u1090?\u1072?\u1090?\u1072? \u1095?\u1072?\u1089?\u1090? \u1086?\u1090? \u1074?\u1085?\u1086?\u1089?\u1082?\u1072?\u1090?\u1072? \u1079?\u1072? 2015 \u1075?."/>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paragraph" w:customStyle="1" w:styleId="ListDash">
    <w:name w:val="List Dash"/>
    <w:basedOn w:val="Normal"/>
    <w:pPr>
      <w:numPr>
        <w:numId w:val="5"/>
      </w:numPr>
    </w:pPr>
    <w:rPr>
      <w:rFonts w:eastAsia="Times New Roman"/>
    </w:rPr>
  </w:style>
  <w:style w:type="paragraph" w:styleId="Caption">
    <w:name w:val="caption"/>
    <w:basedOn w:val="Normal"/>
    <w:next w:val="Normal"/>
    <w:uiPriority w:val="35"/>
    <w:semiHidden/>
    <w:unhideWhenUsed/>
    <w:qFormat/>
    <w:rPr>
      <w:b/>
      <w:bCs/>
      <w:sz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0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C467E-3B09-4207-98D7-E14D7D977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5</Pages>
  <Words>1137</Words>
  <Characters>5893</Characters>
  <Application>Microsoft Office Word</Application>
  <DocSecurity>0</DocSecurity>
  <Lines>115</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DIGIT/A3</cp:lastModifiedBy>
  <cp:revision>18</cp:revision>
  <cp:lastPrinted>2015-07-09T11:09:00Z</cp:lastPrinted>
  <dcterms:created xsi:type="dcterms:W3CDTF">2015-10-14T12:52:00Z</dcterms:created>
  <dcterms:modified xsi:type="dcterms:W3CDTF">2015-10-15T09:36:00Z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5.8.3, Build 20130911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03)</vt:lpwstr>
  </property>
</Properties>
</file>