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13" w:rsidRDefault="00F358D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5DB66FEED9433593359924FBB8F0C6" style="width:450pt;height:334.5pt">
            <v:imagedata r:id="rId9" o:title=""/>
          </v:shape>
        </w:pict>
      </w:r>
    </w:p>
    <w:bookmarkEnd w:id="0"/>
    <w:p w:rsidR="00911B13" w:rsidRDefault="00911B13">
      <w:pPr>
        <w:rPr>
          <w:noProof/>
        </w:rPr>
        <w:sectPr w:rsidR="00911B1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11B13" w:rsidRDefault="00F358D7">
      <w:pPr>
        <w:pStyle w:val="ManualNumPar1"/>
        <w:rPr>
          <w:noProof/>
        </w:rPr>
      </w:pPr>
      <w:r>
        <w:lastRenderedPageBreak/>
        <w:t>1.</w:t>
      </w:r>
      <w:r>
        <w:tab/>
      </w:r>
      <w:r>
        <w:rPr>
          <w:noProof/>
        </w:rPr>
        <w:t>Въведение</w:t>
      </w:r>
    </w:p>
    <w:p w:rsidR="00911B13" w:rsidRDefault="00911B13">
      <w:pPr>
        <w:rPr>
          <w:noProof/>
        </w:rPr>
      </w:pPr>
    </w:p>
    <w:p w:rsidR="00911B13" w:rsidRDefault="00F358D7">
      <w:pPr>
        <w:pStyle w:val="ManualNumPar2"/>
        <w:rPr>
          <w:noProof/>
        </w:rPr>
      </w:pPr>
      <w:r>
        <w:t>1.1.</w:t>
      </w:r>
      <w:r>
        <w:tab/>
      </w:r>
      <w:r>
        <w:rPr>
          <w:noProof/>
        </w:rPr>
        <w:t xml:space="preserve">Защо е нужна проверка за пригодност на законодателството относно безопасността </w:t>
      </w:r>
      <w:r>
        <w:rPr>
          <w:noProof/>
        </w:rPr>
        <w:t>на пътническите кораби?</w:t>
      </w:r>
    </w:p>
    <w:p w:rsidR="00911B13" w:rsidRDefault="00F358D7">
      <w:pPr>
        <w:rPr>
          <w:noProof/>
        </w:rPr>
      </w:pPr>
      <w:r>
        <w:rPr>
          <w:noProof/>
        </w:rPr>
        <w:t xml:space="preserve">С оглед на факта, че 23 от 28-те държави членки са крайбрежни държави, а четири са островни държави, пътническите кораби изпълняват важна роля за мобилността на гражданите на ЕС. Изчислено е, че всяка година през пристанищата на ЕС </w:t>
      </w:r>
      <w:r>
        <w:rPr>
          <w:noProof/>
        </w:rPr>
        <w:t xml:space="preserve">преминават средно над 400 млн. души. 120 млн. пътници се превозват от извършващи вътрешни пътувания пътнически кораби, т.е. кораби, които плават между пристанища в рамките на една държава членка. </w:t>
      </w:r>
    </w:p>
    <w:p w:rsidR="00911B13" w:rsidRDefault="00F358D7">
      <w:pPr>
        <w:rPr>
          <w:noProof/>
        </w:rPr>
      </w:pPr>
      <w:r>
        <w:rPr>
          <w:noProof/>
        </w:rPr>
        <w:t>Законодателството на ЕС относно безопасността на пътнически</w:t>
      </w:r>
      <w:r>
        <w:rPr>
          <w:noProof/>
        </w:rPr>
        <w:t>те кораби бе въвеждано в продължение на 15 години, най-вече в отговор на злополуки. Това доведе до поредица от директиви, които бяха обусловени и повлияни от обстоятелствата, в рамките на които бяха изготвени. Макар че те служат на една обща цел, т.е. гара</w:t>
      </w:r>
      <w:r>
        <w:rPr>
          <w:noProof/>
        </w:rPr>
        <w:t>нтиране на общо и високо ниво на безопасност на пътническите кораби, те не създават една напълно съгласувана рамка. Всяка директива има различен обхват и се прилага към различни видове кораби и пътувания. Освен това през последното десетилетия беше постигн</w:t>
      </w:r>
      <w:r>
        <w:rPr>
          <w:noProof/>
        </w:rPr>
        <w:t xml:space="preserve">ато технологично развитие, в резултат на което някои от съществуващите разпоредби вече са остарели и ненужно утежняващи. </w:t>
      </w:r>
    </w:p>
    <w:p w:rsidR="00911B13" w:rsidRDefault="00F358D7">
      <w:pPr>
        <w:rPr>
          <w:noProof/>
        </w:rPr>
      </w:pPr>
      <w:r>
        <w:rPr>
          <w:noProof/>
        </w:rPr>
        <w:t xml:space="preserve">В рамките на предишните оценки и консултации не бяха събрани достатъчно доказателства, за да се създаде ясна представа за прилагането </w:t>
      </w:r>
      <w:r>
        <w:rPr>
          <w:noProof/>
        </w:rPr>
        <w:t>на законодателството, и бе установена оскъдна наличност на данни, особено по отношение на националния флот от пътнически кораби и данните за безопасността. Поради това Комисията заедно с Европейската агенция по морска безопасност (ЕАМБ), националните админ</w:t>
      </w:r>
      <w:r>
        <w:rPr>
          <w:noProof/>
        </w:rPr>
        <w:t>истрации и външен изпълнител предприеха по-систематична и цялостна проверка за пригодност на настоящата законодателна рамка. Макар че с течение на времето стават достъпни повече данни, настоящата проверка за пригодност също позволи събирането на допълнител</w:t>
      </w:r>
      <w:r>
        <w:rPr>
          <w:noProof/>
        </w:rPr>
        <w:t xml:space="preserve">ни данни и извършването на допълнителни консултации, документален анализ и проучване на отделни случаи. </w:t>
      </w:r>
    </w:p>
    <w:p w:rsidR="00911B13" w:rsidRDefault="00F358D7">
      <w:pPr>
        <w:rPr>
          <w:noProof/>
        </w:rPr>
      </w:pPr>
      <w:r>
        <w:rPr>
          <w:noProof/>
        </w:rPr>
        <w:t>За първи път бяха събрани широкообхватни количествени данни по надежден и пропорционален начин. Счита се, че макар наличните данни да не позволяват изв</w:t>
      </w:r>
      <w:r>
        <w:rPr>
          <w:noProof/>
        </w:rPr>
        <w:t>ършването на цялостен анализ на разходите и ползите на всяко отделно регулаторно изискване, те осигуряват информация, която да бъде включена в анализа от проверката за пригодност; и достатъчна основа за последващите преглед и мониторинг, които Комисията въ</w:t>
      </w:r>
      <w:r>
        <w:rPr>
          <w:noProof/>
        </w:rPr>
        <w:t>знамерява да предприеме.</w:t>
      </w:r>
    </w:p>
    <w:p w:rsidR="00911B13" w:rsidRDefault="00911B13">
      <w:pPr>
        <w:rPr>
          <w:b/>
          <w:noProof/>
        </w:rPr>
      </w:pPr>
    </w:p>
    <w:p w:rsidR="00911B13" w:rsidRDefault="00F358D7">
      <w:pPr>
        <w:pStyle w:val="ManualNumPar2"/>
        <w:rPr>
          <w:noProof/>
        </w:rPr>
      </w:pPr>
      <w:r>
        <w:t>1.2.</w:t>
      </w:r>
      <w:r>
        <w:tab/>
      </w:r>
      <w:r>
        <w:rPr>
          <w:noProof/>
        </w:rPr>
        <w:t>Обхват на проверката за пригодност</w:t>
      </w:r>
    </w:p>
    <w:p w:rsidR="00911B13" w:rsidRDefault="00F358D7">
      <w:pPr>
        <w:rPr>
          <w:noProof/>
        </w:rPr>
      </w:pPr>
      <w:r>
        <w:rPr>
          <w:noProof/>
        </w:rPr>
        <w:t>Безопасността на пътническите кораби в ЕС се регулира на три нива: международно, европейско и национално. Законодателството на ЕС относно безопасността на пътническите кораби бе въведено с ц</w:t>
      </w:r>
      <w:r>
        <w:rPr>
          <w:noProof/>
        </w:rPr>
        <w:t>ел да се преодолеят потенциалните рискове за безопасността, свързани с факта, че международните стандарти не се прилагат към вътрешните пътувания, или с факта, че те са недостатъчни. Законодателството е насочено към трудностите при издирване и спасяване на</w:t>
      </w:r>
      <w:r>
        <w:rPr>
          <w:noProof/>
        </w:rPr>
        <w:t xml:space="preserve"> пътници от бедстващи кораби, </w:t>
      </w:r>
      <w:r>
        <w:rPr>
          <w:noProof/>
        </w:rPr>
        <w:lastRenderedPageBreak/>
        <w:t>цели постигането на общо ниво на безопасност и гарантира, че стандартите за безопасност се прилагат правилно.</w:t>
      </w:r>
    </w:p>
    <w:p w:rsidR="00911B13" w:rsidRDefault="00F358D7">
      <w:pPr>
        <w:rPr>
          <w:noProof/>
        </w:rPr>
      </w:pPr>
      <w:r>
        <w:rPr>
          <w:noProof/>
        </w:rPr>
        <w:t>По отношение на кораби, които осъществяват международни пътувания (т.е. включително между две държави — членки на ЕС</w:t>
      </w:r>
      <w:r>
        <w:rPr>
          <w:noProof/>
        </w:rPr>
        <w:t>, и поради това подлежащи на държавен пристанищен контрол</w:t>
      </w:r>
      <w:r>
        <w:rPr>
          <w:rStyle w:val="FootnoteReference"/>
          <w:noProof/>
        </w:rPr>
        <w:footnoteReference w:id="2"/>
      </w:r>
      <w:r>
        <w:rPr>
          <w:noProof/>
        </w:rPr>
        <w:t>), се прилагат международните конвенции и някои правила на ЕС. По отношение на кораби, които осъществяват вътрешни пътувания (т.е. между пристанища в рамките на една държава членка), се прилагат пра</w:t>
      </w:r>
      <w:r>
        <w:rPr>
          <w:noProof/>
        </w:rPr>
        <w:t xml:space="preserve">вилата на ЕС и националните правила. </w:t>
      </w:r>
    </w:p>
    <w:p w:rsidR="00911B13" w:rsidRDefault="00F358D7">
      <w:pPr>
        <w:rPr>
          <w:noProof/>
        </w:rPr>
      </w:pPr>
      <w:r>
        <w:rPr>
          <w:noProof/>
        </w:rPr>
        <w:t>Най-всеобхватният законодателен инструмент на ЕС в тази област е Директива 2009/45/ЕО</w:t>
      </w:r>
      <w:r>
        <w:rPr>
          <w:rStyle w:val="FootnoteReference"/>
          <w:noProof/>
        </w:rPr>
        <w:footnoteReference w:id="3"/>
      </w:r>
      <w:r>
        <w:rPr>
          <w:noProof/>
        </w:rPr>
        <w:t xml:space="preserve">, която обхваща пътнически кораби, изградени от стомана или друг еквивалентен материал, и високоскоростни плавателни съдове. Когато </w:t>
      </w:r>
      <w:r>
        <w:rPr>
          <w:noProof/>
        </w:rPr>
        <w:t>е приложимо и възможно, законодателният инструмент се основава на международно договорени стандарти, а именно Международната конвенция за безопасност на човешкия живот на море (SOLAS)</w:t>
      </w:r>
      <w:r>
        <w:rPr>
          <w:rStyle w:val="FootnoteReference"/>
          <w:noProof/>
        </w:rPr>
        <w:footnoteReference w:id="4"/>
      </w:r>
      <w:r>
        <w:rPr>
          <w:noProof/>
        </w:rPr>
        <w:t>. В допълнение към това в директиви 2003/25/ЕО, 1999/35/ЕО и 98/41/ЕО се</w:t>
      </w:r>
      <w:r>
        <w:rPr>
          <w:noProof/>
        </w:rPr>
        <w:t xml:space="preserve"> предвиждат специфични правила на ЕС, които се прилагат към ро-ро пътнически кораби (известни като ро-пакс кораби)</w:t>
      </w:r>
      <w:r>
        <w:rPr>
          <w:rStyle w:val="FootnoteReference"/>
          <w:noProof/>
        </w:rPr>
        <w:footnoteReference w:id="5"/>
      </w:r>
      <w:r>
        <w:rPr>
          <w:noProof/>
        </w:rPr>
        <w:t>, високоскоростни плавателни съдове (ВПС)</w:t>
      </w:r>
      <w:r>
        <w:rPr>
          <w:rStyle w:val="FootnoteReference"/>
          <w:noProof/>
        </w:rPr>
        <w:footnoteReference w:id="6"/>
      </w:r>
      <w:r>
        <w:rPr>
          <w:noProof/>
        </w:rPr>
        <w:t xml:space="preserve"> и регистрация на лица на борда.</w:t>
      </w:r>
    </w:p>
    <w:p w:rsidR="00911B13" w:rsidRDefault="00F358D7">
      <w:pPr>
        <w:rPr>
          <w:noProof/>
        </w:rPr>
      </w:pPr>
      <w:r>
        <w:rPr>
          <w:noProof/>
        </w:rPr>
        <w:t>Това е сложна структура, която налага използването на съвременни и</w:t>
      </w:r>
      <w:r>
        <w:rPr>
          <w:noProof/>
        </w:rPr>
        <w:t xml:space="preserve"> всеобхватни инструменти за по-добро регулиране, като например проверки за пригодност. В таблицата по-долу се представя преглед на всички четири директиви на ЕС, които бяха подбрани за настоящата проверка за пригодност и които представляват набор от ключов</w:t>
      </w:r>
      <w:r>
        <w:rPr>
          <w:noProof/>
        </w:rPr>
        <w:t xml:space="preserve">и стандарти и изисквания за сигурността на пътническите кораби, плаващи във водите на ЕС: </w:t>
      </w:r>
    </w:p>
    <w:p w:rsidR="00911B13" w:rsidRDefault="00911B13">
      <w:pPr>
        <w:rPr>
          <w:noProof/>
        </w:rPr>
      </w:pPr>
    </w:p>
    <w:p w:rsidR="00911B13" w:rsidRDefault="00F358D7">
      <w:pPr>
        <w:pStyle w:val="ManualNumPar1"/>
        <w:rPr>
          <w:noProof/>
        </w:rPr>
      </w:pPr>
      <w:r>
        <w:tab/>
      </w:r>
      <w:r>
        <w:rPr>
          <w:noProof/>
        </w:rPr>
        <w:t xml:space="preserve">Таблица 1: Правна рамка на ЕС относно безопасността на пътническите кораби: директиви в обхвата на проверката за пригодност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418"/>
        <w:gridCol w:w="1984"/>
        <w:gridCol w:w="2268"/>
      </w:tblGrid>
      <w:tr w:rsidR="00911B13">
        <w:tc>
          <w:tcPr>
            <w:tcW w:w="1418" w:type="dxa"/>
            <w:vMerge w:val="restart"/>
          </w:tcPr>
          <w:p w:rsidR="00911B13" w:rsidRDefault="00911B13">
            <w:pPr>
              <w:pStyle w:val="Text1"/>
              <w:spacing w:line="270" w:lineRule="atLeast"/>
              <w:ind w:left="0"/>
              <w:rPr>
                <w:rFonts w:eastAsia="Times New Roman"/>
                <w:noProof/>
                <w:sz w:val="22"/>
              </w:rPr>
            </w:pPr>
          </w:p>
        </w:tc>
        <w:tc>
          <w:tcPr>
            <w:tcW w:w="1984" w:type="dxa"/>
            <w:vMerge w:val="restart"/>
          </w:tcPr>
          <w:p w:rsidR="00911B13" w:rsidRDefault="00911B13">
            <w:pPr>
              <w:pStyle w:val="Text1"/>
              <w:spacing w:line="270" w:lineRule="atLeast"/>
              <w:ind w:left="0"/>
              <w:jc w:val="center"/>
              <w:rPr>
                <w:rFonts w:eastAsia="Times New Roman"/>
                <w:b/>
                <w:noProof/>
                <w:sz w:val="22"/>
              </w:rPr>
            </w:pPr>
          </w:p>
          <w:p w:rsidR="00911B13" w:rsidRDefault="00F358D7">
            <w:pPr>
              <w:pStyle w:val="Text1"/>
              <w:spacing w:line="270" w:lineRule="atLeast"/>
              <w:ind w:left="0"/>
              <w:jc w:val="center"/>
              <w:rPr>
                <w:rFonts w:eastAsia="Times New Roman"/>
                <w:b/>
                <w:noProof/>
                <w:sz w:val="22"/>
              </w:rPr>
            </w:pPr>
            <w:r>
              <w:rPr>
                <w:rFonts w:eastAsia="Times New Roman"/>
                <w:b/>
                <w:noProof/>
                <w:sz w:val="22"/>
                <w:szCs w:val="20"/>
              </w:rPr>
              <w:t>Съдържание</w:t>
            </w:r>
          </w:p>
        </w:tc>
        <w:tc>
          <w:tcPr>
            <w:tcW w:w="5670" w:type="dxa"/>
            <w:gridSpan w:val="3"/>
          </w:tcPr>
          <w:p w:rsidR="00911B13" w:rsidRDefault="00F358D7">
            <w:pPr>
              <w:pStyle w:val="Text1"/>
              <w:spacing w:line="270" w:lineRule="atLeast"/>
              <w:ind w:left="0"/>
              <w:jc w:val="center"/>
              <w:rPr>
                <w:rFonts w:eastAsia="Times New Roman"/>
                <w:b/>
                <w:noProof/>
                <w:sz w:val="22"/>
              </w:rPr>
            </w:pPr>
            <w:r>
              <w:rPr>
                <w:rFonts w:eastAsia="Times New Roman"/>
                <w:b/>
                <w:noProof/>
                <w:sz w:val="22"/>
                <w:szCs w:val="20"/>
              </w:rPr>
              <w:t>Обхват</w:t>
            </w:r>
          </w:p>
        </w:tc>
      </w:tr>
      <w:tr w:rsidR="00911B13">
        <w:tc>
          <w:tcPr>
            <w:tcW w:w="1418" w:type="dxa"/>
            <w:vMerge/>
          </w:tcPr>
          <w:p w:rsidR="00911B13" w:rsidRDefault="00911B13">
            <w:pPr>
              <w:pStyle w:val="Text1"/>
              <w:spacing w:line="270" w:lineRule="atLeast"/>
              <w:ind w:left="0"/>
              <w:rPr>
                <w:rFonts w:eastAsia="Times New Roman"/>
                <w:noProof/>
                <w:sz w:val="22"/>
              </w:rPr>
            </w:pPr>
          </w:p>
        </w:tc>
        <w:tc>
          <w:tcPr>
            <w:tcW w:w="1984" w:type="dxa"/>
            <w:vMerge/>
          </w:tcPr>
          <w:p w:rsidR="00911B13" w:rsidRDefault="00911B13">
            <w:pPr>
              <w:pStyle w:val="Text1"/>
              <w:spacing w:line="270" w:lineRule="atLeast"/>
              <w:ind w:left="0"/>
              <w:jc w:val="center"/>
              <w:rPr>
                <w:rFonts w:eastAsia="Times New Roman"/>
                <w:b/>
                <w:noProof/>
                <w:sz w:val="22"/>
              </w:rPr>
            </w:pPr>
          </w:p>
        </w:tc>
        <w:tc>
          <w:tcPr>
            <w:tcW w:w="1418" w:type="dxa"/>
          </w:tcPr>
          <w:p w:rsidR="00911B13" w:rsidRDefault="00F358D7">
            <w:pPr>
              <w:pStyle w:val="Text1"/>
              <w:spacing w:line="270" w:lineRule="atLeast"/>
              <w:ind w:left="0"/>
              <w:jc w:val="center"/>
              <w:rPr>
                <w:rFonts w:eastAsia="Times New Roman"/>
                <w:b/>
                <w:noProof/>
                <w:sz w:val="22"/>
              </w:rPr>
            </w:pPr>
            <w:r>
              <w:rPr>
                <w:rFonts w:eastAsia="Times New Roman"/>
                <w:b/>
                <w:noProof/>
                <w:sz w:val="22"/>
                <w:szCs w:val="20"/>
              </w:rPr>
              <w:t>Пътувания</w:t>
            </w:r>
          </w:p>
        </w:tc>
        <w:tc>
          <w:tcPr>
            <w:tcW w:w="1984" w:type="dxa"/>
          </w:tcPr>
          <w:p w:rsidR="00911B13" w:rsidRDefault="00F358D7">
            <w:pPr>
              <w:pStyle w:val="Text1"/>
              <w:spacing w:line="270" w:lineRule="atLeast"/>
              <w:ind w:left="0"/>
              <w:jc w:val="center"/>
              <w:rPr>
                <w:rFonts w:eastAsia="Times New Roman"/>
                <w:b/>
                <w:noProof/>
                <w:sz w:val="22"/>
              </w:rPr>
            </w:pPr>
            <w:r>
              <w:rPr>
                <w:rFonts w:eastAsia="Times New Roman"/>
                <w:b/>
                <w:noProof/>
                <w:sz w:val="22"/>
                <w:szCs w:val="20"/>
              </w:rPr>
              <w:t>Кораби</w:t>
            </w:r>
          </w:p>
        </w:tc>
        <w:tc>
          <w:tcPr>
            <w:tcW w:w="2268" w:type="dxa"/>
          </w:tcPr>
          <w:p w:rsidR="00911B13" w:rsidRDefault="00F358D7">
            <w:pPr>
              <w:pStyle w:val="Text1"/>
              <w:spacing w:line="270" w:lineRule="atLeast"/>
              <w:ind w:left="0"/>
              <w:jc w:val="center"/>
              <w:rPr>
                <w:rFonts w:eastAsia="Times New Roman"/>
                <w:b/>
                <w:noProof/>
                <w:sz w:val="22"/>
              </w:rPr>
            </w:pPr>
            <w:r>
              <w:rPr>
                <w:rFonts w:eastAsia="Times New Roman"/>
                <w:b/>
                <w:noProof/>
                <w:sz w:val="22"/>
                <w:szCs w:val="20"/>
              </w:rPr>
              <w:t>Прилага се към</w:t>
            </w:r>
          </w:p>
        </w:tc>
      </w:tr>
      <w:tr w:rsidR="00911B13">
        <w:tc>
          <w:tcPr>
            <w:tcW w:w="1418" w:type="dxa"/>
          </w:tcPr>
          <w:p w:rsidR="00911B13" w:rsidRDefault="00F358D7">
            <w:pPr>
              <w:pStyle w:val="Text1"/>
              <w:spacing w:line="270" w:lineRule="atLeast"/>
              <w:ind w:left="0"/>
              <w:jc w:val="left"/>
              <w:rPr>
                <w:rFonts w:eastAsia="Times New Roman"/>
                <w:b/>
                <w:noProof/>
                <w:sz w:val="22"/>
              </w:rPr>
            </w:pPr>
            <w:r>
              <w:rPr>
                <w:rFonts w:eastAsia="Times New Roman"/>
                <w:b/>
                <w:noProof/>
                <w:sz w:val="22"/>
                <w:szCs w:val="20"/>
              </w:rPr>
              <w:t>Директива</w:t>
            </w:r>
          </w:p>
          <w:p w:rsidR="00911B13" w:rsidRDefault="00F358D7">
            <w:pPr>
              <w:pStyle w:val="Text1"/>
              <w:spacing w:line="270" w:lineRule="atLeast"/>
              <w:ind w:left="0"/>
              <w:jc w:val="left"/>
              <w:rPr>
                <w:rFonts w:eastAsia="Times New Roman"/>
                <w:b/>
                <w:noProof/>
                <w:sz w:val="22"/>
              </w:rPr>
            </w:pPr>
            <w:r>
              <w:rPr>
                <w:rFonts w:eastAsia="Times New Roman"/>
                <w:b/>
                <w:noProof/>
                <w:sz w:val="22"/>
                <w:szCs w:val="20"/>
              </w:rPr>
              <w:t>2009/45/ЕО</w:t>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Стандарти за безопасност </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Прегледи</w:t>
            </w:r>
          </w:p>
          <w:p w:rsidR="00911B13" w:rsidRDefault="00F358D7">
            <w:pPr>
              <w:pStyle w:val="Text1"/>
              <w:spacing w:line="270" w:lineRule="atLeast"/>
              <w:ind w:left="0"/>
              <w:jc w:val="left"/>
              <w:rPr>
                <w:rFonts w:eastAsia="Times New Roman"/>
                <w:i/>
                <w:noProof/>
                <w:sz w:val="22"/>
              </w:rPr>
            </w:pPr>
            <w:r>
              <w:rPr>
                <w:rFonts w:eastAsia="Times New Roman"/>
                <w:i/>
                <w:noProof/>
                <w:sz w:val="22"/>
                <w:szCs w:val="20"/>
              </w:rPr>
              <w:lastRenderedPageBreak/>
              <w:t>(общо)</w:t>
            </w:r>
          </w:p>
        </w:tc>
        <w:tc>
          <w:tcPr>
            <w:tcW w:w="141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lastRenderedPageBreak/>
              <w:t xml:space="preserve">Вътрешни </w:t>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а) Пътнически кораби, изградени от стомана или </w:t>
            </w:r>
            <w:r>
              <w:rPr>
                <w:rFonts w:eastAsia="Times New Roman"/>
                <w:noProof/>
                <w:sz w:val="22"/>
                <w:szCs w:val="20"/>
              </w:rPr>
              <w:lastRenderedPageBreak/>
              <w:t>друг еквивалентен материал</w:t>
            </w:r>
            <w:r>
              <w:rPr>
                <w:rStyle w:val="FootnoteReference"/>
                <w:rFonts w:eastAsia="Times New Roman"/>
                <w:noProof/>
                <w:sz w:val="22"/>
                <w:szCs w:val="20"/>
              </w:rPr>
              <w:footnoteReference w:id="7"/>
            </w:r>
            <w:r>
              <w:rPr>
                <w:rFonts w:eastAsia="Times New Roman"/>
                <w:noProof/>
                <w:sz w:val="22"/>
                <w:szCs w:val="20"/>
              </w:rPr>
              <w:t xml:space="preserve">; </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б) ВПС</w:t>
            </w:r>
          </w:p>
        </w:tc>
        <w:tc>
          <w:tcPr>
            <w:tcW w:w="226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lastRenderedPageBreak/>
              <w:t xml:space="preserve">Всички кораби, независимо от размера (гъвкавост </w:t>
            </w:r>
            <w:r>
              <w:rPr>
                <w:rFonts w:eastAsia="Times New Roman"/>
                <w:noProof/>
                <w:sz w:val="22"/>
                <w:szCs w:val="20"/>
              </w:rPr>
              <w:lastRenderedPageBreak/>
              <w:t xml:space="preserve">по отношение на кораби с </w:t>
            </w:r>
            <w:r>
              <w:rPr>
                <w:rFonts w:eastAsia="Times New Roman"/>
                <w:noProof/>
                <w:sz w:val="22"/>
                <w:szCs w:val="20"/>
              </w:rPr>
              <w:t>дължина под 24</w:t>
            </w:r>
            <w:r>
              <w:rPr>
                <w:rFonts w:eastAsia="Times New Roman"/>
                <w:noProof/>
                <w:sz w:val="22"/>
                <w:szCs w:val="20"/>
                <w:lang w:val="en-US"/>
              </w:rPr>
              <w:t> </w:t>
            </w:r>
            <w:r>
              <w:rPr>
                <w:rFonts w:eastAsia="Times New Roman"/>
                <w:noProof/>
                <w:sz w:val="22"/>
                <w:szCs w:val="20"/>
              </w:rPr>
              <w:t>m)</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Класове (A, B, C, D)</w:t>
            </w:r>
            <w:r>
              <w:rPr>
                <w:rStyle w:val="FootnoteReference"/>
                <w:rFonts w:eastAsia="Times New Roman"/>
                <w:noProof/>
                <w:sz w:val="22"/>
                <w:szCs w:val="20"/>
              </w:rPr>
              <w:footnoteReference w:id="8"/>
            </w:r>
          </w:p>
        </w:tc>
      </w:tr>
      <w:tr w:rsidR="00911B13">
        <w:trPr>
          <w:trHeight w:val="1148"/>
        </w:trPr>
        <w:tc>
          <w:tcPr>
            <w:tcW w:w="1418" w:type="dxa"/>
          </w:tcPr>
          <w:p w:rsidR="00911B13" w:rsidRDefault="00F358D7">
            <w:pPr>
              <w:pStyle w:val="Text1"/>
              <w:spacing w:line="270" w:lineRule="atLeast"/>
              <w:ind w:left="0"/>
              <w:jc w:val="left"/>
              <w:rPr>
                <w:rFonts w:eastAsia="Times New Roman"/>
                <w:b/>
                <w:noProof/>
                <w:sz w:val="22"/>
              </w:rPr>
            </w:pPr>
            <w:r>
              <w:rPr>
                <w:rFonts w:eastAsia="Times New Roman"/>
                <w:b/>
                <w:noProof/>
                <w:sz w:val="22"/>
                <w:szCs w:val="20"/>
              </w:rPr>
              <w:lastRenderedPageBreak/>
              <w:t>Директива</w:t>
            </w:r>
          </w:p>
          <w:p w:rsidR="00911B13" w:rsidRDefault="00F358D7">
            <w:pPr>
              <w:pStyle w:val="Text1"/>
              <w:spacing w:line="270" w:lineRule="atLeast"/>
              <w:ind w:left="0"/>
              <w:jc w:val="left"/>
              <w:rPr>
                <w:rFonts w:eastAsia="Times New Roman"/>
                <w:b/>
                <w:noProof/>
                <w:sz w:val="22"/>
              </w:rPr>
            </w:pPr>
            <w:r>
              <w:rPr>
                <w:rFonts w:eastAsia="Times New Roman"/>
                <w:b/>
                <w:noProof/>
                <w:sz w:val="22"/>
                <w:szCs w:val="20"/>
              </w:rPr>
              <w:t>2003/25/ЕО</w:t>
            </w:r>
            <w:r>
              <w:rPr>
                <w:rStyle w:val="FootnoteReference"/>
                <w:rFonts w:eastAsia="Times New Roman"/>
                <w:b/>
                <w:noProof/>
                <w:sz w:val="22"/>
                <w:szCs w:val="20"/>
              </w:rPr>
              <w:footnoteReference w:id="9"/>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Стандарти за безопасност </w:t>
            </w:r>
          </w:p>
          <w:p w:rsidR="00911B13" w:rsidRDefault="00F358D7">
            <w:pPr>
              <w:pStyle w:val="Text1"/>
              <w:spacing w:line="270" w:lineRule="atLeast"/>
              <w:ind w:left="0"/>
              <w:jc w:val="left"/>
              <w:rPr>
                <w:rFonts w:eastAsia="Times New Roman"/>
                <w:i/>
                <w:noProof/>
                <w:sz w:val="22"/>
                <w:szCs w:val="20"/>
              </w:rPr>
            </w:pPr>
            <w:r>
              <w:rPr>
                <w:rFonts w:eastAsia="Times New Roman"/>
                <w:i/>
                <w:noProof/>
                <w:sz w:val="22"/>
                <w:szCs w:val="20"/>
              </w:rPr>
              <w:t xml:space="preserve">(по-специално: изисквания за стабилност на </w:t>
            </w:r>
          </w:p>
          <w:p w:rsidR="00911B13" w:rsidRDefault="00F358D7">
            <w:pPr>
              <w:pStyle w:val="Text1"/>
              <w:spacing w:line="270" w:lineRule="atLeast"/>
              <w:ind w:left="0"/>
              <w:jc w:val="left"/>
              <w:rPr>
                <w:rFonts w:eastAsia="Times New Roman"/>
                <w:noProof/>
                <w:sz w:val="22"/>
              </w:rPr>
            </w:pPr>
            <w:r>
              <w:rPr>
                <w:rFonts w:eastAsia="Times New Roman"/>
                <w:i/>
                <w:noProof/>
                <w:sz w:val="22"/>
                <w:szCs w:val="20"/>
              </w:rPr>
              <w:t>ро-пакс кораби)</w:t>
            </w:r>
          </w:p>
        </w:tc>
        <w:tc>
          <w:tcPr>
            <w:tcW w:w="141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Вътрешни и международни</w:t>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Ро-ро пътнически кораби</w:t>
            </w:r>
          </w:p>
        </w:tc>
        <w:tc>
          <w:tcPr>
            <w:tcW w:w="226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Международни: редовно обслужване</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Вътрешни: клас A, B и C </w:t>
            </w:r>
          </w:p>
        </w:tc>
      </w:tr>
      <w:tr w:rsidR="00911B13">
        <w:trPr>
          <w:trHeight w:val="1004"/>
        </w:trPr>
        <w:tc>
          <w:tcPr>
            <w:tcW w:w="1418" w:type="dxa"/>
          </w:tcPr>
          <w:p w:rsidR="00911B13" w:rsidRDefault="00F358D7">
            <w:pPr>
              <w:pStyle w:val="Text1"/>
              <w:spacing w:line="270" w:lineRule="atLeast"/>
              <w:ind w:left="0"/>
              <w:jc w:val="left"/>
              <w:rPr>
                <w:rFonts w:eastAsia="Times New Roman"/>
                <w:b/>
                <w:noProof/>
                <w:sz w:val="22"/>
              </w:rPr>
            </w:pPr>
            <w:r>
              <w:rPr>
                <w:rFonts w:eastAsia="Times New Roman"/>
                <w:b/>
                <w:noProof/>
                <w:sz w:val="22"/>
                <w:szCs w:val="20"/>
              </w:rPr>
              <w:t>Директива</w:t>
            </w:r>
          </w:p>
          <w:p w:rsidR="00911B13" w:rsidRDefault="00F358D7">
            <w:pPr>
              <w:pStyle w:val="Text1"/>
              <w:spacing w:line="270" w:lineRule="atLeast"/>
              <w:ind w:left="0"/>
              <w:jc w:val="left"/>
              <w:rPr>
                <w:rFonts w:eastAsia="Times New Roman"/>
                <w:b/>
                <w:noProof/>
                <w:sz w:val="22"/>
              </w:rPr>
            </w:pPr>
            <w:r>
              <w:rPr>
                <w:rFonts w:eastAsia="Times New Roman"/>
                <w:b/>
                <w:noProof/>
                <w:sz w:val="22"/>
                <w:szCs w:val="20"/>
              </w:rPr>
              <w:t>1999/35/ЕО</w:t>
            </w:r>
            <w:r>
              <w:rPr>
                <w:rStyle w:val="FootnoteReference"/>
                <w:rFonts w:eastAsia="Times New Roman"/>
                <w:b/>
                <w:noProof/>
                <w:sz w:val="22"/>
                <w:szCs w:val="20"/>
              </w:rPr>
              <w:footnoteReference w:id="10"/>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Прегледи </w:t>
            </w:r>
          </w:p>
          <w:p w:rsidR="00911B13" w:rsidRDefault="00F358D7">
            <w:pPr>
              <w:pStyle w:val="Text1"/>
              <w:spacing w:line="270" w:lineRule="atLeast"/>
              <w:ind w:left="0"/>
              <w:jc w:val="left"/>
              <w:rPr>
                <w:rFonts w:eastAsia="Times New Roman"/>
                <w:noProof/>
                <w:sz w:val="22"/>
              </w:rPr>
            </w:pPr>
            <w:r>
              <w:rPr>
                <w:rFonts w:eastAsia="Times New Roman"/>
                <w:i/>
                <w:noProof/>
                <w:sz w:val="22"/>
                <w:szCs w:val="20"/>
              </w:rPr>
              <w:t>(по-специално: ро-пакс кораби и ВПС, извършващи редовни услуги)</w:t>
            </w:r>
          </w:p>
        </w:tc>
        <w:tc>
          <w:tcPr>
            <w:tcW w:w="141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Вътрешни и международни </w:t>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а) Ро-ро пътнически кораби; </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б) ВПС</w:t>
            </w:r>
          </w:p>
        </w:tc>
        <w:tc>
          <w:tcPr>
            <w:tcW w:w="226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Само редовно обслужване</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Вътрешни: клас А </w:t>
            </w:r>
          </w:p>
        </w:tc>
      </w:tr>
      <w:tr w:rsidR="00911B13">
        <w:trPr>
          <w:trHeight w:val="908"/>
        </w:trPr>
        <w:tc>
          <w:tcPr>
            <w:tcW w:w="1418" w:type="dxa"/>
          </w:tcPr>
          <w:p w:rsidR="00911B13" w:rsidRDefault="00F358D7">
            <w:pPr>
              <w:pStyle w:val="Text1"/>
              <w:spacing w:line="270" w:lineRule="atLeast"/>
              <w:ind w:left="0"/>
              <w:jc w:val="left"/>
              <w:rPr>
                <w:rFonts w:eastAsia="Times New Roman"/>
                <w:b/>
                <w:noProof/>
                <w:sz w:val="22"/>
              </w:rPr>
            </w:pPr>
            <w:r>
              <w:rPr>
                <w:rFonts w:eastAsia="Times New Roman"/>
                <w:b/>
                <w:noProof/>
                <w:sz w:val="22"/>
                <w:szCs w:val="20"/>
              </w:rPr>
              <w:t>Директива</w:t>
            </w:r>
          </w:p>
          <w:p w:rsidR="00911B13" w:rsidRDefault="00F358D7">
            <w:pPr>
              <w:pStyle w:val="Text1"/>
              <w:spacing w:line="270" w:lineRule="atLeast"/>
              <w:ind w:left="0"/>
              <w:jc w:val="left"/>
              <w:rPr>
                <w:rFonts w:eastAsia="Times New Roman"/>
                <w:b/>
                <w:noProof/>
                <w:sz w:val="22"/>
              </w:rPr>
            </w:pPr>
            <w:r>
              <w:rPr>
                <w:rFonts w:eastAsia="Times New Roman"/>
                <w:b/>
                <w:noProof/>
                <w:sz w:val="22"/>
                <w:szCs w:val="20"/>
              </w:rPr>
              <w:t>98/41/ЕО</w:t>
            </w:r>
            <w:r>
              <w:rPr>
                <w:rStyle w:val="FootnoteReference"/>
                <w:rFonts w:eastAsia="Times New Roman"/>
                <w:b/>
                <w:noProof/>
                <w:sz w:val="22"/>
                <w:szCs w:val="20"/>
              </w:rPr>
              <w:footnoteReference w:id="11"/>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Стандарти за безопасност</w:t>
            </w:r>
          </w:p>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Прегледи </w:t>
            </w:r>
          </w:p>
          <w:p w:rsidR="00911B13" w:rsidRDefault="00F358D7">
            <w:pPr>
              <w:pStyle w:val="Text1"/>
              <w:spacing w:line="270" w:lineRule="atLeast"/>
              <w:ind w:left="0"/>
              <w:jc w:val="left"/>
              <w:rPr>
                <w:rFonts w:eastAsia="Times New Roman"/>
                <w:noProof/>
                <w:sz w:val="22"/>
              </w:rPr>
            </w:pPr>
            <w:r>
              <w:rPr>
                <w:rFonts w:eastAsia="Times New Roman"/>
                <w:i/>
                <w:noProof/>
                <w:sz w:val="22"/>
                <w:szCs w:val="20"/>
              </w:rPr>
              <w:t>(по-специално: регистрация на лица на борда)</w:t>
            </w:r>
          </w:p>
        </w:tc>
        <w:tc>
          <w:tcPr>
            <w:tcW w:w="141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Вътрешни и международни</w:t>
            </w:r>
          </w:p>
        </w:tc>
        <w:tc>
          <w:tcPr>
            <w:tcW w:w="1984"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Всички пътнически кораби</w:t>
            </w:r>
          </w:p>
        </w:tc>
        <w:tc>
          <w:tcPr>
            <w:tcW w:w="2268" w:type="dxa"/>
          </w:tcPr>
          <w:p w:rsidR="00911B13" w:rsidRDefault="00F358D7">
            <w:pPr>
              <w:pStyle w:val="Text1"/>
              <w:spacing w:line="270" w:lineRule="atLeast"/>
              <w:ind w:left="0"/>
              <w:jc w:val="left"/>
              <w:rPr>
                <w:rFonts w:eastAsia="Times New Roman"/>
                <w:noProof/>
                <w:sz w:val="22"/>
              </w:rPr>
            </w:pPr>
            <w:r>
              <w:rPr>
                <w:rFonts w:eastAsia="Times New Roman"/>
                <w:noProof/>
                <w:sz w:val="22"/>
                <w:szCs w:val="20"/>
              </w:rPr>
              <w:t xml:space="preserve">Продължителност на пътуването </w:t>
            </w:r>
            <w:r>
              <w:rPr>
                <w:rFonts w:eastAsia="Times New Roman"/>
                <w:i/>
                <w:noProof/>
                <w:sz w:val="22"/>
                <w:szCs w:val="20"/>
              </w:rPr>
              <w:t>(под 20 морски мили — само преброяване на лицата на борда)</w:t>
            </w:r>
          </w:p>
          <w:p w:rsidR="00911B13" w:rsidRDefault="00911B13">
            <w:pPr>
              <w:pStyle w:val="Text1"/>
              <w:spacing w:line="270" w:lineRule="atLeast"/>
              <w:ind w:left="0"/>
              <w:jc w:val="left"/>
              <w:rPr>
                <w:rFonts w:eastAsia="Times New Roman"/>
                <w:noProof/>
                <w:sz w:val="22"/>
              </w:rPr>
            </w:pPr>
          </w:p>
        </w:tc>
      </w:tr>
    </w:tbl>
    <w:p w:rsidR="00911B13" w:rsidRDefault="00F358D7">
      <w:pPr>
        <w:pStyle w:val="Text1"/>
        <w:rPr>
          <w:i/>
          <w:noProof/>
          <w:sz w:val="22"/>
        </w:rPr>
      </w:pPr>
      <w:r>
        <w:rPr>
          <w:i/>
          <w:noProof/>
          <w:sz w:val="22"/>
        </w:rPr>
        <w:t>Източник: Комисия, 2015 г.</w:t>
      </w:r>
    </w:p>
    <w:p w:rsidR="00911B13" w:rsidRDefault="00911B13">
      <w:pPr>
        <w:pStyle w:val="Text1"/>
        <w:rPr>
          <w:i/>
          <w:noProof/>
          <w:sz w:val="22"/>
        </w:rPr>
      </w:pPr>
    </w:p>
    <w:p w:rsidR="00911B13" w:rsidRDefault="00F358D7">
      <w:pPr>
        <w:pStyle w:val="ManualNumPar2"/>
        <w:rPr>
          <w:noProof/>
        </w:rPr>
      </w:pPr>
      <w:r>
        <w:t>1.3.</w:t>
      </w:r>
      <w:r>
        <w:tab/>
      </w:r>
      <w:r>
        <w:rPr>
          <w:noProof/>
        </w:rPr>
        <w:t xml:space="preserve">Какво е мнението на заинтересованите </w:t>
      </w:r>
      <w:r>
        <w:rPr>
          <w:noProof/>
        </w:rPr>
        <w:t>страни?</w:t>
      </w:r>
    </w:p>
    <w:p w:rsidR="00911B13" w:rsidRDefault="00F358D7">
      <w:pPr>
        <w:rPr>
          <w:noProof/>
        </w:rPr>
      </w:pPr>
      <w:r>
        <w:rPr>
          <w:noProof/>
        </w:rPr>
        <w:t>Заинтересованите страни са съгласни, че законодателната рамка относно безопасността на пътническите кораби е важна за подобряване на безопасността, като същевременно улеснява равнопоставените условия на конкуренция. При последната обществена консул</w:t>
      </w:r>
      <w:r>
        <w:rPr>
          <w:noProof/>
        </w:rPr>
        <w:t xml:space="preserve">тация относно морската стратегия 59 % от заинтересованите страни изразиха съгласие, че настоящата международна и европейска законодателна рамка относно безопасността на корабите е адекватна (а 26 % не изразиха мнение по въпроса). </w:t>
      </w:r>
    </w:p>
    <w:p w:rsidR="00911B13" w:rsidRDefault="00F358D7">
      <w:pPr>
        <w:rPr>
          <w:noProof/>
        </w:rPr>
      </w:pPr>
      <w:r>
        <w:rPr>
          <w:noProof/>
        </w:rPr>
        <w:t>Независимо от това заинте</w:t>
      </w:r>
      <w:r>
        <w:rPr>
          <w:noProof/>
        </w:rPr>
        <w:t>ресованите страни подчертаха редица проблеми, свързани с разлики в прилагането на правната рамка относно безопасността на пътническите кораби, като изтъкнаха сложността и липсата на яснота в множество определения и изисквания, случаи на припокриване и оста</w:t>
      </w:r>
      <w:r>
        <w:rPr>
          <w:noProof/>
        </w:rPr>
        <w:t xml:space="preserve">рели изисквания за докладване. </w:t>
      </w:r>
    </w:p>
    <w:p w:rsidR="00911B13" w:rsidRDefault="00F358D7">
      <w:pPr>
        <w:rPr>
          <w:noProof/>
        </w:rPr>
      </w:pPr>
      <w:r>
        <w:rPr>
          <w:noProof/>
        </w:rPr>
        <w:t>Заинтересованите страни също така поставиха въпроса за пропорционалността и адекватността на изискванията за безопасност на малки кораби от стомана и непредвидените последствия за кораби, попадащи извън обхвата на настоящата</w:t>
      </w:r>
      <w:r>
        <w:rPr>
          <w:noProof/>
        </w:rPr>
        <w:t xml:space="preserve"> правна рамка. В резултат на това бе отправен призив за подобряване на настоящата регулаторна рамка чрез опростяване на правилата с цел да се улесни нейното управление и прилагане, както и да се премахнат ненужните разходи.</w:t>
      </w:r>
    </w:p>
    <w:p w:rsidR="00911B13" w:rsidRDefault="00911B13">
      <w:pPr>
        <w:rPr>
          <w:noProof/>
        </w:rPr>
      </w:pPr>
    </w:p>
    <w:p w:rsidR="00911B13" w:rsidRDefault="00F358D7">
      <w:pPr>
        <w:pStyle w:val="ManualNumPar1"/>
        <w:rPr>
          <w:noProof/>
        </w:rPr>
      </w:pPr>
      <w:r>
        <w:t>2.</w:t>
      </w:r>
      <w:r>
        <w:tab/>
      </w:r>
      <w:r>
        <w:rPr>
          <w:noProof/>
        </w:rPr>
        <w:t>Ключови въпроси за оценка</w:t>
      </w:r>
    </w:p>
    <w:p w:rsidR="00911B13" w:rsidRDefault="00911B13">
      <w:pPr>
        <w:rPr>
          <w:noProof/>
        </w:rPr>
      </w:pPr>
    </w:p>
    <w:p w:rsidR="00911B13" w:rsidRDefault="00F358D7">
      <w:pPr>
        <w:pStyle w:val="ManualNumPar2"/>
        <w:rPr>
          <w:noProof/>
        </w:rPr>
      </w:pPr>
      <w:r>
        <w:t>2.1.</w:t>
      </w:r>
      <w:r>
        <w:tab/>
      </w:r>
      <w:r>
        <w:rPr>
          <w:noProof/>
        </w:rPr>
        <w:t>Пригодна ли е за целта правната рамка на ЕС относно безопасността на пътническите кораби?</w:t>
      </w:r>
    </w:p>
    <w:p w:rsidR="00911B13" w:rsidRDefault="00F358D7">
      <w:pPr>
        <w:rPr>
          <w:noProof/>
        </w:rPr>
      </w:pPr>
      <w:r>
        <w:rPr>
          <w:noProof/>
        </w:rPr>
        <w:t xml:space="preserve">Като цяло правната рамка на ЕС относно безопасността на пътническите кораби е пригодна за целта. В резултат на тази рамка бе постигната подобрена безопасност за </w:t>
      </w:r>
      <w:r>
        <w:rPr>
          <w:noProof/>
        </w:rPr>
        <w:t>човешкия живот на борда на пътнически кораби, плаващи във водите на ЕС, и бе осъществен принос за развитието на вътрешния пазар на морския транспорт. При все това е възможно допълнително повишаване на равнището на безопасност и също така на ефективността и</w:t>
      </w:r>
      <w:r>
        <w:rPr>
          <w:noProof/>
        </w:rPr>
        <w:t xml:space="preserve"> пропорционалността на някои от регулаторните изисквания.</w:t>
      </w:r>
    </w:p>
    <w:p w:rsidR="00911B13" w:rsidRDefault="00F358D7">
      <w:pPr>
        <w:rPr>
          <w:noProof/>
        </w:rPr>
      </w:pPr>
      <w:r>
        <w:rPr>
          <w:noProof/>
        </w:rPr>
        <w:t>Извършващите вътрешни пътувания пътнически кораби, обхванати от стандарти на ЕС за безопасност</w:t>
      </w:r>
      <w:r>
        <w:rPr>
          <w:rStyle w:val="FootnoteReference"/>
          <w:noProof/>
        </w:rPr>
        <w:footnoteReference w:id="12"/>
      </w:r>
      <w:r>
        <w:rPr>
          <w:noProof/>
        </w:rPr>
        <w:t>, представляват около 30 % от всички плавателни съдове, извършващи вътрешни пътувания във водите на ЕС,</w:t>
      </w:r>
      <w:r>
        <w:rPr>
          <w:noProof/>
        </w:rPr>
        <w:t xml:space="preserve"> но над 60 % от общия пътнически капацитет. Поради това по-голямата част от пътниците използват кораби, които отговарят на общите изисквания за безопасност, гарантиращи общо равнище на безопасност. Една трета от пътниците използват кораби, които са сертифи</w:t>
      </w:r>
      <w:r>
        <w:rPr>
          <w:noProof/>
        </w:rPr>
        <w:t xml:space="preserve">цирани съгласно националните стандарти — предимно по-малки, специално проектирани кораби, изградени от композитни материали или дървесина (съответно около 12 % и 18 %). </w:t>
      </w:r>
    </w:p>
    <w:p w:rsidR="00911B13" w:rsidRDefault="00F358D7">
      <w:pPr>
        <w:rPr>
          <w:noProof/>
        </w:rPr>
      </w:pPr>
      <w:r>
        <w:rPr>
          <w:noProof/>
        </w:rPr>
        <w:t xml:space="preserve">От 408-те регистрирани злополуки с извършващи вътрешни пътувания пътнически кораби за </w:t>
      </w:r>
      <w:r>
        <w:rPr>
          <w:noProof/>
        </w:rPr>
        <w:t>последните четири години, само при една е имало смъртен случай на пътник</w:t>
      </w:r>
      <w:r>
        <w:rPr>
          <w:noProof/>
          <w:vertAlign w:val="superscript"/>
        </w:rPr>
        <w:footnoteReference w:id="13"/>
      </w:r>
      <w:r>
        <w:rPr>
          <w:noProof/>
        </w:rPr>
        <w:t>. Съответният риск на пътникочас е по-нисък в сравнение с международните пътнически кораби. Макар че последиците от злополуки с вътрешния флот на ЕС не са толкова сериозни, колкото пр</w:t>
      </w:r>
      <w:r>
        <w:rPr>
          <w:noProof/>
        </w:rPr>
        <w:t xml:space="preserve">и международните пътнически кораби, честотата на злополуките е по-висока. Това не е изненадващо предвид факта, че трафикът в крайбрежните зони е по-натоварен и има повече плитки води, в които корабите могат да заседнат. </w:t>
      </w:r>
    </w:p>
    <w:p w:rsidR="00911B13" w:rsidRDefault="00F358D7">
      <w:pPr>
        <w:rPr>
          <w:noProof/>
        </w:rPr>
      </w:pPr>
      <w:r>
        <w:rPr>
          <w:noProof/>
        </w:rPr>
        <w:t>Законодателството на ЕС относно без</w:t>
      </w:r>
      <w:r>
        <w:rPr>
          <w:noProof/>
        </w:rPr>
        <w:t>опасността на пътническите кораби също така улесни свободното движение на кораби между държавите — членки на ЕС. Доказателствата показват, че промените на знамето са се увеличили с 400 % от 1998 г. насам</w:t>
      </w:r>
      <w:r>
        <w:rPr>
          <w:rStyle w:val="FootnoteReference"/>
          <w:noProof/>
        </w:rPr>
        <w:footnoteReference w:id="14"/>
      </w:r>
      <w:r>
        <w:rPr>
          <w:noProof/>
        </w:rPr>
        <w:t>. Макар че се отчита, че са налице и други причини з</w:t>
      </w:r>
      <w:r>
        <w:rPr>
          <w:noProof/>
        </w:rPr>
        <w:t xml:space="preserve">а това увеличение (например повишено търсене и наличност на плавателни съдове на пазара за втора употреба), законодателството на ЕС определено е допринесло за тази тенденция. </w:t>
      </w:r>
    </w:p>
    <w:p w:rsidR="00911B13" w:rsidRDefault="00F358D7">
      <w:pPr>
        <w:rPr>
          <w:noProof/>
        </w:rPr>
      </w:pPr>
      <w:r>
        <w:rPr>
          <w:noProof/>
        </w:rPr>
        <w:t>Макар че някои национални администрации изтъкнаха факта, че законодателството на</w:t>
      </w:r>
      <w:r>
        <w:rPr>
          <w:noProof/>
        </w:rPr>
        <w:t xml:space="preserve"> ЕС може да е довело до увеличение на производството на кораби не от стомана, които са обхванати от по-малко строги национални стандарти за безопасност, не бяха представени доказателства, че случаят е такъв</w:t>
      </w:r>
      <w:r>
        <w:rPr>
          <w:rStyle w:val="FootnoteReference"/>
          <w:noProof/>
        </w:rPr>
        <w:footnoteReference w:id="15"/>
      </w:r>
      <w:r>
        <w:rPr>
          <w:noProof/>
        </w:rPr>
        <w:t>. Други заинтересовани страни на свой ред заявиха</w:t>
      </w:r>
      <w:r>
        <w:rPr>
          <w:noProof/>
        </w:rPr>
        <w:t xml:space="preserve"> обратното и призоваха за разработването на хармонизирани стандарти на ЕС относно безопасността на кораби, които понастоящем не са обхванати от законодателството на ЕС (т.е. кораби, които не са изградени от стомана или друг еквивалентен материал, например </w:t>
      </w:r>
      <w:r>
        <w:rPr>
          <w:noProof/>
        </w:rPr>
        <w:t>композитни материали).</w:t>
      </w:r>
    </w:p>
    <w:p w:rsidR="00911B13" w:rsidRDefault="00911B13">
      <w:pPr>
        <w:rPr>
          <w:noProof/>
        </w:rPr>
      </w:pPr>
    </w:p>
    <w:p w:rsidR="00911B13" w:rsidRDefault="00F358D7">
      <w:pPr>
        <w:pStyle w:val="ManualNumPar2"/>
        <w:rPr>
          <w:noProof/>
        </w:rPr>
      </w:pPr>
      <w:r>
        <w:t>2.2.</w:t>
      </w:r>
      <w:r>
        <w:tab/>
      </w:r>
      <w:r>
        <w:rPr>
          <w:noProof/>
        </w:rPr>
        <w:t>Кои елементи способстват за или възпрепятстват ефективността на законодателството на ЕС относно безопасността на пътническите кораби?</w:t>
      </w:r>
    </w:p>
    <w:p w:rsidR="00911B13" w:rsidRDefault="00F358D7">
      <w:pPr>
        <w:rPr>
          <w:noProof/>
        </w:rPr>
      </w:pPr>
      <w:r>
        <w:rPr>
          <w:noProof/>
        </w:rPr>
        <w:t>Предвид факта, че стандартите за безопасност на кораби подлежат на постоянно подобряване, редовните актуализации с оглед на извлечените поуки и научния прогрес способстват за ефективността на законодателството на ЕС относно безопасността на пътническите ко</w:t>
      </w:r>
      <w:r>
        <w:rPr>
          <w:noProof/>
        </w:rPr>
        <w:t xml:space="preserve">раби. Редовният преглед също така гарантира, че стандартите за безопасност се прилагат по еднакъв начин и продължават да бъдат пропорционални на равнището на риска. </w:t>
      </w:r>
    </w:p>
    <w:p w:rsidR="00911B13" w:rsidRDefault="00F358D7">
      <w:pPr>
        <w:rPr>
          <w:noProof/>
        </w:rPr>
      </w:pPr>
      <w:r>
        <w:rPr>
          <w:noProof/>
        </w:rPr>
        <w:t>Ефективността на законодателството на ЕС относно безопасността на пътническите кораби се в</w:t>
      </w:r>
      <w:r>
        <w:rPr>
          <w:noProof/>
        </w:rPr>
        <w:t>ъзпрепятства от неговата сложност и от неясния обхват на прилагане (а именно по отношение на корабите, които попадат в обхвата му на приложение); остарели задължения за докладване (които не се възползват от съществуващите понастоящем цифрови системи за мон</w:t>
      </w:r>
      <w:r>
        <w:rPr>
          <w:noProof/>
        </w:rPr>
        <w:t>иторинг и информация); неясно представяне на стандартите за техническа безопасност; както и бавни и затруднени процедури за актуализиране и освобождаване. В резултат на тези слабости мониторингът, прилагането и принудителното изпълнение на стандартите за б</w:t>
      </w:r>
      <w:r>
        <w:rPr>
          <w:noProof/>
        </w:rPr>
        <w:t xml:space="preserve">езопасност са неоптимални и ненужно сложни. </w:t>
      </w:r>
    </w:p>
    <w:p w:rsidR="00911B13" w:rsidRDefault="00F358D7">
      <w:pPr>
        <w:rPr>
          <w:noProof/>
        </w:rPr>
      </w:pPr>
      <w:r>
        <w:rPr>
          <w:noProof/>
        </w:rPr>
        <w:t>Освен това осведомеността на пътниците за законодателството на ЕС относно безопасността на пътническите кораби и ползите от него остава по-слаба от очакваното. Това може да е свързано с относително ниската степе</w:t>
      </w:r>
      <w:r>
        <w:rPr>
          <w:noProof/>
        </w:rPr>
        <w:t xml:space="preserve">н на организация на пътниците в морския транспорт. </w:t>
      </w:r>
    </w:p>
    <w:p w:rsidR="00911B13" w:rsidRDefault="00911B13">
      <w:pPr>
        <w:rPr>
          <w:noProof/>
        </w:rPr>
      </w:pPr>
    </w:p>
    <w:p w:rsidR="00F358D7" w:rsidRDefault="00F358D7">
      <w:pPr>
        <w:pStyle w:val="ManualNumPar2"/>
        <w:rPr>
          <w:lang w:val="fr-BE"/>
        </w:rPr>
      </w:pPr>
    </w:p>
    <w:p w:rsidR="00911B13" w:rsidRDefault="00F358D7">
      <w:pPr>
        <w:pStyle w:val="ManualNumPar2"/>
        <w:rPr>
          <w:noProof/>
        </w:rPr>
      </w:pPr>
      <w:bookmarkStart w:id="1" w:name="_GoBack"/>
      <w:bookmarkEnd w:id="1"/>
      <w:r>
        <w:t>2.3.</w:t>
      </w:r>
      <w:r>
        <w:tab/>
      </w:r>
      <w:r>
        <w:rPr>
          <w:noProof/>
        </w:rPr>
        <w:t xml:space="preserve">Рисковете управляват ли се по ефективен и пропорционален начин? </w:t>
      </w:r>
    </w:p>
    <w:p w:rsidR="00911B13" w:rsidRDefault="00F358D7">
      <w:pPr>
        <w:rPr>
          <w:noProof/>
        </w:rPr>
      </w:pPr>
      <w:r>
        <w:rPr>
          <w:noProof/>
        </w:rPr>
        <w:t>Както се демонстрира от статистическите данни за злополуки, настоящото законодателство постига високо ниво на безопасност на пътницит</w:t>
      </w:r>
      <w:r>
        <w:rPr>
          <w:noProof/>
        </w:rPr>
        <w:t>е. Бе отчетено, че регулаторните разходи, свързани със стандартите на ЕС за безопасност, не са значителни в сравнение с националните стандарти, които щяха да бъдат нужни в противен случай. Изчислената разлика в регулаторните разходи представлява незначител</w:t>
      </w:r>
      <w:r>
        <w:rPr>
          <w:noProof/>
        </w:rPr>
        <w:t xml:space="preserve">на част от общите разходи за изграждане, експлоатация и поддръжка. </w:t>
      </w:r>
    </w:p>
    <w:p w:rsidR="00911B13" w:rsidRDefault="00F358D7">
      <w:pPr>
        <w:rPr>
          <w:noProof/>
        </w:rPr>
      </w:pPr>
      <w:r>
        <w:rPr>
          <w:noProof/>
        </w:rPr>
        <w:t>Например сборът от допълнителните разходи за позволяващата количествено определяне част от противопожарните мерки, спасителните средства и първоначалните прегледи е едва 100 000 EUR за по-</w:t>
      </w:r>
      <w:r>
        <w:rPr>
          <w:noProof/>
        </w:rPr>
        <w:t>голям кораб, докато разходите за изграждане се измерват в десетки или дори стотици милиони. В относително изражение същото важи и за по-малките кораби.</w:t>
      </w:r>
    </w:p>
    <w:p w:rsidR="00911B13" w:rsidRDefault="00F358D7">
      <w:pPr>
        <w:rPr>
          <w:noProof/>
        </w:rPr>
      </w:pPr>
      <w:r>
        <w:rPr>
          <w:noProof/>
        </w:rPr>
        <w:t>Разликата в разходите за актуализиране на стандартите за безопасност на национално равнище спрямо равнищ</w:t>
      </w:r>
      <w:r>
        <w:rPr>
          <w:noProof/>
        </w:rPr>
        <w:t xml:space="preserve">ето на ЕС също е значителна. Ако всяка засегната държава членка извършва индивидуална актуализация на националното законодателство, това би довело до кумулативни разходи за оценка за националните администрации в размер на 150 000—200 000 EUR. Това е около </w:t>
      </w:r>
      <w:r>
        <w:rPr>
          <w:noProof/>
        </w:rPr>
        <w:t>десет пъти повече от настоящите разходи при актуализиране на стандартите на равнище ЕС.</w:t>
      </w:r>
    </w:p>
    <w:p w:rsidR="00911B13" w:rsidRDefault="00F358D7">
      <w:pPr>
        <w:rPr>
          <w:noProof/>
        </w:rPr>
      </w:pPr>
      <w:r>
        <w:rPr>
          <w:noProof/>
        </w:rPr>
        <w:t xml:space="preserve">От друга страна случаите на припокриване и несъответствията между различните режими на инспекции, приложими към ро-ро пътнически кораби в ЕС (т.е. инспекции на ро-пакс </w:t>
      </w:r>
      <w:r>
        <w:rPr>
          <w:noProof/>
        </w:rPr>
        <w:t>кораби, прегледи на държавата на знамето и държавен пристанищен контрол) не позволяват на националните администрации да оптимизират напълно своите усилия за провеждане на инспекции. Те възпрепятстват и максималното използване на кораба за времето, през кое</w:t>
      </w:r>
      <w:r>
        <w:rPr>
          <w:noProof/>
        </w:rPr>
        <w:t>то той може се експлоатира с търговска цел. Ако различните видове инспекции се комбинират във възможно най-висока степен, за целия ЕС годишно могат да отпаднат 770 самостоятелни проверки на ро-пакс кораби (ако продължат да се експлоатират същите маршрути/к</w:t>
      </w:r>
      <w:r>
        <w:rPr>
          <w:noProof/>
        </w:rPr>
        <w:t>ораби както досега).</w:t>
      </w:r>
    </w:p>
    <w:p w:rsidR="00911B13" w:rsidRDefault="00F358D7">
      <w:pPr>
        <w:rPr>
          <w:noProof/>
        </w:rPr>
      </w:pPr>
      <w:r>
        <w:rPr>
          <w:noProof/>
        </w:rPr>
        <w:t>Одобряването на системите за регистрация на пътници, което генерира значително работно натоварване за някои национални администрации (например 4250 работни часа в Гърция в сравнение със 100 работни часа в Италия), се оказа доста обреме</w:t>
      </w:r>
      <w:r>
        <w:rPr>
          <w:noProof/>
        </w:rPr>
        <w:t>няващо. Такова работно натоварване и съответните разходи бяха оценени като прекомерни.</w:t>
      </w:r>
    </w:p>
    <w:p w:rsidR="00911B13" w:rsidRDefault="00F358D7">
      <w:pPr>
        <w:rPr>
          <w:noProof/>
        </w:rPr>
      </w:pPr>
      <w:r>
        <w:rPr>
          <w:noProof/>
        </w:rPr>
        <w:t>На последно място, сложността на режима и припокриващите се изисквания, разпръснати в различни законодателни актове, представляват значима пречка и разходен фактор за вс</w:t>
      </w:r>
      <w:r>
        <w:rPr>
          <w:noProof/>
        </w:rPr>
        <w:t>ички участници.</w:t>
      </w:r>
    </w:p>
    <w:p w:rsidR="00911B13" w:rsidRDefault="00911B13">
      <w:pPr>
        <w:rPr>
          <w:noProof/>
        </w:rPr>
      </w:pPr>
    </w:p>
    <w:p w:rsidR="00911B13" w:rsidRDefault="00F358D7">
      <w:pPr>
        <w:pStyle w:val="ManualNumPar2"/>
        <w:rPr>
          <w:noProof/>
        </w:rPr>
      </w:pPr>
      <w:r>
        <w:t>2.4.</w:t>
      </w:r>
      <w:r>
        <w:tab/>
      </w:r>
      <w:r>
        <w:rPr>
          <w:noProof/>
        </w:rPr>
        <w:t>Спазен ли е принципът на субсидиарност, т.е. може ли целите да бъдат постигнати по-добре от държавите членки, действащи самостоятелно?</w:t>
      </w:r>
    </w:p>
    <w:p w:rsidR="00911B13" w:rsidRDefault="00F358D7">
      <w:pPr>
        <w:rPr>
          <w:noProof/>
        </w:rPr>
      </w:pPr>
      <w:r>
        <w:rPr>
          <w:noProof/>
        </w:rPr>
        <w:t>Като цяло законодателството на ЕС относно безопасността на пътническите кораби спазва принципа на с</w:t>
      </w:r>
      <w:r>
        <w:rPr>
          <w:noProof/>
        </w:rPr>
        <w:t>убсидиарност. Беше демонстрирано обаче, че съществуващите стандарти за безопасност на малки кораби от стомана с дължина под 24</w:t>
      </w:r>
      <w:r>
        <w:rPr>
          <w:noProof/>
          <w:lang w:val="en-US"/>
        </w:rPr>
        <w:t> </w:t>
      </w:r>
      <w:r>
        <w:rPr>
          <w:noProof/>
        </w:rPr>
        <w:t>m трябва да бъдат допълнително оценени спрямо заложените цели, свързани с безопасността и вътрешния пазар. Предвид факта, че малк</w:t>
      </w:r>
      <w:r>
        <w:rPr>
          <w:noProof/>
        </w:rPr>
        <w:t>ите кораби се изграждат предимно от материали, различни от стомана, по-голямата част от този флот не е обхваната от хармонизираните стандарти на ЕС за безопасност. Това предполага, че повечето от плавателните съдове с дължина под 24</w:t>
      </w:r>
      <w:r>
        <w:rPr>
          <w:noProof/>
          <w:lang w:val="en-US"/>
        </w:rPr>
        <w:t> </w:t>
      </w:r>
      <w:r>
        <w:rPr>
          <w:noProof/>
        </w:rPr>
        <w:t>m вече са сертифицирани</w:t>
      </w:r>
      <w:r>
        <w:rPr>
          <w:noProof/>
        </w:rPr>
        <w:t xml:space="preserve"> съгласно националното законодателство. </w:t>
      </w:r>
    </w:p>
    <w:p w:rsidR="00911B13" w:rsidRDefault="00F358D7">
      <w:pPr>
        <w:rPr>
          <w:noProof/>
        </w:rPr>
      </w:pPr>
      <w:r>
        <w:rPr>
          <w:noProof/>
        </w:rPr>
        <w:t>Регистрираните злополуки с малки кораби, които не са обхванати от стандартите на ЕС, не водят до конкретни опасения за безопасността (5 смъртни случая за последните 4 години, като всичките са били трудови злополуки)</w:t>
      </w:r>
      <w:r>
        <w:rPr>
          <w:noProof/>
        </w:rPr>
        <w:t xml:space="preserve">. Освен това дори за корабите, обхванати от стандартите на ЕС, на практика няма промени на знамето между отделните държави членки. </w:t>
      </w:r>
    </w:p>
    <w:p w:rsidR="00911B13" w:rsidRDefault="00F358D7">
      <w:pPr>
        <w:rPr>
          <w:noProof/>
        </w:rPr>
      </w:pPr>
      <w:r>
        <w:rPr>
          <w:noProof/>
        </w:rPr>
        <w:t>Широката гама от услуги, за които са изградени тези плавателни съдове (например дневни или нощни пътувания, дневни туристиче</w:t>
      </w:r>
      <w:r>
        <w:rPr>
          <w:noProof/>
        </w:rPr>
        <w:t>ски круизи, спиране в пристанища със специфични ограничения или инфраструктура), води до изключително широк обхват при проектирането и техническите решения. В резултат на това определянето на общ набор от подробни правила, които да отговарят на такова разн</w:t>
      </w:r>
      <w:r>
        <w:rPr>
          <w:noProof/>
        </w:rPr>
        <w:t>ообразие от услуги за по-малките плавателни съдове, е изключително сложно. Поради това държавите членки следва да бъдат в по-добра позиция да преценят дали тези кораби отговарят на местните условия за опериране, които се различават значително в отделните ч</w:t>
      </w:r>
      <w:r>
        <w:rPr>
          <w:noProof/>
        </w:rPr>
        <w:t>асти на ЕС. От друга страна някои корабостроителници</w:t>
      </w:r>
      <w:r>
        <w:rPr>
          <w:rStyle w:val="FootnoteReference"/>
          <w:noProof/>
        </w:rPr>
        <w:footnoteReference w:id="16"/>
      </w:r>
      <w:r>
        <w:rPr>
          <w:noProof/>
        </w:rPr>
        <w:t xml:space="preserve"> подчертаха, че разработването на стандарти на ЕС за всички малки кораби (т.е. независимо от материала, от който се изграждат) би им позволило да продават своите продукти безпроблемно и бързо във всички </w:t>
      </w:r>
      <w:r>
        <w:rPr>
          <w:noProof/>
        </w:rPr>
        <w:t xml:space="preserve">държави — членки на ЕС. </w:t>
      </w:r>
    </w:p>
    <w:p w:rsidR="00911B13" w:rsidRDefault="00911B13">
      <w:pPr>
        <w:rPr>
          <w:noProof/>
        </w:rPr>
      </w:pPr>
    </w:p>
    <w:p w:rsidR="00911B13" w:rsidRDefault="00F358D7">
      <w:pPr>
        <w:pStyle w:val="ManualNumPar2"/>
        <w:rPr>
          <w:noProof/>
        </w:rPr>
      </w:pPr>
      <w:r>
        <w:t>2.5.</w:t>
      </w:r>
      <w:r>
        <w:tab/>
      </w:r>
      <w:r>
        <w:rPr>
          <w:noProof/>
        </w:rPr>
        <w:t>Международните стандарти за безопасност биха ли били по-ефективни или ефикасни от настоящите стандарти на ЕС?</w:t>
      </w:r>
    </w:p>
    <w:p w:rsidR="00911B13" w:rsidRDefault="00F358D7">
      <w:pPr>
        <w:rPr>
          <w:i/>
          <w:noProof/>
        </w:rPr>
      </w:pPr>
      <w:r>
        <w:rPr>
          <w:noProof/>
        </w:rPr>
        <w:t xml:space="preserve">Що се отнася до вътрешните пътувания, малко вероятно е международните стандарти да бъдат по-ефективни или ефикасни </w:t>
      </w:r>
      <w:r>
        <w:rPr>
          <w:noProof/>
        </w:rPr>
        <w:t>от настоящите стандарти на ЕС. Международните стандарти на ММО не се прилагат. При липсата на стандарти на ЕС държавите членки трябва или да разработят свое законодателство, или да приемат международните правила, които обаче не са напълно подходящи за вътр</w:t>
      </w:r>
      <w:r>
        <w:rPr>
          <w:noProof/>
        </w:rPr>
        <w:t>ешни пътувания и трябва да се пригодят по съответния начин. Това би означавало и редовни актуализации, за да се отразяват нови развития в корабостроителните технологии</w:t>
      </w:r>
      <w:r>
        <w:rPr>
          <w:rStyle w:val="FootnoteReference"/>
          <w:noProof/>
        </w:rPr>
        <w:footnoteReference w:id="17"/>
      </w:r>
      <w:r>
        <w:rPr>
          <w:noProof/>
        </w:rPr>
        <w:t>. Във всеки случай няма да се постигне общо ниво на безопасност, нито пък ще се улесни в</w:t>
      </w:r>
      <w:r>
        <w:rPr>
          <w:noProof/>
        </w:rPr>
        <w:t>ътрешният пазар. В допълнение към това стандартите на ЕС осигуряват достъп за лица с намалена подвижност — фактор, който е препоръчителен, но не и задължителен в международните стандарти.</w:t>
      </w:r>
    </w:p>
    <w:p w:rsidR="00911B13" w:rsidRDefault="00F358D7">
      <w:pPr>
        <w:rPr>
          <w:noProof/>
        </w:rPr>
      </w:pPr>
      <w:r>
        <w:rPr>
          <w:noProof/>
        </w:rPr>
        <w:t>Ситуацията при международните пътувания е различна. Да се разчита из</w:t>
      </w:r>
      <w:r>
        <w:rPr>
          <w:noProof/>
        </w:rPr>
        <w:t>цяло на съответните международни стандарти би било по-ефективно и ефикасно, при условие че те гарантират адекватно ниво на безопасност. Случаят обаче невинаги е такъв. Поради това за най-добро решение се счита например въвеждането на по-стриктни изисквания</w:t>
      </w:r>
      <w:r>
        <w:rPr>
          <w:noProof/>
        </w:rPr>
        <w:t xml:space="preserve"> за устойчивост на повреди за ро-ро пътнически кораби, които плават от или до пристанища в ЕС</w:t>
      </w:r>
      <w:r>
        <w:rPr>
          <w:noProof/>
          <w:vertAlign w:val="superscript"/>
        </w:rPr>
        <w:footnoteReference w:id="18"/>
      </w:r>
      <w:r>
        <w:rPr>
          <w:noProof/>
        </w:rPr>
        <w:t xml:space="preserve">. Понастоящем това осигурява адекватно ниво на безопасност за този вид кораби, които преобладават в ЕС. </w:t>
      </w:r>
    </w:p>
    <w:p w:rsidR="00911B13" w:rsidRDefault="00F358D7">
      <w:pPr>
        <w:rPr>
          <w:noProof/>
        </w:rPr>
      </w:pPr>
      <w:r>
        <w:rPr>
          <w:noProof/>
        </w:rPr>
        <w:t>На последно място, при липсата на механизъм за принудител</w:t>
      </w:r>
      <w:r>
        <w:rPr>
          <w:noProof/>
        </w:rPr>
        <w:t xml:space="preserve">но изпълнение на международно равнище настоящите режими на ЕС за инспекции, приложими към извършващи както вътрешни, така и международни пътувания пътнически кораби, остават предпоставка за поддържане на висок стандарт за безопасност на човешкия живот при </w:t>
      </w:r>
      <w:r>
        <w:rPr>
          <w:noProof/>
        </w:rPr>
        <w:t>пътническите кораби и преустановяване на неотговарящото на стандартите корабоплаване.</w:t>
      </w:r>
      <w:r>
        <w:rPr>
          <w:noProof/>
        </w:rPr>
        <w:tab/>
      </w:r>
    </w:p>
    <w:p w:rsidR="00911B13" w:rsidRDefault="00911B13">
      <w:pPr>
        <w:rPr>
          <w:noProof/>
        </w:rPr>
      </w:pPr>
    </w:p>
    <w:p w:rsidR="00911B13" w:rsidRDefault="00F358D7">
      <w:pPr>
        <w:pStyle w:val="ManualNumPar1"/>
        <w:rPr>
          <w:noProof/>
        </w:rPr>
      </w:pPr>
      <w:r>
        <w:t>3.</w:t>
      </w:r>
      <w:r>
        <w:tab/>
      </w:r>
      <w:r>
        <w:rPr>
          <w:noProof/>
        </w:rPr>
        <w:t>Резултати от проверката за пригодност</w:t>
      </w:r>
    </w:p>
    <w:p w:rsidR="00911B13" w:rsidRDefault="00F358D7">
      <w:pPr>
        <w:rPr>
          <w:noProof/>
        </w:rPr>
      </w:pPr>
      <w:r>
        <w:rPr>
          <w:noProof/>
        </w:rPr>
        <w:t>Настоящата проверка за пригодност показа, че ключовите цели на законодателството на ЕС относно безопасността на пътническите ко</w:t>
      </w:r>
      <w:r>
        <w:rPr>
          <w:noProof/>
        </w:rPr>
        <w:t>раби, свързани с безопасността на пътниците и с вътрешния пазар, продължават да бъдат от голямо значение. Проверката обаче разкри, че в някои случаи тези цели могат да бъдат представени по по-опростен и ясен начин.</w:t>
      </w:r>
    </w:p>
    <w:p w:rsidR="00911B13" w:rsidRDefault="00F358D7">
      <w:pPr>
        <w:rPr>
          <w:noProof/>
        </w:rPr>
      </w:pPr>
      <w:r>
        <w:rPr>
          <w:noProof/>
        </w:rPr>
        <w:t>В някои области бе установен потенциал за</w:t>
      </w:r>
      <w:r>
        <w:rPr>
          <w:noProof/>
        </w:rPr>
        <w:t xml:space="preserve"> опростяване, поясняване и отмяна на редица неясни, остарели или припокриващи се изисквания:</w:t>
      </w:r>
    </w:p>
    <w:p w:rsidR="00911B13" w:rsidRDefault="00F358D7">
      <w:pPr>
        <w:pStyle w:val="Bullet0"/>
        <w:rPr>
          <w:noProof/>
        </w:rPr>
      </w:pPr>
      <w:r>
        <w:rPr>
          <w:b/>
          <w:noProof/>
        </w:rPr>
        <w:t xml:space="preserve">Сложност и административна тежест: </w:t>
      </w:r>
      <w:r>
        <w:rPr>
          <w:noProof/>
        </w:rPr>
        <w:t>бе установено, че задължителните прегледи за безопасната експлоатация на осъществяващи редовни пътувания ро-ро фериботи се припо</w:t>
      </w:r>
      <w:r>
        <w:rPr>
          <w:noProof/>
        </w:rPr>
        <w:t>криват в значителна степен с други видове прегледи и инспекции (а именно прегледи на държавата на знамето и държавния пристанищен контрол). Държавите членки прилагат тези изисквания по прагматичен начин, което означава, че настоящата правна рамка вече не о</w:t>
      </w:r>
      <w:r>
        <w:rPr>
          <w:noProof/>
        </w:rPr>
        <w:t>тговаря на реалното положение. Сложността на законодателството на ЕС относно безопасността на пътническите кораби се подсилва от остарелия формат на стандартите за безопасност на извършващите вътрешни пътувания пътнически кораби</w:t>
      </w:r>
      <w:r>
        <w:rPr>
          <w:noProof/>
          <w:vertAlign w:val="superscript"/>
        </w:rPr>
        <w:footnoteReference w:id="19"/>
      </w:r>
      <w:r>
        <w:rPr>
          <w:noProof/>
        </w:rPr>
        <w:t xml:space="preserve">, които с течение на времето станаха изключително трудни за съпоставяне с настоящите международни изисквания. </w:t>
      </w:r>
    </w:p>
    <w:p w:rsidR="00911B13" w:rsidRDefault="00F358D7">
      <w:pPr>
        <w:pStyle w:val="Bullet0"/>
        <w:rPr>
          <w:noProof/>
        </w:rPr>
      </w:pPr>
      <w:r>
        <w:rPr>
          <w:b/>
          <w:noProof/>
        </w:rPr>
        <w:t xml:space="preserve">Неяснота и липса на прозрачност: </w:t>
      </w:r>
      <w:r>
        <w:rPr>
          <w:noProof/>
        </w:rPr>
        <w:t>проверката за пригодност показа, че редица разпоредби, определения и изисквания са двусмислени до такава степен,</w:t>
      </w:r>
      <w:r>
        <w:rPr>
          <w:noProof/>
        </w:rPr>
        <w:t xml:space="preserve"> че в някои случаи могат да възпрепятстват ефективното прилагане на законодателството. Те са свързани по-специално с обхвата и прилагането на хармонизираните стандарти на ЕС, например обхванатите видове кораби или честотата на инспекциите. </w:t>
      </w:r>
    </w:p>
    <w:p w:rsidR="00911B13" w:rsidRDefault="00F358D7">
      <w:pPr>
        <w:pStyle w:val="Bullet0"/>
        <w:rPr>
          <w:noProof/>
        </w:rPr>
      </w:pPr>
      <w:r>
        <w:rPr>
          <w:b/>
          <w:noProof/>
        </w:rPr>
        <w:t>Непропорционалн</w:t>
      </w:r>
      <w:r>
        <w:rPr>
          <w:b/>
          <w:noProof/>
        </w:rPr>
        <w:t xml:space="preserve">и изисквания: </w:t>
      </w:r>
      <w:r>
        <w:rPr>
          <w:noProof/>
        </w:rPr>
        <w:t>малките кораби се определят като кораби с дължина под 24 m. Това определение се счита за най-подходящо за определяне на общоприложими стандарти за техническа безопасност. Тъй като малките кораби са в по-голяма степен зависими от местните усло</w:t>
      </w:r>
      <w:r>
        <w:rPr>
          <w:noProof/>
        </w:rPr>
        <w:t>вия за опериране, държавите членки следва да бъдат в по-добра позиция да оценят конкретните рискове и да определят съответните стандарти за безопасност. Освен това за разлика от по-големите кораби малките кораби като цяло се експлоатират в същата държава ч</w:t>
      </w:r>
      <w:r>
        <w:rPr>
          <w:noProof/>
        </w:rPr>
        <w:t xml:space="preserve">ленка до края на техния експлоатационен срок и прехвърлянето им между държавите членки е ограничено. Нормативните стандарти на ЕС, които са приложими само за малки кораби от стомана (т.е. обхващащи приблизително 70 от 1950 малки кораба), бяха оценени като </w:t>
      </w:r>
      <w:r>
        <w:rPr>
          <w:noProof/>
        </w:rPr>
        <w:t>непропорционални и без достатъчна добавена стойност за ЕС, за да бъдат запазени. При все това, за цел да се улесни достъпът на производителите от ЕС до по-широкия пазар на ЕС, някои заинтересовани страни изтъкнаха възможността да се разработят насоки или к</w:t>
      </w:r>
      <w:r>
        <w:rPr>
          <w:noProof/>
        </w:rPr>
        <w:t>одекс за всички малки плавателни съдове.</w:t>
      </w:r>
    </w:p>
    <w:p w:rsidR="00911B13" w:rsidRDefault="00F358D7">
      <w:pPr>
        <w:rPr>
          <w:noProof/>
        </w:rPr>
      </w:pPr>
      <w:r>
        <w:rPr>
          <w:noProof/>
        </w:rPr>
        <w:t xml:space="preserve">В допълнение към установения потенциал за опростяване проверката за пригодност разкри и редица проблеми, които ненужно намаляват ефективността на операциите по издирване и спасяване: </w:t>
      </w:r>
    </w:p>
    <w:p w:rsidR="00911B13" w:rsidRDefault="00F358D7">
      <w:pPr>
        <w:pStyle w:val="Bullet0"/>
        <w:rPr>
          <w:noProof/>
        </w:rPr>
      </w:pPr>
      <w:r>
        <w:rPr>
          <w:b/>
          <w:noProof/>
        </w:rPr>
        <w:t xml:space="preserve">Остарели мерки за подпомагане на операциите по издирване и спасяване: </w:t>
      </w:r>
      <w:r>
        <w:rPr>
          <w:noProof/>
        </w:rPr>
        <w:t>макар че опитът показва, че ефективните операции по издирване и спасяване изискват незабавен достъп до точни данни по отношение на лицата на борда, това невинаги се случва. Съгласно наст</w:t>
      </w:r>
      <w:r>
        <w:rPr>
          <w:noProof/>
        </w:rPr>
        <w:t>оящите изисквания тази информация трябва да се съхранява в системата на дружеството и във всеки момент да бъде на разположение за незабавно предаване на компетентните органи, отговорни за операцията по издирване и спасяване. При това изискване от 1998 г. н</w:t>
      </w:r>
      <w:r>
        <w:rPr>
          <w:noProof/>
        </w:rPr>
        <w:t>е се отчита развитието на системи като SafeSeaNet</w:t>
      </w:r>
      <w:r>
        <w:rPr>
          <w:noProof/>
          <w:vertAlign w:val="superscript"/>
        </w:rPr>
        <w:footnoteReference w:id="20"/>
      </w:r>
      <w:r>
        <w:rPr>
          <w:noProof/>
        </w:rPr>
        <w:t xml:space="preserve"> и националната система за обслужване на едно гише</w:t>
      </w:r>
      <w:r>
        <w:rPr>
          <w:noProof/>
          <w:vertAlign w:val="superscript"/>
        </w:rPr>
        <w:footnoteReference w:id="21"/>
      </w:r>
      <w:r>
        <w:rPr>
          <w:noProof/>
        </w:rPr>
        <w:t xml:space="preserve"> и то задължава националния компетентен орган да се свърже с корабното дружество при спешен случай. Освен това записаните данни невинаги включват информаци</w:t>
      </w:r>
      <w:r>
        <w:rPr>
          <w:noProof/>
        </w:rPr>
        <w:t>я относно националността (т.е. освен име, възраст и пол), в резултат на което осигуряването на помощ на жертвите и техните близки се обременява ненужно. Операторите, които вече предават данни към SafeSeaNet или националната система за обслужване на едно ги</w:t>
      </w:r>
      <w:r>
        <w:rPr>
          <w:noProof/>
        </w:rPr>
        <w:t xml:space="preserve">ше, са обхванати от режим на двойно отчитане. </w:t>
      </w:r>
    </w:p>
    <w:p w:rsidR="00911B13" w:rsidRDefault="00F358D7">
      <w:pPr>
        <w:rPr>
          <w:noProof/>
        </w:rPr>
      </w:pPr>
      <w:r>
        <w:rPr>
          <w:noProof/>
        </w:rPr>
        <w:t xml:space="preserve">На последно място, в рамките на проверката за пригодност бяха установени редица други значими въпроси, свързани с адекватността и пропорционалността на съществуващите стандарти за безопасност: </w:t>
      </w:r>
    </w:p>
    <w:p w:rsidR="00911B13" w:rsidRDefault="00F358D7">
      <w:pPr>
        <w:pStyle w:val="Bullet0"/>
        <w:rPr>
          <w:b/>
          <w:noProof/>
        </w:rPr>
      </w:pPr>
      <w:r>
        <w:rPr>
          <w:b/>
          <w:noProof/>
        </w:rPr>
        <w:t>Свързани с безо</w:t>
      </w:r>
      <w:r>
        <w:rPr>
          <w:b/>
          <w:noProof/>
        </w:rPr>
        <w:t xml:space="preserve">пасността въпроси, които се нуждаят от допълнителна оценка: </w:t>
      </w:r>
      <w:r>
        <w:rPr>
          <w:noProof/>
        </w:rPr>
        <w:t>тези въпроси се нуждаят от допълнителна оценка и консултации с експерти. Те включват разликите в изискванията за безопасност между отделните класове кораби и съответните морски зони; по-широкообхв</w:t>
      </w:r>
      <w:r>
        <w:rPr>
          <w:noProof/>
        </w:rPr>
        <w:t>атното прилагане на режима за инспекции на ро-пакс кораби и възможността да се разработят хармонизирани стандарти за кораби, които не са изградени от стомана или друг еквивалентен материал, които понастоящем не са обхванати от регулаторната рамка на ЕС.</w:t>
      </w:r>
    </w:p>
    <w:p w:rsidR="00911B13" w:rsidRDefault="00F358D7">
      <w:pPr>
        <w:pStyle w:val="Bullet0"/>
        <w:numPr>
          <w:ilvl w:val="0"/>
          <w:numId w:val="0"/>
        </w:numPr>
        <w:ind w:left="850"/>
        <w:rPr>
          <w:noProof/>
        </w:rPr>
      </w:pPr>
      <w:r>
        <w:rPr>
          <w:noProof/>
        </w:rPr>
        <w:t>Ва</w:t>
      </w:r>
      <w:r>
        <w:rPr>
          <w:noProof/>
        </w:rPr>
        <w:t>жно е да се отбележи, че някои от тези въпроси ще е по-добре да се разрешат първо на международно равнище преди да се предвидят допълнителни действия на равнище ЕС, по-специално по отношение на прегледа на приложимите изисквания за устойчивост на повреди.</w:t>
      </w:r>
    </w:p>
    <w:p w:rsidR="00911B13" w:rsidRDefault="00911B13">
      <w:pPr>
        <w:rPr>
          <w:b/>
          <w:noProof/>
        </w:rPr>
      </w:pPr>
    </w:p>
    <w:p w:rsidR="00911B13" w:rsidRDefault="00F358D7">
      <w:pPr>
        <w:pStyle w:val="ManualNumPar1"/>
        <w:rPr>
          <w:noProof/>
        </w:rPr>
      </w:pPr>
      <w:r>
        <w:t>4.</w:t>
      </w:r>
      <w:r>
        <w:tab/>
      </w:r>
      <w:r>
        <w:rPr>
          <w:noProof/>
        </w:rPr>
        <w:t xml:space="preserve">Последващи действия </w:t>
      </w:r>
    </w:p>
    <w:p w:rsidR="00911B13" w:rsidRDefault="00911B13">
      <w:pPr>
        <w:rPr>
          <w:noProof/>
        </w:rPr>
      </w:pPr>
    </w:p>
    <w:p w:rsidR="00911B13" w:rsidRDefault="00F358D7">
      <w:pPr>
        <w:pStyle w:val="ManualNumPar2"/>
        <w:rPr>
          <w:noProof/>
        </w:rPr>
      </w:pPr>
      <w:r>
        <w:t>4.1.</w:t>
      </w:r>
      <w:r>
        <w:tab/>
      </w:r>
      <w:r>
        <w:rPr>
          <w:noProof/>
        </w:rPr>
        <w:t>Първа стъпка</w:t>
      </w:r>
    </w:p>
    <w:p w:rsidR="00911B13" w:rsidRDefault="00F358D7">
      <w:pPr>
        <w:rPr>
          <w:b/>
          <w:noProof/>
        </w:rPr>
      </w:pPr>
      <w:r>
        <w:rPr>
          <w:noProof/>
        </w:rPr>
        <w:t>Комисията с подкрепата на ЕАМБ и в сътрудничество с държавите членки и заинтересованите страни ще обмисли дали да предложи опростена регулаторна рамка относно безопасността на пътническите кораби в ЕС и ще насърч</w:t>
      </w:r>
      <w:r>
        <w:rPr>
          <w:noProof/>
        </w:rPr>
        <w:t>и модернизирането на стандартите за устойчивост на повреди на международно равнище.</w:t>
      </w:r>
    </w:p>
    <w:p w:rsidR="00911B13" w:rsidRDefault="00F358D7">
      <w:pPr>
        <w:rPr>
          <w:noProof/>
        </w:rPr>
      </w:pPr>
      <w:r>
        <w:rPr>
          <w:b/>
          <w:noProof/>
        </w:rPr>
        <w:t xml:space="preserve">Опростяване на регулаторната рамка на ЕС относно безопасността на пътническите кораби: </w:t>
      </w:r>
      <w:r>
        <w:rPr>
          <w:noProof/>
        </w:rPr>
        <w:t>без да променя целите на своята политика и ключовите механизми за постигането им, Ком</w:t>
      </w:r>
      <w:r>
        <w:rPr>
          <w:noProof/>
        </w:rPr>
        <w:t>исията предвижда да обмисли предложения за отмяна на остарелите, неясни или припокриващи се изисквания, установени в настоящата проверка за пригодност, най-вече чрез:</w:t>
      </w:r>
    </w:p>
    <w:p w:rsidR="00911B13" w:rsidRDefault="00F358D7">
      <w:pPr>
        <w:pStyle w:val="Bullet0"/>
        <w:rPr>
          <w:noProof/>
        </w:rPr>
      </w:pPr>
      <w:r>
        <w:rPr>
          <w:noProof/>
        </w:rPr>
        <w:t>премахване на припокриването между специфичните прегледи съгласно Директива 1999/35/ЕО, р</w:t>
      </w:r>
      <w:r>
        <w:rPr>
          <w:noProof/>
        </w:rPr>
        <w:t>азширения държавен пристанищен контрол и годишните прегледи на държавата на знамето;</w:t>
      </w:r>
    </w:p>
    <w:p w:rsidR="00911B13" w:rsidRDefault="00F358D7">
      <w:pPr>
        <w:pStyle w:val="Bullet0"/>
        <w:rPr>
          <w:noProof/>
        </w:rPr>
      </w:pPr>
      <w:r>
        <w:rPr>
          <w:noProof/>
        </w:rPr>
        <w:t xml:space="preserve">поясняване, че за целите на Директива 2009/45/ЕО: а) алуминият е еквивалентен материал на стоманата (съгласно съответните пояснени изисквания за противопожарна изолация); </w:t>
      </w:r>
      <w:r>
        <w:rPr>
          <w:noProof/>
        </w:rPr>
        <w:t>и б) плавателните съдове за морски услуги и традиционните кораби не са обхванати от директивата;</w:t>
      </w:r>
    </w:p>
    <w:p w:rsidR="00911B13" w:rsidRDefault="00F358D7">
      <w:pPr>
        <w:pStyle w:val="Bullet0"/>
        <w:rPr>
          <w:noProof/>
        </w:rPr>
      </w:pPr>
      <w:r>
        <w:rPr>
          <w:noProof/>
        </w:rPr>
        <w:t xml:space="preserve">изясняване на определенията във връзка с изискванията за регистрация на пътници в Директива 98/41/ЕО, например за дължина на маршрута; </w:t>
      </w:r>
    </w:p>
    <w:p w:rsidR="00911B13" w:rsidRDefault="00F358D7">
      <w:pPr>
        <w:pStyle w:val="Bullet0"/>
        <w:rPr>
          <w:noProof/>
        </w:rPr>
      </w:pPr>
      <w:r>
        <w:rPr>
          <w:noProof/>
        </w:rPr>
        <w:t>опростяване на определе</w:t>
      </w:r>
      <w:r>
        <w:rPr>
          <w:noProof/>
        </w:rPr>
        <w:t xml:space="preserve">нието за морска зона в Директива 2009/45/ЕО; </w:t>
      </w:r>
    </w:p>
    <w:p w:rsidR="00911B13" w:rsidRDefault="00F358D7">
      <w:pPr>
        <w:pStyle w:val="Bullet0"/>
        <w:rPr>
          <w:noProof/>
        </w:rPr>
      </w:pPr>
      <w:r>
        <w:rPr>
          <w:noProof/>
        </w:rPr>
        <w:t>опростяване на приложението към Директива 2009/45/ЕО, така че да се подобри неговата яснота.</w:t>
      </w:r>
    </w:p>
    <w:p w:rsidR="00911B13" w:rsidRDefault="00F358D7">
      <w:pPr>
        <w:rPr>
          <w:noProof/>
        </w:rPr>
      </w:pPr>
      <w:r>
        <w:rPr>
          <w:noProof/>
        </w:rPr>
        <w:t>Комисията също така ще обмисли предложения за премахване на непропорционалните изисквания, по-специално чрез:</w:t>
      </w:r>
    </w:p>
    <w:p w:rsidR="00911B13" w:rsidRDefault="00F358D7">
      <w:pPr>
        <w:pStyle w:val="Bullet0"/>
        <w:rPr>
          <w:noProof/>
        </w:rPr>
      </w:pPr>
      <w:r>
        <w:rPr>
          <w:noProof/>
        </w:rPr>
        <w:t>изключв</w:t>
      </w:r>
      <w:r>
        <w:rPr>
          <w:noProof/>
        </w:rPr>
        <w:t>ане на пътническите кораби, изградени от стомана или друг еквивалентен материал, с дължина под 24 m от обхвата на Директива 2009/45/ЕО;</w:t>
      </w:r>
    </w:p>
    <w:p w:rsidR="00911B13" w:rsidRDefault="00F358D7">
      <w:pPr>
        <w:pStyle w:val="Bullet0"/>
        <w:rPr>
          <w:noProof/>
        </w:rPr>
      </w:pPr>
      <w:r>
        <w:rPr>
          <w:noProof/>
        </w:rPr>
        <w:t>премахване на изискването за официално одобрение на системата за регистрация на пътници, което понастоящем се изисква съ</w:t>
      </w:r>
      <w:r>
        <w:rPr>
          <w:noProof/>
        </w:rPr>
        <w:t>гласно Директива 98/41/ЕО, и насочване на вниманието към правилното функциониране на системата.</w:t>
      </w:r>
    </w:p>
    <w:p w:rsidR="00911B13" w:rsidRDefault="00F358D7">
      <w:pPr>
        <w:rPr>
          <w:noProof/>
        </w:rPr>
      </w:pPr>
      <w:r>
        <w:rPr>
          <w:noProof/>
        </w:rPr>
        <w:t>С цел премахване на водещите до двойно отчитане изисквания и подобряване на ефективността на операциите по издирване и спасяване Комисията ще обмисли дали:</w:t>
      </w:r>
    </w:p>
    <w:p w:rsidR="00911B13" w:rsidRDefault="00F358D7">
      <w:pPr>
        <w:pStyle w:val="Bullet0"/>
        <w:rPr>
          <w:noProof/>
        </w:rPr>
      </w:pPr>
      <w:r>
        <w:rPr>
          <w:noProof/>
        </w:rPr>
        <w:t>инфо</w:t>
      </w:r>
      <w:r>
        <w:rPr>
          <w:noProof/>
        </w:rPr>
        <w:t xml:space="preserve">рмацията относно лицата на борда да се записва в съществуваща електронна система, която при спешен случай или злополука да позволява незабавно предаване на данни до компетентния орган; </w:t>
      </w:r>
    </w:p>
    <w:p w:rsidR="00911B13" w:rsidRDefault="00F358D7">
      <w:pPr>
        <w:pStyle w:val="Bullet0"/>
        <w:rPr>
          <w:noProof/>
        </w:rPr>
      </w:pPr>
      <w:r>
        <w:rPr>
          <w:noProof/>
        </w:rPr>
        <w:t>националността на пътниците да се регистрира и предава на компетентния</w:t>
      </w:r>
      <w:r>
        <w:rPr>
          <w:noProof/>
        </w:rPr>
        <w:t xml:space="preserve"> орган, като се използват същите средства и критерии като въведените за регистрация и предаване на изискваната понастоящем информация относно лицата на борда.</w:t>
      </w:r>
    </w:p>
    <w:p w:rsidR="00911B13" w:rsidRDefault="00F358D7">
      <w:pPr>
        <w:rPr>
          <w:noProof/>
        </w:rPr>
      </w:pPr>
      <w:r>
        <w:rPr>
          <w:b/>
          <w:noProof/>
        </w:rPr>
        <w:t xml:space="preserve">Насърчаване на модернизирането на международните стандарти: </w:t>
      </w:r>
      <w:r>
        <w:rPr>
          <w:noProof/>
        </w:rPr>
        <w:t>на международно равнище Комисията с п</w:t>
      </w:r>
      <w:r>
        <w:rPr>
          <w:noProof/>
        </w:rPr>
        <w:t>одкрепата на ЕАМБ и в сътрудничество с държавите членки и заинтересованите страни ще насърчи модернизирането на международните стандарти за устойчивост на повреди за пътнически кораби и ще обмисли дали да отправи следните предложения към Международната мор</w:t>
      </w:r>
      <w:r>
        <w:rPr>
          <w:noProof/>
        </w:rPr>
        <w:t>ска организация:</w:t>
      </w:r>
    </w:p>
    <w:p w:rsidR="00911B13" w:rsidRDefault="00F358D7">
      <w:pPr>
        <w:pStyle w:val="Bullet0"/>
        <w:rPr>
          <w:noProof/>
        </w:rPr>
      </w:pPr>
      <w:r>
        <w:rPr>
          <w:noProof/>
        </w:rPr>
        <w:t>технически предложения за срещата на експертната група за официална оценка на безопасността, която ще се проведе през ноември 2015 г.;</w:t>
      </w:r>
    </w:p>
    <w:p w:rsidR="00911B13" w:rsidRDefault="00F358D7">
      <w:pPr>
        <w:pStyle w:val="Bullet0"/>
        <w:rPr>
          <w:noProof/>
        </w:rPr>
      </w:pPr>
      <w:r>
        <w:rPr>
          <w:noProof/>
        </w:rPr>
        <w:t>предложение на ЕС за нов стандарт за устойчивост на повреди (т. нар. „индекс R“) на срещата на подкомите</w:t>
      </w:r>
      <w:r>
        <w:rPr>
          <w:noProof/>
        </w:rPr>
        <w:t>та по проектиране на кораби и корабостроене, която ще се проведе през януари 2016 г., с цел през 2016 г. Комитетът по морска безопасност да постигне съгласие за по-висок стандарт.</w:t>
      </w:r>
    </w:p>
    <w:p w:rsidR="00911B13" w:rsidRDefault="00911B13">
      <w:pPr>
        <w:rPr>
          <w:b/>
          <w:noProof/>
        </w:rPr>
      </w:pPr>
    </w:p>
    <w:p w:rsidR="00911B13" w:rsidRDefault="00F358D7">
      <w:pPr>
        <w:pStyle w:val="ManualNumPar2"/>
        <w:rPr>
          <w:noProof/>
        </w:rPr>
      </w:pPr>
      <w:r>
        <w:t>4.2.</w:t>
      </w:r>
      <w:r>
        <w:tab/>
      </w:r>
      <w:r>
        <w:rPr>
          <w:noProof/>
        </w:rPr>
        <w:t>Втора стъпка</w:t>
      </w:r>
    </w:p>
    <w:p w:rsidR="00911B13" w:rsidRDefault="00F358D7">
      <w:pPr>
        <w:rPr>
          <w:noProof/>
        </w:rPr>
      </w:pPr>
      <w:r>
        <w:rPr>
          <w:noProof/>
        </w:rPr>
        <w:t xml:space="preserve">Комисията ще оцени допълнително редица други въпроси, </w:t>
      </w:r>
      <w:r>
        <w:rPr>
          <w:noProof/>
        </w:rPr>
        <w:t>свързани с безопасността и с вътрешния пазар. По-специално тя планира да:</w:t>
      </w:r>
    </w:p>
    <w:p w:rsidR="00911B13" w:rsidRDefault="00F358D7">
      <w:pPr>
        <w:pStyle w:val="Bullet0"/>
        <w:rPr>
          <w:noProof/>
        </w:rPr>
      </w:pPr>
      <w:r>
        <w:rPr>
          <w:noProof/>
        </w:rPr>
        <w:t>разгледа доколко подходящи са разликите в изискванията за безопасност между кораби от класове C и D съгласно Директива 2009/45/ЕО и съответните морски зони;</w:t>
      </w:r>
    </w:p>
    <w:p w:rsidR="00911B13" w:rsidRDefault="00F358D7">
      <w:pPr>
        <w:pStyle w:val="Bullet0"/>
        <w:rPr>
          <w:noProof/>
        </w:rPr>
      </w:pPr>
      <w:r>
        <w:rPr>
          <w:noProof/>
        </w:rPr>
        <w:t>насърчи прилагането на сп</w:t>
      </w:r>
      <w:r>
        <w:rPr>
          <w:noProof/>
        </w:rPr>
        <w:t>ецифични прегледи съгласно Директива 1999/35/ЕО към ро-пакс кораби от класове B, C и D, извършващи редовни услуги;</w:t>
      </w:r>
    </w:p>
    <w:p w:rsidR="00911B13" w:rsidRDefault="00F358D7">
      <w:pPr>
        <w:pStyle w:val="Bullet0"/>
        <w:rPr>
          <w:noProof/>
        </w:rPr>
      </w:pPr>
      <w:r>
        <w:rPr>
          <w:noProof/>
        </w:rPr>
        <w:t>обмисли възможността да предложи изменение или отмяна на специфични изисквания на ЕС относно устойчивост на повреди за ро-ро пътнически кораб</w:t>
      </w:r>
      <w:r>
        <w:rPr>
          <w:noProof/>
        </w:rPr>
        <w:t>и</w:t>
      </w:r>
      <w:r>
        <w:rPr>
          <w:noProof/>
          <w:vertAlign w:val="superscript"/>
        </w:rPr>
        <w:footnoteReference w:id="22"/>
      </w:r>
      <w:r>
        <w:rPr>
          <w:noProof/>
        </w:rPr>
        <w:t xml:space="preserve"> въз основа на международни стандарти, ако тези стандарти бъдат модернизирани по удовлетворителен начин за ЕС; </w:t>
      </w:r>
    </w:p>
    <w:p w:rsidR="00911B13" w:rsidRDefault="00F358D7">
      <w:pPr>
        <w:pStyle w:val="Bullet0"/>
        <w:rPr>
          <w:noProof/>
        </w:rPr>
      </w:pPr>
      <w:r>
        <w:rPr>
          <w:noProof/>
        </w:rPr>
        <w:t>обмисли разработването на насоки или кодекс за малки плавателни съдове и плавателни съдове, които не са изградени от стомана или друг еквивале</w:t>
      </w:r>
      <w:r>
        <w:rPr>
          <w:noProof/>
        </w:rPr>
        <w:t>нтен материал, въз основа на функционални изисквания.</w:t>
      </w:r>
    </w:p>
    <w:p w:rsidR="00911B13" w:rsidRDefault="00F358D7">
      <w:pPr>
        <w:rPr>
          <w:noProof/>
        </w:rPr>
      </w:pPr>
      <w:r>
        <w:rPr>
          <w:noProof/>
        </w:rPr>
        <w:t xml:space="preserve">Това ще изисква съдействие, обмен на най-добри практики и постоянен мониторинг на съществуващото законодателство. Поради това Комисията в сътрудничество с ЕАМБ предвижда да: </w:t>
      </w:r>
    </w:p>
    <w:p w:rsidR="00911B13" w:rsidRDefault="00F358D7">
      <w:pPr>
        <w:pStyle w:val="Bullet0"/>
        <w:rPr>
          <w:noProof/>
        </w:rPr>
      </w:pPr>
      <w:r>
        <w:rPr>
          <w:noProof/>
        </w:rPr>
        <w:t xml:space="preserve">създаде подходяща рамка за </w:t>
      </w:r>
      <w:r>
        <w:rPr>
          <w:noProof/>
        </w:rPr>
        <w:t>обмен на мнения относно безопасността на пътническите кораби в ЕС с националните администрации, заинтересованите страни от промишлеността и представителните организации на пътниците.</w:t>
      </w:r>
    </w:p>
    <w:p w:rsidR="00911B13" w:rsidRDefault="00F358D7">
      <w:pPr>
        <w:rPr>
          <w:noProof/>
        </w:rPr>
      </w:pPr>
      <w:r>
        <w:rPr>
          <w:noProof/>
        </w:rPr>
        <w:t>На последно място, като взема под внимание установения потенциал за опрос</w:t>
      </w:r>
      <w:r>
        <w:rPr>
          <w:noProof/>
        </w:rPr>
        <w:t>тяване, Комисията предвижда да засили прилагането на съществуващите изисквания със съдействието на ЕАМБ и приканва националните администрации да се присъединят към тези усилия.</w:t>
      </w:r>
    </w:p>
    <w:sectPr w:rsidR="00911B1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13" w:rsidRDefault="00F358D7">
      <w:pPr>
        <w:spacing w:before="0" w:after="0"/>
      </w:pPr>
      <w:r>
        <w:separator/>
      </w:r>
    </w:p>
  </w:endnote>
  <w:endnote w:type="continuationSeparator" w:id="0">
    <w:p w:rsidR="00911B13" w:rsidRDefault="00F358D7">
      <w:pPr>
        <w:spacing w:before="0" w:after="0"/>
      </w:pPr>
      <w:r>
        <w:continuationSeparator/>
      </w:r>
    </w:p>
  </w:endnote>
  <w:endnote w:type="continuationNotice" w:id="1">
    <w:p w:rsidR="00911B13" w:rsidRDefault="00911B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F358D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F358D7">
    <w:pPr>
      <w:pStyle w:val="Footer"/>
      <w:jc w:val="center"/>
    </w:pPr>
    <w:r>
      <w:fldChar w:fldCharType="begin"/>
    </w:r>
    <w:r>
      <w:instrText xml:space="preserve"> PAGE   \* MERGEFORMAT </w:instrText>
    </w:r>
    <w:r>
      <w:fldChar w:fldCharType="separate"/>
    </w:r>
    <w:r>
      <w:rPr>
        <w:noProof/>
      </w:rPr>
      <w:t>13</w:t>
    </w:r>
    <w:r>
      <w:fldChar w:fldCharType="end"/>
    </w:r>
  </w:p>
  <w:p w:rsidR="00911B13" w:rsidRDefault="00911B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13" w:rsidRDefault="00F358D7">
      <w:pPr>
        <w:spacing w:before="0" w:after="0"/>
      </w:pPr>
      <w:r>
        <w:separator/>
      </w:r>
    </w:p>
  </w:footnote>
  <w:footnote w:type="continuationSeparator" w:id="0">
    <w:p w:rsidR="00911B13" w:rsidRDefault="00F358D7">
      <w:pPr>
        <w:spacing w:before="0" w:after="0"/>
      </w:pPr>
      <w:r>
        <w:continuationSeparator/>
      </w:r>
    </w:p>
  </w:footnote>
  <w:footnote w:type="continuationNotice" w:id="1">
    <w:p w:rsidR="00911B13" w:rsidRDefault="00911B13">
      <w:pPr>
        <w:spacing w:before="0" w:after="0"/>
      </w:pPr>
    </w:p>
  </w:footnote>
  <w:footnote w:id="2">
    <w:p w:rsidR="00911B13" w:rsidRDefault="00F358D7">
      <w:pPr>
        <w:pStyle w:val="FootnoteText"/>
      </w:pPr>
      <w:r>
        <w:rPr>
          <w:rStyle w:val="FootnoteReference"/>
        </w:rPr>
        <w:footnoteRef/>
      </w:r>
      <w:r>
        <w:t xml:space="preserve"> </w:t>
      </w:r>
      <w:r>
        <w:tab/>
        <w:t xml:space="preserve">Директива 2009/16/ЕО на Европейския </w:t>
      </w:r>
      <w:r>
        <w:t>парламент и на Съвета относно държавния пристанищен контрол (ОВ L 131, 28.5.2009 г., стр. 57—100).</w:t>
      </w:r>
    </w:p>
  </w:footnote>
  <w:footnote w:id="3">
    <w:p w:rsidR="00911B13" w:rsidRDefault="00F358D7">
      <w:pPr>
        <w:pStyle w:val="FootnoteText"/>
      </w:pPr>
      <w:r>
        <w:rPr>
          <w:rStyle w:val="FootnoteReference"/>
        </w:rPr>
        <w:footnoteRef/>
      </w:r>
      <w:r>
        <w:t xml:space="preserve"> </w:t>
      </w:r>
      <w:r>
        <w:tab/>
        <w:t>Директива 2009/45/ЕО на Европейския парламент и на Съвета за правилата за безопасност и стандартите за пътническите кораби (ОВ L 163, 25.6.2009 г., стр. 1</w:t>
      </w:r>
      <w:r>
        <w:t>).</w:t>
      </w:r>
    </w:p>
  </w:footnote>
  <w:footnote w:id="4">
    <w:p w:rsidR="00911B13" w:rsidRDefault="00F358D7">
      <w:pPr>
        <w:pStyle w:val="FootnoteText"/>
        <w:rPr>
          <w:lang w:val="cs-CZ"/>
        </w:rPr>
      </w:pPr>
      <w:r>
        <w:rPr>
          <w:rStyle w:val="FootnoteReference"/>
        </w:rPr>
        <w:footnoteRef/>
      </w:r>
      <w:r>
        <w:t xml:space="preserve"> </w:t>
      </w:r>
      <w:r>
        <w:tab/>
        <w:t>Тази Конвенция бе приета от Международната морска организация (ММО) и ратифицирана от всички държави — членки на ЕС.</w:t>
      </w:r>
    </w:p>
  </w:footnote>
  <w:footnote w:id="5">
    <w:p w:rsidR="00911B13" w:rsidRDefault="00F358D7">
      <w:pPr>
        <w:pStyle w:val="FootnoteText"/>
      </w:pPr>
      <w:r>
        <w:rPr>
          <w:rStyle w:val="FootnoteReference"/>
        </w:rPr>
        <w:footnoteRef/>
      </w:r>
      <w:r>
        <w:t xml:space="preserve"> </w:t>
      </w:r>
      <w:r>
        <w:tab/>
        <w:t>Ро-ро корабите са проектирани да превозват товари с колела, например камиони, ремаркета и автомобили, които се докарват на и откар</w:t>
      </w:r>
      <w:r>
        <w:t>ват от кораба на собствен ход или посредством превозни средства с платформа. Плавателните съдове се наричат ро-пакс, ако превозват повече от 12 пътника в допълнение към превозни средства.</w:t>
      </w:r>
    </w:p>
  </w:footnote>
  <w:footnote w:id="6">
    <w:p w:rsidR="00911B13" w:rsidRDefault="00F358D7">
      <w:pPr>
        <w:pStyle w:val="FootnoteText"/>
      </w:pPr>
      <w:r>
        <w:rPr>
          <w:rStyle w:val="FootnoteReference"/>
        </w:rPr>
        <w:footnoteRef/>
      </w:r>
      <w:r>
        <w:t xml:space="preserve"> </w:t>
      </w:r>
      <w:r>
        <w:tab/>
        <w:t>Съгласно определението в SOLAS, глава X, правило 1.3.</w:t>
      </w:r>
    </w:p>
  </w:footnote>
  <w:footnote w:id="7">
    <w:p w:rsidR="00911B13" w:rsidRDefault="00F358D7">
      <w:pPr>
        <w:pStyle w:val="FootnoteText"/>
      </w:pPr>
      <w:r>
        <w:rPr>
          <w:rStyle w:val="FootnoteReference"/>
        </w:rPr>
        <w:footnoteRef/>
      </w:r>
      <w:r>
        <w:t xml:space="preserve"> </w:t>
      </w:r>
      <w:r>
        <w:tab/>
        <w:t>Наричани</w:t>
      </w:r>
      <w:r>
        <w:t xml:space="preserve"> по-долу „кораби от стомана“ с цел опростяване.</w:t>
      </w:r>
    </w:p>
  </w:footnote>
  <w:footnote w:id="8">
    <w:p w:rsidR="00911B13" w:rsidRDefault="00F358D7">
      <w:pPr>
        <w:pStyle w:val="FootnoteText"/>
        <w:rPr>
          <w:lang w:val="cs-CZ"/>
        </w:rPr>
      </w:pPr>
      <w:r>
        <w:rPr>
          <w:rStyle w:val="FootnoteReference"/>
        </w:rPr>
        <w:footnoteRef/>
      </w:r>
      <w:r>
        <w:t xml:space="preserve"> </w:t>
      </w:r>
      <w:r>
        <w:tab/>
        <w:t>Пътническите кораби се делят на четири различни класа според морските зони, в които могат да плават, в зависимост от параметри, като например разстояние от брега. Корабите от клас А нямат ограничение по от</w:t>
      </w:r>
      <w:r>
        <w:t>ношение на разстоянието от брега, на което могат да плават, докато за корабите от клас D разстоянието е ограничено на 3 морски мили (приблизително 5,6 km).</w:t>
      </w:r>
    </w:p>
  </w:footnote>
  <w:footnote w:id="9">
    <w:p w:rsidR="00911B13" w:rsidRDefault="00F358D7">
      <w:pPr>
        <w:pStyle w:val="FootnoteText"/>
      </w:pPr>
      <w:r>
        <w:rPr>
          <w:rStyle w:val="FootnoteReference"/>
        </w:rPr>
        <w:footnoteRef/>
      </w:r>
      <w:r>
        <w:t xml:space="preserve"> </w:t>
      </w:r>
      <w:r>
        <w:tab/>
        <w:t>Директива 2003/25/ЕО на Европейския парламент и на Съвета относно специфични изисквания за стабил</w:t>
      </w:r>
      <w:r>
        <w:t>ност на ро-ро пътнически кораби (ОВ L 123, 17.5.2003 г., стр. 22).</w:t>
      </w:r>
    </w:p>
  </w:footnote>
  <w:footnote w:id="10">
    <w:p w:rsidR="00911B13" w:rsidRDefault="00F358D7">
      <w:pPr>
        <w:pStyle w:val="FootnoteText"/>
      </w:pPr>
      <w:r>
        <w:rPr>
          <w:rStyle w:val="FootnoteReference"/>
        </w:rPr>
        <w:footnoteRef/>
      </w:r>
      <w:r>
        <w:t xml:space="preserve"> </w:t>
      </w:r>
      <w:r>
        <w:tab/>
        <w:t xml:space="preserve">Директива 1999/35/ЕО на Съвета относно система за задължителни прегледи за безопасна работа при редовни услуги от ро-ро фериботи и бързоходни пътнически плавателни съдове (ОВ L 138, </w:t>
      </w:r>
      <w:r>
        <w:t>1.6.1999 г., стр. 1).</w:t>
      </w:r>
    </w:p>
  </w:footnote>
  <w:footnote w:id="11">
    <w:p w:rsidR="00911B13" w:rsidRDefault="00F358D7">
      <w:pPr>
        <w:pStyle w:val="FootnoteText"/>
      </w:pPr>
      <w:r>
        <w:rPr>
          <w:rStyle w:val="FootnoteReference"/>
        </w:rPr>
        <w:footnoteRef/>
      </w:r>
      <w:r>
        <w:t xml:space="preserve"> </w:t>
      </w:r>
      <w:r>
        <w:tab/>
        <w:t>Директива 98/41/ЕО на Съвета относно регистрацията на лица, които плават на борда на пътнически кораби, които оперират по направление към или от пристанища на държавите членки от Общността (ОВ L 188, 2.7.1998 г., стр. 35).</w:t>
      </w:r>
    </w:p>
  </w:footnote>
  <w:footnote w:id="12">
    <w:p w:rsidR="00911B13" w:rsidRDefault="00F358D7">
      <w:pPr>
        <w:pStyle w:val="FootnoteText"/>
        <w:rPr>
          <w:lang w:val="cs-CZ"/>
        </w:rPr>
      </w:pPr>
      <w:r>
        <w:rPr>
          <w:rStyle w:val="FootnoteReference"/>
        </w:rPr>
        <w:footnoteRef/>
      </w:r>
      <w:r>
        <w:t xml:space="preserve"> </w:t>
      </w:r>
      <w:r>
        <w:tab/>
        <w:t xml:space="preserve">Т.е. </w:t>
      </w:r>
      <w:r>
        <w:t>съгласно Директива 2009/45/ЕО.</w:t>
      </w:r>
    </w:p>
  </w:footnote>
  <w:footnote w:id="13">
    <w:p w:rsidR="00911B13" w:rsidRDefault="00F358D7">
      <w:pPr>
        <w:pStyle w:val="FootnoteText"/>
      </w:pPr>
      <w:r>
        <w:rPr>
          <w:rStyle w:val="FootnoteReference"/>
        </w:rPr>
        <w:footnoteRef/>
      </w:r>
      <w:r>
        <w:t xml:space="preserve"> </w:t>
      </w:r>
      <w:r>
        <w:tab/>
        <w:t>Следва да се отбележи, че тези статистически данни не включват знакови случаи като (например) смъртните случаи при злополуките с „Коста Конкордия“ (2012 г.) или „Норман Атлантик“ (2014 г.), тъй като те касаят кораби, извър</w:t>
      </w:r>
      <w:r>
        <w:t>шващи международни пътувания (в резултат на което те не са обхванати от изискванията за безопасност, хармонизирани с Директива 2009/45/ЕО, които се прилагат само към вътрешни пътувания).</w:t>
      </w:r>
    </w:p>
  </w:footnote>
  <w:footnote w:id="14">
    <w:p w:rsidR="00911B13" w:rsidRDefault="00F358D7">
      <w:pPr>
        <w:pStyle w:val="FootnoteText"/>
      </w:pPr>
      <w:r>
        <w:rPr>
          <w:rStyle w:val="FootnoteReference"/>
        </w:rPr>
        <w:footnoteRef/>
      </w:r>
      <w:r>
        <w:t xml:space="preserve"> </w:t>
      </w:r>
      <w:r>
        <w:tab/>
        <w:t>Т.е. влизането в сила на Директива 98/18/ЕО, която предшества Дире</w:t>
      </w:r>
      <w:r>
        <w:t>ктива 2009/45/ЕО.</w:t>
      </w:r>
    </w:p>
  </w:footnote>
  <w:footnote w:id="15">
    <w:p w:rsidR="00911B13" w:rsidRDefault="00F358D7">
      <w:pPr>
        <w:pStyle w:val="FootnoteText"/>
      </w:pPr>
      <w:r>
        <w:rPr>
          <w:rStyle w:val="FootnoteReference"/>
        </w:rPr>
        <w:footnoteRef/>
      </w:r>
      <w:r>
        <w:t xml:space="preserve"> </w:t>
      </w:r>
      <w:r>
        <w:tab/>
        <w:t xml:space="preserve">Т.е. изборът дали да се изгради кораб от стомана или друг материал зависи най-вече от цената и характеристиките на избрания материал. </w:t>
      </w:r>
    </w:p>
  </w:footnote>
  <w:footnote w:id="16">
    <w:p w:rsidR="00911B13" w:rsidRDefault="00F358D7">
      <w:pPr>
        <w:pStyle w:val="FootnoteText"/>
      </w:pPr>
      <w:r>
        <w:rPr>
          <w:rStyle w:val="FootnoteReference"/>
        </w:rPr>
        <w:footnoteRef/>
      </w:r>
      <w:r>
        <w:t xml:space="preserve"> </w:t>
      </w:r>
      <w:r>
        <w:tab/>
        <w:t>А именно в Дания и Португалия. Националните експерти от Хърватия и Швеция изразиха сходни мнения.</w:t>
      </w:r>
    </w:p>
  </w:footnote>
  <w:footnote w:id="17">
    <w:p w:rsidR="00911B13" w:rsidRDefault="00F358D7">
      <w:pPr>
        <w:pStyle w:val="FootnoteText"/>
      </w:pPr>
      <w:r>
        <w:rPr>
          <w:rStyle w:val="FootnoteReference"/>
        </w:rPr>
        <w:footnoteRef/>
      </w:r>
      <w:r>
        <w:t xml:space="preserve"> </w:t>
      </w:r>
      <w:r>
        <w:tab/>
        <w:t>Трябва да се отбележи, че съответното национално законодателство в някои държави членки се основава на международни стандарти, които вече не са в сила.</w:t>
      </w:r>
    </w:p>
  </w:footnote>
  <w:footnote w:id="18">
    <w:p w:rsidR="00911B13" w:rsidRDefault="00F358D7">
      <w:pPr>
        <w:pStyle w:val="FootnoteText"/>
      </w:pPr>
      <w:r>
        <w:rPr>
          <w:rStyle w:val="FootnoteReference"/>
        </w:rPr>
        <w:footnoteRef/>
      </w:r>
      <w:r>
        <w:t xml:space="preserve"> </w:t>
      </w:r>
      <w:r>
        <w:tab/>
        <w:t>Както беше определено в Директива 2003/25/ЕО след злополуката в Естония през септември 1994 г.</w:t>
      </w:r>
    </w:p>
  </w:footnote>
  <w:footnote w:id="19">
    <w:p w:rsidR="00911B13" w:rsidRDefault="00F358D7">
      <w:pPr>
        <w:pStyle w:val="FootnoteText"/>
      </w:pPr>
      <w:r>
        <w:rPr>
          <w:rStyle w:val="FootnoteReference"/>
        </w:rPr>
        <w:footnoteRef/>
      </w:r>
      <w:r>
        <w:t xml:space="preserve"> </w:t>
      </w:r>
      <w:r>
        <w:tab/>
        <w:t>Т.е. приложението към Директива 2009/45/ЕО.</w:t>
      </w:r>
    </w:p>
  </w:footnote>
  <w:footnote w:id="20">
    <w:p w:rsidR="00911B13" w:rsidRDefault="00F358D7">
      <w:pPr>
        <w:pStyle w:val="FootnoteText"/>
      </w:pPr>
      <w:r>
        <w:rPr>
          <w:rStyle w:val="FootnoteReference"/>
        </w:rPr>
        <w:footnoteRef/>
      </w:r>
      <w:r>
        <w:t xml:space="preserve"> </w:t>
      </w:r>
      <w:r>
        <w:tab/>
        <w:t>Директива 2002/59/ЕО на Европейския парламент и на Съвета за създаване на система на Общността за контрол на движението на корабите и за информация (ОВ L 208, 5.8.2002 г., стр. 10—27).</w:t>
      </w:r>
    </w:p>
  </w:footnote>
  <w:footnote w:id="21">
    <w:p w:rsidR="00911B13" w:rsidRDefault="00F358D7">
      <w:pPr>
        <w:pStyle w:val="FootnoteText"/>
      </w:pPr>
      <w:r>
        <w:rPr>
          <w:rStyle w:val="FootnoteReference"/>
        </w:rPr>
        <w:footnoteRef/>
      </w:r>
      <w:r>
        <w:t xml:space="preserve"> </w:t>
      </w:r>
      <w:r>
        <w:tab/>
        <w:t>Директива 2010/65/ЕО</w:t>
      </w:r>
      <w:r>
        <w:t xml:space="preserve"> на Европейския парламент и на Съвета от 20 октомври 2010 г. относно формалностите за даване на сведения за кораби, пристигащи във и/или напускащи пристанищата на държавите членки (ОВ L 283, 29.10.2010 г., стр. 1—10).</w:t>
      </w:r>
    </w:p>
  </w:footnote>
  <w:footnote w:id="22">
    <w:p w:rsidR="00911B13" w:rsidRDefault="00F358D7">
      <w:pPr>
        <w:pStyle w:val="FootnoteText"/>
      </w:pPr>
      <w:r>
        <w:rPr>
          <w:rStyle w:val="FootnoteReference"/>
        </w:rPr>
        <w:footnoteRef/>
      </w:r>
      <w:r>
        <w:t xml:space="preserve"> </w:t>
      </w:r>
      <w:r>
        <w:tab/>
        <w:t>Т.е. Директива 2003/25/ЕО.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13" w:rsidRDefault="00911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FAAE4E0"/>
    <w:lvl w:ilvl="0">
      <w:start w:val="1"/>
      <w:numFmt w:val="decimal"/>
      <w:pStyle w:val="ListNumber3"/>
      <w:lvlText w:val="%1."/>
      <w:lvlJc w:val="left"/>
      <w:pPr>
        <w:tabs>
          <w:tab w:val="num" w:pos="926"/>
        </w:tabs>
        <w:ind w:left="926" w:hanging="360"/>
      </w:pPr>
    </w:lvl>
  </w:abstractNum>
  <w:abstractNum w:abstractNumId="1">
    <w:nsid w:val="16CC55B1"/>
    <w:multiLevelType w:val="hybridMultilevel"/>
    <w:tmpl w:val="6A2A4E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
    <w:nsid w:val="6BCB2725"/>
    <w:multiLevelType w:val="hybridMultilevel"/>
    <w:tmpl w:val="92FC576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0"/>
  </w:num>
  <w:num w:numId="3">
    <w:abstractNumId w:val="11"/>
  </w:num>
  <w:num w:numId="4">
    <w:abstractNumId w:val="4"/>
  </w:num>
  <w:num w:numId="5">
    <w:abstractNumId w:val="9"/>
  </w:num>
  <w:num w:numId="6">
    <w:abstractNumId w:val="16"/>
  </w:num>
  <w:num w:numId="7">
    <w:abstractNumId w:val="13"/>
  </w:num>
  <w:num w:numId="8">
    <w:abstractNumId w:val="13"/>
  </w:num>
  <w:num w:numId="9">
    <w:abstractNumId w:val="13"/>
  </w:num>
  <w:num w:numId="10">
    <w:abstractNumId w:val="13"/>
  </w:num>
  <w:num w:numId="11">
    <w:abstractNumId w:val="3"/>
  </w:num>
  <w:num w:numId="12">
    <w:abstractNumId w:val="3"/>
  </w:num>
  <w:num w:numId="13">
    <w:abstractNumId w:val="3"/>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num>
  <w:num w:numId="25">
    <w:abstractNumId w:val="6"/>
  </w:num>
  <w:num w:numId="26">
    <w:abstractNumId w:val="14"/>
  </w:num>
  <w:num w:numId="27">
    <w:abstractNumId w:val="5"/>
  </w:num>
  <w:num w:numId="28">
    <w:abstractNumId w:val="7"/>
  </w:num>
  <w:num w:numId="29">
    <w:abstractNumId w:val="0"/>
  </w:num>
  <w:num w:numId="30">
    <w:abstractNumId w:val="15"/>
  </w:num>
  <w:num w:numId="31">
    <w:abstractNumId w:val="1"/>
  </w:num>
  <w:num w:numId="32">
    <w:abstractNumId w:val="3"/>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35DB66FEED9433593359924FBB8F0C6"/>
    <w:docVar w:name="LW_CROSSREFERENCE" w:val="{SWD(2015) 197 final}"/>
    <w:docVar w:name="LW_DocType" w:val="NORMAL"/>
    <w:docVar w:name="LW_EMISSION" w:val="16.10.2015"/>
    <w:docVar w:name="LW_EMISSION_ISODATE" w:val="2015-10-1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08"/>
    <w:docVar w:name="LW_REF.INTERNE" w:val="&lt;UNUSED&gt;"/>
    <w:docVar w:name="LW_SOUS.TITRE.OBJ.CP" w:val="&lt;UNUSED&gt;"/>
    <w:docVar w:name="LW_SUPERTITRE" w:val="&lt;UNUSED&gt;"/>
    <w:docVar w:name="LW_TITRE.OBJ.CP" w:val="\u1040?\u1076?\u1072?\u1087?\u1090?\u1072?\u1094?\u1080?\u1103? \u1085?\u1072? \u1080?\u1079?\u1073?\u1088?\u1072?\u1085?\u1072?\u1090?\u1072? \u1087?\u1086?\u1089?\u1086?\u1082?\u1072?: \u1055?\u1088?\u1086?\u1074?\u1077?\u1088?\u1082?\u1072? \u1079?\u1072? \u1087?\u1088?\u1080?\u1075?\u1086?\u1076?\u1085?\u1086?\u1089?\u1090? \u1085?\u1072? \u1079?\u1072?\u1082?\u1086?\u1085?\u1086?\u1076?\u1072?\u1090?\u1077?\u1083?\u1089?\u1090?\u1074?\u1086?\u1090?\u1086? \u1086?\u1090?\u1085?\u1086?\u1089?\u1085?\u1086? \u1073?\u1077?\u1079?\u1086?\u1087?\u1072?\u1089?\u1085?\u1086?\u1089?\u1090?\u1090?\u1072? \u1085?\u1072? \u1087?\u1098?\u1090?\u1085?\u1080?\u1095?\u1077?\u1089?\u1082?\u1080?\u1090?\u1077? \u1082?\u1086?\u1088?\u1072?\u1073?\u1080? \u1087?\u1086? \u1055?\u1088?\u1086?\u1075?\u1088?\u1072?\u1084?\u1072?\u1090?\u1072? \u1079?\u1072? \u1087?\u1088?\u1080?\u1075?\u1086?\u1076?\u1085?\u1086?\u1089?\u1090? \u1080? \u1088?\u1077?\u1079?\u1091?\u1083?\u1090?\u1072?\u1090?\u1085?\u1086?\u1089?\u1090? \u1085?\u1072? \u1088?\u1077?\u1075?\u1091?\u1083?\u1072?\u1090?\u1086?\u1088?\u1085?\u1072?\u1090?\u1072? \u1088?\u1072?\u1084?\u1082?\u1072? (REFIT)"/>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911B13"/>
    <w:rsid w:val="00911B13"/>
    <w:rsid w:val="00F358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bg-BG" w:eastAsia="bg-BG" w:bidi="bg-BG"/>
    </w:rPr>
  </w:style>
  <w:style w:type="paragraph" w:styleId="Heading1">
    <w:name w:val="heading 1"/>
    <w:basedOn w:val="Normal"/>
    <w:next w:val="Normal"/>
    <w:link w:val="Heading1Char"/>
    <w:uiPriority w:val="9"/>
    <w:qFormat/>
    <w:pPr>
      <w:keepNext/>
      <w:numPr>
        <w:numId w:val="10"/>
      </w:numPr>
      <w:spacing w:before="360"/>
      <w:outlineLvl w:val="0"/>
    </w:pPr>
    <w:rPr>
      <w:rFonts w:eastAsia="SimSun"/>
      <w:b/>
      <w:bCs/>
      <w:smallCaps/>
      <w:szCs w:val="28"/>
    </w:rPr>
  </w:style>
  <w:style w:type="paragraph" w:styleId="Heading2">
    <w:name w:val="heading 2"/>
    <w:basedOn w:val="Normal"/>
    <w:next w:val="Normal"/>
    <w:link w:val="Heading2Char"/>
    <w:uiPriority w:val="9"/>
    <w:semiHidden/>
    <w:unhideWhenUsed/>
    <w:qFormat/>
    <w:pPr>
      <w:keepNext/>
      <w:numPr>
        <w:ilvl w:val="1"/>
        <w:numId w:val="10"/>
      </w:numPr>
      <w:outlineLvl w:val="1"/>
    </w:pPr>
    <w:rPr>
      <w:rFonts w:eastAsia="SimSun"/>
      <w:b/>
      <w:bCs/>
      <w:szCs w:val="26"/>
    </w:rPr>
  </w:style>
  <w:style w:type="paragraph" w:styleId="Heading3">
    <w:name w:val="heading 3"/>
    <w:basedOn w:val="Normal"/>
    <w:next w:val="Normal"/>
    <w:link w:val="Heading3Char"/>
    <w:uiPriority w:val="9"/>
    <w:semiHidden/>
    <w:unhideWhenUsed/>
    <w:qFormat/>
    <w:pPr>
      <w:keepNext/>
      <w:numPr>
        <w:ilvl w:val="2"/>
        <w:numId w:val="10"/>
      </w:numPr>
      <w:outlineLvl w:val="2"/>
    </w:pPr>
    <w:rPr>
      <w:rFonts w:eastAsia="SimSun"/>
      <w:bCs/>
      <w:i/>
    </w:rPr>
  </w:style>
  <w:style w:type="paragraph" w:styleId="Heading4">
    <w:name w:val="heading 4"/>
    <w:basedOn w:val="Normal"/>
    <w:next w:val="Normal"/>
    <w:link w:val="Heading4Char"/>
    <w:uiPriority w:val="9"/>
    <w:semiHidden/>
    <w:unhideWhenUsed/>
    <w:qFormat/>
    <w:pPr>
      <w:keepNext/>
      <w:numPr>
        <w:ilvl w:val="3"/>
        <w:numId w:val="10"/>
      </w:numPr>
      <w:outlineLvl w:val="3"/>
    </w:pPr>
    <w:rPr>
      <w:rFonts w:eastAsia="SimSu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dstrike w:val="0"/>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w:uiPriority w:val="99"/>
    <w:unhideWhenUsed/>
    <w:qFormat/>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before="0"/>
    </w:pPr>
  </w:style>
  <w:style w:type="character" w:customStyle="1" w:styleId="Heading1Char">
    <w:name w:val="Heading 1 Char"/>
    <w:link w:val="Heading1"/>
    <w:uiPriority w:val="9"/>
    <w:rPr>
      <w:rFonts w:ascii="Times New Roman" w:eastAsia="SimSun" w:hAnsi="Times New Roman" w:cs="Times New Roman"/>
      <w:b/>
      <w:bCs/>
      <w:smallCaps/>
      <w:sz w:val="24"/>
      <w:szCs w:val="28"/>
    </w:rPr>
  </w:style>
  <w:style w:type="character" w:customStyle="1" w:styleId="Heading2Char">
    <w:name w:val="Heading 2 Char"/>
    <w:link w:val="Heading2"/>
    <w:uiPriority w:val="9"/>
    <w:semiHidden/>
    <w:rPr>
      <w:rFonts w:ascii="Times New Roman" w:eastAsia="SimSun" w:hAnsi="Times New Roman" w:cs="Times New Roman"/>
      <w:b/>
      <w:bCs/>
      <w:sz w:val="24"/>
      <w:szCs w:val="26"/>
    </w:rPr>
  </w:style>
  <w:style w:type="character" w:customStyle="1" w:styleId="Heading3Char">
    <w:name w:val="Heading 3 Char"/>
    <w:link w:val="Heading3"/>
    <w:uiPriority w:val="9"/>
    <w:semiHidden/>
    <w:rPr>
      <w:rFonts w:ascii="Times New Roman" w:eastAsia="SimSun" w:hAnsi="Times New Roman" w:cs="Times New Roman"/>
      <w:bCs/>
      <w:i/>
      <w:sz w:val="24"/>
    </w:rPr>
  </w:style>
  <w:style w:type="character" w:customStyle="1" w:styleId="Heading4Char">
    <w:name w:val="Heading 4 Char"/>
    <w:link w:val="Heading4"/>
    <w:uiPriority w:val="9"/>
    <w:semiHidden/>
    <w:rPr>
      <w:rFonts w:ascii="Times New Roman" w:eastAsia="SimSun" w:hAnsi="Times New Roman" w:cs="Times New Roman"/>
      <w:bCs/>
      <w:iCs/>
      <w:sz w:val="24"/>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link w:val="NumPar1Char"/>
    <w:pPr>
      <w:numPr>
        <w:numId w:val="14"/>
      </w:numPr>
    </w:pPr>
    <w:rPr>
      <w:szCs w:val="20"/>
      <w:lang w:val="x-none" w:eastAsia="x-none" w:bidi="ar-SA"/>
    </w:r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0"/>
      <w:lang w:val="en-GB" w:eastAsia="en-GB" w:bidi="ar-SA"/>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szCs w:val="20"/>
      <w:lang w:val="en-GB" w:eastAsia="en-GB" w:bidi="ar-SA"/>
    </w:rPr>
  </w:style>
  <w:style w:type="character" w:customStyle="1" w:styleId="HeaderCoverPageChar">
    <w:name w:val="Header Cover Page Char"/>
    <w:link w:val="HeaderCoverPage"/>
    <w:rPr>
      <w:rFonts w:ascii="Times New Roman" w:hAnsi="Times New Roman"/>
      <w:sz w:val="24"/>
    </w:rPr>
  </w:style>
  <w:style w:type="paragraph" w:styleId="ListNumber3">
    <w:name w:val="List Number 3"/>
    <w:basedOn w:val="Normal"/>
    <w:pPr>
      <w:numPr>
        <w:numId w:val="29"/>
      </w:numPr>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aliases w:val="Document Table,Table long document"/>
    <w:basedOn w:val="TableNormal"/>
    <w:uiPriority w:val="59"/>
    <w:pPr>
      <w:spacing w:line="27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Par1Char">
    <w:name w:val="NumPar 1 Char"/>
    <w:link w:val="NumPar1"/>
    <w:locked/>
    <w:rPr>
      <w:rFonts w:ascii="Times New Roman" w:hAnsi="Times New Roman" w:cs="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bg-BG" w:eastAsia="bg-BG" w:bidi="bg-BG"/>
    </w:rPr>
  </w:style>
  <w:style w:type="paragraph" w:styleId="Heading1">
    <w:name w:val="heading 1"/>
    <w:basedOn w:val="Normal"/>
    <w:next w:val="Normal"/>
    <w:link w:val="Heading1Char"/>
    <w:uiPriority w:val="9"/>
    <w:qFormat/>
    <w:pPr>
      <w:keepNext/>
      <w:numPr>
        <w:numId w:val="10"/>
      </w:numPr>
      <w:spacing w:before="360"/>
      <w:outlineLvl w:val="0"/>
    </w:pPr>
    <w:rPr>
      <w:rFonts w:eastAsia="SimSun"/>
      <w:b/>
      <w:bCs/>
      <w:smallCaps/>
      <w:szCs w:val="28"/>
    </w:rPr>
  </w:style>
  <w:style w:type="paragraph" w:styleId="Heading2">
    <w:name w:val="heading 2"/>
    <w:basedOn w:val="Normal"/>
    <w:next w:val="Normal"/>
    <w:link w:val="Heading2Char"/>
    <w:uiPriority w:val="9"/>
    <w:semiHidden/>
    <w:unhideWhenUsed/>
    <w:qFormat/>
    <w:pPr>
      <w:keepNext/>
      <w:numPr>
        <w:ilvl w:val="1"/>
        <w:numId w:val="10"/>
      </w:numPr>
      <w:outlineLvl w:val="1"/>
    </w:pPr>
    <w:rPr>
      <w:rFonts w:eastAsia="SimSun"/>
      <w:b/>
      <w:bCs/>
      <w:szCs w:val="26"/>
    </w:rPr>
  </w:style>
  <w:style w:type="paragraph" w:styleId="Heading3">
    <w:name w:val="heading 3"/>
    <w:basedOn w:val="Normal"/>
    <w:next w:val="Normal"/>
    <w:link w:val="Heading3Char"/>
    <w:uiPriority w:val="9"/>
    <w:semiHidden/>
    <w:unhideWhenUsed/>
    <w:qFormat/>
    <w:pPr>
      <w:keepNext/>
      <w:numPr>
        <w:ilvl w:val="2"/>
        <w:numId w:val="10"/>
      </w:numPr>
      <w:outlineLvl w:val="2"/>
    </w:pPr>
    <w:rPr>
      <w:rFonts w:eastAsia="SimSun"/>
      <w:bCs/>
      <w:i/>
    </w:rPr>
  </w:style>
  <w:style w:type="paragraph" w:styleId="Heading4">
    <w:name w:val="heading 4"/>
    <w:basedOn w:val="Normal"/>
    <w:next w:val="Normal"/>
    <w:link w:val="Heading4Char"/>
    <w:uiPriority w:val="9"/>
    <w:semiHidden/>
    <w:unhideWhenUsed/>
    <w:qFormat/>
    <w:pPr>
      <w:keepNext/>
      <w:numPr>
        <w:ilvl w:val="3"/>
        <w:numId w:val="10"/>
      </w:numPr>
      <w:outlineLvl w:val="3"/>
    </w:pPr>
    <w:rPr>
      <w:rFonts w:eastAsia="SimSu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dstrike w:val="0"/>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w:uiPriority w:val="99"/>
    <w:unhideWhenUsed/>
    <w:qFormat/>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before="0"/>
    </w:pPr>
  </w:style>
  <w:style w:type="character" w:customStyle="1" w:styleId="Heading1Char">
    <w:name w:val="Heading 1 Char"/>
    <w:link w:val="Heading1"/>
    <w:uiPriority w:val="9"/>
    <w:rPr>
      <w:rFonts w:ascii="Times New Roman" w:eastAsia="SimSun" w:hAnsi="Times New Roman" w:cs="Times New Roman"/>
      <w:b/>
      <w:bCs/>
      <w:smallCaps/>
      <w:sz w:val="24"/>
      <w:szCs w:val="28"/>
    </w:rPr>
  </w:style>
  <w:style w:type="character" w:customStyle="1" w:styleId="Heading2Char">
    <w:name w:val="Heading 2 Char"/>
    <w:link w:val="Heading2"/>
    <w:uiPriority w:val="9"/>
    <w:semiHidden/>
    <w:rPr>
      <w:rFonts w:ascii="Times New Roman" w:eastAsia="SimSun" w:hAnsi="Times New Roman" w:cs="Times New Roman"/>
      <w:b/>
      <w:bCs/>
      <w:sz w:val="24"/>
      <w:szCs w:val="26"/>
    </w:rPr>
  </w:style>
  <w:style w:type="character" w:customStyle="1" w:styleId="Heading3Char">
    <w:name w:val="Heading 3 Char"/>
    <w:link w:val="Heading3"/>
    <w:uiPriority w:val="9"/>
    <w:semiHidden/>
    <w:rPr>
      <w:rFonts w:ascii="Times New Roman" w:eastAsia="SimSun" w:hAnsi="Times New Roman" w:cs="Times New Roman"/>
      <w:bCs/>
      <w:i/>
      <w:sz w:val="24"/>
    </w:rPr>
  </w:style>
  <w:style w:type="character" w:customStyle="1" w:styleId="Heading4Char">
    <w:name w:val="Heading 4 Char"/>
    <w:link w:val="Heading4"/>
    <w:uiPriority w:val="9"/>
    <w:semiHidden/>
    <w:rPr>
      <w:rFonts w:ascii="Times New Roman" w:eastAsia="SimSun" w:hAnsi="Times New Roman" w:cs="Times New Roman"/>
      <w:bCs/>
      <w:iCs/>
      <w:sz w:val="24"/>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link w:val="NumPar1Char"/>
    <w:pPr>
      <w:numPr>
        <w:numId w:val="14"/>
      </w:numPr>
    </w:pPr>
    <w:rPr>
      <w:szCs w:val="20"/>
      <w:lang w:val="x-none" w:eastAsia="x-none" w:bidi="ar-SA"/>
    </w:r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0"/>
      <w:lang w:val="en-GB" w:eastAsia="en-GB" w:bidi="ar-SA"/>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szCs w:val="20"/>
      <w:lang w:val="en-GB" w:eastAsia="en-GB" w:bidi="ar-SA"/>
    </w:rPr>
  </w:style>
  <w:style w:type="character" w:customStyle="1" w:styleId="HeaderCoverPageChar">
    <w:name w:val="Header Cover Page Char"/>
    <w:link w:val="HeaderCoverPage"/>
    <w:rPr>
      <w:rFonts w:ascii="Times New Roman" w:hAnsi="Times New Roman"/>
      <w:sz w:val="24"/>
    </w:rPr>
  </w:style>
  <w:style w:type="paragraph" w:styleId="ListNumber3">
    <w:name w:val="List Number 3"/>
    <w:basedOn w:val="Normal"/>
    <w:pPr>
      <w:numPr>
        <w:numId w:val="29"/>
      </w:numPr>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aliases w:val="Document Table,Table long document"/>
    <w:basedOn w:val="TableNormal"/>
    <w:uiPriority w:val="59"/>
    <w:pPr>
      <w:spacing w:line="27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Par1Char">
    <w:name w:val="NumPar 1 Char"/>
    <w:link w:val="NumPar1"/>
    <w:locked/>
    <w:rPr>
      <w:rFonts w:ascii="Times New Roman" w:hAnsi="Times New Roman" w:cs="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A496-BB75-47EE-8543-1838270C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4105</Words>
  <Characters>23401</Characters>
  <Application>Microsoft Office Word</Application>
  <DocSecurity>0</DocSecurity>
  <Lines>195</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2015-09-14T10:32:00Z</cp:lastPrinted>
  <dcterms:created xsi:type="dcterms:W3CDTF">2015-10-13T13:53:00Z</dcterms:created>
  <dcterms:modified xsi:type="dcterms:W3CDTF">2015-10-15T12:29:00Z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