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8F0F900BC7497EB26236AE1F60A431"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(наричана по-долу „Директивата за ДДС“) Съветът, произнасяйки се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опростяване на процедурата за събиране на ДДС или за предотвратяване на определени форми на отклонение от данъчно облагане или избягване на данъци.</w:t>
      </w:r>
    </w:p>
    <w:p>
      <w:pPr>
        <w:pBdr>
          <w:top w:val="nil"/>
          <w:left w:val="nil"/>
          <w:bottom w:val="nil"/>
          <w:right w:val="nil"/>
          <w:between w:val="nil"/>
          <w:bar w:val="nil"/>
        </w:pBdr>
        <w:spacing w:before="0" w:after="240"/>
        <w:rPr>
          <w:rFonts w:eastAsia="Arial Unicode MS"/>
          <w:noProof/>
        </w:rPr>
      </w:pPr>
      <w:r>
        <w:rPr>
          <w:noProof/>
        </w:rPr>
        <w:t>С писмо, заведено в Комисията на 22 май 2015 г., Обединеното кралство поиска разрешение да продължи да прилага мярка за дерогация от членове 16 и 168 от Директивата за ДДС. В съответствие с член 395, параграф 2 от Директивата за ДДС, с писмо от 5 юни 2015 г. Комисията информира останалите държави членки за отправеното от Обединеното кралство искане. С писмо от 8 юни 2015 г. Комисията уведоми Обединеното кралство, че е получила пълната информация, която смята за необходима за разглеждане на искането.</w:t>
      </w:r>
    </w:p>
    <w:p>
      <w:pPr>
        <w:pStyle w:val="ManualHeading2"/>
        <w:ind w:left="0" w:firstLine="0"/>
        <w:rPr>
          <w:rFonts w:eastAsia="Arial Unicode MS"/>
          <w:noProof/>
        </w:rPr>
      </w:pPr>
      <w:r>
        <w:rPr>
          <w:noProof/>
        </w:rPr>
        <w:tab/>
        <w:t>Общ контекст</w:t>
      </w:r>
    </w:p>
    <w:p>
      <w:pPr>
        <w:rPr>
          <w:noProof/>
        </w:rPr>
      </w:pPr>
      <w:r>
        <w:rPr>
          <w:noProof/>
        </w:rPr>
        <w:t>Съгласно членове 168 и 168а от Директивата за ДДС данъчно задълженото лице има правото да приспадне ДДС, начислен при покупки, извършени за целите на неговите облагаеми сделки. Член 26, параграф 1, буква а) от същата директива изисква използването за лични цели на стоки, които са част от стопанските активи, да се счита за възмездна доставка на услуги, ако дължимият за тези стоки ДДС подлежи на приспадане. Тази система позволява възстановяването на първоначално приспаднатия ДДС във връзка с използването за лични цели.</w:t>
      </w:r>
    </w:p>
    <w:p>
      <w:pPr>
        <w:rPr>
          <w:noProof/>
        </w:rPr>
      </w:pPr>
      <w:r>
        <w:rPr>
          <w:noProof/>
        </w:rPr>
        <w:t>В случай на служебни автомобили, които частично се използват за лични (нестопански) цели, често изчисляването и облагането на използването за лични цели по силата на горепосочените правила е трудно.</w:t>
      </w:r>
    </w:p>
    <w:p>
      <w:pPr>
        <w:rPr>
          <w:rFonts w:eastAsia="Arial Unicode MS"/>
          <w:noProof/>
        </w:rPr>
      </w:pPr>
      <w:r>
        <w:rPr>
          <w:noProof/>
        </w:rPr>
        <w:t>В тази връзка Обединеното кралство е приложило специалния режим на единна ставка на данъчно облагане на използването за лични цели, разрешено с Решение № 86/356/ЕИО на Съвета от 21 юли 1986 г. относно даване на разрешение на Обединеното кралство да прилага фиксирани мерки по отношение на неподлежащия на приспадане данък върху добавената стойност, дължим за гориво, разходвано за служебни автомобили</w:t>
      </w:r>
      <w:r>
        <w:rPr>
          <w:rStyle w:val="FootnoteReference"/>
          <w:noProof/>
        </w:rPr>
        <w:footnoteReference w:id="1"/>
      </w:r>
      <w:r>
        <w:rPr>
          <w:noProof/>
        </w:rPr>
        <w:t>, основаващ се на обема на двигателя и вида гориво на автомобила.</w:t>
      </w:r>
    </w:p>
    <w:p>
      <w:pPr>
        <w:rPr>
          <w:noProof/>
        </w:rPr>
      </w:pPr>
      <w:r>
        <w:rPr>
          <w:noProof/>
        </w:rPr>
        <w:t>Тази първоначална дерогация беше премахната и заменена от Решение № 2006/659/ЕО на Съвета от 25 септември 2006 г., с което се разрешава на Обединеното кралство да въведе специална мярка за дерогация от член 5, параграф 6 и член 11, част А,  параграф 1, буква б) от Директива 77/388/ЕИО относно хармонизирането на законодателствата на държавите членки относно данъците върху оборота</w:t>
      </w:r>
      <w:r>
        <w:rPr>
          <w:rStyle w:val="FootnoteReference"/>
          <w:noProof/>
        </w:rPr>
        <w:footnoteReference w:id="2"/>
      </w:r>
      <w:r>
        <w:rPr>
          <w:noProof/>
        </w:rPr>
        <w:t>, за въвеждане на единна ставка за данъчно облагане на използването за лични цели въз основа на нивото на емисиите на CO</w:t>
      </w:r>
      <w:r>
        <w:rPr>
          <w:noProof/>
          <w:vertAlign w:val="subscript"/>
        </w:rPr>
        <w:t>2</w:t>
      </w:r>
      <w:r>
        <w:rPr>
          <w:noProof/>
        </w:rPr>
        <w:t xml:space="preserve"> на автомобилите. Тази схема се основава на факта, че съществува пряка връзка между емисиите и количеството консумирано гориво, като по-високите нива съответстват на по-голям разход на гориво. Въз основа на тези нива на емисиите се изчислява разходът на гориво на километър, който впоследствие се съчетава със средните разстояния, изминати за лични цели, определени въз основа на данните за преките данъци и цената на дребно на автомобилните горива. Това води до облагане на използването за  лични цели, което съответства на сумата на ДДС върху използването на превозното средство за лични цели. Това облагане се преизчислява веднъж годишно, за да се вземат предвид промените в цените на горивото.</w:t>
      </w:r>
    </w:p>
    <w:p>
      <w:pPr>
        <w:rPr>
          <w:noProof/>
        </w:rPr>
      </w:pPr>
      <w:r>
        <w:rPr>
          <w:noProof/>
        </w:rPr>
        <w:t>Според Обединеното кралство тази система е доказала, че е точна и е довела до значително опростяване както за предприятията, така и за данъчната администрация. В този контекст следва да се отбележи, че системата е незадължителна за данъчно задължените лица, които могат да изберат облагане съгласно обичайните правила. Въпреки това, съгласно оценките опростяването се прилага за около 230 000 превозни средства.</w:t>
      </w:r>
    </w:p>
    <w:p>
      <w:pPr>
        <w:rPr>
          <w:noProof/>
        </w:rPr>
      </w:pPr>
      <w:r>
        <w:rPr>
          <w:noProof/>
        </w:rPr>
        <w:t>На тази основа Обединеното кралство поиска удължаване на срока на прилагане на дерогацията.</w:t>
      </w:r>
    </w:p>
    <w:p>
      <w:pPr>
        <w:rPr>
          <w:noProof/>
        </w:rPr>
      </w:pPr>
      <w:r>
        <w:rPr>
          <w:noProof/>
        </w:rPr>
        <w:t>Горепосоченото решение, което изтича на 31 декември 2015 г., е издадено въз основа на т.нар. Шеста Директива 77/388/ЕИО на Съвета от 17 май 1977 г. година относно хармонизирането на законодателствата на държавите членки относно данъците върху оборота — обща система на данъка върху добавената стойност: единна данъчна основа</w:t>
      </w:r>
      <w:r>
        <w:rPr>
          <w:rStyle w:val="FootnoteReference"/>
          <w:noProof/>
        </w:rPr>
        <w:footnoteReference w:id="3"/>
      </w:r>
      <w:r>
        <w:rPr>
          <w:noProof/>
        </w:rPr>
        <w:t>, която без съществени промени по отношение на нейното съдържание, е заменена от Директивата за ДДС, която съответно е основата за настоящото решение.</w:t>
      </w:r>
    </w:p>
    <w:p>
      <w:pPr>
        <w:rPr>
          <w:noProof/>
        </w:rPr>
      </w:pPr>
      <w:r>
        <w:rPr>
          <w:noProof/>
        </w:rPr>
        <w:t>Всяко искане за удължаване на срока след 31 декември 2018 г. следва да се придружава от доклад относно функционирането на системата.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rPr>
          <w:noProof/>
        </w:rPr>
      </w:pPr>
      <w:r>
        <w:rPr>
          <w:noProof/>
        </w:rPr>
        <w:t>Като се има предвид разпоредбата от Директивата за ДДС, на която се основава предложението, то попада в обхвата на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Решението се отнася до даване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поставената цел, а именно опростяването на процедурата за събиране на ДДС. Тя не надхвърля необходимото за опростяване събирането на ДДС в конкретен сектор.</w:t>
      </w:r>
    </w:p>
    <w:p>
      <w:pPr>
        <w:pBdr>
          <w:top w:val="nil"/>
          <w:left w:val="nil"/>
          <w:bottom w:val="nil"/>
          <w:right w:val="nil"/>
          <w:between w:val="nil"/>
          <w:bar w:val="nil"/>
        </w:pBdr>
        <w:spacing w:before="0" w:after="240"/>
        <w:rPr>
          <w:rFonts w:eastAsia="Arial Unicode MS"/>
          <w:noProof/>
        </w:rPr>
      </w:pPr>
      <w:r>
        <w:rPr>
          <w:noProof/>
        </w:rPr>
        <w:t>Системата остава незадължителна за данъчно задължените лица.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По силата на член 395 от Директивата за ДДС дерогация от общите правила за ДДС е възможна единствено с разрешение на Съвета, действащ с единодушие по предложение на Комисията. Освен това Решение на Съвета е най-подходящият инструмент, тъй като то може да бъде отправено към отделни държави членки.</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Обединеното кралство, и се отнася само до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за решение цели опростяване на събирането на ДДС по отношение на служебни автомобили, които частично се използват за нестопански цели, и следователно има потенциално положително въздействие.</w:t>
      </w:r>
    </w:p>
    <w:p>
      <w:pPr>
        <w:pBdr>
          <w:top w:val="nil"/>
          <w:left w:val="nil"/>
          <w:bottom w:val="nil"/>
          <w:right w:val="nil"/>
          <w:between w:val="nil"/>
          <w:bar w:val="nil"/>
        </w:pBdr>
        <w:spacing w:before="0" w:after="240"/>
        <w:rPr>
          <w:rFonts w:eastAsia="Arial Unicode MS"/>
          <w:noProof/>
        </w:rPr>
      </w:pPr>
      <w:r>
        <w:rPr>
          <w:noProof/>
        </w:rPr>
        <w:t>За данъчно задължените лица, които биха избрали да се възползват от тази система, тя намалява административната тежест и разходите за постигане на съответствие, като премахва необходимостта да се води отчетност с точни данни за разстоянията, изминати от всеки служебен автомобил, за целите на ДДС. Може да се окаже, че подобни изисквания за съхраняване на данни отнемат доста време и често налагат значителна административна тежест за относително малки данъчни суми. Методът на опростяване намалява и тежестите за данъчните органи, от които в противен случай ще се изисква да извършват одит на многобройни индивидуални ситуации.</w:t>
      </w:r>
    </w:p>
    <w:p>
      <w:pPr>
        <w:rPr>
          <w:rFonts w:eastAsia="Arial Unicode MS"/>
          <w:noProof/>
        </w:rPr>
      </w:pPr>
      <w:r>
        <w:rPr>
          <w:noProof/>
        </w:rPr>
        <w:t xml:space="preserve">Въпреки това въздействието при всички случаи ще бъде ограничено поради тесния обхват на дерогацията и ограничения период на прилагане.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отрицателно отражение върху бюджета на ЕС.</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rFonts w:eastAsia="Arial Unicode MS"/>
          <w:noProof/>
        </w:rPr>
      </w:pPr>
      <w:r>
        <w:rPr>
          <w:noProof/>
        </w:rPr>
        <w:t>Предложението включва клауза за изтичане на срока на действие — автоматичен краен срок на действие, който е определен на 31 декември 2018 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2015/0238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Обединеното кралство да прилага специална мярка за дерогация от член 26, параграф 1, буква а) и членове 168 и 168а от Директива 2006/112/EО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4"/>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 2006/659/ЕО на Съвета</w:t>
      </w:r>
      <w:r>
        <w:rPr>
          <w:rStyle w:val="FootnoteReference"/>
          <w:noProof/>
        </w:rPr>
        <w:footnoteReference w:id="5"/>
      </w:r>
      <w:r>
        <w:rPr>
          <w:noProof/>
        </w:rPr>
        <w:t xml:space="preserve"> на Обединеното кралство се разреши да прилага специални мерки за опростяване, за определяне въз основа на фиксиран размер на дела на неподлежащ на приспадане данък върху добавената стойност (ДДС), свързан с разходите на гориво в служебни автомобили, които не се използват изключително за целите на стопанската дейност. Системата, която е незадължителна за данъчно задължените лица, се основава на нивото на емисиите на въглероден диоксид (CO</w:t>
      </w:r>
      <w:r>
        <w:rPr>
          <w:noProof/>
          <w:vertAlign w:val="subscript"/>
        </w:rPr>
        <w:t>2</w:t>
      </w:r>
      <w:r>
        <w:rPr>
          <w:noProof/>
        </w:rPr>
        <w:t>) от автомобилите, тъй като съществува пропорционална зависимост между емисиите и разхода на гориво, а оттам и на разходите за гориво.</w:t>
      </w:r>
    </w:p>
    <w:p>
      <w:pPr>
        <w:pStyle w:val="ManualConsidrant"/>
        <w:rPr>
          <w:noProof/>
        </w:rPr>
      </w:pPr>
      <w:r>
        <w:t>(2)</w:t>
      </w:r>
      <w:r>
        <w:tab/>
      </w:r>
      <w:r>
        <w:rPr>
          <w:noProof/>
        </w:rPr>
        <w:t>С писмо, заведено в Комисията на 22 май 2015 г., Обединеното кралство поиска разрешение да продължи да прилага мярката.</w:t>
      </w:r>
    </w:p>
    <w:p>
      <w:pPr>
        <w:pStyle w:val="ManualConsidrant"/>
        <w:rPr>
          <w:noProof/>
        </w:rPr>
      </w:pPr>
      <w:r>
        <w:t>(3)</w:t>
      </w:r>
      <w:r>
        <w:tab/>
      </w:r>
      <w:r>
        <w:rPr>
          <w:noProof/>
        </w:rPr>
        <w:t>С писмо от 5 юни 2015 г. Комисията уведоми останалите държави членки за отправеното от Обединеното кралство искане. С писмо от 8 юни 2015 г. Комисията съобщи на Обединеното кралство, че разполага с пълната информация, необходима за разглеждане на искането.</w:t>
      </w:r>
    </w:p>
    <w:p>
      <w:pPr>
        <w:pStyle w:val="ManualConsidrant"/>
        <w:rPr>
          <w:noProof/>
        </w:rPr>
      </w:pPr>
      <w:r>
        <w:t>(4)</w:t>
      </w:r>
      <w:r>
        <w:tab/>
      </w:r>
      <w:r>
        <w:rPr>
          <w:noProof/>
        </w:rPr>
        <w:t>Според Обединеното кралство, тази договореност на практика е довела до опростяване както за данъчно задължените лица, така и за данъчната администрация, на процедурата за събиране на ДДС във връзка с разходите за гориво за служебните автомобили. Следователно е целесъобразно на Обединеното кралство да се разреши да прилага мярката до 31 декември 2018 г.</w:t>
      </w:r>
    </w:p>
    <w:p>
      <w:pPr>
        <w:pStyle w:val="ManualConsidrant"/>
        <w:rPr>
          <w:noProof/>
        </w:rPr>
      </w:pPr>
      <w:r>
        <w:t>(5)</w:t>
      </w:r>
      <w:r>
        <w:tab/>
      </w:r>
      <w:r>
        <w:rPr>
          <w:noProof/>
        </w:rPr>
        <w:t>В случай че Обединеното кралство счита за необходимо ново удължаване на срока след 2018 г., то следва да представи на Комисията искане за удължаване, придружено от доклад, не по-късно от 31 март 2018 г.</w:t>
      </w:r>
    </w:p>
    <w:p>
      <w:pPr>
        <w:pStyle w:val="ManualConsidrant"/>
        <w:rPr>
          <w:noProof/>
        </w:rPr>
      </w:pPr>
      <w:r>
        <w:t>(6)</w:t>
      </w:r>
      <w:r>
        <w:tab/>
      </w:r>
      <w:r>
        <w:rPr>
          <w:noProof/>
        </w:rPr>
        <w:t>Мярката за дерогация няма отрицателно въздействие върху собствените ресурси на Съюза, формирани от ДДС.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 26, параграф 1, буква a), членове 168 и 168а от Директива 2006/112/ЕО, на Обединеното кралство се разрешава от 1 януари 2016 г. до 31 декември 2018 г. да определя на фиксирана основа дела от данъка върху добавената стойност, свързан с разходите за гориво за служебни автомобили, използвани за частни цели.</w:t>
      </w:r>
    </w:p>
    <w:p>
      <w:pPr>
        <w:pStyle w:val="Titrearticle"/>
      </w:pPr>
      <w:r>
        <w:rPr>
          <w:noProof/>
        </w:rPr>
        <w:t>Член 2</w:t>
      </w:r>
    </w:p>
    <w:p>
      <w:pPr>
        <w:rPr>
          <w:noProof/>
        </w:rPr>
      </w:pPr>
      <w:r>
        <w:rPr>
          <w:noProof/>
        </w:rPr>
        <w:t>Делът от данъка, посочен в член 1, се изразява като фиксирани суми, определени въз основа на равнището на емисии на CO</w:t>
      </w:r>
      <w:r>
        <w:rPr>
          <w:noProof/>
          <w:vertAlign w:val="subscript"/>
        </w:rPr>
        <w:t>2</w:t>
      </w:r>
      <w:r>
        <w:rPr>
          <w:noProof/>
        </w:rPr>
        <w:t xml:space="preserve"> за типа превозно средство, които отразяват потреблението на гориво. Обединеното кралство ще коригира тези фиксирани суми ежегодно, за да се отразят промените в средната цена на горивото.</w:t>
      </w:r>
    </w:p>
    <w:p>
      <w:pPr>
        <w:pStyle w:val="Titrearticle"/>
      </w:pPr>
      <w:r>
        <w:rPr>
          <w:noProof/>
        </w:rPr>
        <w:t>Член 3</w:t>
      </w:r>
    </w:p>
    <w:p>
      <w:pPr>
        <w:rPr>
          <w:noProof/>
        </w:rPr>
      </w:pPr>
      <w:r>
        <w:rPr>
          <w:noProof/>
        </w:rPr>
        <w:t>Системата, създадена въз основа на настоящото решение, е незадължителна за данъчно задължените лица.</w:t>
      </w:r>
    </w:p>
    <w:p>
      <w:pPr>
        <w:pStyle w:val="Titrearticle"/>
      </w:pPr>
      <w:r>
        <w:rPr>
          <w:noProof/>
        </w:rPr>
        <w:t>Член 4</w:t>
      </w:r>
    </w:p>
    <w:p>
      <w:pPr>
        <w:rPr>
          <w:noProof/>
        </w:rPr>
      </w:pPr>
      <w:r>
        <w:rPr>
          <w:noProof/>
        </w:rPr>
        <w:t>Всяко искане за удължаване на срока на действие на мярката, предвидена в настоящото решение, се представя на Комисията не по-късно от 31 март 2018 г., и се придружава от доклад, който включва преглед на прилагането на посочената мярка.</w:t>
      </w:r>
    </w:p>
    <w:p>
      <w:pPr>
        <w:pStyle w:val="Titrearticle"/>
      </w:pPr>
      <w:r>
        <w:rPr>
          <w:noProof/>
        </w:rPr>
        <w:t>Член 5</w:t>
      </w:r>
    </w:p>
    <w:p>
      <w:pPr>
        <w:keepNext/>
        <w:keepLines/>
        <w:rPr>
          <w:noProof/>
        </w:rPr>
      </w:pPr>
      <w:r>
        <w:rPr>
          <w:noProof/>
          <w:color w:val="000000"/>
        </w:rPr>
        <w:t>Адресат на настоящото решение е Обединеното кралство Великобритания и Северна Ирландия.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212, 2.8.1986 г., стр. 35.</w:t>
      </w:r>
    </w:p>
  </w:footnote>
  <w:footnote w:id="2">
    <w:p>
      <w:pPr>
        <w:pStyle w:val="FootnoteText"/>
        <w:rPr>
          <w:lang w:val="ru-RU"/>
        </w:rPr>
      </w:pPr>
      <w:r>
        <w:rPr>
          <w:rStyle w:val="FootnoteReference"/>
        </w:rPr>
        <w:footnoteRef/>
      </w:r>
      <w:r>
        <w:tab/>
        <w:t>ОВ L 272, 3.10.2006 г., стр. 15.</w:t>
      </w:r>
    </w:p>
  </w:footnote>
  <w:footnote w:id="3">
    <w:p>
      <w:pPr>
        <w:pStyle w:val="FootnoteText"/>
        <w:rPr>
          <w:lang w:val="ru-RU"/>
        </w:rPr>
      </w:pPr>
      <w:r>
        <w:rPr>
          <w:rStyle w:val="FootnoteReference"/>
        </w:rPr>
        <w:footnoteRef/>
      </w:r>
      <w:r>
        <w:tab/>
        <w:t>ОВ L 145, 13.6.1977 г., стр. 1.</w:t>
      </w:r>
    </w:p>
  </w:footnote>
  <w:footnote w:id="4">
    <w:p>
      <w:pPr>
        <w:pStyle w:val="FootnoteText"/>
      </w:pPr>
      <w:r>
        <w:rPr>
          <w:rStyle w:val="FootnoteReference"/>
        </w:rPr>
        <w:footnoteRef/>
      </w:r>
      <w:r>
        <w:tab/>
      </w:r>
      <w:hyperlink r:id="rId1">
        <w:r>
          <w:rPr>
            <w:rStyle w:val="Hyperlink"/>
          </w:rPr>
          <w:t>OJ L 347, 11.12.2006 г, стр. 1</w:t>
        </w:r>
      </w:hyperlink>
      <w:r>
        <w:t>.</w:t>
      </w:r>
    </w:p>
  </w:footnote>
  <w:footnote w:id="5">
    <w:p>
      <w:pPr>
        <w:pStyle w:val="FootnoteText"/>
      </w:pPr>
      <w:r>
        <w:rPr>
          <w:rStyle w:val="FootnoteReference"/>
        </w:rPr>
        <w:footnoteRef/>
      </w:r>
      <w:r>
        <w:tab/>
        <w:t>Решение 2006/659/ЕО на Съвета от 25 септември 2006 г. с което на Обединеното кралство се предоставя разрешение да въведе специална мярка за дерогация от член 5, параграф 6 и член 11, част А,  параграф 1, буква б) от Директива 77/388/ЕИО относно хармонизиране на законодателствата на държавите членки относно данъците върху оборота (OВ L 272, 3.10.2006 г., стр.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28F7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08FD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7C4F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9AE5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2AEB1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8D3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420F0E"/>
    <w:lvl w:ilvl="0">
      <w:start w:val="1"/>
      <w:numFmt w:val="decimal"/>
      <w:pStyle w:val="ListNumber"/>
      <w:lvlText w:val="%1."/>
      <w:lvlJc w:val="left"/>
      <w:pPr>
        <w:tabs>
          <w:tab w:val="num" w:pos="360"/>
        </w:tabs>
        <w:ind w:left="360" w:hanging="360"/>
      </w:pPr>
    </w:lvl>
  </w:abstractNum>
  <w:abstractNum w:abstractNumId="7">
    <w:nsid w:val="FFFFFF89"/>
    <w:multiLevelType w:val="singleLevel"/>
    <w:tmpl w:val="CA3CFB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2 12:34:4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38F0F900BC7497EB26236AE1F60A431"/>
    <w:docVar w:name="LW_CROSSREFERENCE" w:val="&lt;UNUSED&gt;"/>
    <w:docVar w:name="LW_DocType" w:val="COM"/>
    <w:docVar w:name="LW_EMISSION" w:val="12.10.2015"/>
    <w:docVar w:name="LW_EMISSION_ISODATE" w:val="2015-10-12"/>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8"/>
    <w:docVar w:name="LW_REF.II.NEW.CP_YEAR" w:val="2015"/>
    <w:docVar w:name="LW_REF.INST.NEW" w:val="COM"/>
    <w:docVar w:name="LW_REF.INST.NEW_ADOPTED" w:val="final"/>
    <w:docVar w:name="LW_REF.INST.NEW_TEXT" w:val="(2015) 494"/>
    <w:docVar w:name="LW_REF.INTERNE" w:val="&lt;UNUSED&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4?\u1073?\u1077?\u1076?\u1080?\u1085?\u1077?\u1085?\u1086?\u1090?\u1086? \u1082?\u1088?\u1072?\u1083?\u1089?\u1090?\u1074?\u1086? \u1076?\u1072? \u1087?\u1088?\u1080?\u1083?\u1072?\u1075?\u1072? \u1089?\u1087?\u1077?\u1094?\u1080?\u1072?\u1083?\u1085?\u1072? \u1084?\u1103?\u1088?\u1082?\u1072? \u1079?\u1072? \u1076?\u1077?\u1088?\u1086?\u1075?\u1072?\u1094?\u1080?\u1103? \u1086?\u1090? \u1095?\u1083?\u1077?\u1085? 26, \u1087?\u1072?\u1088?\u1072?\u1075?\u1088?\u1072?\u1092? 1, \u1073?\u1091?\u1082?\u1074?\u1072? \u1072?) \u1080? \u1095?\u1083?\u1077?\u1085?\u1086?\u1074?\u1077? 168 \u1080? 168\u1072? \u1086?\u1090? \u1044?\u1080?\u1088?\u1077?\u1082?\u1090?\u1080?\u1074?\u1072? 2006/112/E\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6:34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6D01E-6212-40E0-884E-EC9285E9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1634</Words>
  <Characters>9217</Characters>
  <Application>Microsoft Office Word</Application>
  <DocSecurity>0</DocSecurity>
  <Lines>180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2015-08-14T11:12:00Z</cp:lastPrinted>
  <dcterms:created xsi:type="dcterms:W3CDTF">2015-10-02T07:39:00Z</dcterms:created>
  <dcterms:modified xsi:type="dcterms:W3CDTF">2015-10-12T10:34:00Z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