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4E68FC45D5A4D7C98BE8118DE06E9D5"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rPr>
          <w:noProof/>
        </w:rPr>
      </w:pPr>
      <w:r>
        <w:rPr>
          <w:noProof/>
        </w:rPr>
        <w:t>Съветът упълномощи Европейската комисия да води, от името на Европейския съюз, преговори за подновяване на протокола 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Европейската общност и Ислямска република Мавритания. След приключването на преговорите на 10 юли 2015 г. преговарящите парафираха нов протокол. Той обхваща период от четири години, считано от датата на временното прилагане, определена в член 14 — т.е. от датата на подписването му.</w:t>
      </w:r>
    </w:p>
    <w:p>
      <w:pPr>
        <w:rPr>
          <w:noProof/>
        </w:rPr>
      </w:pPr>
      <w:r>
        <w:rPr>
          <w:noProof/>
        </w:rPr>
        <w:t xml:space="preserve">Основната цел на протокола е да се предоставят възможности за риболов на корабите на Европейския съюз във водите на Мавритания, в рамките на наличния излишък, с оглед на най-актуалните налични научни оценки, и по-специално тези на Комитета по риболова в централната източна част на Атлантическия океан (CECAF), и в съответствие с наличните научни становища и с препоръките на Международната комисия за опазване на рибата тон в Атлантическия океан (ICCAT). Позицията на Комисията се основава, наред с другото, на резултатите от извършената от външни експерти прогнозна оценка относно възможността за сключване на нов протокол. </w:t>
      </w:r>
    </w:p>
    <w:p>
      <w:pPr>
        <w:rPr>
          <w:noProof/>
        </w:rPr>
      </w:pPr>
      <w:r>
        <w:rPr>
          <w:noProof/>
        </w:rPr>
        <w:t>Целта е също да се засили сътрудничеството между Европейския съюз и Ислямска република Мавритания с оглед на установяването на рамка за партньорство за развитието на политика на устойчиво рибарство и за отговорно използване на рибните ресурси в риболовната зона на Ислямска република Мавритания в интерес и на двете страни.</w:t>
      </w:r>
    </w:p>
    <w:p>
      <w:pPr>
        <w:rPr>
          <w:noProof/>
        </w:rPr>
      </w:pPr>
      <w:r>
        <w:rPr>
          <w:noProof/>
        </w:rPr>
        <w:t>Протоколът предвижда възможности за риболов в следните категории:</w:t>
      </w:r>
    </w:p>
    <w:p>
      <w:pPr>
        <w:pStyle w:val="Tiret0"/>
        <w:numPr>
          <w:ilvl w:val="0"/>
          <w:numId w:val="17"/>
        </w:numPr>
        <w:rPr>
          <w:noProof/>
        </w:rPr>
      </w:pPr>
      <w:r>
        <w:rPr>
          <w:noProof/>
        </w:rPr>
        <w:t>Категория 1 — Кораби за улов на ракообразни с изключение на лангуста и рак: 5000 тона и 25 кораба;</w:t>
      </w:r>
    </w:p>
    <w:p>
      <w:pPr>
        <w:pStyle w:val="Tiret0"/>
        <w:numPr>
          <w:ilvl w:val="0"/>
          <w:numId w:val="15"/>
        </w:numPr>
        <w:rPr>
          <w:noProof/>
        </w:rPr>
      </w:pPr>
      <w:r>
        <w:rPr>
          <w:noProof/>
        </w:rPr>
        <w:t>Категория 2 — Траулери (нехладилни) за черна мерлуза и кораби за риболов с дънни парагади: 6000 тона и 6 кораба;</w:t>
      </w:r>
    </w:p>
    <w:p>
      <w:pPr>
        <w:pStyle w:val="Tiret0"/>
        <w:numPr>
          <w:ilvl w:val="0"/>
          <w:numId w:val="15"/>
        </w:numPr>
        <w:rPr>
          <w:noProof/>
        </w:rPr>
      </w:pPr>
      <w:r>
        <w:rPr>
          <w:noProof/>
        </w:rPr>
        <w:t>Категория 3 — Риболовни кораби, специализирани за улов на дънни видове, различни от черна мерлуза посредством риболовни уреди, различни от трал: 3000 тона и 6 кораба;</w:t>
      </w:r>
    </w:p>
    <w:p>
      <w:pPr>
        <w:pStyle w:val="Tiret0"/>
        <w:numPr>
          <w:ilvl w:val="0"/>
          <w:numId w:val="15"/>
        </w:numPr>
        <w:rPr>
          <w:noProof/>
        </w:rPr>
      </w:pPr>
      <w:r>
        <w:rPr>
          <w:noProof/>
        </w:rPr>
        <w:t>Категория 4 — Кораби за улов на риба тон със сейнер: 12 500 тона (референтен тонаж) и 25 кораба;</w:t>
      </w:r>
    </w:p>
    <w:p>
      <w:pPr>
        <w:pStyle w:val="Tiret0"/>
        <w:numPr>
          <w:ilvl w:val="0"/>
          <w:numId w:val="15"/>
        </w:numPr>
        <w:rPr>
          <w:noProof/>
        </w:rPr>
      </w:pPr>
      <w:r>
        <w:rPr>
          <w:noProof/>
        </w:rPr>
        <w:t>Категория 5 — Кораби за улов на риба тон, с въдици и кораби за риболов с парагади: 7500 тона (референтен тонаж) и 15 кораба;</w:t>
      </w:r>
    </w:p>
    <w:p>
      <w:pPr>
        <w:pStyle w:val="Tiret0"/>
        <w:numPr>
          <w:ilvl w:val="0"/>
          <w:numId w:val="15"/>
        </w:numPr>
        <w:rPr>
          <w:noProof/>
        </w:rPr>
      </w:pPr>
      <w:r>
        <w:rPr>
          <w:noProof/>
        </w:rPr>
        <w:t>Категория 6 — Хладилни траулери за пелагичен риболов: 247 500 тона и 19 кораба;</w:t>
      </w:r>
    </w:p>
    <w:p>
      <w:pPr>
        <w:pStyle w:val="Tiret0"/>
        <w:numPr>
          <w:ilvl w:val="0"/>
          <w:numId w:val="15"/>
        </w:numPr>
        <w:rPr>
          <w:noProof/>
        </w:rPr>
      </w:pPr>
      <w:r>
        <w:rPr>
          <w:noProof/>
        </w:rPr>
        <w:t xml:space="preserve">Категория 7 — Кораби за пелагичен риболов без замразяване: 15 000 тона (приспаднати от обема за категория 6, ако се използват) и 2 кораба. </w:t>
      </w:r>
    </w:p>
    <w:p>
      <w:pPr>
        <w:rPr>
          <w:noProof/>
        </w:rPr>
      </w:pPr>
      <w:r>
        <w:rPr>
          <w:noProof/>
        </w:rPr>
        <w:t>Въз основа на това Комисията предлага Съветът да разреши подписването и временното прилагане на този нов протокол.</w:t>
      </w:r>
    </w:p>
    <w:p>
      <w:pPr>
        <w:pStyle w:val="ManualHeading1"/>
        <w:rPr>
          <w:noProof/>
        </w:rPr>
      </w:pPr>
      <w:r>
        <w:lastRenderedPageBreak/>
        <w:t>2.</w:t>
      </w:r>
      <w:r>
        <w:tab/>
      </w:r>
      <w:r>
        <w:rPr>
          <w:noProof/>
        </w:rPr>
        <w:t>РЕЗУЛТАТИ ОТ КОНСУЛТАЦИИТЕ СЪС ЗАИНТЕРЕСОВАНИТЕ СТРАНИ И ОТ ОЦЕНКИТЕ НА ВЪЗДЕЙСТВИЕТО</w:t>
      </w:r>
    </w:p>
    <w:p>
      <w:pPr>
        <w:rPr>
          <w:noProof/>
        </w:rPr>
      </w:pPr>
      <w:r>
        <w:rPr>
          <w:noProof/>
        </w:rPr>
        <w:t>Консултации със заинтересованите страни бяха извършени в рамките на оценката на протокола за периода 2012—2014 г. По време на техническите срещи бяха извършени консултации и с експертите на държавите членки. Тези консултации потвърдиха интереса от това да се поднови протоколът с Ислямска република Мавритания в областта на рибарството.</w:t>
      </w:r>
    </w:p>
    <w:p>
      <w:pPr>
        <w:pStyle w:val="ManualHeading1"/>
        <w:rPr>
          <w:noProof/>
        </w:rPr>
      </w:pPr>
      <w:r>
        <w:t>3.</w:t>
      </w:r>
      <w:r>
        <w:tab/>
      </w:r>
      <w:r>
        <w:rPr>
          <w:noProof/>
        </w:rPr>
        <w:t>ПРАВНИ ЕЛЕМЕНТИ НА ПРЕДЛОЖЕНИЕТО</w:t>
      </w:r>
    </w:p>
    <w:p>
      <w:pPr>
        <w:rPr>
          <w:noProof/>
        </w:rPr>
      </w:pPr>
      <w:r>
        <w:rPr>
          <w:noProof/>
        </w:rPr>
        <w:t>Настоящата процедура се открива едновременно с процедурите, свързани с решението на Съвета за упълномощаване на сключването на протокола, както и с регламента на Съвета относно разпределянето на възможностите за риболов между държавите членки на Европейския съюз.</w:t>
      </w:r>
    </w:p>
    <w:p>
      <w:pPr>
        <w:pStyle w:val="ManualHeading1"/>
        <w:rPr>
          <w:noProof/>
        </w:rPr>
      </w:pPr>
      <w:r>
        <w:t>4.</w:t>
      </w:r>
      <w:r>
        <w:tab/>
      </w:r>
      <w:r>
        <w:rPr>
          <w:noProof/>
        </w:rPr>
        <w:t>ОТРАЖЕНИЕ ВЪРХУ БЮДЖЕТА</w:t>
      </w:r>
    </w:p>
    <w:p>
      <w:pPr>
        <w:rPr>
          <w:noProof/>
        </w:rPr>
      </w:pPr>
      <w:r>
        <w:rPr>
          <w:noProof/>
        </w:rPr>
        <w:t>Годишното финансово участие е 59 125 000 EUR годишно, поделени между:</w:t>
      </w:r>
    </w:p>
    <w:p>
      <w:pPr>
        <w:rPr>
          <w:noProof/>
        </w:rPr>
      </w:pPr>
      <w:r>
        <w:rPr>
          <w:noProof/>
        </w:rPr>
        <w:t xml:space="preserve">а) общ допустим улов от 261 500 тона за риболовните категории 1, 2, 3, 6 и 7 и референтен тонаж от 20 000 тона за риболовните категории 4 и 5 съгласно протокола, което отговаря на сума, свързана с достъпа, в размер на 55 000 000 EUR годишно, и </w:t>
      </w:r>
    </w:p>
    <w:p>
      <w:pPr>
        <w:rPr>
          <w:noProof/>
        </w:rPr>
        <w:sectPr>
          <w:footerReference w:type="default" r:id="rId11"/>
          <w:footerReference w:type="first" r:id="rId12"/>
          <w:pgSz w:w="11907" w:h="16839"/>
          <w:pgMar w:top="1134" w:right="1417" w:bottom="1134" w:left="1417" w:header="709" w:footer="709" w:gutter="0"/>
          <w:pgNumType w:start="1"/>
          <w:cols w:space="720"/>
          <w:docGrid w:linePitch="360"/>
        </w:sectPr>
      </w:pPr>
      <w:r>
        <w:rPr>
          <w:noProof/>
        </w:rPr>
        <w:t xml:space="preserve">б) подпомагане на развитието на секторната политика в областта на рибарството на Ислямска република Мавритания в размер на 4 125 000 EUR годишно. Това подпомагане отговаря на целите на националната политика в областта на рибарството, и по-специално на нуждите на Ислямска република Мавритания по отношение на подкрепата за научното и техническото сътрудничество, обучението, наблюдението на риболова, опазването на околната среда и за инфраструктура за развитие. </w:t>
      </w:r>
    </w:p>
    <w:p>
      <w:pPr>
        <w:pStyle w:val="Rfrenceinterinstitutionnelle"/>
        <w:rPr>
          <w:noProof/>
        </w:rPr>
      </w:pPr>
      <w:r>
        <w:rPr>
          <w:noProof/>
        </w:rPr>
        <w:lastRenderedPageBreak/>
        <w:t>2015/0227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и временното прилагане на протокола 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Европейската общност и Ислямска република Мавритания, за период от четири години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30 ноември 2006 г. Съветът прие Регламент (ЕО) № 1801/2006 относно сключването на Споразумение за партньорско сътрудничество в областта на рибарството между Европейската общност и Ислямска република Мавритания</w:t>
      </w:r>
      <w:r>
        <w:rPr>
          <w:rStyle w:val="FootnoteReference"/>
          <w:noProof/>
        </w:rPr>
        <w:footnoteReference w:id="1"/>
      </w:r>
      <w:r>
        <w:rPr>
          <w:noProof/>
        </w:rPr>
        <w:t xml:space="preserve"> (наричано по-долу „Споразумението за партньорство“).</w:t>
      </w:r>
    </w:p>
    <w:p>
      <w:pPr>
        <w:pStyle w:val="ManualConsidrant"/>
        <w:rPr>
          <w:noProof/>
        </w:rPr>
      </w:pPr>
      <w:r>
        <w:t>(2)</w:t>
      </w:r>
      <w:r>
        <w:tab/>
      </w:r>
      <w:r>
        <w:rPr>
          <w:noProof/>
        </w:rPr>
        <w:t>На 10 юли 2015 г. Съюзът и Ислямска република Мавритания парафираха нов протокол към Споразумението за партньорство (наричан по-долу „протоколът“). Протоколът предоставя на корабите на Съюза възможности за риболов в риболовната зона, която е под юрисдикцията на Ислямска република Мавритания.</w:t>
      </w:r>
    </w:p>
    <w:p>
      <w:pPr>
        <w:pStyle w:val="ManualConsidrant"/>
        <w:rPr>
          <w:noProof/>
        </w:rPr>
      </w:pPr>
      <w:r>
        <w:t>(3)</w:t>
      </w:r>
      <w:r>
        <w:tab/>
      </w:r>
      <w:r>
        <w:rPr>
          <w:noProof/>
        </w:rPr>
        <w:t>Поради това следва да се разреши подписването на протокола, при условие че той бъде сключен.</w:t>
      </w:r>
    </w:p>
    <w:p>
      <w:pPr>
        <w:pStyle w:val="ManualConsidrant"/>
        <w:rPr>
          <w:noProof/>
        </w:rPr>
      </w:pPr>
      <w:r>
        <w:t>(4)</w:t>
      </w:r>
      <w:r>
        <w:tab/>
      </w:r>
      <w:r>
        <w:rPr>
          <w:noProof/>
        </w:rPr>
        <w:t>За да не продължава допълнително временното преустановяване на риболовните дейности на кораби на Европейския съюз, е целесъобразно протоколът да се прилага временно.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Разрешава се подписването на протокола 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Европейската общност и Ислямска република Мавритания, за период от четири години (наричан по-долу „протоколът“), при условие че той бъде сключен.</w:t>
      </w:r>
    </w:p>
    <w:p>
      <w:pPr>
        <w:rPr>
          <w:noProof/>
        </w:rPr>
      </w:pPr>
      <w:r>
        <w:rPr>
          <w:noProof/>
        </w:rPr>
        <w:lastRenderedPageBreak/>
        <w:t>Текстът на протокола е приложен към настоящото решение.</w:t>
      </w:r>
    </w:p>
    <w:p>
      <w:pPr>
        <w:pStyle w:val="Titrearticle"/>
        <w:rPr>
          <w:noProof/>
        </w:rPr>
      </w:pPr>
      <w:r>
        <w:rPr>
          <w:noProof/>
        </w:rPr>
        <w:t>Член 2</w:t>
      </w:r>
    </w:p>
    <w:p>
      <w:pPr>
        <w:rPr>
          <w:rFonts w:eastAsia="Times New Roman"/>
          <w:noProof/>
          <w:szCs w:val="24"/>
        </w:rPr>
      </w:pPr>
      <w:r>
        <w:rPr>
          <w:noProof/>
        </w:rPr>
        <w:t>Генералният секретариат на Съвета изготвя документите за предоставяне на пълно правомощие за подписване на протокола, при условие че той бъде сключен, на лицето(ата), посочено(и) от преговарящия по протокола.</w:t>
      </w:r>
    </w:p>
    <w:p>
      <w:pPr>
        <w:pStyle w:val="Titrearticle"/>
        <w:rPr>
          <w:noProof/>
        </w:rPr>
      </w:pPr>
      <w:r>
        <w:rPr>
          <w:noProof/>
        </w:rPr>
        <w:t>Член 3</w:t>
      </w:r>
    </w:p>
    <w:p>
      <w:pPr>
        <w:rPr>
          <w:noProof/>
        </w:rPr>
      </w:pPr>
      <w:r>
        <w:rPr>
          <w:noProof/>
        </w:rPr>
        <w:t>Протоколът се прилага временно, в съответствие с член 14 от него, считано от датата на подписването му до приключване на процедурите по сключването му.</w:t>
      </w:r>
    </w:p>
    <w:p>
      <w:pPr>
        <w:pStyle w:val="Titrearticle"/>
        <w:pageBreakBefore/>
        <w:rPr>
          <w:noProof/>
        </w:rPr>
      </w:pPr>
      <w:r>
        <w:rPr>
          <w:noProof/>
        </w:rPr>
        <w:lastRenderedPageBreak/>
        <w:t>Член 4</w:t>
      </w:r>
    </w:p>
    <w:p>
      <w:pPr>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rPr>
          <w:b w:val="0"/>
          <w:noProof/>
        </w:rPr>
      </w:pPr>
      <w:r>
        <w:rPr>
          <w:noProof/>
        </w:rPr>
        <w:tab/>
      </w:r>
      <w:r>
        <w:rPr>
          <w:b w:val="0"/>
          <w:noProof/>
        </w:rPr>
        <w:t>3.3.</w:t>
      </w:r>
      <w:r>
        <w:rPr>
          <w:noProof/>
        </w:rPr>
        <w:tab/>
      </w:r>
      <w:r>
        <w:rPr>
          <w:b w:val="0"/>
          <w:noProof/>
        </w:rPr>
        <w:t>Очаквано отражение върху приходите</w:t>
      </w:r>
    </w:p>
    <w:p>
      <w:pPr>
        <w:jc w:val="center"/>
        <w:rPr>
          <w:b/>
          <w:noProof/>
          <w:u w:val="single"/>
        </w:rPr>
        <w:sectPr>
          <w:pgSz w:w="11907" w:h="16840" w:code="9"/>
          <w:pgMar w:top="1134" w:right="1418" w:bottom="1134" w:left="1418" w:header="709" w:footer="709" w:gutter="0"/>
          <w:cols w:space="708"/>
          <w:docGrid w:linePitch="360"/>
        </w:sectPr>
      </w:pPr>
    </w:p>
    <w:p>
      <w:pPr>
        <w:pStyle w:val="Annexetitrefichefinancire"/>
        <w:rPr>
          <w:noProof/>
        </w:rPr>
      </w:pPr>
      <w:r>
        <w:rPr>
          <w:noProof/>
        </w:rPr>
        <w:lastRenderedPageBreak/>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за сключване на протокола за определяне на възможностите за риболов и финансовото участие, предвидени в Споразумението за партньорство в областта на устойчивото рибарство между Европейската общност и Ислямска република Мавритания.</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2"/>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Морско дело и рибарство</w:t>
      </w:r>
    </w:p>
    <w:p>
      <w:pPr>
        <w:pStyle w:val="Text1"/>
        <w:pBdr>
          <w:top w:val="single" w:sz="4" w:space="1" w:color="auto"/>
          <w:left w:val="single" w:sz="4" w:space="4" w:color="auto"/>
          <w:bottom w:val="single" w:sz="4" w:space="1" w:color="auto"/>
          <w:right w:val="single" w:sz="4" w:space="4" w:color="auto"/>
        </w:pBdr>
        <w:rPr>
          <w:noProof/>
        </w:rPr>
      </w:pPr>
      <w:r>
        <w:rPr>
          <w:noProof/>
        </w:rPr>
        <w:t>11.03 — Задължителни вноски в регионалните организации за управление на рибарството (РОУР) и в други международни организации и споразумения за устойчиво рибарство (СУР)</w:t>
      </w:r>
    </w:p>
    <w:p>
      <w:pPr>
        <w:pStyle w:val="ManualHeading2"/>
        <w:rPr>
          <w:bCs/>
          <w:i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A8"/>
      </w:r>
      <w:r>
        <w:rPr>
          <w:noProof/>
        </w:rPr>
        <w:t xml:space="preserve"> 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3"/>
      </w:r>
    </w:p>
    <w:p>
      <w:pPr>
        <w:pStyle w:val="Text1"/>
        <w:rPr>
          <w:noProof/>
          <w:sz w:val="22"/>
        </w:rPr>
      </w:pPr>
      <w:r>
        <w:rPr>
          <w:noProof/>
          <w:sz w:val="22"/>
        </w:rPr>
        <w:t xml:space="preserve">X Предложението/инициативата е във връзка с </w:t>
      </w:r>
      <w:r>
        <w:rPr>
          <w:b/>
          <w:noProof/>
          <w:sz w:val="22"/>
        </w:rPr>
        <w:t>продължаване на съществуваща дейност</w:t>
      </w:r>
      <w:r>
        <w:rPr>
          <w:noProof/>
          <w:sz w:val="22"/>
        </w:rPr>
        <w:t xml:space="preserve"> </w:t>
      </w:r>
    </w:p>
    <w:p>
      <w:pPr>
        <w:pStyle w:val="Text1"/>
        <w:rPr>
          <w:noProof/>
        </w:rPr>
      </w:pPr>
      <w:r>
        <w:rPr>
          <w:noProof/>
          <w:sz w:val="22"/>
        </w:rPr>
        <w:sym w:font="Wingdings" w:char="F0A8"/>
      </w:r>
      <w:r>
        <w:rPr>
          <w:noProof/>
        </w:rPr>
        <w:t xml:space="preserve"> 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i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Договарянето и сключването на споразумения в областта на устойчивото рибарство с трети държави отговаря на общата цел за осигуряване на достъпа на риболовните кораби на Европейския съюз до риболовни зони, разположени в изключителната икономическа зона (ИИЗ) на трети държави, и за развиване на партньорство с тези държави с оглед засилване на устойчивото използване на рибните ресурси извън водите на ЕС.</w:t>
      </w:r>
    </w:p>
    <w:p>
      <w:pPr>
        <w:pStyle w:val="Text1"/>
        <w:pBdr>
          <w:top w:val="single" w:sz="4" w:space="1" w:color="auto"/>
          <w:left w:val="single" w:sz="4" w:space="4" w:color="auto"/>
          <w:bottom w:val="single" w:sz="4" w:space="1" w:color="auto"/>
          <w:right w:val="single" w:sz="4" w:space="4" w:color="auto"/>
        </w:pBdr>
        <w:rPr>
          <w:noProof/>
        </w:rPr>
      </w:pPr>
      <w:r>
        <w:rPr>
          <w:noProof/>
        </w:rPr>
        <w:t>Споразуменията за партньорство в областта на устойчивото рибарство (СПОУР) осигуряват също така съгласуваност между принципите, регулиращи общата политика в областта на рибарството, и залегналите в други европейски политики ангажименти (устойчиво използване на ресурсите на трети държави, борба с незаконния, недеклариран и нерегулиран риболов (ННН), интеграция на партньорските държави в световната икономика, както и по-добро политическо и финансово управление на рибарството).</w:t>
      </w:r>
    </w:p>
    <w:p>
      <w:pPr>
        <w:pStyle w:val="ManualHeading3"/>
        <w:rPr>
          <w:bCs/>
          <w:noProof/>
          <w:szCs w:val="24"/>
        </w:rPr>
      </w:pPr>
      <w:r>
        <w:lastRenderedPageBreak/>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Конкретни цели</w:t>
      </w:r>
    </w:p>
    <w:p>
      <w:pPr>
        <w:pStyle w:val="Text1"/>
        <w:pBdr>
          <w:top w:val="single" w:sz="4" w:space="1" w:color="auto"/>
          <w:left w:val="single" w:sz="4" w:space="4" w:color="auto"/>
          <w:bottom w:val="single" w:sz="4" w:space="1" w:color="auto"/>
          <w:right w:val="single" w:sz="4" w:space="4" w:color="auto"/>
        </w:pBdr>
        <w:rPr>
          <w:noProof/>
        </w:rPr>
      </w:pPr>
      <w:r>
        <w:rPr>
          <w:noProof/>
        </w:rPr>
        <w:t>Да се допринесе за устойчивия риболов извън водите на Съюза,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Морско дело и рибарство, Установяване на рамка за управление на риболовните дейности, извършвани от риболовни кораби на Съюза във води на трети държави (СУР) (бюджетен ред 11.0301).</w:t>
      </w:r>
    </w:p>
    <w:p>
      <w:pPr>
        <w:pStyle w:val="ManualHeading3"/>
        <w:rPr>
          <w:bCs/>
          <w:noProof/>
          <w:szCs w:val="24"/>
        </w:rPr>
      </w:pPr>
      <w:r>
        <w:rPr>
          <w:noProof/>
        </w:rPr>
        <w:br w:type="page"/>
      </w:r>
      <w:r>
        <w:lastRenderedPageBreak/>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Сключването на протокола допринася да се запазят възможностите за риболов за европейските кораби в риболовната зона на Ислямска република Мавритания.</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Протоколът допринася също за подобряване на управлението и опазването на рибните ресурси чрез финансова подкрепа (подкрепа за сектора) за изпълнението на националната секторна стратегия за устойчиво развитие на сектора на рибарството. </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Процент на оползотворяване на възможностите за риболов (% на използваните разрешения за риболов спрямо възможностите по протокола);</w:t>
      </w:r>
    </w:p>
    <w:p>
      <w:pPr>
        <w:pStyle w:val="Text1"/>
        <w:pBdr>
          <w:top w:val="single" w:sz="4" w:space="1" w:color="auto"/>
          <w:left w:val="single" w:sz="4" w:space="4" w:color="auto"/>
          <w:bottom w:val="single" w:sz="4" w:space="1" w:color="auto"/>
          <w:right w:val="single" w:sz="4" w:space="4" w:color="auto"/>
        </w:pBdr>
        <w:rPr>
          <w:noProof/>
        </w:rPr>
      </w:pPr>
      <w:r>
        <w:rPr>
          <w:noProof/>
        </w:rPr>
        <w:t>Събиране и анализиране на данните за улова и търговската стойност на Споразумението;</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заетостта и добавената стойност в ЕС и към стабилизиране на пазара на ЕС (заедно с други СПОУР);</w:t>
      </w:r>
    </w:p>
    <w:p>
      <w:pPr>
        <w:pStyle w:val="Text1"/>
        <w:pBdr>
          <w:top w:val="single" w:sz="4" w:space="1" w:color="auto"/>
          <w:left w:val="single" w:sz="4" w:space="4" w:color="auto"/>
          <w:bottom w:val="single" w:sz="4" w:space="1" w:color="auto"/>
          <w:right w:val="single" w:sz="4" w:space="4" w:color="auto"/>
        </w:pBdr>
        <w:rPr>
          <w:noProof/>
        </w:rPr>
      </w:pPr>
      <w:r>
        <w:rPr>
          <w:noProof/>
        </w:rPr>
        <w:t>Брой на техническите срещи и на заседанията на съвместния комитет.</w:t>
      </w:r>
    </w:p>
    <w:p>
      <w:pPr>
        <w:pStyle w:val="ManualHeading2"/>
        <w:rPr>
          <w:bCs/>
          <w:i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Срокът на прилагане на протокола за периода 2012—2014 г. изтече на 15 декември 2014 г. Риболовните дейности на европейския флот в риболовната зона на Ислямска република Мавритания са преустановени в очакване на подписването и временното прилагане на новия протокол.</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Новият протокол ще осигури възможност и рамка за риболовните дейности на флота на Европейския съюз в риболовната зона на Ислямска република Мавритания. </w:t>
      </w:r>
      <w:r>
        <w:rPr>
          <w:noProof/>
          <w:color w:val="000000"/>
        </w:rPr>
        <w:t>Освен това новият протокол укрепва сътрудничеството между ЕС и Ислямска република Мавритания за насърчаване на устойчива политика в областта на рибарството. Секторното подпомагане бе увеличено в сравнение с предходния период в подкрепа на Ислямска република Мавритания при изпълнението на нейната нова национална стратегия в сектора на устойчивото развитие на риболовните дейности.</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този нов протокол, ненамесата на ЕС би означавала сключване на частни споразумения, което няма да осигури устойчиво рибарство. Европейският съюз също така се надява, че този протокол ще допринесе за продължаването на ефикасното сътрудничество на Ислямска република Мавритания с ЕС, по-специално по отношение на борбата с незаконния риболов.</w:t>
      </w:r>
    </w:p>
    <w:p>
      <w:pPr>
        <w:pStyle w:val="ManualHeading3"/>
        <w:rPr>
          <w:bCs/>
          <w:noProof/>
          <w:szCs w:val="24"/>
        </w:rPr>
      </w:pPr>
      <w:r>
        <w:lastRenderedPageBreak/>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Въз основа на анализа на улова в Мавритания, както и на наличните оценки и научни становища, страните определиха количеството на разрешения улов за риболовните категории 1, 2, 3, 6 и 7 (261 500 тона) и референтния тонаж за риба тон (20 000 тона годишно). Секторното подпомагане взема предвид приоритетите на националната стратегия в областта на рибарството, както и нуждите по отношение на укрепване на капацитета на риболовната администрация на Мавритания.</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Средствата, изплащани съгласно СПОУР, представляват заменяеми приходи в бюджетите на третите партньорски държави. Насочването на част от тези средства за предприемане на действия в рамките на националната секторна политика обаче е условие за сключването и мониторинга на СПОУР. Тези финансови ресурси са съвместими с други източници на финансиране от други международни донори за осъществяването на проекти и/или програми, провеждани на национално равнище в сектора на рибарството.</w:t>
      </w:r>
    </w:p>
    <w:p>
      <w:pPr>
        <w:pStyle w:val="ManualHeading2"/>
        <w:rPr>
          <w:bCs/>
          <w:iCs/>
          <w:noProof/>
          <w:szCs w:val="24"/>
        </w:rPr>
      </w:pPr>
      <w:r>
        <w:rPr>
          <w:noProof/>
        </w:rPr>
        <w:br w:type="page"/>
      </w:r>
      <w:r>
        <w:lastRenderedPageBreak/>
        <w:t>1.6.</w:t>
      </w:r>
      <w:r>
        <w:tab/>
      </w:r>
      <w:r>
        <w:rPr>
          <w:noProof/>
        </w:rPr>
        <w:t xml:space="preserve">Срок на действие и финансово отражение </w:t>
      </w:r>
    </w:p>
    <w:p>
      <w:pPr>
        <w:pStyle w:val="Text1"/>
        <w:rPr>
          <w:noProof/>
        </w:rPr>
      </w:pPr>
      <w:r>
        <w:rPr>
          <w:noProof/>
        </w:rPr>
        <w:t xml:space="preserve">X Предложение/инициатива </w:t>
      </w:r>
      <w:r>
        <w:rPr>
          <w:b/>
          <w:noProof/>
        </w:rPr>
        <w:t xml:space="preserve">с ограничен срок на действие </w:t>
      </w:r>
    </w:p>
    <w:p>
      <w:pPr>
        <w:pStyle w:val="ListDash2"/>
        <w:rPr>
          <w:noProof/>
        </w:rPr>
      </w:pPr>
      <w:r>
        <w:rPr>
          <w:noProof/>
        </w:rPr>
        <w:t>X</w:t>
      </w:r>
      <w:r>
        <w:rPr>
          <w:noProof/>
        </w:rPr>
        <w:tab/>
        <w:t xml:space="preserve">Предложение/инициатива, влизащо/а в сила на датата на подписване за срок от четири години. </w:t>
      </w:r>
    </w:p>
    <w:p>
      <w:pPr>
        <w:pStyle w:val="ListDash2"/>
        <w:rPr>
          <w:noProof/>
        </w:rPr>
      </w:pPr>
      <w:r>
        <w:rPr>
          <w:noProof/>
        </w:rPr>
        <w:t>X</w:t>
      </w:r>
      <w:r>
        <w:rPr>
          <w:noProof/>
        </w:rPr>
        <w:tab/>
        <w:t>Финансово отражение от 2015 г. до 2019 г.</w:t>
      </w:r>
    </w:p>
    <w:p>
      <w:pPr>
        <w:pStyle w:val="Text1"/>
        <w:rPr>
          <w:noProof/>
        </w:rPr>
      </w:pPr>
      <w:r>
        <w:rPr>
          <w:noProof/>
        </w:rPr>
        <w:sym w:font="Wingdings" w:char="F0A8"/>
      </w:r>
      <w:r>
        <w:rPr>
          <w:noProof/>
        </w:rPr>
        <w:t xml:space="preserve"> Предложение/инициатива </w:t>
      </w:r>
      <w:r>
        <w:rPr>
          <w:b/>
          <w:noProof/>
        </w:rPr>
        <w:t>с 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iCs/>
          <w:noProof/>
          <w:szCs w:val="24"/>
        </w:rPr>
      </w:pPr>
      <w:r>
        <w:t>1.7.</w:t>
      </w:r>
      <w:r>
        <w:tab/>
      </w:r>
      <w:r>
        <w:rPr>
          <w:noProof/>
        </w:rPr>
        <w:t>Предвиден(и) метод(и) на управление</w:t>
      </w:r>
      <w:r>
        <w:rPr>
          <w:rStyle w:val="FootnoteReference"/>
          <w:noProof/>
        </w:rPr>
        <w:footnoteReference w:id="4"/>
      </w:r>
      <w:r>
        <w:rPr>
          <w:rStyle w:val="FootnoteReference"/>
          <w:noProof/>
        </w:rPr>
        <w:t xml:space="preserve"> </w:t>
      </w:r>
    </w:p>
    <w:p>
      <w:pPr>
        <w:pStyle w:val="Text1"/>
        <w:rPr>
          <w:b/>
          <w:noProof/>
          <w:u w:val="single"/>
        </w:rPr>
      </w:pPr>
      <w:r>
        <w:rPr>
          <w:b/>
          <w:noProof/>
          <w:u w:val="single"/>
        </w:rPr>
        <w:t>От бюджета за 2015 г.</w:t>
      </w:r>
    </w:p>
    <w:p>
      <w:pPr>
        <w:pStyle w:val="Text1"/>
        <w:rPr>
          <w:noProof/>
        </w:rPr>
      </w:pPr>
      <w:r>
        <w:rPr>
          <w:noProof/>
        </w:rPr>
        <w:t xml:space="preserve">X </w:t>
      </w:r>
      <w:r>
        <w:rPr>
          <w:b/>
          <w:noProof/>
        </w:rPr>
        <w:t>Пряко управление</w:t>
      </w:r>
      <w:r>
        <w:rPr>
          <w:noProof/>
        </w:rPr>
        <w:t xml:space="preserve"> от Комисията</w:t>
      </w:r>
    </w:p>
    <w:p>
      <w:pPr>
        <w:pStyle w:val="ListDash2"/>
        <w:rPr>
          <w:rFonts w:cs="EUAlbertina"/>
          <w:noProof/>
        </w:rPr>
      </w:pPr>
      <w:r>
        <w:rPr>
          <w:noProof/>
        </w:rPr>
        <w:t>X От нейните служби, включително от нейния персонал в делегациите на Съюза;</w:t>
      </w:r>
    </w:p>
    <w:p>
      <w:pPr>
        <w:pStyle w:val="ListDash2"/>
        <w:rPr>
          <w:noProof/>
        </w:rPr>
      </w:pPr>
      <w:r>
        <w:rPr>
          <w:noProof/>
        </w:rPr>
        <w:sym w:font="Wingdings" w:char="F0A8"/>
      </w:r>
      <w:r>
        <w:rPr>
          <w:noProof/>
        </w:rPr>
        <w:t xml:space="preserve"> от изпълнителните агенции</w:t>
      </w:r>
    </w:p>
    <w:p>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w:t>
      </w:r>
    </w:p>
    <w:p>
      <w:pPr>
        <w:pStyle w:val="Text1"/>
        <w:rPr>
          <w:noProof/>
        </w:rPr>
      </w:pPr>
      <w:r>
        <w:rPr>
          <w:noProof/>
        </w:rPr>
        <w:sym w:font="Wingdings" w:char="F0A8"/>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lastRenderedPageBreak/>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(ГД „Морско дело и рибарство“ в сътрудничество със своя аташе по въпросите на рибарството, установен в Мавритания, и с Делегацията на Европейския съюз в Нуакшот) ще осигурява редовен мониторинг на изпълнението на настоящия протокол, по-специално по отношение на оползотворяването на възможностите за риболов от страна на операторите и по отношение на данните за улова. </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СПОУР предвижда поне по едно ежегодно заседание на съвместния комитет, по време на което Комисията и Ислямска република Мавритания обсъждат изпълнението на Споразумението и на протокола към него и, ако е необходимо, коригират програмирането, а при целесъобразност — и финансовото участие, предвидено в протокола.</w:t>
      </w:r>
    </w:p>
    <w:p>
      <w:pPr>
        <w:pStyle w:val="ManualHeading2"/>
        <w:rPr>
          <w:bCs/>
          <w:i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Изпълнението на протоколите за рибарство е придружено от определен брой рискове, по-специално във връзка със сумите, предназначени за финансиране на секторната политика в областта на рибарството (подпрограмиране).</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Предвижда се постоянен диалог, свързан с програмирането и изпълнението на секторната политика, предвидени в Споразумението и протокола. Съвместният анализ на резултатите, посочен в член 3 от протокола, също представлява част от тези методи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в Споразумението и протокола се предвиждат специфични клаузи за временно преустановяване на тяхното действие при определени условия и дадени обстоятелства.</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i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поема ангажимент да установи политически диалог и редовно съгласуване с Ислямска република Мавритания с цел подобряване на управлението на Споразумението и на протокола и увеличаване на приноса на ЕС за устойчивото управление на ресурсите. Във всички случаи плащанията, които Комисията извършва в рамките на СПОУР, са подчинени на нейните правила и обичайните ѝ бюджетни и финансови процедури. Това позволява, по-специално, да се идентифицират напълно банковите сметки на третите държави, по които се превеждат сумите за финансовото участие. За </w:t>
      </w:r>
      <w:r>
        <w:rPr>
          <w:noProof/>
        </w:rPr>
        <w:lastRenderedPageBreak/>
        <w:t xml:space="preserve">разглеждания протокол, в член 2, параграф 8 и в член 3, параграф 3.10 се посочва, че финансовото участие за достъпа на риболовните кораби и за секторното подпомагане трябва да се заплаща по сметка на държавната хазна в Централната банка на Мавритания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lastRenderedPageBreak/>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Видразход</w:t>
            </w:r>
          </w:p>
        </w:tc>
        <w:tc>
          <w:tcPr>
            <w:tcW w:w="4440" w:type="dxa"/>
            <w:gridSpan w:val="4"/>
            <w:vAlign w:val="center"/>
          </w:tcPr>
          <w:p>
            <w:pPr>
              <w:spacing w:before="60" w:after="60"/>
              <w:jc w:val="center"/>
              <w:rPr>
                <w:noProof/>
              </w:rPr>
            </w:pPr>
            <w:r>
              <w:rPr>
                <w:noProof/>
                <w:sz w:val="20"/>
              </w:rPr>
              <w:t xml:space="preserve">Участие </w:t>
            </w:r>
          </w:p>
        </w:tc>
      </w:tr>
      <w:tr>
        <w:tc>
          <w:tcPr>
            <w:tcW w:w="1080" w:type="dxa"/>
            <w:vMerge/>
            <w:vAlign w:val="center"/>
          </w:tcPr>
          <w:p>
            <w:pPr>
              <w:jc w:val="center"/>
              <w:rPr>
                <w:noProof/>
              </w:rPr>
            </w:pPr>
          </w:p>
        </w:tc>
        <w:tc>
          <w:tcPr>
            <w:tcW w:w="3960" w:type="dxa"/>
            <w:vAlign w:val="center"/>
          </w:tcPr>
          <w:p>
            <w:pPr>
              <w:rPr>
                <w:noProof/>
              </w:rPr>
            </w:pPr>
            <w:r>
              <w:rPr>
                <w:noProof/>
                <w:sz w:val="20"/>
              </w:rPr>
              <w:t>Номер [Наименование…...….]</w:t>
            </w:r>
          </w:p>
        </w:tc>
        <w:tc>
          <w:tcPr>
            <w:tcW w:w="1080" w:type="dxa"/>
            <w:vAlign w:val="center"/>
          </w:tcPr>
          <w:p>
            <w:pPr>
              <w:jc w:val="center"/>
              <w:rPr>
                <w:noProof/>
              </w:rPr>
            </w:pPr>
            <w:r>
              <w:rPr>
                <w:noProof/>
                <w:sz w:val="18"/>
              </w:rPr>
              <w:t>МБК/ЕБК</w:t>
            </w:r>
            <w:r>
              <w:rPr>
                <w:noProof/>
                <w:sz w:val="18"/>
              </w:rPr>
              <w:br/>
            </w:r>
            <w:r>
              <w:rPr>
                <w:noProof/>
                <w:sz w:val="18"/>
                <w:vertAlign w:val="superscript"/>
              </w:rPr>
              <w:t>(</w:t>
            </w:r>
            <w:r>
              <w:rPr>
                <w:rStyle w:val="FootnoteReference"/>
                <w:noProof/>
                <w:sz w:val="18"/>
              </w:rPr>
              <w:footnoteReference w:id="5"/>
            </w:r>
            <w:r>
              <w:rPr>
                <w:noProof/>
                <w:sz w:val="18"/>
                <w:vertAlign w:val="superscript"/>
              </w:rPr>
              <w:t>)</w:t>
            </w:r>
          </w:p>
        </w:tc>
        <w:tc>
          <w:tcPr>
            <w:tcW w:w="956" w:type="dxa"/>
            <w:vAlign w:val="center"/>
          </w:tcPr>
          <w:p>
            <w:pPr>
              <w:jc w:val="center"/>
              <w:rPr>
                <w:noProof/>
              </w:rPr>
            </w:pPr>
            <w:r>
              <w:rPr>
                <w:noProof/>
                <w:sz w:val="18"/>
              </w:rPr>
              <w:t>от държави от ЕАСТ</w:t>
            </w:r>
            <w:r>
              <w:rPr>
                <w:rStyle w:val="FootnoteReference"/>
                <w:noProof/>
                <w:sz w:val="18"/>
              </w:rPr>
              <w:footnoteReference w:id="6"/>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7"/>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sz w:val="22"/>
              </w:rPr>
              <w:t>2</w:t>
            </w:r>
          </w:p>
        </w:tc>
        <w:tc>
          <w:tcPr>
            <w:tcW w:w="3960" w:type="dxa"/>
            <w:vAlign w:val="center"/>
          </w:tcPr>
          <w:p>
            <w:pPr>
              <w:spacing w:before="60"/>
              <w:rPr>
                <w:noProof/>
              </w:rPr>
            </w:pPr>
            <w:r>
              <w:rPr>
                <w:noProof/>
                <w:sz w:val="22"/>
              </w:rPr>
              <w:t>11.03 01</w:t>
            </w:r>
          </w:p>
          <w:p>
            <w:pPr>
              <w:spacing w:after="60"/>
              <w:rPr>
                <w:noProof/>
              </w:rPr>
            </w:pPr>
            <w:r>
              <w:rPr>
                <w:noProof/>
                <w:sz w:val="22"/>
              </w:rPr>
              <w:t>Установяване на рамка за управление на риболовните дейности, извършвани от риболовните кораби на Съюза във водите на трети държави (СУР)</w:t>
            </w:r>
          </w:p>
        </w:tc>
        <w:tc>
          <w:tcPr>
            <w:tcW w:w="1080" w:type="dxa"/>
            <w:vAlign w:val="center"/>
          </w:tcPr>
          <w:p>
            <w:pPr>
              <w:jc w:val="center"/>
              <w:rPr>
                <w:noProof/>
                <w:color w:val="0000FF"/>
              </w:rPr>
            </w:pPr>
            <w:r>
              <w:rPr>
                <w:noProof/>
                <w:sz w:val="22"/>
              </w:rPr>
              <w:t>МБК</w:t>
            </w:r>
          </w:p>
        </w:tc>
        <w:tc>
          <w:tcPr>
            <w:tcW w:w="956" w:type="dxa"/>
            <w:vAlign w:val="center"/>
          </w:tcPr>
          <w:p>
            <w:pPr>
              <w:jc w:val="center"/>
              <w:rPr>
                <w:noProof/>
              </w:rPr>
            </w:pPr>
            <w:r>
              <w:rPr>
                <w:noProof/>
                <w:sz w:val="22"/>
              </w:rPr>
              <w:t>Няма</w:t>
            </w:r>
          </w:p>
        </w:tc>
        <w:tc>
          <w:tcPr>
            <w:tcW w:w="1080" w:type="dxa"/>
            <w:vAlign w:val="center"/>
          </w:tcPr>
          <w:p>
            <w:pPr>
              <w:jc w:val="center"/>
              <w:rPr>
                <w:noProof/>
              </w:rPr>
            </w:pPr>
            <w:r>
              <w:rPr>
                <w:noProof/>
                <w:sz w:val="22"/>
              </w:rPr>
              <w:t>Няма</w:t>
            </w:r>
          </w:p>
        </w:tc>
        <w:tc>
          <w:tcPr>
            <w:tcW w:w="956" w:type="dxa"/>
            <w:vAlign w:val="center"/>
          </w:tcPr>
          <w:p>
            <w:pPr>
              <w:jc w:val="center"/>
              <w:rPr>
                <w:noProof/>
              </w:rPr>
            </w:pPr>
            <w:r>
              <w:rPr>
                <w:noProof/>
                <w:sz w:val="22"/>
              </w:rPr>
              <w:t>Няма</w:t>
            </w:r>
          </w:p>
        </w:tc>
        <w:tc>
          <w:tcPr>
            <w:tcW w:w="1448" w:type="dxa"/>
            <w:vAlign w:val="center"/>
          </w:tcPr>
          <w:p>
            <w:pPr>
              <w:jc w:val="center"/>
              <w:rPr>
                <w:noProof/>
              </w:rPr>
            </w:pPr>
            <w:r>
              <w:rPr>
                <w:noProof/>
                <w:sz w:val="22"/>
              </w:rPr>
              <w:t>Няма</w:t>
            </w:r>
          </w:p>
        </w:tc>
      </w:tr>
      <w:tr>
        <w:tc>
          <w:tcPr>
            <w:tcW w:w="1080" w:type="dxa"/>
            <w:vAlign w:val="center"/>
          </w:tcPr>
          <w:p>
            <w:pPr>
              <w:jc w:val="center"/>
              <w:rPr>
                <w:noProof/>
              </w:rPr>
            </w:pPr>
          </w:p>
        </w:tc>
        <w:tc>
          <w:tcPr>
            <w:tcW w:w="3960" w:type="dxa"/>
            <w:vAlign w:val="center"/>
          </w:tcPr>
          <w:p>
            <w:pPr>
              <w:spacing w:before="60"/>
              <w:rPr>
                <w:noProof/>
              </w:rPr>
            </w:pPr>
            <w:r>
              <w:rPr>
                <w:noProof/>
                <w:sz w:val="22"/>
              </w:rPr>
              <w:t>11.01 04 01</w:t>
            </w:r>
          </w:p>
          <w:p>
            <w:pPr>
              <w:spacing w:before="60"/>
              <w:rPr>
                <w:noProof/>
              </w:rPr>
            </w:pPr>
            <w:r>
              <w:rPr>
                <w:noProof/>
                <w:sz w:val="22"/>
              </w:rPr>
              <w:t>Съпътстващи разходи за морско дело и рибарство — Неоперативна административна и техническа помощ</w:t>
            </w:r>
          </w:p>
        </w:tc>
        <w:tc>
          <w:tcPr>
            <w:tcW w:w="1080" w:type="dxa"/>
            <w:vAlign w:val="center"/>
          </w:tcPr>
          <w:p>
            <w:pPr>
              <w:jc w:val="center"/>
              <w:rPr>
                <w:noProof/>
              </w:rPr>
            </w:pPr>
            <w:r>
              <w:rPr>
                <w:noProof/>
                <w:sz w:val="22"/>
              </w:rPr>
              <w:t>ЕБК</w:t>
            </w:r>
          </w:p>
        </w:tc>
        <w:tc>
          <w:tcPr>
            <w:tcW w:w="956" w:type="dxa"/>
            <w:vAlign w:val="center"/>
          </w:tcPr>
          <w:p>
            <w:pPr>
              <w:jc w:val="center"/>
              <w:rPr>
                <w:noProof/>
              </w:rPr>
            </w:pPr>
            <w:r>
              <w:rPr>
                <w:noProof/>
                <w:sz w:val="22"/>
              </w:rPr>
              <w:t>Няма</w:t>
            </w:r>
          </w:p>
        </w:tc>
        <w:tc>
          <w:tcPr>
            <w:tcW w:w="1080" w:type="dxa"/>
            <w:vAlign w:val="center"/>
          </w:tcPr>
          <w:p>
            <w:pPr>
              <w:jc w:val="center"/>
              <w:rPr>
                <w:noProof/>
              </w:rPr>
            </w:pPr>
            <w:r>
              <w:rPr>
                <w:noProof/>
                <w:sz w:val="22"/>
              </w:rPr>
              <w:t>Няма</w:t>
            </w:r>
          </w:p>
        </w:tc>
        <w:tc>
          <w:tcPr>
            <w:tcW w:w="956" w:type="dxa"/>
            <w:vAlign w:val="center"/>
          </w:tcPr>
          <w:p>
            <w:pPr>
              <w:jc w:val="center"/>
              <w:rPr>
                <w:noProof/>
              </w:rPr>
            </w:pPr>
            <w:r>
              <w:rPr>
                <w:noProof/>
                <w:sz w:val="22"/>
              </w:rPr>
              <w:t>Няма</w:t>
            </w:r>
          </w:p>
        </w:tc>
        <w:tc>
          <w:tcPr>
            <w:tcW w:w="1448" w:type="dxa"/>
            <w:vAlign w:val="center"/>
          </w:tcPr>
          <w:p>
            <w:pPr>
              <w:jc w:val="center"/>
              <w:rPr>
                <w:noProof/>
              </w:rPr>
            </w:pPr>
            <w:r>
              <w:rPr>
                <w:noProof/>
                <w:sz w:val="22"/>
              </w:rPr>
              <w:t>Няма</w:t>
            </w:r>
          </w:p>
        </w:tc>
      </w:tr>
    </w:tbl>
    <w:p>
      <w:pPr>
        <w:pStyle w:val="ListBullet1"/>
        <w:rPr>
          <w:noProof/>
        </w:rPr>
      </w:pPr>
      <w:r>
        <w:rPr>
          <w:noProof/>
        </w:rPr>
        <w:t>Поискани нови бюджетни редове (неприложимо)</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w:t>
            </w:r>
            <w:r>
              <w:rPr>
                <w:noProof/>
              </w:rPr>
              <w:br/>
            </w:r>
            <w:r>
              <w:rPr>
                <w:noProof/>
                <w:sz w:val="18"/>
              </w:rPr>
              <w:t>разход</w:t>
            </w:r>
          </w:p>
        </w:tc>
        <w:tc>
          <w:tcPr>
            <w:tcW w:w="4440" w:type="dxa"/>
            <w:gridSpan w:val="4"/>
            <w:vAlign w:val="center"/>
          </w:tcPr>
          <w:p>
            <w:pPr>
              <w:spacing w:before="60" w:after="60"/>
              <w:jc w:val="center"/>
              <w:rPr>
                <w:noProof/>
              </w:rPr>
            </w:pPr>
            <w:r>
              <w:rPr>
                <w:noProof/>
                <w:sz w:val="20"/>
              </w:rPr>
              <w:t xml:space="preserve">Участие </w:t>
            </w:r>
          </w:p>
        </w:tc>
      </w:tr>
      <w:tr>
        <w:tc>
          <w:tcPr>
            <w:tcW w:w="1080" w:type="dxa"/>
            <w:vMerge/>
            <w:vAlign w:val="center"/>
          </w:tcPr>
          <w:p>
            <w:pPr>
              <w:jc w:val="center"/>
              <w:rPr>
                <w:noProof/>
              </w:rPr>
            </w:pPr>
          </w:p>
        </w:tc>
        <w:tc>
          <w:tcPr>
            <w:tcW w:w="3960" w:type="dxa"/>
            <w:vAlign w:val="center"/>
          </w:tcPr>
          <w:p>
            <w:pPr>
              <w:rPr>
                <w:noProof/>
              </w:rPr>
            </w:pPr>
            <w:r>
              <w:rPr>
                <w:noProof/>
              </w:rPr>
              <w:t>Номер</w:t>
            </w:r>
            <w:r>
              <w:rPr>
                <w:noProof/>
              </w:rPr>
              <w:br/>
            </w:r>
            <w:r>
              <w:rPr>
                <w:noProof/>
                <w:sz w:val="20"/>
              </w:rPr>
              <w:t>[Наименование…...…]</w:t>
            </w:r>
          </w:p>
        </w:tc>
        <w:tc>
          <w:tcPr>
            <w:tcW w:w="1080" w:type="dxa"/>
            <w:vAlign w:val="center"/>
          </w:tcPr>
          <w:p>
            <w:pPr>
              <w:jc w:val="center"/>
              <w:rPr>
                <w:noProof/>
              </w:rPr>
            </w:pPr>
            <w:r>
              <w:rPr>
                <w:noProof/>
                <w:sz w:val="18"/>
              </w:rPr>
              <w:t>МБК/ЕБК</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iCs/>
          <w:noProof/>
          <w:szCs w:val="24"/>
        </w:rPr>
      </w:pPr>
      <w:r>
        <w:lastRenderedPageBreak/>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16"/>
        </w:rPr>
      </w:pPr>
      <w:r>
        <w:rPr>
          <w:noProof/>
          <w:sz w:val="20"/>
        </w:rPr>
        <w:t>млн. евро (до 3-тия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9"/>
        <w:gridCol w:w="1080"/>
        <w:gridCol w:w="8182"/>
      </w:tblGrid>
      <w:tr>
        <w:trPr>
          <w:jc w:val="center"/>
        </w:trPr>
        <w:tc>
          <w:tcPr>
            <w:tcW w:w="4379" w:type="dxa"/>
            <w:shd w:val="thinDiagStripe" w:color="C0C0C0" w:fill="auto"/>
            <w:vAlign w:val="center"/>
          </w:tcPr>
          <w:p>
            <w:pPr>
              <w:spacing w:before="60" w:after="60"/>
              <w:jc w:val="center"/>
              <w:rPr>
                <w:b/>
                <w:noProof/>
              </w:rPr>
            </w:pPr>
            <w:r>
              <w:rPr>
                <w:b/>
                <w:noProof/>
              </w:rPr>
              <w:t>Функция от многогодишната финансова рамка:</w:t>
            </w:r>
            <w:r>
              <w:rPr>
                <w:noProof/>
              </w:rPr>
              <w:br/>
            </w:r>
            <w:r>
              <w:rPr>
                <w:b/>
                <w:noProof/>
                <w:sz w:val="22"/>
              </w:rPr>
              <w:t xml:space="preserve"> </w:t>
            </w:r>
          </w:p>
        </w:tc>
        <w:tc>
          <w:tcPr>
            <w:tcW w:w="1080" w:type="dxa"/>
            <w:vAlign w:val="center"/>
          </w:tcPr>
          <w:p>
            <w:pPr>
              <w:spacing w:before="60" w:after="60"/>
              <w:jc w:val="center"/>
              <w:rPr>
                <w:b/>
                <w:noProof/>
              </w:rPr>
            </w:pPr>
            <w:r>
              <w:rPr>
                <w:b/>
                <w:noProof/>
                <w:sz w:val="22"/>
              </w:rPr>
              <w:t>Номер 2</w:t>
            </w:r>
          </w:p>
        </w:tc>
        <w:tc>
          <w:tcPr>
            <w:tcW w:w="8182" w:type="dxa"/>
            <w:vAlign w:val="center"/>
          </w:tcPr>
          <w:p>
            <w:pPr>
              <w:spacing w:before="60" w:after="60"/>
              <w:rPr>
                <w:noProof/>
              </w:rPr>
            </w:pPr>
            <w:r>
              <w:rPr>
                <w:noProof/>
                <w:sz w:val="22"/>
              </w:rPr>
              <w:t>Устойчив растеж — природни ресурси Природни ресурси</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tc>
          <w:tcPr>
            <w:tcW w:w="3960" w:type="dxa"/>
            <w:vAlign w:val="center"/>
          </w:tcPr>
          <w:p>
            <w:pPr>
              <w:jc w:val="center"/>
              <w:rPr>
                <w:noProof/>
              </w:rPr>
            </w:pPr>
            <w:r>
              <w:rPr>
                <w:noProof/>
                <w:sz w:val="22"/>
              </w:rPr>
              <w:t>ГД „Морско дело и рибарство“</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0"/>
              </w:rPr>
              <w:br/>
            </w:r>
            <w:r>
              <w:rPr>
                <w:b/>
                <w:noProof/>
                <w:sz w:val="20"/>
              </w:rPr>
              <w:t>2015</w:t>
            </w:r>
          </w:p>
        </w:tc>
        <w:tc>
          <w:tcPr>
            <w:tcW w:w="868" w:type="dxa"/>
            <w:vAlign w:val="center"/>
          </w:tcPr>
          <w:p>
            <w:pPr>
              <w:jc w:val="center"/>
              <w:rPr>
                <w:noProof/>
                <w:sz w:val="20"/>
              </w:rPr>
            </w:pPr>
            <w:r>
              <w:rPr>
                <w:noProof/>
                <w:sz w:val="20"/>
              </w:rPr>
              <w:t>Година</w:t>
            </w:r>
            <w:r>
              <w:rPr>
                <w:noProof/>
                <w:sz w:val="20"/>
              </w:rPr>
              <w:br/>
            </w:r>
            <w:r>
              <w:rPr>
                <w:b/>
                <w:noProof/>
                <w:sz w:val="20"/>
              </w:rPr>
              <w:t>2016</w:t>
            </w:r>
          </w:p>
        </w:tc>
        <w:tc>
          <w:tcPr>
            <w:tcW w:w="868" w:type="dxa"/>
            <w:vAlign w:val="center"/>
          </w:tcPr>
          <w:p>
            <w:pPr>
              <w:jc w:val="center"/>
              <w:rPr>
                <w:noProof/>
                <w:sz w:val="20"/>
              </w:rPr>
            </w:pPr>
            <w:r>
              <w:rPr>
                <w:noProof/>
                <w:sz w:val="20"/>
              </w:rPr>
              <w:t>Година</w:t>
            </w:r>
            <w:r>
              <w:rPr>
                <w:noProof/>
                <w:sz w:val="20"/>
              </w:rPr>
              <w:br/>
            </w:r>
            <w:r>
              <w:rPr>
                <w:b/>
                <w:noProof/>
                <w:sz w:val="20"/>
              </w:rPr>
              <w:t>2017</w:t>
            </w:r>
          </w:p>
        </w:tc>
        <w:tc>
          <w:tcPr>
            <w:tcW w:w="868" w:type="dxa"/>
            <w:vAlign w:val="center"/>
          </w:tcPr>
          <w:p>
            <w:pPr>
              <w:jc w:val="center"/>
              <w:rPr>
                <w:noProof/>
                <w:sz w:val="20"/>
              </w:rPr>
            </w:pPr>
            <w:r>
              <w:rPr>
                <w:noProof/>
                <w:sz w:val="20"/>
              </w:rPr>
              <w:t>Година</w:t>
            </w:r>
            <w:r>
              <w:rPr>
                <w:noProof/>
                <w:sz w:val="20"/>
              </w:rPr>
              <w:br/>
            </w:r>
            <w:r>
              <w:rPr>
                <w:b/>
                <w:noProof/>
                <w:sz w:val="20"/>
              </w:rPr>
              <w:t>2018</w:t>
            </w: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Номер на бюджетния ред 11.0301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c>
          <w:tcPr>
            <w:tcW w:w="3960" w:type="dxa"/>
            <w:vMerge w:val="restart"/>
            <w:vAlign w:val="center"/>
          </w:tcPr>
          <w:p>
            <w:pPr>
              <w:rPr>
                <w:noProof/>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1777" w:type="dxa"/>
            <w:vAlign w:val="center"/>
          </w:tcPr>
          <w:p>
            <w:pPr>
              <w:spacing w:before="20" w:after="20"/>
              <w:jc w:val="center"/>
              <w:rPr>
                <w:b/>
                <w:noProof/>
                <w:sz w:val="18"/>
                <w:szCs w:val="18"/>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1777" w:type="dxa"/>
            <w:vAlign w:val="center"/>
          </w:tcPr>
          <w:p>
            <w:pPr>
              <w:spacing w:before="20" w:after="20"/>
              <w:jc w:val="center"/>
              <w:rPr>
                <w:b/>
                <w:noProof/>
                <w:sz w:val="18"/>
                <w:szCs w:val="18"/>
              </w:rPr>
            </w:pPr>
          </w:p>
        </w:tc>
      </w:tr>
      <w:tr>
        <w:trPr>
          <w:trHeight w:val="231"/>
        </w:trPr>
        <w:tc>
          <w:tcPr>
            <w:tcW w:w="6054" w:type="dxa"/>
            <w:gridSpan w:val="4"/>
            <w:vAlign w:val="center"/>
          </w:tcPr>
          <w:p>
            <w:pPr>
              <w:spacing w:before="20" w:after="20"/>
              <w:rPr>
                <w:noProof/>
              </w:rPr>
            </w:pPr>
            <w:r>
              <w:rPr>
                <w:noProof/>
                <w:sz w:val="21"/>
              </w:rPr>
              <w:sym w:font="Wingdings" w:char="F09F"/>
            </w:r>
            <w:r>
              <w:rPr>
                <w:noProof/>
              </w:rPr>
              <w:t xml:space="preserve"> Бюджетни кредити за административни разходи, финансирани от пакета за определени програми</w:t>
            </w:r>
            <w:r>
              <w:rPr>
                <w:rStyle w:val="FootnoteReference"/>
                <w:noProof/>
              </w:rPr>
              <w:footnoteReference w:id="8"/>
            </w:r>
          </w:p>
          <w:p>
            <w:pPr>
              <w:spacing w:before="0" w:after="0"/>
              <w:rPr>
                <w:noProof/>
              </w:rPr>
            </w:pPr>
          </w:p>
        </w:tc>
        <w:tc>
          <w:tcPr>
            <w:tcW w:w="868" w:type="dxa"/>
            <w:vAlign w:val="center"/>
          </w:tcPr>
          <w:p>
            <w:pPr>
              <w:jc w:val="center"/>
              <w:rPr>
                <w:b/>
                <w:noProof/>
                <w:sz w:val="18"/>
                <w:szCs w:val="18"/>
              </w:rPr>
            </w:pPr>
          </w:p>
        </w:tc>
        <w:tc>
          <w:tcPr>
            <w:tcW w:w="868" w:type="dxa"/>
            <w:vAlign w:val="center"/>
          </w:tcPr>
          <w:p>
            <w:pPr>
              <w:jc w:val="center"/>
              <w:rPr>
                <w:b/>
                <w:noProof/>
                <w:sz w:val="18"/>
                <w:szCs w:val="18"/>
              </w:rPr>
            </w:pPr>
          </w:p>
        </w:tc>
        <w:tc>
          <w:tcPr>
            <w:tcW w:w="868" w:type="dxa"/>
            <w:vAlign w:val="center"/>
          </w:tcPr>
          <w:p>
            <w:pPr>
              <w:jc w:val="center"/>
              <w:rPr>
                <w:b/>
                <w:noProof/>
                <w:sz w:val="18"/>
                <w:szCs w:val="18"/>
              </w:rPr>
            </w:pPr>
          </w:p>
        </w:tc>
        <w:tc>
          <w:tcPr>
            <w:tcW w:w="868" w:type="dxa"/>
            <w:vAlign w:val="center"/>
          </w:tcPr>
          <w:p>
            <w:pPr>
              <w:jc w:val="center"/>
              <w:rPr>
                <w:b/>
                <w:noProof/>
                <w:sz w:val="18"/>
                <w:szCs w:val="18"/>
              </w:rPr>
            </w:pPr>
          </w:p>
        </w:tc>
        <w:tc>
          <w:tcPr>
            <w:tcW w:w="1777" w:type="dxa"/>
            <w:vAlign w:val="center"/>
          </w:tcPr>
          <w:p>
            <w:pPr>
              <w:jc w:val="center"/>
              <w:rPr>
                <w:b/>
                <w:noProof/>
                <w:sz w:val="18"/>
                <w:szCs w:val="18"/>
              </w:rPr>
            </w:pPr>
          </w:p>
        </w:tc>
      </w:tr>
      <w:tr>
        <w:trPr>
          <w:trHeight w:val="319"/>
        </w:trPr>
        <w:tc>
          <w:tcPr>
            <w:tcW w:w="3960" w:type="dxa"/>
            <w:vAlign w:val="center"/>
          </w:tcPr>
          <w:p>
            <w:pPr>
              <w:spacing w:before="60" w:after="60"/>
              <w:rPr>
                <w:noProof/>
              </w:rPr>
            </w:pPr>
            <w:r>
              <w:rPr>
                <w:noProof/>
              </w:rPr>
              <w:t>Номер на бюджетния ред 11 010401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0,231</w:t>
            </w:r>
          </w:p>
        </w:tc>
        <w:tc>
          <w:tcPr>
            <w:tcW w:w="1777" w:type="dxa"/>
            <w:vAlign w:val="center"/>
          </w:tcPr>
          <w:p>
            <w:pPr>
              <w:spacing w:before="40" w:after="40"/>
              <w:jc w:val="center"/>
              <w:rPr>
                <w:b/>
                <w:noProof/>
                <w:sz w:val="18"/>
                <w:szCs w:val="18"/>
              </w:rPr>
            </w:pPr>
            <w:r>
              <w:rPr>
                <w:b/>
                <w:noProof/>
                <w:sz w:val="18"/>
              </w:rPr>
              <w:t>0,684</w:t>
            </w:r>
          </w:p>
        </w:tc>
      </w:tr>
      <w:tr>
        <w:tc>
          <w:tcPr>
            <w:tcW w:w="3960" w:type="dxa"/>
            <w:vMerge w:val="restart"/>
            <w:vAlign w:val="center"/>
          </w:tcPr>
          <w:p>
            <w:pPr>
              <w:jc w:val="center"/>
              <w:rPr>
                <w:b/>
                <w:noProof/>
              </w:rPr>
            </w:pPr>
            <w:r>
              <w:rPr>
                <w:b/>
                <w:noProof/>
              </w:rPr>
              <w:t>ОБЩО бюджетни кредити</w:t>
            </w:r>
            <w:r>
              <w:rPr>
                <w:noProof/>
              </w:rPr>
              <w:br/>
            </w:r>
            <w:r>
              <w:rPr>
                <w:b/>
                <w:noProof/>
              </w:rPr>
              <w:t>за ГД</w:t>
            </w:r>
            <w:r>
              <w:rPr>
                <w:noProof/>
              </w:rPr>
              <w:t xml:space="preserve"> „Морско дело и рибарство“</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 +3</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bl>
    <w:p>
      <w:pPr>
        <w:rPr>
          <w:noProof/>
          <w:highlight w:val="yellow"/>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rPr>
              <w:t xml:space="preserve"> 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0,231</w:t>
            </w:r>
          </w:p>
        </w:tc>
        <w:tc>
          <w:tcPr>
            <w:tcW w:w="1777" w:type="dxa"/>
            <w:vAlign w:val="center"/>
          </w:tcPr>
          <w:p>
            <w:pPr>
              <w:spacing w:before="40" w:after="40"/>
              <w:jc w:val="center"/>
              <w:rPr>
                <w:b/>
                <w:noProof/>
                <w:sz w:val="18"/>
                <w:szCs w:val="18"/>
              </w:rPr>
            </w:pPr>
            <w:r>
              <w:rPr>
                <w:b/>
                <w:noProof/>
                <w:sz w:val="18"/>
              </w:rPr>
              <w:t>0,684</w:t>
            </w:r>
          </w:p>
        </w:tc>
      </w:tr>
      <w:tr>
        <w:tc>
          <w:tcPr>
            <w:tcW w:w="3960" w:type="dxa"/>
            <w:vMerge w:val="restart"/>
            <w:shd w:val="thinDiagStripe" w:color="C0C0C0" w:fill="auto"/>
            <w:vAlign w:val="center"/>
          </w:tcPr>
          <w:p>
            <w:pPr>
              <w:jc w:val="center"/>
              <w:rPr>
                <w:b/>
                <w:noProof/>
              </w:rPr>
            </w:pPr>
            <w:r>
              <w:rPr>
                <w:b/>
                <w:noProof/>
              </w:rPr>
              <w:t>ОБЩО бюджетни кредити</w:t>
            </w:r>
            <w:r>
              <w:rPr>
                <w:noProof/>
              </w:rPr>
              <w:br/>
            </w:r>
            <w:r>
              <w:rPr>
                <w:b/>
                <w:noProof/>
                <w:sz w:val="22"/>
              </w:rPr>
              <w:t>за ФУНКЦИЯ 2</w:t>
            </w:r>
            <w:r>
              <w:rPr>
                <w:b/>
                <w:noProof/>
                <w:sz w:val="22"/>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 НЕПРИЛОЖИМО</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rPr>
              <w:t xml:space="preserve"> 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rPr>
              <w:t>ОБЩО бюджетни кредити</w:t>
            </w:r>
            <w:r>
              <w:rPr>
                <w:noProof/>
              </w:rPr>
              <w:br/>
            </w:r>
            <w:r>
              <w:rPr>
                <w:b/>
                <w:noProof/>
                <w:sz w:val="22"/>
              </w:rPr>
              <w:t>за ФУНКЦИИ 1—4</w:t>
            </w:r>
            <w:r>
              <w:rPr>
                <w:b/>
                <w:noProof/>
                <w:sz w:val="22"/>
              </w:rPr>
              <w:br/>
            </w:r>
            <w:r>
              <w:rPr>
                <w:noProof/>
                <w:sz w:val="22"/>
              </w:rPr>
              <w:t>от многогодишната финансова рамка</w:t>
            </w:r>
            <w:r>
              <w:rPr>
                <w:noProof/>
                <w:sz w:val="22"/>
              </w:rPr>
              <w:br/>
            </w:r>
            <w:r>
              <w:rPr>
                <w:noProof/>
                <w:sz w:val="20"/>
              </w:rPr>
              <w:t>(Референтна сума)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Функция от многогодишната финансова</w:t>
            </w:r>
            <w:r>
              <w:rPr>
                <w:noProof/>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Администрация</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0"/>
              </w:rPr>
              <w:br/>
            </w:r>
            <w:r>
              <w:rPr>
                <w:b/>
                <w:noProof/>
                <w:sz w:val="20"/>
              </w:rPr>
              <w:t>2015</w:t>
            </w:r>
          </w:p>
        </w:tc>
        <w:tc>
          <w:tcPr>
            <w:tcW w:w="868" w:type="dxa"/>
            <w:vAlign w:val="center"/>
          </w:tcPr>
          <w:p>
            <w:pPr>
              <w:jc w:val="center"/>
              <w:rPr>
                <w:noProof/>
                <w:sz w:val="20"/>
              </w:rPr>
            </w:pPr>
            <w:r>
              <w:rPr>
                <w:noProof/>
                <w:sz w:val="20"/>
              </w:rPr>
              <w:t>Година</w:t>
            </w:r>
            <w:r>
              <w:rPr>
                <w:noProof/>
                <w:sz w:val="20"/>
              </w:rPr>
              <w:br/>
            </w:r>
            <w:r>
              <w:rPr>
                <w:b/>
                <w:noProof/>
                <w:sz w:val="20"/>
              </w:rPr>
              <w:t>2016</w:t>
            </w:r>
          </w:p>
        </w:tc>
        <w:tc>
          <w:tcPr>
            <w:tcW w:w="868" w:type="dxa"/>
            <w:vAlign w:val="center"/>
          </w:tcPr>
          <w:p>
            <w:pPr>
              <w:jc w:val="center"/>
              <w:rPr>
                <w:noProof/>
                <w:sz w:val="20"/>
              </w:rPr>
            </w:pPr>
            <w:r>
              <w:rPr>
                <w:noProof/>
                <w:sz w:val="20"/>
              </w:rPr>
              <w:t>Година</w:t>
            </w:r>
            <w:r>
              <w:rPr>
                <w:noProof/>
                <w:sz w:val="20"/>
              </w:rPr>
              <w:br/>
            </w:r>
            <w:r>
              <w:rPr>
                <w:b/>
                <w:noProof/>
                <w:sz w:val="20"/>
              </w:rPr>
              <w:t>2017</w:t>
            </w:r>
          </w:p>
        </w:tc>
        <w:tc>
          <w:tcPr>
            <w:tcW w:w="868" w:type="dxa"/>
            <w:vAlign w:val="center"/>
          </w:tcPr>
          <w:p>
            <w:pPr>
              <w:jc w:val="center"/>
              <w:rPr>
                <w:noProof/>
                <w:sz w:val="20"/>
              </w:rPr>
            </w:pPr>
            <w:r>
              <w:rPr>
                <w:noProof/>
                <w:sz w:val="20"/>
              </w:rPr>
              <w:t>Година</w:t>
            </w:r>
            <w:r>
              <w:rPr>
                <w:noProof/>
                <w:sz w:val="20"/>
              </w:rPr>
              <w:br/>
            </w:r>
            <w:r>
              <w:rPr>
                <w:b/>
                <w:noProof/>
                <w:sz w:val="20"/>
              </w:rPr>
              <w:t>2018</w:t>
            </w:r>
          </w:p>
        </w:tc>
        <w:tc>
          <w:tcPr>
            <w:tcW w:w="1777" w:type="dxa"/>
            <w:vAlign w:val="center"/>
          </w:tcPr>
          <w:p>
            <w:pPr>
              <w:jc w:val="center"/>
              <w:rPr>
                <w:b/>
                <w:noProof/>
                <w:sz w:val="20"/>
              </w:rPr>
            </w:pPr>
            <w:r>
              <w:rPr>
                <w:b/>
                <w:noProof/>
                <w:sz w:val="20"/>
              </w:rPr>
              <w:t>ОБЩО</w:t>
            </w:r>
          </w:p>
        </w:tc>
      </w:tr>
      <w:tr>
        <w:trPr>
          <w:gridAfter w:val="7"/>
          <w:wAfter w:w="7343" w:type="dxa"/>
        </w:trPr>
        <w:tc>
          <w:tcPr>
            <w:tcW w:w="3960" w:type="dxa"/>
            <w:vAlign w:val="center"/>
          </w:tcPr>
          <w:p>
            <w:pPr>
              <w:spacing w:before="60" w:after="60"/>
              <w:jc w:val="center"/>
              <w:rPr>
                <w:noProof/>
              </w:rPr>
            </w:pPr>
            <w:r>
              <w:rPr>
                <w:noProof/>
                <w:sz w:val="22"/>
              </w:rPr>
              <w:t>ГД: „Морско дело и рибарство“</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Човешки ресурси</w:t>
            </w:r>
          </w:p>
        </w:tc>
        <w:tc>
          <w:tcPr>
            <w:tcW w:w="868" w:type="dxa"/>
            <w:vAlign w:val="center"/>
          </w:tcPr>
          <w:p>
            <w:pPr>
              <w:spacing w:before="20" w:after="20"/>
              <w:jc w:val="center"/>
              <w:rPr>
                <w:noProof/>
                <w:sz w:val="18"/>
                <w:szCs w:val="18"/>
              </w:rPr>
            </w:pPr>
            <w:r>
              <w:rPr>
                <w:noProof/>
                <w:sz w:val="18"/>
              </w:rPr>
              <w:t>0,210</w:t>
            </w:r>
          </w:p>
        </w:tc>
        <w:tc>
          <w:tcPr>
            <w:tcW w:w="868" w:type="dxa"/>
            <w:vAlign w:val="center"/>
          </w:tcPr>
          <w:p>
            <w:pPr>
              <w:spacing w:before="20" w:after="20"/>
              <w:jc w:val="center"/>
              <w:rPr>
                <w:noProof/>
                <w:sz w:val="18"/>
                <w:szCs w:val="18"/>
              </w:rPr>
            </w:pPr>
            <w:r>
              <w:rPr>
                <w:noProof/>
                <w:sz w:val="18"/>
              </w:rPr>
              <w:t>0,210</w:t>
            </w:r>
          </w:p>
        </w:tc>
        <w:tc>
          <w:tcPr>
            <w:tcW w:w="868" w:type="dxa"/>
            <w:vAlign w:val="center"/>
          </w:tcPr>
          <w:p>
            <w:pPr>
              <w:spacing w:before="20" w:after="20"/>
              <w:jc w:val="center"/>
              <w:rPr>
                <w:noProof/>
                <w:sz w:val="18"/>
                <w:szCs w:val="18"/>
              </w:rPr>
            </w:pPr>
            <w:r>
              <w:rPr>
                <w:noProof/>
                <w:sz w:val="18"/>
              </w:rPr>
              <w:t>0,210</w:t>
            </w:r>
          </w:p>
        </w:tc>
        <w:tc>
          <w:tcPr>
            <w:tcW w:w="868" w:type="dxa"/>
            <w:vAlign w:val="center"/>
          </w:tcPr>
          <w:p>
            <w:pPr>
              <w:spacing w:before="20" w:after="20"/>
              <w:jc w:val="center"/>
              <w:rPr>
                <w:noProof/>
                <w:sz w:val="18"/>
                <w:szCs w:val="18"/>
              </w:rPr>
            </w:pPr>
            <w:r>
              <w:rPr>
                <w:noProof/>
                <w:sz w:val="18"/>
              </w:rPr>
              <w:t>0,210</w:t>
            </w:r>
          </w:p>
        </w:tc>
        <w:tc>
          <w:tcPr>
            <w:tcW w:w="1777" w:type="dxa"/>
            <w:vAlign w:val="center"/>
          </w:tcPr>
          <w:p>
            <w:pPr>
              <w:spacing w:before="20" w:after="20"/>
              <w:jc w:val="center"/>
              <w:rPr>
                <w:b/>
                <w:noProof/>
                <w:sz w:val="18"/>
                <w:szCs w:val="18"/>
              </w:rPr>
            </w:pPr>
            <w:r>
              <w:rPr>
                <w:b/>
                <w:noProof/>
                <w:sz w:val="18"/>
              </w:rPr>
              <w:t>0,840</w:t>
            </w: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Други административни разходи</w:t>
            </w:r>
          </w:p>
        </w:tc>
        <w:tc>
          <w:tcPr>
            <w:tcW w:w="868" w:type="dxa"/>
            <w:vAlign w:val="center"/>
          </w:tcPr>
          <w:p>
            <w:pPr>
              <w:spacing w:before="20" w:after="20"/>
              <w:jc w:val="center"/>
              <w:rPr>
                <w:noProof/>
                <w:sz w:val="18"/>
                <w:szCs w:val="18"/>
              </w:rPr>
            </w:pPr>
            <w:r>
              <w:rPr>
                <w:noProof/>
                <w:sz w:val="18"/>
              </w:rPr>
              <w:t>0,03</w:t>
            </w:r>
          </w:p>
        </w:tc>
        <w:tc>
          <w:tcPr>
            <w:tcW w:w="868" w:type="dxa"/>
            <w:vAlign w:val="center"/>
          </w:tcPr>
          <w:p>
            <w:pPr>
              <w:spacing w:before="20" w:after="20"/>
              <w:jc w:val="center"/>
              <w:rPr>
                <w:noProof/>
                <w:sz w:val="18"/>
                <w:szCs w:val="18"/>
              </w:rPr>
            </w:pPr>
            <w:r>
              <w:rPr>
                <w:noProof/>
                <w:sz w:val="18"/>
              </w:rPr>
              <w:t>0,03</w:t>
            </w:r>
          </w:p>
        </w:tc>
        <w:tc>
          <w:tcPr>
            <w:tcW w:w="868" w:type="dxa"/>
            <w:vAlign w:val="center"/>
          </w:tcPr>
          <w:p>
            <w:pPr>
              <w:spacing w:before="20" w:after="20"/>
              <w:jc w:val="center"/>
              <w:rPr>
                <w:noProof/>
                <w:sz w:val="18"/>
                <w:szCs w:val="18"/>
              </w:rPr>
            </w:pPr>
            <w:r>
              <w:rPr>
                <w:noProof/>
                <w:sz w:val="18"/>
              </w:rPr>
              <w:t>0,03</w:t>
            </w:r>
          </w:p>
        </w:tc>
        <w:tc>
          <w:tcPr>
            <w:tcW w:w="868" w:type="dxa"/>
            <w:vAlign w:val="center"/>
          </w:tcPr>
          <w:p>
            <w:pPr>
              <w:spacing w:before="20" w:after="20"/>
              <w:jc w:val="center"/>
              <w:rPr>
                <w:noProof/>
                <w:sz w:val="18"/>
                <w:szCs w:val="18"/>
              </w:rPr>
            </w:pPr>
            <w:r>
              <w:rPr>
                <w:noProof/>
                <w:sz w:val="18"/>
              </w:rPr>
              <w:t>0,03</w:t>
            </w:r>
          </w:p>
        </w:tc>
        <w:tc>
          <w:tcPr>
            <w:tcW w:w="1777" w:type="dxa"/>
            <w:vAlign w:val="center"/>
          </w:tcPr>
          <w:p>
            <w:pPr>
              <w:spacing w:before="20" w:after="20"/>
              <w:jc w:val="center"/>
              <w:rPr>
                <w:b/>
                <w:noProof/>
                <w:sz w:val="18"/>
                <w:szCs w:val="18"/>
              </w:rPr>
            </w:pPr>
            <w:r>
              <w:rPr>
                <w:b/>
                <w:noProof/>
                <w:sz w:val="18"/>
              </w:rPr>
              <w:t>0,12</w:t>
            </w:r>
          </w:p>
        </w:tc>
      </w:tr>
      <w:tr>
        <w:tc>
          <w:tcPr>
            <w:tcW w:w="3960" w:type="dxa"/>
            <w:vAlign w:val="center"/>
          </w:tcPr>
          <w:p>
            <w:pPr>
              <w:jc w:val="center"/>
              <w:rPr>
                <w:b/>
                <w:noProof/>
              </w:rPr>
            </w:pPr>
            <w:r>
              <w:rPr>
                <w:b/>
                <w:noProof/>
                <w:sz w:val="22"/>
              </w:rPr>
              <w:t>ОБЩО ГД „Морско дело и рибарство“</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1777" w:type="dxa"/>
            <w:vAlign w:val="center"/>
          </w:tcPr>
          <w:p>
            <w:pPr>
              <w:spacing w:before="20" w:after="20"/>
              <w:jc w:val="center"/>
              <w:rPr>
                <w:b/>
                <w:noProof/>
                <w:sz w:val="18"/>
                <w:szCs w:val="18"/>
              </w:rPr>
            </w:pPr>
            <w:r>
              <w:rPr>
                <w:b/>
                <w:noProof/>
                <w:sz w:val="18"/>
              </w:rPr>
              <w:t>0,96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tc>
          <w:tcPr>
            <w:tcW w:w="3960" w:type="dxa"/>
            <w:shd w:val="thinDiagStripe" w:color="C0C0C0" w:fill="auto"/>
            <w:vAlign w:val="center"/>
          </w:tcPr>
          <w:p>
            <w:pPr>
              <w:jc w:val="center"/>
              <w:rPr>
                <w:b/>
                <w:noProof/>
              </w:rPr>
            </w:pPr>
            <w:r>
              <w:rPr>
                <w:b/>
                <w:noProof/>
              </w:rPr>
              <w:t>ОБЩО бюджетни кредити</w:t>
            </w:r>
            <w:r>
              <w:rPr>
                <w:noProof/>
              </w:rPr>
              <w:br/>
            </w:r>
            <w:r>
              <w:rPr>
                <w:b/>
                <w:noProof/>
                <w:sz w:val="22"/>
              </w:rPr>
              <w:t>за ФУНКЦИЯ 5</w:t>
            </w:r>
            <w:r>
              <w:rPr>
                <w:b/>
                <w:noProof/>
                <w:sz w:val="22"/>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1777" w:type="dxa"/>
            <w:vAlign w:val="center"/>
          </w:tcPr>
          <w:p>
            <w:pPr>
              <w:spacing w:before="20" w:after="20"/>
              <w:jc w:val="center"/>
              <w:rPr>
                <w:b/>
                <w:noProof/>
                <w:sz w:val="18"/>
                <w:szCs w:val="18"/>
              </w:rPr>
            </w:pPr>
            <w:r>
              <w:rPr>
                <w:b/>
                <w:noProof/>
                <w:sz w:val="18"/>
              </w:rPr>
              <w:t>0,96</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0"/>
              </w:rPr>
              <w:br/>
            </w:r>
            <w:r>
              <w:rPr>
                <w:b/>
                <w:noProof/>
                <w:sz w:val="20"/>
              </w:rPr>
              <w:t>2015</w:t>
            </w:r>
          </w:p>
        </w:tc>
        <w:tc>
          <w:tcPr>
            <w:tcW w:w="868" w:type="dxa"/>
            <w:vAlign w:val="center"/>
          </w:tcPr>
          <w:p>
            <w:pPr>
              <w:jc w:val="center"/>
              <w:rPr>
                <w:noProof/>
                <w:sz w:val="20"/>
              </w:rPr>
            </w:pPr>
            <w:r>
              <w:rPr>
                <w:noProof/>
                <w:sz w:val="20"/>
              </w:rPr>
              <w:t>Година</w:t>
            </w:r>
            <w:r>
              <w:rPr>
                <w:noProof/>
                <w:sz w:val="20"/>
              </w:rPr>
              <w:br/>
            </w:r>
            <w:r>
              <w:rPr>
                <w:b/>
                <w:noProof/>
                <w:sz w:val="20"/>
              </w:rPr>
              <w:t>2016</w:t>
            </w:r>
          </w:p>
        </w:tc>
        <w:tc>
          <w:tcPr>
            <w:tcW w:w="868" w:type="dxa"/>
            <w:vAlign w:val="center"/>
          </w:tcPr>
          <w:p>
            <w:pPr>
              <w:jc w:val="center"/>
              <w:rPr>
                <w:noProof/>
                <w:sz w:val="20"/>
              </w:rPr>
            </w:pPr>
            <w:r>
              <w:rPr>
                <w:noProof/>
                <w:sz w:val="20"/>
              </w:rPr>
              <w:t>Година</w:t>
            </w:r>
            <w:r>
              <w:rPr>
                <w:noProof/>
                <w:sz w:val="20"/>
              </w:rPr>
              <w:br/>
            </w:r>
            <w:r>
              <w:rPr>
                <w:b/>
                <w:noProof/>
                <w:sz w:val="20"/>
              </w:rPr>
              <w:t>2017</w:t>
            </w:r>
          </w:p>
        </w:tc>
        <w:tc>
          <w:tcPr>
            <w:tcW w:w="868" w:type="dxa"/>
            <w:vAlign w:val="center"/>
          </w:tcPr>
          <w:p>
            <w:pPr>
              <w:jc w:val="center"/>
              <w:rPr>
                <w:noProof/>
                <w:sz w:val="20"/>
              </w:rPr>
            </w:pPr>
            <w:r>
              <w:rPr>
                <w:noProof/>
                <w:sz w:val="20"/>
              </w:rPr>
              <w:t>Година</w:t>
            </w:r>
            <w:r>
              <w:rPr>
                <w:noProof/>
                <w:sz w:val="20"/>
              </w:rPr>
              <w:br/>
            </w:r>
            <w:r>
              <w:rPr>
                <w:b/>
                <w:noProof/>
                <w:sz w:val="20"/>
              </w:rPr>
              <w:t>2018</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rPr>
              <w:t>ОБЩО бюджетни кредити</w:t>
            </w:r>
            <w:r>
              <w:rPr>
                <w:noProof/>
              </w:rPr>
              <w:br/>
            </w:r>
            <w:r>
              <w:rPr>
                <w:b/>
                <w:noProof/>
                <w:sz w:val="22"/>
              </w:rPr>
              <w:t>за ФУНКЦИИ 1—5</w:t>
            </w:r>
            <w:r>
              <w:rPr>
                <w:b/>
                <w:noProof/>
                <w:sz w:val="22"/>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59,576</w:t>
            </w:r>
          </w:p>
        </w:tc>
        <w:tc>
          <w:tcPr>
            <w:tcW w:w="1777" w:type="dxa"/>
            <w:vAlign w:val="center"/>
          </w:tcPr>
          <w:p>
            <w:pPr>
              <w:spacing w:before="60" w:after="60"/>
              <w:jc w:val="center"/>
              <w:rPr>
                <w:b/>
                <w:noProof/>
                <w:sz w:val="18"/>
                <w:szCs w:val="18"/>
              </w:rPr>
            </w:pPr>
            <w:r>
              <w:rPr>
                <w:b/>
                <w:noProof/>
                <w:sz w:val="18"/>
              </w:rPr>
              <w:t>238,064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59,576</w:t>
            </w:r>
          </w:p>
        </w:tc>
        <w:tc>
          <w:tcPr>
            <w:tcW w:w="1777" w:type="dxa"/>
            <w:vAlign w:val="center"/>
          </w:tcPr>
          <w:p>
            <w:pPr>
              <w:spacing w:before="60" w:after="60"/>
              <w:jc w:val="center"/>
              <w:rPr>
                <w:b/>
                <w:noProof/>
                <w:sz w:val="18"/>
                <w:szCs w:val="18"/>
              </w:rPr>
            </w:pPr>
            <w:r>
              <w:rPr>
                <w:b/>
                <w:noProof/>
                <w:sz w:val="18"/>
              </w:rPr>
              <w:t>238,064</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51"/>
        <w:gridCol w:w="21"/>
        <w:gridCol w:w="851"/>
        <w:gridCol w:w="337"/>
        <w:gridCol w:w="648"/>
        <w:gridCol w:w="7"/>
        <w:gridCol w:w="425"/>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szCs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jc w:val="center"/>
              <w:rPr>
                <w:noProof/>
                <w:sz w:val="20"/>
              </w:rPr>
            </w:pPr>
            <w:r>
              <w:rPr>
                <w:noProof/>
                <w:sz w:val="20"/>
              </w:rPr>
              <w:t>Година</w:t>
            </w:r>
            <w:r>
              <w:rPr>
                <w:noProof/>
                <w:sz w:val="20"/>
              </w:rPr>
              <w:br/>
            </w:r>
            <w:r>
              <w:rPr>
                <w:b/>
                <w:noProof/>
                <w:sz w:val="20"/>
              </w:rPr>
              <w:t>2015</w:t>
            </w:r>
          </w:p>
        </w:tc>
        <w:tc>
          <w:tcPr>
            <w:tcW w:w="1260" w:type="dxa"/>
            <w:gridSpan w:val="2"/>
            <w:vAlign w:val="center"/>
          </w:tcPr>
          <w:p>
            <w:pPr>
              <w:jc w:val="center"/>
              <w:rPr>
                <w:noProof/>
                <w:sz w:val="20"/>
              </w:rPr>
            </w:pPr>
            <w:r>
              <w:rPr>
                <w:noProof/>
                <w:sz w:val="20"/>
              </w:rPr>
              <w:t>Година</w:t>
            </w:r>
            <w:r>
              <w:rPr>
                <w:noProof/>
                <w:sz w:val="20"/>
              </w:rPr>
              <w:br/>
            </w:r>
            <w:r>
              <w:rPr>
                <w:b/>
                <w:noProof/>
                <w:sz w:val="20"/>
              </w:rPr>
              <w:t>2016</w:t>
            </w:r>
          </w:p>
        </w:tc>
        <w:tc>
          <w:tcPr>
            <w:tcW w:w="1440" w:type="dxa"/>
            <w:gridSpan w:val="2"/>
            <w:vAlign w:val="center"/>
          </w:tcPr>
          <w:p>
            <w:pPr>
              <w:jc w:val="center"/>
              <w:rPr>
                <w:noProof/>
                <w:sz w:val="20"/>
              </w:rPr>
            </w:pPr>
            <w:r>
              <w:rPr>
                <w:noProof/>
                <w:sz w:val="20"/>
              </w:rPr>
              <w:t>Година</w:t>
            </w:r>
            <w:r>
              <w:rPr>
                <w:noProof/>
                <w:sz w:val="20"/>
              </w:rPr>
              <w:br/>
            </w:r>
            <w:r>
              <w:rPr>
                <w:b/>
                <w:noProof/>
                <w:sz w:val="20"/>
              </w:rPr>
              <w:t>2017</w:t>
            </w:r>
          </w:p>
        </w:tc>
        <w:tc>
          <w:tcPr>
            <w:tcW w:w="1823" w:type="dxa"/>
            <w:gridSpan w:val="3"/>
            <w:vAlign w:val="center"/>
          </w:tcPr>
          <w:p>
            <w:pPr>
              <w:jc w:val="center"/>
              <w:rPr>
                <w:noProof/>
                <w:sz w:val="20"/>
              </w:rPr>
            </w:pPr>
            <w:r>
              <w:rPr>
                <w:noProof/>
                <w:sz w:val="20"/>
              </w:rPr>
              <w:t>Година</w:t>
            </w:r>
            <w:r>
              <w:rPr>
                <w:noProof/>
                <w:sz w:val="20"/>
              </w:rPr>
              <w:br/>
            </w:r>
            <w:r>
              <w:rPr>
                <w:b/>
                <w:noProof/>
                <w:sz w:val="20"/>
              </w:rPr>
              <w:t>2018</w:t>
            </w:r>
          </w:p>
        </w:tc>
        <w:tc>
          <w:tcPr>
            <w:tcW w:w="992" w:type="dxa"/>
            <w:gridSpan w:val="3"/>
            <w:vAlign w:val="center"/>
          </w:tcPr>
          <w:p>
            <w:pPr>
              <w:jc w:val="center"/>
              <w:rPr>
                <w:noProof/>
                <w:sz w:val="18"/>
                <w:szCs w:val="18"/>
              </w:rPr>
            </w:pPr>
            <w:r>
              <w:rPr>
                <w:noProof/>
                <w:sz w:val="20"/>
              </w:rPr>
              <w:t>Година</w:t>
            </w:r>
            <w:r>
              <w:rPr>
                <w:noProof/>
                <w:sz w:val="20"/>
              </w:rPr>
              <w:br/>
            </w:r>
            <w:r>
              <w:rPr>
                <w:b/>
                <w:noProof/>
                <w:sz w:val="20"/>
              </w:rPr>
              <w:t>…</w:t>
            </w:r>
          </w:p>
        </w:tc>
        <w:tc>
          <w:tcPr>
            <w:tcW w:w="2405" w:type="dxa"/>
            <w:gridSpan w:val="4"/>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20"/>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9"/>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7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51"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3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1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72" w:type="dxa"/>
            <w:gridSpan w:val="2"/>
            <w:tcBorders>
              <w:top w:val="nil"/>
              <w:left w:val="nil"/>
              <w:bottom w:val="nil"/>
              <w:right w:val="nil"/>
            </w:tcBorders>
          </w:tcPr>
          <w:p>
            <w:pPr>
              <w:spacing w:before="60" w:after="60"/>
              <w:ind w:right="-29"/>
              <w:jc w:val="center"/>
              <w:rPr>
                <w:noProof/>
                <w:sz w:val="18"/>
                <w:szCs w:val="18"/>
              </w:rPr>
            </w:pPr>
          </w:p>
        </w:tc>
        <w:tc>
          <w:tcPr>
            <w:tcW w:w="851" w:type="dxa"/>
            <w:tcBorders>
              <w:top w:val="nil"/>
              <w:left w:val="nil"/>
              <w:bottom w:val="nil"/>
              <w:right w:val="nil"/>
            </w:tcBorders>
          </w:tcPr>
          <w:p>
            <w:pPr>
              <w:spacing w:before="60" w:after="60"/>
              <w:ind w:right="-29"/>
              <w:jc w:val="center"/>
              <w:rPr>
                <w:noProof/>
                <w:sz w:val="18"/>
                <w:szCs w:val="18"/>
              </w:rPr>
            </w:pPr>
          </w:p>
        </w:tc>
        <w:tc>
          <w:tcPr>
            <w:tcW w:w="337"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лицензии на кораби</w:t>
            </w:r>
          </w:p>
        </w:tc>
        <w:tc>
          <w:tcPr>
            <w:tcW w:w="720" w:type="dxa"/>
          </w:tcPr>
          <w:p>
            <w:pPr>
              <w:ind w:right="-29"/>
              <w:jc w:val="center"/>
              <w:rPr>
                <w:noProof/>
                <w:sz w:val="18"/>
                <w:szCs w:val="18"/>
              </w:rPr>
            </w:pPr>
            <w:r>
              <w:rPr>
                <w:noProof/>
                <w:sz w:val="18"/>
              </w:rPr>
              <w:t>t/година</w:t>
            </w:r>
          </w:p>
        </w:tc>
        <w:tc>
          <w:tcPr>
            <w:tcW w:w="701" w:type="dxa"/>
          </w:tcPr>
          <w:p>
            <w:pPr>
              <w:ind w:right="-29"/>
              <w:rPr>
                <w:noProof/>
                <w:sz w:val="18"/>
                <w:szCs w:val="18"/>
              </w:rPr>
            </w:pPr>
          </w:p>
        </w:tc>
        <w:tc>
          <w:tcPr>
            <w:tcW w:w="504" w:type="dxa"/>
            <w:tcBorders>
              <w:right w:val="dashSmallGap" w:sz="4" w:space="0" w:color="auto"/>
            </w:tcBorders>
            <w:vAlign w:val="center"/>
          </w:tcPr>
          <w:p>
            <w:pPr>
              <w:ind w:right="-29"/>
              <w:jc w:val="center"/>
              <w:rPr>
                <w:noProof/>
                <w:sz w:val="18"/>
                <w:szCs w:val="18"/>
              </w:rPr>
            </w:pPr>
            <w:r>
              <w:rPr>
                <w:noProof/>
                <w:sz w:val="18"/>
              </w:rPr>
              <w:t>98</w:t>
            </w:r>
          </w:p>
        </w:tc>
        <w:tc>
          <w:tcPr>
            <w:tcW w:w="720" w:type="dxa"/>
            <w:tcBorders>
              <w:left w:val="dashSmallGap" w:sz="4" w:space="0" w:color="auto"/>
            </w:tcBorders>
            <w:vAlign w:val="center"/>
          </w:tcPr>
          <w:p>
            <w:pPr>
              <w:ind w:right="-29"/>
              <w:jc w:val="center"/>
              <w:rPr>
                <w:noProof/>
                <w:sz w:val="18"/>
                <w:szCs w:val="18"/>
              </w:rPr>
            </w:pPr>
            <w:r>
              <w:rPr>
                <w:noProof/>
                <w:sz w:val="18"/>
              </w:rPr>
              <w:t>55</w:t>
            </w:r>
          </w:p>
        </w:tc>
        <w:tc>
          <w:tcPr>
            <w:tcW w:w="540" w:type="dxa"/>
            <w:tcBorders>
              <w:right w:val="dashSmallGap" w:sz="4" w:space="0" w:color="auto"/>
            </w:tcBorders>
            <w:vAlign w:val="center"/>
          </w:tcPr>
          <w:p>
            <w:pPr>
              <w:ind w:right="-29"/>
              <w:jc w:val="center"/>
              <w:rPr>
                <w:noProof/>
                <w:sz w:val="18"/>
                <w:szCs w:val="18"/>
              </w:rPr>
            </w:pPr>
            <w:r>
              <w:rPr>
                <w:noProof/>
                <w:sz w:val="18"/>
              </w:rPr>
              <w:t>98</w:t>
            </w:r>
          </w:p>
        </w:tc>
        <w:tc>
          <w:tcPr>
            <w:tcW w:w="720" w:type="dxa"/>
            <w:tcBorders>
              <w:left w:val="dashSmallGap" w:sz="4" w:space="0" w:color="auto"/>
            </w:tcBorders>
            <w:vAlign w:val="center"/>
          </w:tcPr>
          <w:p>
            <w:pPr>
              <w:ind w:right="-29"/>
              <w:jc w:val="center"/>
              <w:rPr>
                <w:noProof/>
                <w:sz w:val="18"/>
                <w:szCs w:val="18"/>
              </w:rPr>
            </w:pPr>
            <w:r>
              <w:rPr>
                <w:noProof/>
                <w:sz w:val="18"/>
              </w:rPr>
              <w:t>55</w:t>
            </w:r>
          </w:p>
        </w:tc>
        <w:tc>
          <w:tcPr>
            <w:tcW w:w="720" w:type="dxa"/>
            <w:tcBorders>
              <w:right w:val="dashSmallGap" w:sz="4" w:space="0" w:color="auto"/>
            </w:tcBorders>
            <w:vAlign w:val="center"/>
          </w:tcPr>
          <w:p>
            <w:pPr>
              <w:ind w:right="-29"/>
              <w:jc w:val="center"/>
              <w:rPr>
                <w:noProof/>
                <w:sz w:val="18"/>
                <w:szCs w:val="18"/>
              </w:rPr>
            </w:pPr>
            <w:r>
              <w:rPr>
                <w:noProof/>
                <w:sz w:val="18"/>
              </w:rPr>
              <w:t>98</w:t>
            </w:r>
          </w:p>
        </w:tc>
        <w:tc>
          <w:tcPr>
            <w:tcW w:w="720" w:type="dxa"/>
            <w:tcBorders>
              <w:left w:val="dashSmallGap" w:sz="4" w:space="0" w:color="auto"/>
            </w:tcBorders>
            <w:vAlign w:val="center"/>
          </w:tcPr>
          <w:p>
            <w:pPr>
              <w:ind w:right="-29"/>
              <w:jc w:val="center"/>
              <w:rPr>
                <w:noProof/>
                <w:sz w:val="18"/>
                <w:szCs w:val="18"/>
              </w:rPr>
            </w:pPr>
            <w:r>
              <w:rPr>
                <w:noProof/>
                <w:sz w:val="18"/>
              </w:rPr>
              <w:t>55</w:t>
            </w:r>
          </w:p>
        </w:tc>
        <w:tc>
          <w:tcPr>
            <w:tcW w:w="972" w:type="dxa"/>
            <w:gridSpan w:val="2"/>
            <w:tcBorders>
              <w:right w:val="dashSmallGap" w:sz="4" w:space="0" w:color="auto"/>
            </w:tcBorders>
            <w:vAlign w:val="center"/>
          </w:tcPr>
          <w:p>
            <w:pPr>
              <w:ind w:right="-29"/>
              <w:jc w:val="center"/>
              <w:rPr>
                <w:noProof/>
                <w:sz w:val="18"/>
                <w:szCs w:val="18"/>
              </w:rPr>
            </w:pPr>
            <w:r>
              <w:rPr>
                <w:noProof/>
                <w:sz w:val="18"/>
              </w:rPr>
              <w:t>98</w:t>
            </w:r>
          </w:p>
        </w:tc>
        <w:tc>
          <w:tcPr>
            <w:tcW w:w="851" w:type="dxa"/>
            <w:tcBorders>
              <w:left w:val="dashSmallGap" w:sz="4" w:space="0" w:color="auto"/>
            </w:tcBorders>
            <w:vAlign w:val="center"/>
          </w:tcPr>
          <w:p>
            <w:pPr>
              <w:ind w:right="-29"/>
              <w:jc w:val="center"/>
              <w:rPr>
                <w:noProof/>
                <w:sz w:val="18"/>
                <w:szCs w:val="18"/>
              </w:rPr>
            </w:pPr>
            <w:r>
              <w:rPr>
                <w:noProof/>
                <w:sz w:val="18"/>
              </w:rPr>
              <w:t>55</w:t>
            </w:r>
          </w:p>
        </w:tc>
        <w:tc>
          <w:tcPr>
            <w:tcW w:w="337" w:type="dxa"/>
            <w:tcBorders>
              <w:right w:val="dashSmallGap" w:sz="4" w:space="0" w:color="auto"/>
            </w:tcBorders>
            <w:vAlign w:val="center"/>
          </w:tcPr>
          <w:p>
            <w:pPr>
              <w:ind w:right="-29"/>
              <w:jc w:val="center"/>
              <w:rPr>
                <w:noProof/>
                <w:sz w:val="18"/>
                <w:szCs w:val="18"/>
              </w:rPr>
            </w:pPr>
          </w:p>
        </w:tc>
        <w:tc>
          <w:tcPr>
            <w:tcW w:w="648" w:type="dxa"/>
            <w:tcBorders>
              <w:left w:val="dashSmallGap" w:sz="4" w:space="0" w:color="auto"/>
            </w:tcBorders>
            <w:vAlign w:val="center"/>
          </w:tcPr>
          <w:p>
            <w:pPr>
              <w:ind w:right="-29"/>
              <w:jc w:val="center"/>
              <w:rPr>
                <w:noProof/>
                <w:sz w:val="18"/>
                <w:szCs w:val="18"/>
              </w:rPr>
            </w:pPr>
          </w:p>
        </w:tc>
        <w:tc>
          <w:tcPr>
            <w:tcW w:w="432" w:type="dxa"/>
            <w:gridSpan w:val="2"/>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54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720" w:type="dxa"/>
            <w:vAlign w:val="center"/>
          </w:tcPr>
          <w:p>
            <w:pPr>
              <w:ind w:right="-29"/>
              <w:jc w:val="center"/>
              <w:rPr>
                <w:noProof/>
                <w:sz w:val="18"/>
                <w:szCs w:val="18"/>
              </w:rPr>
            </w:pPr>
            <w:r>
              <w:rPr>
                <w:noProof/>
                <w:sz w:val="18"/>
              </w:rPr>
              <w:t>392</w:t>
            </w:r>
          </w:p>
        </w:tc>
        <w:tc>
          <w:tcPr>
            <w:tcW w:w="900" w:type="dxa"/>
            <w:vAlign w:val="center"/>
          </w:tcPr>
          <w:p>
            <w:pPr>
              <w:ind w:right="-29"/>
              <w:jc w:val="center"/>
              <w:rPr>
                <w:noProof/>
                <w:sz w:val="18"/>
                <w:szCs w:val="18"/>
              </w:rPr>
            </w:pPr>
            <w:r>
              <w:rPr>
                <w:noProof/>
                <w:sz w:val="18"/>
              </w:rPr>
              <w:t>220</w:t>
            </w:r>
          </w:p>
        </w:tc>
      </w:tr>
      <w:tr>
        <w:trPr>
          <w:trHeight w:hRule="exact" w:val="369"/>
          <w:jc w:val="center"/>
        </w:trPr>
        <w:tc>
          <w:tcPr>
            <w:tcW w:w="1423" w:type="dxa"/>
          </w:tcPr>
          <w:p>
            <w:pPr>
              <w:ind w:right="-29"/>
              <w:jc w:val="center"/>
              <w:rPr>
                <w:noProof/>
                <w:sz w:val="18"/>
                <w:szCs w:val="18"/>
              </w:rPr>
            </w:pPr>
            <w:r>
              <w:rPr>
                <w:noProof/>
                <w:sz w:val="18"/>
              </w:rPr>
              <w:t>— секторно подпомагане</w:t>
            </w:r>
          </w:p>
        </w:tc>
        <w:tc>
          <w:tcPr>
            <w:tcW w:w="720" w:type="dxa"/>
          </w:tcPr>
          <w:p>
            <w:pPr>
              <w:ind w:right="-29"/>
              <w:jc w:val="center"/>
              <w:rPr>
                <w:noProof/>
                <w:sz w:val="18"/>
                <w:szCs w:val="18"/>
              </w:rPr>
            </w:pPr>
            <w:r>
              <w:rPr>
                <w:noProof/>
                <w:sz w:val="18"/>
              </w:rPr>
              <w:t>годишно</w:t>
            </w:r>
          </w:p>
        </w:tc>
        <w:tc>
          <w:tcPr>
            <w:tcW w:w="701" w:type="dxa"/>
          </w:tcPr>
          <w:p>
            <w:pPr>
              <w:ind w:right="-29"/>
              <w:jc w:val="center"/>
              <w:rPr>
                <w:noProof/>
                <w:sz w:val="18"/>
                <w:szCs w:val="18"/>
              </w:rPr>
            </w:pPr>
            <w:r>
              <w:rPr>
                <w:noProof/>
                <w:sz w:val="18"/>
              </w:rPr>
              <w:t>4,125</w:t>
            </w:r>
          </w:p>
        </w:tc>
        <w:tc>
          <w:tcPr>
            <w:tcW w:w="504"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r>
              <w:rPr>
                <w:noProof/>
                <w:sz w:val="18"/>
              </w:rPr>
              <w:t>4,125</w:t>
            </w:r>
          </w:p>
        </w:tc>
        <w:tc>
          <w:tcPr>
            <w:tcW w:w="54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r>
              <w:rPr>
                <w:noProof/>
                <w:sz w:val="18"/>
              </w:rPr>
              <w:t>4,125</w:t>
            </w:r>
          </w:p>
        </w:tc>
        <w:tc>
          <w:tcPr>
            <w:tcW w:w="72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r>
              <w:rPr>
                <w:noProof/>
                <w:sz w:val="18"/>
              </w:rPr>
              <w:t>4,125</w:t>
            </w:r>
          </w:p>
        </w:tc>
        <w:tc>
          <w:tcPr>
            <w:tcW w:w="972" w:type="dxa"/>
            <w:gridSpan w:val="2"/>
            <w:tcBorders>
              <w:right w:val="dashSmallGap" w:sz="4" w:space="0" w:color="auto"/>
            </w:tcBorders>
            <w:vAlign w:val="center"/>
          </w:tcPr>
          <w:p>
            <w:pPr>
              <w:ind w:right="-29"/>
              <w:jc w:val="center"/>
              <w:rPr>
                <w:noProof/>
                <w:sz w:val="18"/>
                <w:szCs w:val="18"/>
              </w:rPr>
            </w:pPr>
          </w:p>
        </w:tc>
        <w:tc>
          <w:tcPr>
            <w:tcW w:w="851" w:type="dxa"/>
            <w:tcBorders>
              <w:left w:val="dashSmallGap" w:sz="4" w:space="0" w:color="auto"/>
            </w:tcBorders>
            <w:vAlign w:val="center"/>
          </w:tcPr>
          <w:p>
            <w:pPr>
              <w:ind w:right="-29"/>
              <w:jc w:val="center"/>
              <w:rPr>
                <w:noProof/>
                <w:sz w:val="18"/>
                <w:szCs w:val="18"/>
              </w:rPr>
            </w:pPr>
            <w:r>
              <w:rPr>
                <w:noProof/>
                <w:sz w:val="18"/>
              </w:rPr>
              <w:t>4,125</w:t>
            </w:r>
          </w:p>
        </w:tc>
        <w:tc>
          <w:tcPr>
            <w:tcW w:w="337" w:type="dxa"/>
            <w:tcBorders>
              <w:right w:val="dashSmallGap" w:sz="4" w:space="0" w:color="auto"/>
            </w:tcBorders>
            <w:vAlign w:val="center"/>
          </w:tcPr>
          <w:p>
            <w:pPr>
              <w:ind w:right="-29"/>
              <w:jc w:val="center"/>
              <w:rPr>
                <w:noProof/>
                <w:sz w:val="18"/>
                <w:szCs w:val="18"/>
              </w:rPr>
            </w:pPr>
          </w:p>
        </w:tc>
        <w:tc>
          <w:tcPr>
            <w:tcW w:w="648" w:type="dxa"/>
            <w:tcBorders>
              <w:left w:val="dashSmallGap" w:sz="4" w:space="0" w:color="auto"/>
            </w:tcBorders>
            <w:vAlign w:val="center"/>
          </w:tcPr>
          <w:p>
            <w:pPr>
              <w:ind w:right="-29"/>
              <w:jc w:val="center"/>
              <w:rPr>
                <w:noProof/>
                <w:sz w:val="18"/>
                <w:szCs w:val="18"/>
              </w:rPr>
            </w:pPr>
          </w:p>
        </w:tc>
        <w:tc>
          <w:tcPr>
            <w:tcW w:w="432" w:type="dxa"/>
            <w:gridSpan w:val="2"/>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54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00" w:type="dxa"/>
            <w:vAlign w:val="center"/>
          </w:tcPr>
          <w:p>
            <w:pPr>
              <w:ind w:right="-29"/>
              <w:jc w:val="center"/>
              <w:rPr>
                <w:noProof/>
                <w:sz w:val="18"/>
                <w:szCs w:val="18"/>
              </w:rPr>
            </w:pPr>
            <w:r>
              <w:rPr>
                <w:noProof/>
                <w:sz w:val="18"/>
              </w:rPr>
              <w:t>16,5</w:t>
            </w:r>
          </w:p>
        </w:tc>
      </w:tr>
      <w:tr>
        <w:trPr>
          <w:trHeight w:hRule="exact" w:val="369"/>
          <w:jc w:val="center"/>
        </w:trPr>
        <w:tc>
          <w:tcPr>
            <w:tcW w:w="1423" w:type="dxa"/>
          </w:tcPr>
          <w:p>
            <w:pPr>
              <w:ind w:right="-29"/>
              <w:jc w:val="center"/>
              <w:rPr>
                <w:noProof/>
                <w:sz w:val="18"/>
                <w:szCs w:val="18"/>
              </w:rPr>
            </w:pPr>
            <w:r>
              <w:rPr>
                <w:noProof/>
                <w:sz w:val="18"/>
              </w:rPr>
              <w:t xml:space="preserve"> </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72" w:type="dxa"/>
            <w:gridSpan w:val="2"/>
            <w:vAlign w:val="center"/>
          </w:tcPr>
          <w:p>
            <w:pPr>
              <w:ind w:right="-29"/>
              <w:jc w:val="center"/>
              <w:rPr>
                <w:noProof/>
                <w:sz w:val="18"/>
                <w:szCs w:val="18"/>
              </w:rPr>
            </w:pPr>
          </w:p>
        </w:tc>
        <w:tc>
          <w:tcPr>
            <w:tcW w:w="851" w:type="dxa"/>
            <w:vAlign w:val="center"/>
          </w:tcPr>
          <w:p>
            <w:pPr>
              <w:ind w:right="-29"/>
              <w:jc w:val="center"/>
              <w:rPr>
                <w:noProof/>
                <w:sz w:val="18"/>
                <w:szCs w:val="18"/>
              </w:rPr>
            </w:pPr>
          </w:p>
        </w:tc>
        <w:tc>
          <w:tcPr>
            <w:tcW w:w="337" w:type="dxa"/>
            <w:vAlign w:val="center"/>
          </w:tcPr>
          <w:p>
            <w:pPr>
              <w:ind w:right="-29"/>
              <w:jc w:val="center"/>
              <w:rPr>
                <w:noProof/>
                <w:sz w:val="18"/>
                <w:szCs w:val="18"/>
              </w:rPr>
            </w:pPr>
          </w:p>
        </w:tc>
        <w:tc>
          <w:tcPr>
            <w:tcW w:w="648" w:type="dxa"/>
            <w:vAlign w:val="center"/>
          </w:tcPr>
          <w:p>
            <w:pPr>
              <w:ind w:right="-29"/>
              <w:jc w:val="center"/>
              <w:rPr>
                <w:noProof/>
                <w:sz w:val="18"/>
                <w:szCs w:val="18"/>
              </w:rPr>
            </w:pPr>
          </w:p>
        </w:tc>
        <w:tc>
          <w:tcPr>
            <w:tcW w:w="432" w:type="dxa"/>
            <w:gridSpan w:val="2"/>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00" w:type="dxa"/>
            <w:vAlign w:val="center"/>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Междинна сума за конкретна цел № 1</w:t>
            </w:r>
          </w:p>
        </w:tc>
        <w:tc>
          <w:tcPr>
            <w:tcW w:w="504"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r>
              <w:rPr>
                <w:noProof/>
                <w:sz w:val="18"/>
              </w:rPr>
              <w:t>59,125</w:t>
            </w: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r>
              <w:rPr>
                <w:noProof/>
                <w:sz w:val="18"/>
              </w:rPr>
              <w:t>59,125</w:t>
            </w: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r>
              <w:rPr>
                <w:noProof/>
                <w:sz w:val="18"/>
              </w:rPr>
              <w:t>59,125</w:t>
            </w:r>
          </w:p>
        </w:tc>
        <w:tc>
          <w:tcPr>
            <w:tcW w:w="972" w:type="dxa"/>
            <w:gridSpan w:val="2"/>
            <w:tcBorders>
              <w:bottom w:val="single" w:sz="12" w:space="0" w:color="auto"/>
            </w:tcBorders>
            <w:vAlign w:val="center"/>
          </w:tcPr>
          <w:p>
            <w:pPr>
              <w:ind w:right="-29"/>
              <w:jc w:val="center"/>
              <w:rPr>
                <w:noProof/>
                <w:sz w:val="18"/>
                <w:szCs w:val="18"/>
              </w:rPr>
            </w:pPr>
          </w:p>
        </w:tc>
        <w:tc>
          <w:tcPr>
            <w:tcW w:w="851" w:type="dxa"/>
            <w:tcBorders>
              <w:bottom w:val="single" w:sz="12" w:space="0" w:color="auto"/>
            </w:tcBorders>
            <w:vAlign w:val="center"/>
          </w:tcPr>
          <w:p>
            <w:pPr>
              <w:ind w:right="-29"/>
              <w:jc w:val="center"/>
              <w:rPr>
                <w:noProof/>
                <w:sz w:val="18"/>
                <w:szCs w:val="18"/>
              </w:rPr>
            </w:pPr>
            <w:r>
              <w:rPr>
                <w:noProof/>
                <w:sz w:val="18"/>
              </w:rPr>
              <w:t>59,125</w:t>
            </w:r>
          </w:p>
        </w:tc>
        <w:tc>
          <w:tcPr>
            <w:tcW w:w="337" w:type="dxa"/>
            <w:tcBorders>
              <w:bottom w:val="single" w:sz="12" w:space="0" w:color="auto"/>
            </w:tcBorders>
            <w:vAlign w:val="center"/>
          </w:tcPr>
          <w:p>
            <w:pPr>
              <w:ind w:right="-29"/>
              <w:jc w:val="center"/>
              <w:rPr>
                <w:noProof/>
                <w:sz w:val="18"/>
                <w:szCs w:val="18"/>
              </w:rPr>
            </w:pPr>
          </w:p>
        </w:tc>
        <w:tc>
          <w:tcPr>
            <w:tcW w:w="648" w:type="dxa"/>
            <w:tcBorders>
              <w:bottom w:val="single" w:sz="12" w:space="0" w:color="auto"/>
            </w:tcBorders>
            <w:vAlign w:val="center"/>
          </w:tcPr>
          <w:p>
            <w:pPr>
              <w:ind w:right="-29"/>
              <w:jc w:val="center"/>
              <w:rPr>
                <w:noProof/>
                <w:sz w:val="18"/>
                <w:szCs w:val="18"/>
              </w:rPr>
            </w:pPr>
          </w:p>
        </w:tc>
        <w:tc>
          <w:tcPr>
            <w:tcW w:w="432" w:type="dxa"/>
            <w:gridSpan w:val="2"/>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900" w:type="dxa"/>
            <w:tcBorders>
              <w:bottom w:val="single" w:sz="12" w:space="0" w:color="auto"/>
            </w:tcBorders>
            <w:vAlign w:val="center"/>
          </w:tcPr>
          <w:p>
            <w:pPr>
              <w:ind w:right="-29"/>
              <w:jc w:val="center"/>
              <w:rPr>
                <w:noProof/>
                <w:sz w:val="18"/>
                <w:szCs w:val="18"/>
              </w:rPr>
            </w:pPr>
            <w:r>
              <w:rPr>
                <w:noProof/>
                <w:sz w:val="18"/>
              </w:rPr>
              <w:t>236,5</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54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972" w:type="dxa"/>
            <w:gridSpan w:val="2"/>
            <w:tcBorders>
              <w:top w:val="nil"/>
              <w:left w:val="nil"/>
              <w:bottom w:val="nil"/>
              <w:right w:val="nil"/>
            </w:tcBorders>
            <w:vAlign w:val="center"/>
          </w:tcPr>
          <w:p>
            <w:pPr>
              <w:spacing w:before="60" w:after="60"/>
              <w:ind w:right="-29"/>
              <w:jc w:val="center"/>
              <w:rPr>
                <w:noProof/>
                <w:sz w:val="18"/>
                <w:szCs w:val="18"/>
              </w:rPr>
            </w:pPr>
          </w:p>
        </w:tc>
        <w:tc>
          <w:tcPr>
            <w:tcW w:w="851" w:type="dxa"/>
            <w:tcBorders>
              <w:top w:val="nil"/>
              <w:left w:val="nil"/>
              <w:bottom w:val="nil"/>
              <w:right w:val="nil"/>
            </w:tcBorders>
            <w:vAlign w:val="center"/>
          </w:tcPr>
          <w:p>
            <w:pPr>
              <w:spacing w:before="60" w:after="60"/>
              <w:ind w:right="-29"/>
              <w:jc w:val="center"/>
              <w:rPr>
                <w:noProof/>
                <w:sz w:val="18"/>
                <w:szCs w:val="18"/>
              </w:rPr>
            </w:pPr>
          </w:p>
        </w:tc>
        <w:tc>
          <w:tcPr>
            <w:tcW w:w="337" w:type="dxa"/>
            <w:tcBorders>
              <w:top w:val="nil"/>
              <w:left w:val="nil"/>
              <w:bottom w:val="nil"/>
              <w:right w:val="nil"/>
            </w:tcBorders>
            <w:vAlign w:val="center"/>
          </w:tcPr>
          <w:p>
            <w:pPr>
              <w:spacing w:before="60" w:after="60"/>
              <w:ind w:right="-29"/>
              <w:jc w:val="center"/>
              <w:rPr>
                <w:noProof/>
                <w:sz w:val="18"/>
                <w:szCs w:val="18"/>
              </w:rPr>
            </w:pPr>
          </w:p>
        </w:tc>
        <w:tc>
          <w:tcPr>
            <w:tcW w:w="648" w:type="dxa"/>
            <w:tcBorders>
              <w:top w:val="nil"/>
              <w:left w:val="nil"/>
              <w:bottom w:val="nil"/>
              <w:right w:val="nil"/>
            </w:tcBorders>
            <w:vAlign w:val="center"/>
          </w:tcPr>
          <w:p>
            <w:pPr>
              <w:spacing w:before="60" w:after="60"/>
              <w:ind w:right="-29"/>
              <w:jc w:val="center"/>
              <w:rPr>
                <w:noProof/>
                <w:sz w:val="18"/>
                <w:szCs w:val="18"/>
              </w:rPr>
            </w:pPr>
          </w:p>
        </w:tc>
        <w:tc>
          <w:tcPr>
            <w:tcW w:w="432" w:type="dxa"/>
            <w:gridSpan w:val="2"/>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54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900" w:type="dxa"/>
            <w:tcBorders>
              <w:top w:val="nil"/>
              <w:left w:val="nil"/>
              <w:bottom w:val="nil"/>
              <w:right w:val="nil"/>
            </w:tcBorders>
            <w:vAlign w:val="center"/>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72" w:type="dxa"/>
            <w:gridSpan w:val="2"/>
            <w:vAlign w:val="center"/>
          </w:tcPr>
          <w:p>
            <w:pPr>
              <w:ind w:right="-29"/>
              <w:jc w:val="center"/>
              <w:rPr>
                <w:noProof/>
                <w:sz w:val="18"/>
                <w:szCs w:val="18"/>
              </w:rPr>
            </w:pPr>
          </w:p>
        </w:tc>
        <w:tc>
          <w:tcPr>
            <w:tcW w:w="851" w:type="dxa"/>
            <w:vAlign w:val="center"/>
          </w:tcPr>
          <w:p>
            <w:pPr>
              <w:ind w:right="-29"/>
              <w:jc w:val="center"/>
              <w:rPr>
                <w:noProof/>
                <w:sz w:val="18"/>
                <w:szCs w:val="18"/>
              </w:rPr>
            </w:pPr>
          </w:p>
        </w:tc>
        <w:tc>
          <w:tcPr>
            <w:tcW w:w="337" w:type="dxa"/>
            <w:vAlign w:val="center"/>
          </w:tcPr>
          <w:p>
            <w:pPr>
              <w:ind w:right="-29"/>
              <w:jc w:val="center"/>
              <w:rPr>
                <w:noProof/>
                <w:sz w:val="18"/>
                <w:szCs w:val="18"/>
              </w:rPr>
            </w:pPr>
          </w:p>
        </w:tc>
        <w:tc>
          <w:tcPr>
            <w:tcW w:w="648" w:type="dxa"/>
            <w:vAlign w:val="center"/>
          </w:tcPr>
          <w:p>
            <w:pPr>
              <w:ind w:right="-29"/>
              <w:jc w:val="center"/>
              <w:rPr>
                <w:noProof/>
                <w:sz w:val="18"/>
                <w:szCs w:val="18"/>
              </w:rPr>
            </w:pPr>
          </w:p>
        </w:tc>
        <w:tc>
          <w:tcPr>
            <w:tcW w:w="432" w:type="dxa"/>
            <w:gridSpan w:val="2"/>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00" w:type="dxa"/>
            <w:vAlign w:val="center"/>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951" w:type="dxa"/>
            <w:tcBorders>
              <w:bottom w:val="single" w:sz="12" w:space="0" w:color="auto"/>
            </w:tcBorders>
            <w:vAlign w:val="center"/>
          </w:tcPr>
          <w:p>
            <w:pPr>
              <w:ind w:right="-29"/>
              <w:jc w:val="center"/>
              <w:rPr>
                <w:noProof/>
                <w:sz w:val="18"/>
                <w:szCs w:val="18"/>
              </w:rPr>
            </w:pPr>
          </w:p>
        </w:tc>
        <w:tc>
          <w:tcPr>
            <w:tcW w:w="872" w:type="dxa"/>
            <w:gridSpan w:val="2"/>
            <w:tcBorders>
              <w:bottom w:val="single" w:sz="12" w:space="0" w:color="auto"/>
            </w:tcBorders>
            <w:vAlign w:val="center"/>
          </w:tcPr>
          <w:p>
            <w:pPr>
              <w:ind w:right="-29"/>
              <w:jc w:val="center"/>
              <w:rPr>
                <w:noProof/>
                <w:sz w:val="18"/>
                <w:szCs w:val="18"/>
              </w:rPr>
            </w:pPr>
          </w:p>
        </w:tc>
        <w:tc>
          <w:tcPr>
            <w:tcW w:w="337" w:type="dxa"/>
            <w:tcBorders>
              <w:bottom w:val="single" w:sz="12" w:space="0" w:color="auto"/>
            </w:tcBorders>
            <w:vAlign w:val="center"/>
          </w:tcPr>
          <w:p>
            <w:pPr>
              <w:ind w:right="-29"/>
              <w:jc w:val="center"/>
              <w:rPr>
                <w:noProof/>
                <w:sz w:val="18"/>
                <w:szCs w:val="18"/>
              </w:rPr>
            </w:pPr>
          </w:p>
        </w:tc>
        <w:tc>
          <w:tcPr>
            <w:tcW w:w="648" w:type="dxa"/>
            <w:tcBorders>
              <w:bottom w:val="single" w:sz="12" w:space="0" w:color="auto"/>
            </w:tcBorders>
            <w:vAlign w:val="center"/>
          </w:tcPr>
          <w:p>
            <w:pPr>
              <w:ind w:right="-29"/>
              <w:jc w:val="center"/>
              <w:rPr>
                <w:noProof/>
                <w:sz w:val="18"/>
                <w:szCs w:val="18"/>
              </w:rPr>
            </w:pPr>
          </w:p>
        </w:tc>
        <w:tc>
          <w:tcPr>
            <w:tcW w:w="432" w:type="dxa"/>
            <w:gridSpan w:val="2"/>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900" w:type="dxa"/>
            <w:tcBorders>
              <w:bottom w:val="single" w:sz="12" w:space="0" w:color="auto"/>
            </w:tcBorders>
            <w:vAlign w:val="center"/>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highlight w:val="yellow"/>
              </w:rPr>
            </w:pPr>
            <w:r>
              <w:rPr>
                <w:b/>
                <w:noProof/>
                <w:sz w:val="18"/>
              </w:rPr>
              <w:t>ОБЩО РАЗХОДИ</w:t>
            </w:r>
          </w:p>
        </w:tc>
        <w:tc>
          <w:tcPr>
            <w:tcW w:w="504" w:type="dxa"/>
            <w:tcBorders>
              <w:top w:val="single" w:sz="12" w:space="0" w:color="auto"/>
              <w:bottom w:val="single" w:sz="12" w:space="0" w:color="auto"/>
            </w:tcBorders>
            <w:vAlign w:val="center"/>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54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972" w:type="dxa"/>
            <w:gridSpan w:val="2"/>
            <w:tcBorders>
              <w:top w:val="single" w:sz="12" w:space="0" w:color="auto"/>
              <w:bottom w:val="single" w:sz="12" w:space="0" w:color="auto"/>
            </w:tcBorders>
            <w:vAlign w:val="center"/>
          </w:tcPr>
          <w:p>
            <w:pPr>
              <w:ind w:right="-29"/>
              <w:jc w:val="center"/>
              <w:rPr>
                <w:noProof/>
                <w:sz w:val="18"/>
                <w:szCs w:val="18"/>
              </w:rPr>
            </w:pPr>
          </w:p>
        </w:tc>
        <w:tc>
          <w:tcPr>
            <w:tcW w:w="851"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337" w:type="dxa"/>
            <w:tcBorders>
              <w:top w:val="single" w:sz="12" w:space="0" w:color="auto"/>
              <w:bottom w:val="single" w:sz="12" w:space="0" w:color="auto"/>
            </w:tcBorders>
            <w:vAlign w:val="center"/>
          </w:tcPr>
          <w:p>
            <w:pPr>
              <w:ind w:right="-29"/>
              <w:jc w:val="center"/>
              <w:rPr>
                <w:noProof/>
                <w:sz w:val="18"/>
                <w:szCs w:val="18"/>
              </w:rPr>
            </w:pPr>
          </w:p>
        </w:tc>
        <w:tc>
          <w:tcPr>
            <w:tcW w:w="648" w:type="dxa"/>
            <w:tcBorders>
              <w:top w:val="single" w:sz="12" w:space="0" w:color="auto"/>
              <w:bottom w:val="single" w:sz="12" w:space="0" w:color="auto"/>
            </w:tcBorders>
            <w:vAlign w:val="center"/>
          </w:tcPr>
          <w:p>
            <w:pPr>
              <w:ind w:right="-29"/>
              <w:jc w:val="center"/>
              <w:rPr>
                <w:noProof/>
                <w:sz w:val="18"/>
                <w:szCs w:val="18"/>
              </w:rPr>
            </w:pPr>
          </w:p>
        </w:tc>
        <w:tc>
          <w:tcPr>
            <w:tcW w:w="432" w:type="dxa"/>
            <w:gridSpan w:val="2"/>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54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900" w:type="dxa"/>
            <w:tcBorders>
              <w:top w:val="single" w:sz="12" w:space="0" w:color="auto"/>
              <w:bottom w:val="single" w:sz="12" w:space="0" w:color="auto"/>
              <w:right w:val="single" w:sz="12" w:space="0" w:color="auto"/>
            </w:tcBorders>
            <w:vAlign w:val="center"/>
          </w:tcPr>
          <w:p>
            <w:pPr>
              <w:ind w:right="-29"/>
              <w:jc w:val="center"/>
              <w:rPr>
                <w:noProof/>
                <w:sz w:val="18"/>
                <w:szCs w:val="18"/>
              </w:rPr>
            </w:pPr>
            <w:r>
              <w:rPr>
                <w:noProof/>
                <w:sz w:val="18"/>
              </w:rPr>
              <w:t>236,5</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jc w:val="center"/>
              <w:rPr>
                <w:noProof/>
                <w:sz w:val="20"/>
              </w:rPr>
            </w:pPr>
            <w:r>
              <w:rPr>
                <w:noProof/>
                <w:sz w:val="20"/>
              </w:rPr>
              <w:t>Година</w:t>
            </w:r>
            <w:r>
              <w:rPr>
                <w:noProof/>
                <w:sz w:val="20"/>
              </w:rPr>
              <w:br/>
            </w:r>
            <w:r>
              <w:rPr>
                <w:b/>
                <w:noProof/>
                <w:sz w:val="20"/>
              </w:rPr>
              <w:t>2015</w:t>
            </w:r>
          </w:p>
        </w:tc>
        <w:tc>
          <w:tcPr>
            <w:tcW w:w="1080" w:type="dxa"/>
            <w:vAlign w:val="center"/>
          </w:tcPr>
          <w:p>
            <w:pPr>
              <w:jc w:val="center"/>
              <w:rPr>
                <w:noProof/>
                <w:sz w:val="20"/>
              </w:rPr>
            </w:pPr>
            <w:r>
              <w:rPr>
                <w:noProof/>
                <w:sz w:val="20"/>
              </w:rPr>
              <w:t>Година</w:t>
            </w:r>
            <w:r>
              <w:rPr>
                <w:noProof/>
                <w:sz w:val="20"/>
              </w:rPr>
              <w:br/>
            </w:r>
            <w:r>
              <w:rPr>
                <w:b/>
                <w:noProof/>
                <w:sz w:val="20"/>
              </w:rPr>
              <w:t>2016</w:t>
            </w:r>
          </w:p>
        </w:tc>
        <w:tc>
          <w:tcPr>
            <w:tcW w:w="1080" w:type="dxa"/>
            <w:vAlign w:val="center"/>
          </w:tcPr>
          <w:p>
            <w:pPr>
              <w:jc w:val="center"/>
              <w:rPr>
                <w:noProof/>
                <w:sz w:val="20"/>
              </w:rPr>
            </w:pPr>
            <w:r>
              <w:rPr>
                <w:noProof/>
                <w:sz w:val="20"/>
              </w:rPr>
              <w:t>Година</w:t>
            </w:r>
            <w:r>
              <w:rPr>
                <w:noProof/>
                <w:sz w:val="20"/>
              </w:rPr>
              <w:br/>
            </w:r>
            <w:r>
              <w:rPr>
                <w:b/>
                <w:noProof/>
                <w:sz w:val="20"/>
              </w:rPr>
              <w:t>2017</w:t>
            </w:r>
          </w:p>
        </w:tc>
        <w:tc>
          <w:tcPr>
            <w:tcW w:w="1080" w:type="dxa"/>
            <w:vAlign w:val="center"/>
          </w:tcPr>
          <w:p>
            <w:pPr>
              <w:jc w:val="center"/>
              <w:rPr>
                <w:noProof/>
                <w:sz w:val="20"/>
              </w:rPr>
            </w:pPr>
            <w:r>
              <w:rPr>
                <w:noProof/>
                <w:sz w:val="20"/>
              </w:rPr>
              <w:t>Година</w:t>
            </w:r>
            <w:r>
              <w:rPr>
                <w:noProof/>
                <w:sz w:val="20"/>
              </w:rPr>
              <w:br/>
            </w:r>
            <w:r>
              <w:rPr>
                <w:b/>
                <w:noProof/>
                <w:sz w:val="20"/>
              </w:rPr>
              <w:t>2018</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ФУНКЦИЯ 5</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b/>
                <w:noProof/>
                <w:sz w:val="16"/>
                <w:szCs w:val="16"/>
              </w:rPr>
            </w:pPr>
            <w:r>
              <w:rPr>
                <w:b/>
                <w:noProof/>
                <w:sz w:val="16"/>
              </w:rPr>
              <w:t>0,840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b/>
                <w:noProof/>
                <w:sz w:val="16"/>
                <w:szCs w:val="16"/>
              </w:rPr>
            </w:pPr>
            <w:r>
              <w:rPr>
                <w:b/>
                <w:noProof/>
                <w:sz w:val="16"/>
              </w:rPr>
              <w:t>0,12</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Междинна сума за ФУНКЦИЯ 5</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center"/>
              <w:rPr>
                <w:noProof/>
                <w:sz w:val="16"/>
                <w:szCs w:val="16"/>
              </w:rPr>
            </w:pPr>
            <w:r>
              <w:rPr>
                <w:noProof/>
                <w:sz w:val="16"/>
              </w:rPr>
              <w:t>0,240</w:t>
            </w:r>
          </w:p>
        </w:tc>
        <w:tc>
          <w:tcPr>
            <w:tcW w:w="1080" w:type="dxa"/>
            <w:vAlign w:val="center"/>
          </w:tcPr>
          <w:p>
            <w:pPr>
              <w:jc w:val="center"/>
              <w:rPr>
                <w:noProof/>
              </w:rPr>
            </w:pPr>
            <w:r>
              <w:rPr>
                <w:noProof/>
                <w:sz w:val="16"/>
              </w:rPr>
              <w:t>0,240</w:t>
            </w:r>
          </w:p>
        </w:tc>
        <w:tc>
          <w:tcPr>
            <w:tcW w:w="1080" w:type="dxa"/>
            <w:vAlign w:val="center"/>
          </w:tcPr>
          <w:p>
            <w:pPr>
              <w:jc w:val="center"/>
              <w:rPr>
                <w:noProof/>
              </w:rPr>
            </w:pPr>
            <w:r>
              <w:rPr>
                <w:noProof/>
                <w:sz w:val="16"/>
              </w:rPr>
              <w:t>0,240</w:t>
            </w:r>
          </w:p>
        </w:tc>
        <w:tc>
          <w:tcPr>
            <w:tcW w:w="1080" w:type="dxa"/>
            <w:vAlign w:val="center"/>
          </w:tcPr>
          <w:p>
            <w:pPr>
              <w:jc w:val="center"/>
              <w:rPr>
                <w:noProof/>
              </w:rPr>
            </w:pPr>
            <w:r>
              <w:rPr>
                <w:noProof/>
                <w:sz w:val="16"/>
              </w:rPr>
              <w:t>0,240</w:t>
            </w:r>
          </w:p>
        </w:tc>
        <w:tc>
          <w:tcPr>
            <w:tcW w:w="1080" w:type="dxa"/>
            <w:vAlign w:val="center"/>
          </w:tcPr>
          <w:p>
            <w:pPr>
              <w:spacing w:before="20" w:after="20"/>
              <w:jc w:val="center"/>
              <w:rPr>
                <w:b/>
                <w:noProof/>
                <w:sz w:val="16"/>
                <w:szCs w:val="16"/>
              </w:rPr>
            </w:pPr>
            <w:r>
              <w:rPr>
                <w:b/>
                <w:noProof/>
                <w:sz w:val="16"/>
              </w:rPr>
              <w:t>0,96</w:t>
            </w:r>
          </w:p>
        </w:tc>
      </w:tr>
    </w:tbl>
    <w:p>
      <w:pPr>
        <w:spacing w:line="200" w:lineRule="exact"/>
        <w:rPr>
          <w:noProof/>
          <w:sz w:val="16"/>
          <w:szCs w:val="16"/>
          <w:highlight w:val="yellow"/>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rPr>
              <w:t>Извън ФУНКЦИЯ 5</w:t>
            </w:r>
            <w:r>
              <w:rPr>
                <w:noProof/>
              </w:rPr>
              <w:br/>
            </w:r>
            <w:r>
              <w:rPr>
                <w:rStyle w:val="FootnoteReference"/>
                <w:noProof/>
              </w:rPr>
              <w:footnoteReference w:id="11"/>
            </w:r>
            <w:r>
              <w:rPr>
                <w:noProof/>
              </w:rPr>
              <w:t xml:space="preserve"> от многогодишната финансова рамка</w:t>
            </w:r>
            <w:r>
              <w:rPr>
                <w:b/>
                <w:noProof/>
                <w:sz w:val="16"/>
              </w:rPr>
              <w:t xml:space="preserve">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center"/>
              <w:rPr>
                <w:noProof/>
                <w:sz w:val="16"/>
                <w:szCs w:val="16"/>
              </w:rPr>
            </w:pPr>
            <w:r>
              <w:rPr>
                <w:noProof/>
                <w:sz w:val="16"/>
              </w:rPr>
              <w:t>0,125</w:t>
            </w:r>
          </w:p>
        </w:tc>
        <w:tc>
          <w:tcPr>
            <w:tcW w:w="1080" w:type="dxa"/>
            <w:vAlign w:val="center"/>
          </w:tcPr>
          <w:p>
            <w:pPr>
              <w:jc w:val="center"/>
              <w:rPr>
                <w:noProof/>
              </w:rPr>
            </w:pPr>
            <w:r>
              <w:rPr>
                <w:noProof/>
                <w:sz w:val="16"/>
              </w:rPr>
              <w:t>0,125</w:t>
            </w:r>
          </w:p>
        </w:tc>
        <w:tc>
          <w:tcPr>
            <w:tcW w:w="1080" w:type="dxa"/>
            <w:vAlign w:val="center"/>
          </w:tcPr>
          <w:p>
            <w:pPr>
              <w:jc w:val="center"/>
              <w:rPr>
                <w:noProof/>
              </w:rPr>
            </w:pPr>
            <w:r>
              <w:rPr>
                <w:noProof/>
                <w:sz w:val="16"/>
              </w:rPr>
              <w:t>0,125</w:t>
            </w:r>
          </w:p>
        </w:tc>
        <w:tc>
          <w:tcPr>
            <w:tcW w:w="1080" w:type="dxa"/>
            <w:vAlign w:val="center"/>
          </w:tcPr>
          <w:p>
            <w:pPr>
              <w:jc w:val="center"/>
              <w:rPr>
                <w:noProof/>
              </w:rPr>
            </w:pPr>
            <w:r>
              <w:rPr>
                <w:noProof/>
                <w:sz w:val="16"/>
              </w:rPr>
              <w:t>0,125</w:t>
            </w:r>
          </w:p>
        </w:tc>
        <w:tc>
          <w:tcPr>
            <w:tcW w:w="1080" w:type="dxa"/>
            <w:vAlign w:val="center"/>
          </w:tcPr>
          <w:p>
            <w:pPr>
              <w:spacing w:before="60" w:after="60" w:line="200" w:lineRule="exact"/>
              <w:jc w:val="center"/>
              <w:rPr>
                <w:b/>
                <w:noProof/>
                <w:sz w:val="16"/>
                <w:szCs w:val="16"/>
              </w:rPr>
            </w:pPr>
            <w:r>
              <w:rPr>
                <w:b/>
                <w:noProof/>
                <w:sz w:val="16"/>
              </w:rPr>
              <w:t>0,5</w:t>
            </w:r>
          </w:p>
        </w:tc>
      </w:tr>
      <w:tr>
        <w:trPr>
          <w:trHeight w:val="585"/>
        </w:trPr>
        <w:tc>
          <w:tcPr>
            <w:tcW w:w="1980" w:type="dxa"/>
            <w:vAlign w:val="center"/>
          </w:tcPr>
          <w:p>
            <w:pPr>
              <w:spacing w:before="60" w:after="60" w:line="200" w:lineRule="exact"/>
              <w:ind w:left="72"/>
              <w:jc w:val="left"/>
              <w:rPr>
                <w:noProof/>
                <w:sz w:val="16"/>
                <w:szCs w:val="16"/>
              </w:rPr>
            </w:pPr>
            <w:r>
              <w:rPr>
                <w:noProof/>
              </w:rPr>
              <w:t>Други разходи</w:t>
            </w:r>
            <w:r>
              <w:rPr>
                <w:noProof/>
              </w:rPr>
              <w:br/>
            </w:r>
            <w:r>
              <w:rPr>
                <w:noProof/>
                <w:sz w:val="16"/>
              </w:rPr>
              <w:t>с административен характер</w:t>
            </w:r>
          </w:p>
        </w:tc>
        <w:tc>
          <w:tcPr>
            <w:tcW w:w="1080" w:type="dxa"/>
            <w:vAlign w:val="center"/>
          </w:tcPr>
          <w:p>
            <w:pPr>
              <w:spacing w:before="60" w:after="60" w:line="200" w:lineRule="exact"/>
              <w:jc w:val="center"/>
              <w:rPr>
                <w:noProof/>
                <w:sz w:val="16"/>
                <w:szCs w:val="16"/>
              </w:rPr>
            </w:pPr>
            <w:r>
              <w:rPr>
                <w:noProof/>
                <w:sz w:val="16"/>
              </w:rPr>
              <w:t>0,026</w:t>
            </w:r>
          </w:p>
        </w:tc>
        <w:tc>
          <w:tcPr>
            <w:tcW w:w="1080" w:type="dxa"/>
            <w:vAlign w:val="center"/>
          </w:tcPr>
          <w:p>
            <w:pPr>
              <w:spacing w:before="60" w:after="60" w:line="200" w:lineRule="exact"/>
              <w:jc w:val="center"/>
              <w:rPr>
                <w:noProof/>
                <w:sz w:val="16"/>
                <w:szCs w:val="16"/>
              </w:rPr>
            </w:pPr>
            <w:r>
              <w:rPr>
                <w:noProof/>
                <w:sz w:val="16"/>
              </w:rPr>
              <w:t>0,026</w:t>
            </w:r>
          </w:p>
        </w:tc>
        <w:tc>
          <w:tcPr>
            <w:tcW w:w="1080" w:type="dxa"/>
            <w:vAlign w:val="center"/>
          </w:tcPr>
          <w:p>
            <w:pPr>
              <w:jc w:val="center"/>
              <w:rPr>
                <w:noProof/>
              </w:rPr>
            </w:pPr>
            <w:r>
              <w:rPr>
                <w:noProof/>
                <w:sz w:val="16"/>
              </w:rPr>
              <w:t>0,026</w:t>
            </w:r>
          </w:p>
        </w:tc>
        <w:tc>
          <w:tcPr>
            <w:tcW w:w="1080" w:type="dxa"/>
            <w:vAlign w:val="center"/>
          </w:tcPr>
          <w:p>
            <w:pPr>
              <w:jc w:val="center"/>
              <w:rPr>
                <w:noProof/>
              </w:rPr>
            </w:pPr>
            <w:r>
              <w:rPr>
                <w:noProof/>
                <w:sz w:val="16"/>
              </w:rPr>
              <w:t>0,1006</w:t>
            </w:r>
          </w:p>
        </w:tc>
        <w:tc>
          <w:tcPr>
            <w:tcW w:w="1080" w:type="dxa"/>
            <w:vAlign w:val="center"/>
          </w:tcPr>
          <w:p>
            <w:pPr>
              <w:spacing w:before="60" w:after="60" w:line="200" w:lineRule="exact"/>
              <w:jc w:val="center"/>
              <w:rPr>
                <w:b/>
                <w:noProof/>
                <w:sz w:val="16"/>
                <w:szCs w:val="16"/>
              </w:rPr>
            </w:pPr>
            <w:r>
              <w:rPr>
                <w:b/>
                <w:noProof/>
                <w:sz w:val="16"/>
              </w:rPr>
              <w:t>0,184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Междинна сума</w:t>
            </w:r>
            <w:r>
              <w:rPr>
                <w:noProof/>
              </w:rPr>
              <w:br/>
            </w:r>
            <w:r>
              <w:rPr>
                <w:b/>
                <w:noProof/>
              </w:rPr>
              <w:t>извън ФУНКЦИЯ 5</w:t>
            </w:r>
            <w:r>
              <w:rPr>
                <w:noProof/>
              </w:rPr>
              <w:br/>
            </w:r>
            <w:r>
              <w:rPr>
                <w:b/>
                <w:noProof/>
                <w:sz w:val="16"/>
              </w:rPr>
              <w:t xml:space="preserve">от многогодишната финансова рамка </w:t>
            </w:r>
          </w:p>
        </w:tc>
        <w:tc>
          <w:tcPr>
            <w:tcW w:w="1080" w:type="dxa"/>
            <w:vAlign w:val="center"/>
          </w:tcPr>
          <w:p>
            <w:pPr>
              <w:spacing w:before="40" w:after="40"/>
              <w:jc w:val="center"/>
              <w:rPr>
                <w:noProof/>
                <w:sz w:val="16"/>
                <w:szCs w:val="16"/>
              </w:rPr>
            </w:pPr>
            <w:r>
              <w:rPr>
                <w:noProof/>
                <w:sz w:val="16"/>
              </w:rPr>
              <w:t>0,151</w:t>
            </w:r>
          </w:p>
        </w:tc>
        <w:tc>
          <w:tcPr>
            <w:tcW w:w="1080" w:type="dxa"/>
            <w:vAlign w:val="center"/>
          </w:tcPr>
          <w:p>
            <w:pPr>
              <w:spacing w:before="40" w:after="40"/>
              <w:jc w:val="center"/>
              <w:rPr>
                <w:noProof/>
                <w:sz w:val="16"/>
                <w:szCs w:val="16"/>
              </w:rPr>
            </w:pPr>
            <w:r>
              <w:rPr>
                <w:noProof/>
                <w:sz w:val="16"/>
              </w:rPr>
              <w:t>0,151</w:t>
            </w:r>
          </w:p>
        </w:tc>
        <w:tc>
          <w:tcPr>
            <w:tcW w:w="1080" w:type="dxa"/>
            <w:vAlign w:val="center"/>
          </w:tcPr>
          <w:p>
            <w:pPr>
              <w:spacing w:before="40" w:after="40"/>
              <w:jc w:val="center"/>
              <w:rPr>
                <w:noProof/>
                <w:sz w:val="16"/>
                <w:szCs w:val="16"/>
              </w:rPr>
            </w:pPr>
            <w:r>
              <w:rPr>
                <w:noProof/>
                <w:sz w:val="16"/>
              </w:rPr>
              <w:t>0,151</w:t>
            </w:r>
          </w:p>
        </w:tc>
        <w:tc>
          <w:tcPr>
            <w:tcW w:w="1080" w:type="dxa"/>
            <w:vAlign w:val="center"/>
          </w:tcPr>
          <w:p>
            <w:pPr>
              <w:spacing w:before="40" w:after="40"/>
              <w:jc w:val="center"/>
              <w:rPr>
                <w:noProof/>
                <w:sz w:val="16"/>
                <w:szCs w:val="16"/>
              </w:rPr>
            </w:pPr>
            <w:r>
              <w:rPr>
                <w:noProof/>
                <w:sz w:val="16"/>
              </w:rPr>
              <w:t>0,231</w:t>
            </w:r>
          </w:p>
        </w:tc>
        <w:tc>
          <w:tcPr>
            <w:tcW w:w="1080" w:type="dxa"/>
            <w:vAlign w:val="center"/>
          </w:tcPr>
          <w:p>
            <w:pPr>
              <w:spacing w:before="40" w:after="40"/>
              <w:jc w:val="center"/>
              <w:rPr>
                <w:b/>
                <w:noProof/>
                <w:sz w:val="16"/>
                <w:szCs w:val="16"/>
              </w:rPr>
            </w:pPr>
            <w:r>
              <w:rPr>
                <w:b/>
                <w:noProof/>
                <w:sz w:val="16"/>
              </w:rPr>
              <w:t>0,684</w:t>
            </w:r>
          </w:p>
        </w:tc>
      </w:tr>
    </w:tbl>
    <w:p>
      <w:pPr>
        <w:spacing w:line="200" w:lineRule="exact"/>
        <w:rPr>
          <w:noProof/>
          <w:sz w:val="16"/>
          <w:szCs w:val="16"/>
          <w:highlight w:val="yellow"/>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8"/>
                <w:szCs w:val="18"/>
              </w:rPr>
            </w:pPr>
            <w:r>
              <w:rPr>
                <w:b/>
                <w:noProof/>
                <w:sz w:val="18"/>
              </w:rPr>
              <w:t>0,391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sz w:val="18"/>
                <w:szCs w:val="18"/>
              </w:rPr>
            </w:pPr>
            <w:r>
              <w:rPr>
                <w:b/>
                <w:noProof/>
                <w:sz w:val="18"/>
              </w:rPr>
              <w:t>0,391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sz w:val="18"/>
                <w:szCs w:val="18"/>
              </w:rPr>
            </w:pPr>
            <w:r>
              <w:rPr>
                <w:b/>
                <w:noProof/>
                <w:sz w:val="18"/>
              </w:rPr>
              <w:t>0,391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sz w:val="18"/>
                <w:szCs w:val="18"/>
              </w:rPr>
            </w:pPr>
            <w:r>
              <w:rPr>
                <w:b/>
                <w:noProof/>
                <w:sz w:val="18"/>
              </w:rPr>
              <w:t>0,471</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8"/>
                <w:szCs w:val="18"/>
              </w:rPr>
            </w:pPr>
            <w:r>
              <w:rPr>
                <w:b/>
                <w:noProof/>
                <w:sz w:val="18"/>
              </w:rPr>
              <w:t>1,644</w:t>
            </w:r>
          </w:p>
        </w:tc>
      </w:tr>
    </w:tbl>
    <w:p>
      <w:pPr>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Необходимите бюджетни кредити за човешки ресурси ще бъдат покрити от бюджетни кредити от генералната дирекция, които вече са разпределени за управлението на дейността и/или които са преразпределени в рамките на генералната дирекция, при необходимост заедно с всички допълнителни отпуснати ресурси, които могат да бъдат предоставени на управляващата генерална дирекция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b/>
          <w:noProof/>
        </w:rPr>
        <w:t xml:space="preserve"> </w:t>
      </w:r>
      <w:r>
        <w:rPr>
          <w:noProof/>
        </w:rPr>
        <w:t xml:space="preserve">Очаквани нужди от човешки ресурси </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913"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1"/>
        <w:gridCol w:w="1955"/>
        <w:gridCol w:w="909"/>
        <w:gridCol w:w="1082"/>
        <w:gridCol w:w="1586"/>
        <w:gridCol w:w="1416"/>
        <w:gridCol w:w="215"/>
      </w:tblGrid>
      <w:tr>
        <w:trPr>
          <w:gridBefore w:val="1"/>
          <w:gridAfter w:val="1"/>
          <w:wBefore w:w="6" w:type="pct"/>
          <w:wAfter w:w="118" w:type="pct"/>
          <w:trHeight w:val="289"/>
          <w:jc w:val="center"/>
        </w:trPr>
        <w:tc>
          <w:tcPr>
            <w:tcW w:w="2140" w:type="pct"/>
            <w:gridSpan w:val="2"/>
            <w:shd w:val="clear" w:color="auto" w:fill="auto"/>
          </w:tcPr>
          <w:p>
            <w:pPr>
              <w:pStyle w:val="Text1"/>
              <w:spacing w:before="40" w:after="40"/>
              <w:ind w:left="0"/>
              <w:jc w:val="center"/>
              <w:rPr>
                <w:i/>
                <w:noProof/>
                <w:sz w:val="16"/>
                <w:szCs w:val="16"/>
              </w:rPr>
            </w:pPr>
          </w:p>
        </w:tc>
        <w:tc>
          <w:tcPr>
            <w:tcW w:w="498" w:type="pct"/>
            <w:shd w:val="clear" w:color="auto" w:fill="auto"/>
            <w:vAlign w:val="center"/>
          </w:tcPr>
          <w:p>
            <w:pPr>
              <w:jc w:val="center"/>
              <w:rPr>
                <w:noProof/>
                <w:sz w:val="20"/>
              </w:rPr>
            </w:pPr>
            <w:r>
              <w:rPr>
                <w:noProof/>
                <w:sz w:val="20"/>
              </w:rPr>
              <w:t>Година</w:t>
            </w:r>
            <w:r>
              <w:rPr>
                <w:noProof/>
                <w:sz w:val="20"/>
              </w:rPr>
              <w:br/>
            </w:r>
            <w:r>
              <w:rPr>
                <w:b/>
                <w:noProof/>
                <w:sz w:val="20"/>
              </w:rPr>
              <w:t>2015</w:t>
            </w:r>
          </w:p>
        </w:tc>
        <w:tc>
          <w:tcPr>
            <w:tcW w:w="593" w:type="pct"/>
            <w:shd w:val="clear" w:color="auto" w:fill="auto"/>
            <w:vAlign w:val="center"/>
          </w:tcPr>
          <w:p>
            <w:pPr>
              <w:jc w:val="center"/>
              <w:rPr>
                <w:noProof/>
                <w:sz w:val="20"/>
              </w:rPr>
            </w:pPr>
            <w:r>
              <w:rPr>
                <w:noProof/>
                <w:sz w:val="20"/>
              </w:rPr>
              <w:t>Година</w:t>
            </w:r>
            <w:r>
              <w:rPr>
                <w:noProof/>
                <w:sz w:val="20"/>
              </w:rPr>
              <w:br/>
            </w:r>
            <w:r>
              <w:rPr>
                <w:b/>
                <w:noProof/>
                <w:sz w:val="20"/>
              </w:rPr>
              <w:t>2016</w:t>
            </w:r>
          </w:p>
        </w:tc>
        <w:tc>
          <w:tcPr>
            <w:tcW w:w="869" w:type="pct"/>
            <w:shd w:val="clear" w:color="auto" w:fill="auto"/>
            <w:vAlign w:val="center"/>
          </w:tcPr>
          <w:p>
            <w:pPr>
              <w:jc w:val="center"/>
              <w:rPr>
                <w:noProof/>
                <w:sz w:val="20"/>
              </w:rPr>
            </w:pPr>
            <w:r>
              <w:rPr>
                <w:noProof/>
                <w:sz w:val="20"/>
              </w:rPr>
              <w:t>Година</w:t>
            </w:r>
            <w:r>
              <w:rPr>
                <w:noProof/>
                <w:sz w:val="20"/>
              </w:rPr>
              <w:br/>
            </w:r>
            <w:r>
              <w:rPr>
                <w:b/>
                <w:noProof/>
                <w:sz w:val="20"/>
              </w:rPr>
              <w:t>2017</w:t>
            </w:r>
          </w:p>
        </w:tc>
        <w:tc>
          <w:tcPr>
            <w:tcW w:w="776" w:type="pct"/>
            <w:shd w:val="clear" w:color="auto" w:fill="auto"/>
            <w:vAlign w:val="center"/>
          </w:tcPr>
          <w:p>
            <w:pPr>
              <w:jc w:val="center"/>
              <w:rPr>
                <w:noProof/>
                <w:sz w:val="20"/>
              </w:rPr>
            </w:pPr>
            <w:r>
              <w:rPr>
                <w:noProof/>
                <w:sz w:val="20"/>
              </w:rPr>
              <w:t>Година</w:t>
            </w:r>
            <w:r>
              <w:rPr>
                <w:noProof/>
                <w:sz w:val="20"/>
              </w:rPr>
              <w:br/>
            </w:r>
            <w:r>
              <w:rPr>
                <w:b/>
                <w:noProof/>
                <w:sz w:val="20"/>
              </w:rPr>
              <w:t>2018</w:t>
            </w:r>
          </w:p>
        </w:tc>
      </w:tr>
      <w:tr>
        <w:trPr>
          <w:gridBefore w:val="1"/>
          <w:gridAfter w:val="1"/>
          <w:wBefore w:w="6" w:type="pct"/>
          <w:wAfter w:w="118" w:type="pct"/>
          <w:trHeight w:val="289"/>
          <w:jc w:val="center"/>
        </w:trPr>
        <w:tc>
          <w:tcPr>
            <w:tcW w:w="4100" w:type="pct"/>
            <w:gridSpan w:val="5"/>
            <w:shd w:val="clear" w:color="auto" w:fill="auto"/>
          </w:tcPr>
          <w:p>
            <w:pPr>
              <w:spacing w:before="20" w:after="20"/>
              <w:rPr>
                <w:noProof/>
                <w:sz w:val="16"/>
                <w:szCs w:val="16"/>
              </w:rPr>
            </w:pPr>
            <w:r>
              <w:rPr>
                <w:b/>
                <w:noProof/>
                <w:sz w:val="16"/>
                <w:szCs w:val="16"/>
              </w:rPr>
              <w:sym w:font="Wingdings" w:char="F09F"/>
            </w:r>
            <w:r>
              <w:rPr>
                <w:noProof/>
              </w:rPr>
              <w:t xml:space="preserve"> </w:t>
            </w:r>
            <w:r>
              <w:rPr>
                <w:b/>
                <w:noProof/>
              </w:rPr>
              <w:t>Длъжности в щатното разписание (длъжностни лица и временно наети лица)</w:t>
            </w:r>
          </w:p>
        </w:tc>
        <w:tc>
          <w:tcPr>
            <w:tcW w:w="776" w:type="pct"/>
            <w:shd w:val="clear" w:color="auto" w:fill="auto"/>
            <w:vAlign w:val="center"/>
          </w:tcPr>
          <w:p>
            <w:pPr>
              <w:spacing w:before="20" w:after="20"/>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11 01 01 01 (Централа и представителства на Комисията)</w:t>
            </w:r>
          </w:p>
        </w:tc>
        <w:tc>
          <w:tcPr>
            <w:tcW w:w="498" w:type="pct"/>
            <w:shd w:val="clear" w:color="auto" w:fill="auto"/>
            <w:vAlign w:val="center"/>
          </w:tcPr>
          <w:p>
            <w:pPr>
              <w:spacing w:beforeLines="20" w:before="48" w:afterLines="20" w:after="48"/>
              <w:jc w:val="center"/>
              <w:rPr>
                <w:noProof/>
                <w:sz w:val="16"/>
                <w:szCs w:val="16"/>
              </w:rPr>
            </w:pPr>
            <w:r>
              <w:rPr>
                <w:noProof/>
                <w:sz w:val="16"/>
              </w:rPr>
              <w:t>1</w:t>
            </w:r>
          </w:p>
        </w:tc>
        <w:tc>
          <w:tcPr>
            <w:tcW w:w="593" w:type="pct"/>
            <w:shd w:val="clear" w:color="auto" w:fill="auto"/>
            <w:vAlign w:val="center"/>
          </w:tcPr>
          <w:p>
            <w:pPr>
              <w:spacing w:beforeLines="20" w:before="48" w:afterLines="20" w:after="48"/>
              <w:jc w:val="center"/>
              <w:rPr>
                <w:noProof/>
                <w:sz w:val="16"/>
                <w:szCs w:val="16"/>
              </w:rPr>
            </w:pPr>
            <w:r>
              <w:rPr>
                <w:noProof/>
                <w:sz w:val="16"/>
              </w:rPr>
              <w:t>1</w:t>
            </w:r>
          </w:p>
        </w:tc>
        <w:tc>
          <w:tcPr>
            <w:tcW w:w="869" w:type="pct"/>
            <w:shd w:val="clear" w:color="auto" w:fill="auto"/>
            <w:vAlign w:val="center"/>
          </w:tcPr>
          <w:p>
            <w:pPr>
              <w:spacing w:beforeLines="20" w:before="48" w:afterLines="20" w:after="48"/>
              <w:jc w:val="center"/>
              <w:rPr>
                <w:noProof/>
                <w:sz w:val="16"/>
                <w:szCs w:val="16"/>
              </w:rPr>
            </w:pPr>
            <w:r>
              <w:rPr>
                <w:noProof/>
                <w:sz w:val="16"/>
              </w:rPr>
              <w:t>1</w:t>
            </w:r>
          </w:p>
        </w:tc>
        <w:tc>
          <w:tcPr>
            <w:tcW w:w="776" w:type="pct"/>
            <w:shd w:val="clear" w:color="auto" w:fill="auto"/>
            <w:vAlign w:val="center"/>
          </w:tcPr>
          <w:p>
            <w:pPr>
              <w:spacing w:beforeLines="20" w:before="48" w:afterLines="20" w:after="48"/>
              <w:jc w:val="center"/>
              <w:rPr>
                <w:noProof/>
                <w:sz w:val="16"/>
                <w:szCs w:val="16"/>
              </w:rPr>
            </w:pPr>
            <w:r>
              <w:rPr>
                <w:noProof/>
                <w:sz w:val="16"/>
              </w:rPr>
              <w:t>1</w:t>
            </w: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8"/>
            <w:shd w:val="clear" w:color="auto" w:fill="auto"/>
            <w:vAlign w:val="center"/>
          </w:tcPr>
          <w:p>
            <w:pPr>
              <w:pStyle w:val="Text1"/>
              <w:spacing w:before="60" w:after="60"/>
              <w:ind w:left="0"/>
              <w:jc w:val="left"/>
              <w:rPr>
                <w:b/>
                <w:noProof/>
                <w:sz w:val="16"/>
                <w:szCs w:val="16"/>
              </w:rPr>
            </w:pPr>
            <w:r>
              <w:rPr>
                <w:b/>
                <w:noProof/>
                <w:sz w:val="16"/>
                <w:szCs w:val="16"/>
              </w:rPr>
              <w:sym w:font="Wingdings" w:char="F09F"/>
            </w:r>
            <w:r>
              <w:rPr>
                <w:noProof/>
              </w:rPr>
              <w:t xml:space="preserve"> </w:t>
            </w:r>
            <w:r>
              <w:rPr>
                <w:b/>
                <w:noProof/>
              </w:rPr>
              <w:t>Външен персонал (в еквивалент на пълно работно време — ЕПРВ)</w:t>
            </w:r>
            <w:r>
              <w:rPr>
                <w:rStyle w:val="FootnoteReference"/>
                <w:b/>
                <w:noProof/>
              </w:rPr>
              <w:footnoteReference w:id="12"/>
            </w:r>
          </w:p>
          <w:p>
            <w:pPr>
              <w:pStyle w:val="Text1"/>
              <w:spacing w:before="0" w:after="0"/>
              <w:ind w:left="0"/>
              <w:jc w:val="left"/>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11 01 02 01 (ДНП, КНЕ, ПНА от общия финансов пакет)</w:t>
            </w:r>
          </w:p>
        </w:tc>
        <w:tc>
          <w:tcPr>
            <w:tcW w:w="498" w:type="pct"/>
            <w:shd w:val="clear" w:color="auto" w:fill="auto"/>
            <w:vAlign w:val="center"/>
          </w:tcPr>
          <w:p>
            <w:pPr>
              <w:spacing w:beforeLines="20" w:before="48" w:afterLines="20" w:after="48"/>
              <w:jc w:val="center"/>
              <w:rPr>
                <w:noProof/>
                <w:sz w:val="16"/>
                <w:szCs w:val="16"/>
              </w:rPr>
            </w:pPr>
            <w:r>
              <w:rPr>
                <w:noProof/>
                <w:sz w:val="16"/>
              </w:rPr>
              <w:t>1</w:t>
            </w:r>
          </w:p>
        </w:tc>
        <w:tc>
          <w:tcPr>
            <w:tcW w:w="593" w:type="pct"/>
            <w:shd w:val="clear" w:color="auto" w:fill="auto"/>
            <w:vAlign w:val="center"/>
          </w:tcPr>
          <w:p>
            <w:pPr>
              <w:spacing w:beforeLines="20" w:before="48" w:afterLines="20" w:after="48"/>
              <w:jc w:val="center"/>
              <w:rPr>
                <w:noProof/>
                <w:sz w:val="16"/>
                <w:szCs w:val="16"/>
              </w:rPr>
            </w:pPr>
            <w:r>
              <w:rPr>
                <w:noProof/>
                <w:sz w:val="16"/>
              </w:rPr>
              <w:t>1</w:t>
            </w:r>
          </w:p>
        </w:tc>
        <w:tc>
          <w:tcPr>
            <w:tcW w:w="869" w:type="pct"/>
            <w:shd w:val="clear" w:color="auto" w:fill="auto"/>
            <w:vAlign w:val="center"/>
          </w:tcPr>
          <w:p>
            <w:pPr>
              <w:spacing w:beforeLines="20" w:before="48" w:afterLines="20" w:after="48"/>
              <w:jc w:val="center"/>
              <w:rPr>
                <w:noProof/>
                <w:sz w:val="16"/>
                <w:szCs w:val="16"/>
              </w:rPr>
            </w:pPr>
            <w:r>
              <w:rPr>
                <w:noProof/>
                <w:sz w:val="16"/>
              </w:rPr>
              <w:t>1</w:t>
            </w:r>
          </w:p>
        </w:tc>
        <w:tc>
          <w:tcPr>
            <w:tcW w:w="776" w:type="pct"/>
            <w:shd w:val="clear" w:color="auto" w:fill="auto"/>
            <w:vAlign w:val="center"/>
          </w:tcPr>
          <w:p>
            <w:pPr>
              <w:spacing w:beforeLines="20" w:before="48" w:afterLines="20" w:after="48"/>
              <w:jc w:val="center"/>
              <w:rPr>
                <w:noProof/>
                <w:sz w:val="16"/>
                <w:szCs w:val="16"/>
              </w:rPr>
            </w:pPr>
            <w:r>
              <w:rPr>
                <w:noProof/>
                <w:sz w:val="16"/>
              </w:rPr>
              <w:t>1</w:t>
            </w: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1069"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11</w:t>
            </w:r>
            <w:r>
              <w:rPr>
                <w:noProof/>
                <w:sz w:val="16"/>
              </w:rPr>
              <w:t xml:space="preserve"> 01 04 01</w:t>
            </w:r>
            <w:r>
              <w:rPr>
                <w:b/>
                <w:i/>
                <w:noProof/>
                <w:sz w:val="16"/>
              </w:rPr>
              <w:t xml:space="preserve"> </w:t>
            </w:r>
            <w:r>
              <w:rPr>
                <w:rStyle w:val="FootnoteReference"/>
                <w:b/>
                <w:i/>
                <w:noProof/>
                <w:sz w:val="16"/>
              </w:rPr>
              <w:footnoteReference w:id="13"/>
            </w:r>
          </w:p>
          <w:p>
            <w:pPr>
              <w:pStyle w:val="Text1"/>
              <w:spacing w:beforeLines="20" w:before="48" w:afterLines="20" w:after="48"/>
              <w:ind w:left="136"/>
              <w:jc w:val="left"/>
              <w:rPr>
                <w:b/>
                <w:noProof/>
                <w:sz w:val="16"/>
                <w:szCs w:val="16"/>
              </w:rPr>
            </w:pPr>
          </w:p>
        </w:tc>
        <w:tc>
          <w:tcPr>
            <w:tcW w:w="1071"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498" w:type="pct"/>
            <w:shd w:val="clear" w:color="auto" w:fill="auto"/>
            <w:vAlign w:val="center"/>
          </w:tcPr>
          <w:p>
            <w:pPr>
              <w:pStyle w:val="Text1"/>
              <w:spacing w:beforeLines="20" w:before="48" w:afterLines="20" w:after="48"/>
              <w:ind w:left="0"/>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1069" w:type="pct"/>
            <w:vMerge/>
            <w:shd w:val="clear" w:color="auto" w:fill="auto"/>
            <w:vAlign w:val="center"/>
          </w:tcPr>
          <w:p>
            <w:pPr>
              <w:pStyle w:val="Text1"/>
              <w:spacing w:beforeLines="20" w:before="48" w:afterLines="20" w:after="48"/>
              <w:ind w:left="136"/>
              <w:jc w:val="left"/>
              <w:rPr>
                <w:b/>
                <w:noProof/>
                <w:sz w:val="16"/>
                <w:szCs w:val="16"/>
              </w:rPr>
            </w:pPr>
          </w:p>
        </w:tc>
        <w:tc>
          <w:tcPr>
            <w:tcW w:w="107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98" w:type="pct"/>
            <w:shd w:val="clear" w:color="auto" w:fill="auto"/>
            <w:vAlign w:val="center"/>
          </w:tcPr>
          <w:p>
            <w:pPr>
              <w:pStyle w:val="Text1"/>
              <w:spacing w:beforeLines="20" w:before="48" w:afterLines="20" w:after="48"/>
              <w:ind w:left="0"/>
              <w:jc w:val="center"/>
              <w:rPr>
                <w:noProof/>
                <w:sz w:val="16"/>
                <w:szCs w:val="16"/>
              </w:rPr>
            </w:pPr>
            <w:r>
              <w:rPr>
                <w:noProof/>
                <w:sz w:val="16"/>
              </w:rPr>
              <w:t>1</w:t>
            </w:r>
          </w:p>
        </w:tc>
        <w:tc>
          <w:tcPr>
            <w:tcW w:w="593" w:type="pct"/>
            <w:shd w:val="clear" w:color="auto" w:fill="auto"/>
            <w:vAlign w:val="center"/>
          </w:tcPr>
          <w:p>
            <w:pPr>
              <w:spacing w:beforeLines="20" w:before="48" w:afterLines="20" w:after="48"/>
              <w:jc w:val="center"/>
              <w:rPr>
                <w:noProof/>
                <w:sz w:val="16"/>
                <w:szCs w:val="16"/>
              </w:rPr>
            </w:pPr>
            <w:r>
              <w:rPr>
                <w:noProof/>
                <w:sz w:val="16"/>
              </w:rPr>
              <w:t>1</w:t>
            </w:r>
          </w:p>
        </w:tc>
        <w:tc>
          <w:tcPr>
            <w:tcW w:w="869" w:type="pct"/>
            <w:shd w:val="clear" w:color="auto" w:fill="auto"/>
            <w:vAlign w:val="center"/>
          </w:tcPr>
          <w:p>
            <w:pPr>
              <w:spacing w:beforeLines="20" w:before="48" w:afterLines="20" w:after="48"/>
              <w:jc w:val="center"/>
              <w:rPr>
                <w:noProof/>
                <w:sz w:val="16"/>
                <w:szCs w:val="16"/>
              </w:rPr>
            </w:pPr>
            <w:r>
              <w:rPr>
                <w:noProof/>
                <w:sz w:val="16"/>
              </w:rPr>
              <w:t>1</w:t>
            </w:r>
          </w:p>
        </w:tc>
        <w:tc>
          <w:tcPr>
            <w:tcW w:w="776" w:type="pct"/>
            <w:shd w:val="clear" w:color="auto" w:fill="auto"/>
            <w:vAlign w:val="center"/>
          </w:tcPr>
          <w:p>
            <w:pPr>
              <w:spacing w:beforeLines="20" w:before="48" w:afterLines="20" w:after="48"/>
              <w:jc w:val="center"/>
              <w:rPr>
                <w:noProof/>
                <w:sz w:val="16"/>
                <w:szCs w:val="16"/>
              </w:rPr>
            </w:pPr>
            <w:r>
              <w:rPr>
                <w:noProof/>
                <w:sz w:val="16"/>
              </w:rPr>
              <w:t>1</w:t>
            </w: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noProof/>
                <w:sz w:val="16"/>
                <w:szCs w:val="16"/>
              </w:rPr>
            </w:pPr>
            <w:r>
              <w:rPr>
                <w:b/>
                <w:noProof/>
              </w:rPr>
              <w:t>XX</w:t>
            </w:r>
            <w:r>
              <w:rPr>
                <w:noProof/>
              </w:rPr>
              <w:t xml:space="preserve"> 01 05 02 (ДНП, КНЕ, ПНА — Непреки изследвания)</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ПНА, КНЕ — Преки изследвания)</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9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9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6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7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49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9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869"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76"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rPr>
        <w:t>XX</w:t>
      </w:r>
      <w:r>
        <w:rPr>
          <w:noProof/>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sz w:val="20"/>
              </w:rPr>
              <w:t>Административно и бюджетно прилагане на Споразумението (лицензии, наблюдение на улова, плащания, секторна подкрепа), подготовка и участие в заседанията на съвместния комитет и в преговорите по следващия протокол, подготовка и оценка на законодателните актове, кореспонденция, техническа и научна подкрепа.</w:t>
            </w:r>
          </w:p>
          <w:p>
            <w:pPr>
              <w:rPr>
                <w:noProof/>
                <w:sz w:val="20"/>
              </w:rPr>
            </w:pPr>
            <w:r>
              <w:rPr>
                <w:noProof/>
                <w:sz w:val="20"/>
              </w:rPr>
              <w:t xml:space="preserve">Отговорен служител + финансов асистент + секретариат + началник-отдел (или негов заместник) + научна и техническа подкрепа и събиране на данни относно лицензите и улова: 1 ЕПРВ за 132 000 EUR/год. (началник на секретариат, управител лицензии, административен и финансов асистент) </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sz w:val="20"/>
              </w:rPr>
              <w:t>Наблюдение на прилагането на Споразумението и на изпълнението на секторната подкрепа. По прогнозна оценка: 2 ЕПРВ, от които 1 ЕПРВ по 78 000 EUR/год. (отговорен служител КНЕ) и 1 ЕПРВ по 70 000 EUR/год. (договорно нает персонал в делегациите).</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t>x</w:t>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14"/>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0"/>
              </w:rPr>
              <w:br/>
            </w:r>
            <w:r>
              <w:rPr>
                <w:b/>
                <w:noProof/>
                <w:sz w:val="20"/>
              </w:rPr>
              <w:t>N</w:t>
            </w:r>
          </w:p>
        </w:tc>
        <w:tc>
          <w:tcPr>
            <w:tcW w:w="964" w:type="dxa"/>
            <w:vAlign w:val="center"/>
          </w:tcPr>
          <w:p>
            <w:pPr>
              <w:jc w:val="center"/>
              <w:rPr>
                <w:noProof/>
                <w:sz w:val="20"/>
              </w:rPr>
            </w:pPr>
            <w:r>
              <w:rPr>
                <w:noProof/>
                <w:sz w:val="20"/>
              </w:rPr>
              <w:t>Година</w:t>
            </w:r>
            <w:r>
              <w:rPr>
                <w:noProof/>
                <w:sz w:val="20"/>
              </w:rPr>
              <w:br/>
            </w:r>
            <w:r>
              <w:rPr>
                <w:b/>
                <w:noProof/>
                <w:sz w:val="20"/>
              </w:rPr>
              <w:t>N+1</w:t>
            </w:r>
          </w:p>
        </w:tc>
        <w:tc>
          <w:tcPr>
            <w:tcW w:w="964" w:type="dxa"/>
            <w:vAlign w:val="center"/>
          </w:tcPr>
          <w:p>
            <w:pPr>
              <w:jc w:val="center"/>
              <w:rPr>
                <w:noProof/>
                <w:sz w:val="20"/>
              </w:rPr>
            </w:pPr>
            <w:r>
              <w:rPr>
                <w:noProof/>
                <w:sz w:val="20"/>
              </w:rPr>
              <w:t>Година</w:t>
            </w:r>
            <w:r>
              <w:rPr>
                <w:noProof/>
                <w:sz w:val="20"/>
              </w:rPr>
              <w:br/>
            </w:r>
            <w:r>
              <w:rPr>
                <w:b/>
                <w:noProof/>
                <w:sz w:val="20"/>
              </w:rPr>
              <w:t>N+2</w:t>
            </w:r>
          </w:p>
        </w:tc>
        <w:tc>
          <w:tcPr>
            <w:tcW w:w="964" w:type="dxa"/>
            <w:vAlign w:val="center"/>
          </w:tcPr>
          <w:p>
            <w:pPr>
              <w:jc w:val="center"/>
              <w:rPr>
                <w:noProof/>
                <w:sz w:val="20"/>
              </w:rPr>
            </w:pPr>
            <w:r>
              <w:rPr>
                <w:noProof/>
                <w:sz w:val="20"/>
              </w:rPr>
              <w:t>Година</w:t>
            </w:r>
            <w:r>
              <w:rPr>
                <w:noProof/>
                <w:sz w:val="20"/>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i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t>x</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s>
        <w:rPr>
          <w:noProof/>
        </w:rPr>
      </w:pPr>
      <w:r>
        <w:rPr>
          <w:noProof/>
        </w:rPr>
        <w:sym w:font="Wingdings" w:char="F0A8"/>
      </w:r>
      <w:r>
        <w:rPr>
          <w:noProof/>
        </w:rPr>
        <w:tab/>
        <w:t xml:space="preserve">върху собствените ресурси </w:t>
      </w:r>
    </w:p>
    <w:p>
      <w:pPr>
        <w:pStyle w:val="ListNumberLevel3"/>
        <w:tabs>
          <w:tab w:val="clear" w:pos="2126"/>
        </w:tabs>
        <w:rPr>
          <w:noProof/>
        </w:rPr>
      </w:pPr>
      <w:r>
        <w:rPr>
          <w:noProof/>
        </w:rPr>
        <w:sym w:font="Wingdings" w:char="F0A8"/>
      </w:r>
      <w:r>
        <w:rPr>
          <w:noProof/>
        </w:rPr>
        <w:tab/>
        <w:t xml:space="preserve">върху разните приходи </w:t>
      </w:r>
    </w:p>
    <w:p>
      <w:pPr>
        <w:jc w:val="right"/>
        <w:rPr>
          <w:i/>
          <w:noProof/>
          <w:sz w:val="20"/>
        </w:rPr>
      </w:pPr>
      <w:r>
        <w:rPr>
          <w:noProof/>
          <w:sz w:val="20"/>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1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18"/>
              </w:rPr>
              <w:br/>
            </w:r>
            <w:r>
              <w:rPr>
                <w:b/>
                <w:noProof/>
                <w:sz w:val="18"/>
              </w:rPr>
              <w:t>N</w:t>
            </w:r>
          </w:p>
        </w:tc>
        <w:tc>
          <w:tcPr>
            <w:tcW w:w="900" w:type="dxa"/>
            <w:vAlign w:val="center"/>
          </w:tcPr>
          <w:p>
            <w:pPr>
              <w:jc w:val="center"/>
              <w:rPr>
                <w:noProof/>
                <w:sz w:val="18"/>
              </w:rPr>
            </w:pPr>
            <w:r>
              <w:rPr>
                <w:noProof/>
                <w:sz w:val="18"/>
              </w:rPr>
              <w:t>Година</w:t>
            </w:r>
            <w:r>
              <w:rPr>
                <w:noProof/>
                <w:sz w:val="18"/>
              </w:rPr>
              <w:br/>
            </w:r>
            <w:r>
              <w:rPr>
                <w:b/>
                <w:noProof/>
                <w:sz w:val="18"/>
              </w:rPr>
              <w:t>N+1</w:t>
            </w:r>
          </w:p>
        </w:tc>
        <w:tc>
          <w:tcPr>
            <w:tcW w:w="900" w:type="dxa"/>
            <w:vAlign w:val="center"/>
          </w:tcPr>
          <w:p>
            <w:pPr>
              <w:jc w:val="center"/>
              <w:rPr>
                <w:noProof/>
                <w:sz w:val="18"/>
              </w:rPr>
            </w:pPr>
            <w:r>
              <w:rPr>
                <w:noProof/>
                <w:sz w:val="18"/>
              </w:rPr>
              <w:t>Година</w:t>
            </w:r>
            <w:r>
              <w:rPr>
                <w:noProof/>
                <w:sz w:val="18"/>
              </w:rPr>
              <w:br/>
            </w:r>
            <w:r>
              <w:rPr>
                <w:b/>
                <w:noProof/>
                <w:sz w:val="18"/>
              </w:rPr>
              <w:t>N+2</w:t>
            </w:r>
          </w:p>
        </w:tc>
        <w:tc>
          <w:tcPr>
            <w:tcW w:w="1080" w:type="dxa"/>
            <w:vAlign w:val="center"/>
          </w:tcPr>
          <w:p>
            <w:pPr>
              <w:jc w:val="center"/>
              <w:rPr>
                <w:noProof/>
                <w:sz w:val="18"/>
              </w:rPr>
            </w:pPr>
            <w:r>
              <w:rPr>
                <w:noProof/>
                <w:sz w:val="18"/>
              </w:rPr>
              <w:t>Година</w:t>
            </w:r>
            <w:r>
              <w:rPr>
                <w:noProof/>
                <w:sz w:val="18"/>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1801/2006 на Съвета от 30 ноември 2006 г. относно сключването на Споразумението за партньорство в областта на рибарството между Европейската общност и Ислямска република Мавритания (ОВ L 343, 8.12.2006 г., стр. 1).</w:t>
      </w:r>
    </w:p>
  </w:footnote>
  <w:footnote w:id="2">
    <w:p>
      <w:pPr>
        <w:pStyle w:val="FootnoteText"/>
        <w:rPr>
          <w:szCs w:val="24"/>
        </w:rPr>
      </w:pPr>
      <w:r>
        <w:rPr>
          <w:rStyle w:val="FootnoteReference"/>
        </w:rPr>
        <w:footnoteRef/>
      </w:r>
      <w:r>
        <w:tab/>
        <w:t>УД: управление по дейности; БД: бюджетиране по дейности.</w:t>
      </w:r>
    </w:p>
  </w:footnote>
  <w:footnote w:id="3">
    <w:p>
      <w:pPr>
        <w:pStyle w:val="FootnoteText"/>
        <w:rPr>
          <w:szCs w:val="24"/>
        </w:rPr>
      </w:pPr>
      <w:r>
        <w:rPr>
          <w:rStyle w:val="FootnoteReference"/>
        </w:rPr>
        <w:footnoteRef/>
      </w:r>
      <w:r>
        <w:tab/>
        <w:t>Съгласно член 54, параграф 2, буква а) или б) от Финансовия регламент.</w:t>
      </w:r>
    </w:p>
  </w:footnote>
  <w:footnote w:id="4">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noProof/>
            <w:sz w:val="18"/>
          </w:rPr>
          <w:t>http://www.cc.cec/budg/man/budgmanag/budgmanag_en.html</w:t>
        </w:r>
      </w:hyperlink>
    </w:p>
  </w:footnote>
  <w:footnote w:id="5">
    <w:p>
      <w:pPr>
        <w:pStyle w:val="FootnoteText"/>
        <w:rPr>
          <w:szCs w:val="24"/>
        </w:rPr>
      </w:pPr>
      <w:r>
        <w:rPr>
          <w:rStyle w:val="FootnoteReference"/>
        </w:rPr>
        <w:footnoteRef/>
      </w:r>
      <w:r>
        <w:tab/>
        <w:t>МБК = многогодишни бюджетни кредити / ЕБК = едногодишни бюджетни кредити.</w:t>
      </w:r>
    </w:p>
  </w:footnote>
  <w:footnote w:id="6">
    <w:p>
      <w:pPr>
        <w:pStyle w:val="FootnoteText"/>
        <w:rPr>
          <w:szCs w:val="24"/>
        </w:rPr>
      </w:pPr>
      <w:r>
        <w:rPr>
          <w:rStyle w:val="FootnoteReference"/>
        </w:rPr>
        <w:footnoteRef/>
      </w:r>
      <w:r>
        <w:tab/>
        <w:t xml:space="preserve">ЕАСТ: Европейска асоциация за свободна търговия. </w:t>
      </w:r>
    </w:p>
  </w:footnote>
  <w:footnote w:id="7">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8">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 Това обхваща, наред с останалото, разходите за участие на експерти от ЕС в годишните заседания на Независимия съвместен научен комитет (член 4.1 от Протокола) и последваща оценка през последната година от валидността на протокола (на което се дължи увеличението по този бюджетен ред през 2018 г.).</w:t>
      </w:r>
    </w:p>
  </w:footnote>
  <w:footnote w:id="9">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0">
    <w:p>
      <w:pPr>
        <w:pStyle w:val="FootnoteText"/>
        <w:rPr>
          <w:szCs w:val="24"/>
        </w:rPr>
      </w:pPr>
      <w:r>
        <w:rPr>
          <w:rStyle w:val="FootnoteReference"/>
        </w:rPr>
        <w:footnoteRef/>
      </w:r>
      <w:r>
        <w:tab/>
        <w:t xml:space="preserve">Съгласно описанието в точка 1.4.2. „Конкретни цели…“. </w:t>
      </w:r>
    </w:p>
  </w:footnote>
  <w:footnote w:id="11">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изследвания, преки изследвания.</w:t>
      </w:r>
    </w:p>
  </w:footnote>
  <w:footnote w:id="12">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3">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4">
    <w:p>
      <w:pPr>
        <w:pStyle w:val="FootnoteText"/>
        <w:rPr>
          <w:szCs w:val="24"/>
        </w:rPr>
      </w:pPr>
      <w:r>
        <w:rPr>
          <w:rStyle w:val="FootnoteReference"/>
        </w:rPr>
        <w:footnoteRef/>
      </w:r>
      <w:r>
        <w:tab/>
        <w:t>Вж. точки 19 и 24 от Междуинституционалното споразумение (за периода 2007—2013 г.)</w:t>
      </w:r>
    </w:p>
  </w:footnote>
  <w:footnote w:id="15">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F940C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EC25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2084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00033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104F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BE6E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2EE3F7A"/>
    <w:lvl w:ilvl="0">
      <w:start w:val="1"/>
      <w:numFmt w:val="decimal"/>
      <w:pStyle w:val="ListNumber"/>
      <w:lvlText w:val="%1."/>
      <w:lvlJc w:val="left"/>
      <w:pPr>
        <w:tabs>
          <w:tab w:val="num" w:pos="360"/>
        </w:tabs>
        <w:ind w:left="360" w:hanging="360"/>
      </w:pPr>
    </w:lvl>
  </w:abstractNum>
  <w:abstractNum w:abstractNumId="7">
    <w:nsid w:val="FFFFFF89"/>
    <w:multiLevelType w:val="singleLevel"/>
    <w:tmpl w:val="3E06F6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6"/>
  </w:num>
  <w:num w:numId="8">
    <w:abstractNumId w:val="2"/>
  </w:num>
  <w:num w:numId="9">
    <w:abstractNumId w:val="1"/>
  </w:num>
  <w:num w:numId="10">
    <w:abstractNumId w:val="0"/>
  </w:num>
  <w:num w:numId="11">
    <w:abstractNumId w:val="8"/>
  </w:num>
  <w:num w:numId="12">
    <w:abstractNumId w:val="17"/>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4"/>
  </w:num>
  <w:num w:numId="17">
    <w:abstractNumId w:val="21"/>
    <w:lvlOverride w:ilvl="0">
      <w:startOverride w:val="1"/>
    </w:lvlOverride>
  </w:num>
  <w:num w:numId="18">
    <w:abstractNumId w:val="24"/>
    <w:lvlOverride w:ilvl="0">
      <w:startOverride w:val="1"/>
    </w:lvlOverride>
  </w:num>
  <w:num w:numId="19">
    <w:abstractNumId w:val="21"/>
  </w:num>
  <w:num w:numId="20">
    <w:abstractNumId w:val="13"/>
  </w:num>
  <w:num w:numId="21">
    <w:abstractNumId w:val="23"/>
  </w:num>
  <w:num w:numId="22">
    <w:abstractNumId w:val="12"/>
  </w:num>
  <w:num w:numId="23">
    <w:abstractNumId w:val="14"/>
  </w:num>
  <w:num w:numId="24">
    <w:abstractNumId w:val="10"/>
  </w:num>
  <w:num w:numId="25">
    <w:abstractNumId w:val="22"/>
  </w:num>
  <w:num w:numId="26">
    <w:abstractNumId w:val="9"/>
  </w:num>
  <w:num w:numId="27">
    <w:abstractNumId w:val="15"/>
  </w:num>
  <w:num w:numId="28">
    <w:abstractNumId w:val="19"/>
  </w:num>
  <w:num w:numId="29">
    <w:abstractNumId w:val="20"/>
  </w:num>
  <w:num w:numId="30">
    <w:abstractNumId w:val="11"/>
  </w:num>
  <w:num w:numId="31">
    <w:abstractNumId w:val="1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01 09:46: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4E68FC45D5A4D7C98BE8118DE06E9D5"/>
    <w:docVar w:name="LW_CROSSREFERENCE" w:val="&lt;UNUSED&gt;"/>
    <w:docVar w:name="LW_DocType" w:val="COM"/>
    <w:docVar w:name="LW_EMISSION" w:val="1.10.2015"/>
    <w:docVar w:name="LW_EMISSION_ISODATE" w:val="2015-10-0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7"/>
    <w:docVar w:name="LW_REF.II.NEW.CP_YEAR" w:val="2015"/>
    <w:docVar w:name="LW_REF.INST.NEW" w:val="COM"/>
    <w:docVar w:name="LW_REF.INST.NEW_ADOPTED" w:val="final"/>
    <w:docVar w:name="LW_REF.INST.NEW_TEXT" w:val="(2015) 471"/>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87?\u1088?\u1086?\u1090?\u1086?\u1082?\u1086?\u1083?\u1072? \u1079?\u1072? \u1086?\u1087?\u1088?\u1077?\u1076?\u1077?\u1083?\u1103?\u1085?\u1077? \u1085?\u1072? \u1074?\u1098?\u1079?\u1084?\u1086?\u1078?\u1085?\u1086?\u1089?\u1090?\u1080?\u1090?\u1077? \u1079?\u1072? \u1088?\u1080?\u1073?\u1086?\u1083?\u1086?\u1074? \u1080? \u1085?\u1072? \u1092?\u1080?\u1085?\u1072?\u1085?\u1089?\u1086?\u1074?\u1086?\u1090?\u1086? \u1091?\u1095?\u1072?\u1089?\u1090?\u1080?\u1077?,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48?\u1089?\u1083?\u1103?\u1084?\u1089?\u1082?\u1072? \u1088?\u1077?\u1087?\u1091?\u1073?\u1083?\u1080?\u1082?\u1072? \u1052?\u1072?\u1074?\u1088?\u1080?\u1090?\u1072?\u1085?\u1080?\u1103?, \u1079?\u1072? \u1087?\u1077?\u1088?\u1080?\u1086?\u1076? \u1086?\u1090? \u1095?\u1077?\u1090?\u1080?\u1088?\u1080? \u1075?\u1086?\u1076?\u1080?\u1085?\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ListBullet1">
    <w:name w:val="List Bullet 1"/>
    <w:basedOn w:val="Normal"/>
    <w:pPr>
      <w:numPr>
        <w:numId w:val="11"/>
      </w:numPr>
    </w:pPr>
    <w:rPr>
      <w:rFonts w:eastAsia="Times New Roman"/>
      <w:szCs w:val="24"/>
    </w:rPr>
  </w:style>
  <w:style w:type="paragraph" w:customStyle="1" w:styleId="ListDash1">
    <w:name w:val="List Dash 1"/>
    <w:basedOn w:val="Normal"/>
    <w:pPr>
      <w:numPr>
        <w:numId w:val="12"/>
      </w:numPr>
    </w:pPr>
    <w:rPr>
      <w:rFonts w:eastAsia="Times New Roman"/>
      <w:szCs w:val="24"/>
    </w:rPr>
  </w:style>
  <w:style w:type="paragraph" w:customStyle="1" w:styleId="ListDash2">
    <w:name w:val="List Dash 2"/>
    <w:basedOn w:val="Normal"/>
    <w:pPr>
      <w:numPr>
        <w:numId w:val="13"/>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character" w:styleId="Hyperlink">
    <w:name w:val="Hyperlink"/>
    <w:rPr>
      <w:color w:val="0000FF"/>
      <w:u w:val="single"/>
    </w:rPr>
  </w:style>
  <w:style w:type="character" w:customStyle="1" w:styleId="Text1Char">
    <w:name w:val="Text 1 Char"/>
    <w:rPr>
      <w:rFonts w:ascii="Times New Roman" w:hAnsi="Times New Roman"/>
      <w:sz w:val="24"/>
      <w:lang w:val="bg-BG"/>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bg-BG" w:eastAsia="bg-BG"/>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9D61-175D-48B9-AF86-240F947C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26</Pages>
  <Words>4083</Words>
  <Characters>24460</Characters>
  <Application>Microsoft Office Word</Application>
  <DocSecurity>0</DocSecurity>
  <Lines>1287</Lines>
  <Paragraphs>648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27895</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2015-08-13T15:42:00Z</cp:lastPrinted>
  <dcterms:created xsi:type="dcterms:W3CDTF">2015-09-23T11:13:00Z</dcterms:created>
  <dcterms:modified xsi:type="dcterms:W3CDTF">2015-10-01T07:46:00Z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