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BC3D8D" w:rsidP="00BC3D8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7DD2981B5CA4DA080D9183591D70B85" style="width:450.75pt;height:487.5pt">
            <v:imagedata r:id="rId9" o:title=""/>
          </v:shape>
        </w:pict>
      </w:r>
    </w:p>
    <w:bookmarkEnd w:id="0"/>
    <w:p w:rsidR="00BA34B2" w:rsidRDefault="00BA34B2" w:rsidP="00BA34B2">
      <w:pPr>
        <w:sectPr w:rsidR="00BA34B2" w:rsidSect="00BC3D8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F7616" w:rsidRDefault="008F7616" w:rsidP="00931071">
      <w:pPr>
        <w:spacing w:after="240" w:line="240" w:lineRule="auto"/>
        <w:jc w:val="center"/>
        <w:rPr>
          <w:rFonts w:ascii="Times New Roman" w:eastAsia="Batang" w:hAnsi="Times New Roman" w:cs="Times New Roman"/>
          <w:b/>
          <w:bCs/>
          <w:smallCaps/>
          <w:sz w:val="24"/>
          <w:szCs w:val="24"/>
          <w:lang w:val="en-GB"/>
        </w:rPr>
      </w:pPr>
      <w:bookmarkStart w:id="1" w:name="_GoBack"/>
      <w:bookmarkEnd w:id="1"/>
      <w:r>
        <w:rPr>
          <w:rFonts w:ascii="Times New Roman" w:eastAsia="Batang" w:hAnsi="Times New Roman" w:cs="Times New Roman"/>
          <w:b/>
          <w:bCs/>
          <w:smallCaps/>
          <w:sz w:val="24"/>
          <w:szCs w:val="24"/>
          <w:lang w:val="en-GB"/>
        </w:rPr>
        <w:lastRenderedPageBreak/>
        <w:t>ANNEX VI</w:t>
      </w:r>
    </w:p>
    <w:p w:rsidR="00931071" w:rsidRPr="00931071" w:rsidRDefault="00931071" w:rsidP="00931071">
      <w:pPr>
        <w:spacing w:after="240" w:line="240" w:lineRule="auto"/>
        <w:jc w:val="center"/>
        <w:rPr>
          <w:rFonts w:ascii="Times New Roman" w:eastAsia="Batang" w:hAnsi="Times New Roman" w:cs="Times New Roman"/>
          <w:b/>
          <w:bCs/>
          <w:smallCaps/>
          <w:sz w:val="24"/>
          <w:szCs w:val="24"/>
          <w:lang w:val="en-GB"/>
        </w:rPr>
      </w:pPr>
      <w:r w:rsidRPr="00931071">
        <w:rPr>
          <w:rFonts w:ascii="Times New Roman" w:eastAsia="Batang" w:hAnsi="Times New Roman" w:cs="Times New Roman"/>
          <w:b/>
          <w:bCs/>
          <w:smallCaps/>
          <w:sz w:val="24"/>
          <w:szCs w:val="24"/>
          <w:lang w:val="en-GB"/>
        </w:rPr>
        <w:t>The EU Regional Trust Fund ("MADAD Trust Fund") in response to the Syrian Crisis</w:t>
      </w:r>
    </w:p>
    <w:p w:rsidR="00931071" w:rsidRPr="009F4976" w:rsidRDefault="00931071" w:rsidP="00931071">
      <w:pPr>
        <w:pStyle w:val="PlainText"/>
        <w:rPr>
          <w:rFonts w:ascii="Times New Roman" w:hAnsi="Times New Roman"/>
          <w:sz w:val="24"/>
          <w:szCs w:val="24"/>
        </w:rPr>
      </w:pPr>
      <w:bookmarkStart w:id="2" w:name="bookmark3"/>
      <w:bookmarkStart w:id="3" w:name="bookmark2"/>
      <w:r w:rsidRPr="00645CD7">
        <w:rPr>
          <w:rFonts w:ascii="Times New Roman" w:hAnsi="Times New Roman"/>
          <w:bCs/>
          <w:sz w:val="24"/>
          <w:szCs w:val="24"/>
        </w:rPr>
        <w:t xml:space="preserve">Specialised EU Trust Funds are instruments </w:t>
      </w:r>
      <w:r>
        <w:rPr>
          <w:rFonts w:ascii="Times New Roman" w:hAnsi="Times New Roman"/>
          <w:bCs/>
          <w:sz w:val="24"/>
          <w:szCs w:val="24"/>
        </w:rPr>
        <w:t>designed to maximise</w:t>
      </w:r>
      <w:r w:rsidRPr="00645CD7">
        <w:rPr>
          <w:rFonts w:ascii="Times New Roman" w:hAnsi="Times New Roman"/>
          <w:bCs/>
          <w:sz w:val="24"/>
          <w:szCs w:val="24"/>
        </w:rPr>
        <w:t xml:space="preserve"> efficiency, coherence visibility, flexibility and speed of delivery of EU support/action across various financial instruments and countries. These considerations led EU lawmakers to chang</w:t>
      </w:r>
      <w:r>
        <w:rPr>
          <w:rFonts w:ascii="Times New Roman" w:hAnsi="Times New Roman"/>
          <w:bCs/>
          <w:sz w:val="24"/>
          <w:szCs w:val="24"/>
        </w:rPr>
        <w:t>e the EU Financial Regulation which now a</w:t>
      </w:r>
      <w:r w:rsidRPr="007C1A11">
        <w:rPr>
          <w:rFonts w:ascii="Times New Roman" w:hAnsi="Times New Roman"/>
          <w:sz w:val="24"/>
          <w:szCs w:val="24"/>
        </w:rPr>
        <w:t>llows the Comm</w:t>
      </w:r>
      <w:r>
        <w:rPr>
          <w:rFonts w:ascii="Times New Roman" w:hAnsi="Times New Roman"/>
          <w:sz w:val="24"/>
          <w:szCs w:val="24"/>
        </w:rPr>
        <w:t>ission to create and manage EU Trust F</w:t>
      </w:r>
      <w:r w:rsidRPr="007C1A11">
        <w:rPr>
          <w:rFonts w:ascii="Times New Roman" w:hAnsi="Times New Roman"/>
          <w:sz w:val="24"/>
          <w:szCs w:val="24"/>
        </w:rPr>
        <w:t xml:space="preserve">unds. </w:t>
      </w:r>
      <w:r>
        <w:rPr>
          <w:rFonts w:ascii="Times New Roman" w:hAnsi="Times New Roman"/>
          <w:sz w:val="24"/>
          <w:szCs w:val="24"/>
        </w:rPr>
        <w:t>The advantages of this approach are the following:</w:t>
      </w:r>
    </w:p>
    <w:p w:rsidR="00931071" w:rsidRPr="00931071" w:rsidRDefault="00931071" w:rsidP="00931071">
      <w:pPr>
        <w:numPr>
          <w:ilvl w:val="0"/>
          <w:numId w:val="7"/>
        </w:numPr>
        <w:suppressAutoHyphens/>
        <w:spacing w:after="240" w:line="240" w:lineRule="auto"/>
        <w:jc w:val="both"/>
        <w:rPr>
          <w:rFonts w:ascii="Times New Roman" w:hAnsi="Times New Roman" w:cs="Times New Roman"/>
          <w:sz w:val="24"/>
          <w:szCs w:val="24"/>
          <w:u w:val="single"/>
          <w:lang w:val="en-GB"/>
        </w:rPr>
      </w:pPr>
      <w:r w:rsidRPr="00931071">
        <w:rPr>
          <w:rFonts w:ascii="Times New Roman" w:hAnsi="Times New Roman" w:cs="Times New Roman"/>
          <w:b/>
          <w:bCs/>
          <w:i/>
          <w:iCs/>
          <w:sz w:val="24"/>
          <w:szCs w:val="24"/>
          <w:u w:val="single"/>
          <w:lang w:val="en-GB"/>
        </w:rPr>
        <w:t>Efficiency and coherence</w:t>
      </w:r>
      <w:r w:rsidRPr="00931071">
        <w:rPr>
          <w:rFonts w:ascii="Times New Roman" w:hAnsi="Times New Roman" w:cs="Times New Roman"/>
          <w:b/>
          <w:bCs/>
          <w:i/>
          <w:iCs/>
          <w:sz w:val="24"/>
          <w:szCs w:val="24"/>
          <w:lang w:val="en-GB"/>
        </w:rPr>
        <w:t>:</w:t>
      </w:r>
      <w:r w:rsidRPr="00931071">
        <w:rPr>
          <w:rFonts w:ascii="Times New Roman" w:hAnsi="Times New Roman" w:cs="Times New Roman"/>
          <w:sz w:val="24"/>
          <w:szCs w:val="24"/>
          <w:lang w:val="en-GB"/>
        </w:rPr>
        <w:t xml:space="preserve"> While other already existing trust funds only have a national or sub-national scale, </w:t>
      </w:r>
      <w:r w:rsidRPr="00931071">
        <w:rPr>
          <w:rFonts w:ascii="Times New Roman" w:hAnsi="Times New Roman" w:cs="Times New Roman"/>
          <w:bCs/>
          <w:sz w:val="24"/>
          <w:szCs w:val="24"/>
          <w:lang w:val="en-GB"/>
        </w:rPr>
        <w:t>the EU Trust Fund in response to the Syrian crisis ("</w:t>
      </w:r>
      <w:proofErr w:type="spellStart"/>
      <w:r w:rsidRPr="00931071">
        <w:rPr>
          <w:rFonts w:ascii="Times New Roman" w:hAnsi="Times New Roman" w:cs="Times New Roman"/>
          <w:bCs/>
          <w:sz w:val="24"/>
          <w:szCs w:val="24"/>
          <w:lang w:val="en-GB"/>
        </w:rPr>
        <w:t>Madad</w:t>
      </w:r>
      <w:proofErr w:type="spellEnd"/>
      <w:r w:rsidRPr="00931071">
        <w:rPr>
          <w:rFonts w:ascii="Times New Roman" w:hAnsi="Times New Roman" w:cs="Times New Roman"/>
          <w:bCs/>
          <w:sz w:val="24"/>
          <w:szCs w:val="24"/>
          <w:lang w:val="en-GB"/>
        </w:rPr>
        <w:t xml:space="preserve"> Trust Fund") is the only EU funding instrument with a </w:t>
      </w:r>
      <w:r w:rsidRPr="00931071">
        <w:rPr>
          <w:rFonts w:ascii="Times New Roman" w:hAnsi="Times New Roman" w:cs="Times New Roman"/>
          <w:bCs/>
          <w:i/>
          <w:sz w:val="24"/>
          <w:szCs w:val="24"/>
          <w:lang w:val="en-GB"/>
        </w:rPr>
        <w:t xml:space="preserve">truly </w:t>
      </w:r>
      <w:r w:rsidRPr="00931071">
        <w:rPr>
          <w:rFonts w:ascii="Times New Roman" w:hAnsi="Times New Roman" w:cs="Times New Roman"/>
          <w:bCs/>
          <w:sz w:val="24"/>
          <w:szCs w:val="24"/>
          <w:lang w:val="en-GB"/>
        </w:rPr>
        <w:t xml:space="preserve">regional scope responding to a regional crisis. It </w:t>
      </w:r>
      <w:r w:rsidRPr="00931071">
        <w:rPr>
          <w:rFonts w:ascii="Times New Roman" w:hAnsi="Times New Roman" w:cs="Times New Roman"/>
          <w:sz w:val="24"/>
          <w:szCs w:val="24"/>
          <w:lang w:val="en-GB"/>
        </w:rPr>
        <w:t xml:space="preserve">covers not only Syria </w:t>
      </w:r>
      <w:r w:rsidRPr="00931071">
        <w:rPr>
          <w:rFonts w:ascii="Times New Roman" w:hAnsi="Times New Roman" w:cs="Times New Roman"/>
          <w:bCs/>
          <w:sz w:val="24"/>
          <w:szCs w:val="24"/>
          <w:lang w:val="en-GB"/>
        </w:rPr>
        <w:t>but Turkey, Lebanon, Jordan, Iraq, Egypt and also affected countries in the Western Balkans</w:t>
      </w:r>
      <w:r w:rsidRPr="00931071">
        <w:rPr>
          <w:rFonts w:ascii="Times New Roman" w:hAnsi="Times New Roman" w:cs="Times New Roman"/>
          <w:sz w:val="24"/>
          <w:szCs w:val="24"/>
          <w:lang w:val="en-GB"/>
        </w:rPr>
        <w:t xml:space="preserve">. </w:t>
      </w:r>
      <w:r w:rsidRPr="00931071">
        <w:rPr>
          <w:rFonts w:ascii="Times New Roman" w:hAnsi="Times New Roman"/>
          <w:bCs/>
          <w:sz w:val="24"/>
          <w:szCs w:val="24"/>
          <w:lang w:val="en-GB"/>
        </w:rPr>
        <w:t xml:space="preserve">This allows EU support to be more focused and coherent, avoiding the inefficient fragmentation that often plagues international assistance efforts. </w:t>
      </w:r>
    </w:p>
    <w:p w:rsidR="00931071" w:rsidRPr="00645CD7" w:rsidRDefault="00931071" w:rsidP="00931071">
      <w:pPr>
        <w:pStyle w:val="PlainText"/>
        <w:numPr>
          <w:ilvl w:val="0"/>
          <w:numId w:val="7"/>
        </w:numPr>
        <w:rPr>
          <w:rFonts w:ascii="Times New Roman" w:hAnsi="Times New Roman"/>
          <w:sz w:val="24"/>
          <w:szCs w:val="24"/>
        </w:rPr>
      </w:pPr>
      <w:r w:rsidRPr="00A802A7">
        <w:rPr>
          <w:rFonts w:ascii="Times New Roman" w:hAnsi="Times New Roman"/>
          <w:b/>
          <w:bCs/>
          <w:i/>
          <w:iCs/>
          <w:sz w:val="24"/>
          <w:szCs w:val="24"/>
          <w:u w:val="single"/>
        </w:rPr>
        <w:t>European visibility</w:t>
      </w:r>
      <w:r w:rsidRPr="00514024">
        <w:rPr>
          <w:rFonts w:ascii="Times New Roman" w:hAnsi="Times New Roman"/>
          <w:b/>
          <w:bCs/>
          <w:i/>
          <w:iCs/>
          <w:sz w:val="24"/>
          <w:szCs w:val="24"/>
        </w:rPr>
        <w:t>:</w:t>
      </w:r>
      <w:r w:rsidRPr="00514024">
        <w:rPr>
          <w:rFonts w:ascii="Times New Roman" w:hAnsi="Times New Roman"/>
          <w:b/>
          <w:bCs/>
          <w:sz w:val="24"/>
          <w:szCs w:val="24"/>
        </w:rPr>
        <w:t xml:space="preserve"> </w:t>
      </w:r>
      <w:r>
        <w:rPr>
          <w:rFonts w:ascii="Times New Roman" w:hAnsi="Times New Roman"/>
          <w:bCs/>
          <w:sz w:val="24"/>
          <w:szCs w:val="24"/>
        </w:rPr>
        <w:t>The EU Trust F</w:t>
      </w:r>
      <w:r w:rsidRPr="00514024">
        <w:rPr>
          <w:rFonts w:ascii="Times New Roman" w:hAnsi="Times New Roman"/>
          <w:bCs/>
          <w:sz w:val="24"/>
          <w:szCs w:val="24"/>
        </w:rPr>
        <w:t>und</w:t>
      </w:r>
      <w:r>
        <w:rPr>
          <w:rFonts w:ascii="Times New Roman" w:hAnsi="Times New Roman"/>
          <w:bCs/>
          <w:sz w:val="24"/>
          <w:szCs w:val="24"/>
        </w:rPr>
        <w:t xml:space="preserve">, which is </w:t>
      </w:r>
      <w:r w:rsidRPr="00645CD7">
        <w:rPr>
          <w:rFonts w:ascii="Times New Roman" w:hAnsi="Times New Roman"/>
          <w:bCs/>
          <w:sz w:val="24"/>
          <w:szCs w:val="24"/>
        </w:rPr>
        <w:t>open to M</w:t>
      </w:r>
      <w:r>
        <w:rPr>
          <w:rFonts w:ascii="Times New Roman" w:hAnsi="Times New Roman"/>
          <w:bCs/>
          <w:sz w:val="24"/>
          <w:szCs w:val="24"/>
        </w:rPr>
        <w:t xml:space="preserve">ember </w:t>
      </w:r>
      <w:r w:rsidRPr="00645CD7">
        <w:rPr>
          <w:rFonts w:ascii="Times New Roman" w:hAnsi="Times New Roman"/>
          <w:bCs/>
          <w:sz w:val="24"/>
          <w:szCs w:val="24"/>
        </w:rPr>
        <w:t>S</w:t>
      </w:r>
      <w:r>
        <w:rPr>
          <w:rFonts w:ascii="Times New Roman" w:hAnsi="Times New Roman"/>
          <w:bCs/>
          <w:sz w:val="24"/>
          <w:szCs w:val="24"/>
        </w:rPr>
        <w:t>tates</w:t>
      </w:r>
      <w:r w:rsidRPr="00645CD7">
        <w:rPr>
          <w:rFonts w:ascii="Times New Roman" w:hAnsi="Times New Roman"/>
          <w:bCs/>
          <w:sz w:val="24"/>
          <w:szCs w:val="24"/>
        </w:rPr>
        <w:t xml:space="preserve"> and third party contributions, considerably enhances EU &amp; Member State visibility, which is often absent in the case of EU bulk contributions to U</w:t>
      </w:r>
      <w:r>
        <w:rPr>
          <w:rFonts w:ascii="Times New Roman" w:hAnsi="Times New Roman"/>
          <w:bCs/>
          <w:sz w:val="24"/>
          <w:szCs w:val="24"/>
        </w:rPr>
        <w:t xml:space="preserve">nited </w:t>
      </w:r>
      <w:r w:rsidRPr="00645CD7">
        <w:rPr>
          <w:rFonts w:ascii="Times New Roman" w:hAnsi="Times New Roman"/>
          <w:bCs/>
          <w:sz w:val="24"/>
          <w:szCs w:val="24"/>
        </w:rPr>
        <w:t>N</w:t>
      </w:r>
      <w:r>
        <w:rPr>
          <w:rFonts w:ascii="Times New Roman" w:hAnsi="Times New Roman"/>
          <w:bCs/>
          <w:sz w:val="24"/>
          <w:szCs w:val="24"/>
        </w:rPr>
        <w:t>ations</w:t>
      </w:r>
      <w:r w:rsidRPr="00645CD7">
        <w:rPr>
          <w:rFonts w:ascii="Times New Roman" w:hAnsi="Times New Roman"/>
          <w:bCs/>
          <w:sz w:val="24"/>
          <w:szCs w:val="24"/>
        </w:rPr>
        <w:t xml:space="preserve">, World Bank and other </w:t>
      </w:r>
      <w:r>
        <w:rPr>
          <w:rFonts w:ascii="Times New Roman" w:hAnsi="Times New Roman"/>
          <w:bCs/>
          <w:sz w:val="24"/>
          <w:szCs w:val="24"/>
        </w:rPr>
        <w:t>T</w:t>
      </w:r>
      <w:r w:rsidRPr="00645CD7">
        <w:rPr>
          <w:rFonts w:ascii="Times New Roman" w:hAnsi="Times New Roman"/>
          <w:bCs/>
          <w:sz w:val="24"/>
          <w:szCs w:val="24"/>
        </w:rPr>
        <w:t xml:space="preserve">rust </w:t>
      </w:r>
      <w:r>
        <w:rPr>
          <w:rFonts w:ascii="Times New Roman" w:hAnsi="Times New Roman"/>
          <w:bCs/>
          <w:sz w:val="24"/>
          <w:szCs w:val="24"/>
        </w:rPr>
        <w:t>F</w:t>
      </w:r>
      <w:r w:rsidRPr="00645CD7">
        <w:rPr>
          <w:rFonts w:ascii="Times New Roman" w:hAnsi="Times New Roman"/>
          <w:bCs/>
          <w:sz w:val="24"/>
          <w:szCs w:val="24"/>
        </w:rPr>
        <w:t>unds.</w:t>
      </w:r>
      <w:r w:rsidRPr="00645CD7">
        <w:rPr>
          <w:rFonts w:ascii="Times New Roman" w:hAnsi="Times New Roman"/>
          <w:sz w:val="24"/>
          <w:szCs w:val="24"/>
        </w:rPr>
        <w:t xml:space="preserve"> By enhancing Europe's profile in a crisis, the EU </w:t>
      </w:r>
      <w:r>
        <w:rPr>
          <w:rFonts w:ascii="Times New Roman" w:hAnsi="Times New Roman"/>
          <w:sz w:val="24"/>
          <w:szCs w:val="24"/>
        </w:rPr>
        <w:t>Trust F</w:t>
      </w:r>
      <w:r w:rsidRPr="00645CD7">
        <w:rPr>
          <w:rFonts w:ascii="Times New Roman" w:hAnsi="Times New Roman"/>
          <w:sz w:val="24"/>
          <w:szCs w:val="24"/>
        </w:rPr>
        <w:t xml:space="preserve">und gives more political leverage to Member States and </w:t>
      </w:r>
      <w:r>
        <w:rPr>
          <w:rFonts w:ascii="Times New Roman" w:hAnsi="Times New Roman"/>
          <w:sz w:val="24"/>
          <w:szCs w:val="24"/>
        </w:rPr>
        <w:t>the EU institutions</w:t>
      </w:r>
      <w:r w:rsidRPr="00645CD7">
        <w:rPr>
          <w:rFonts w:ascii="Times New Roman" w:hAnsi="Times New Roman"/>
          <w:sz w:val="24"/>
          <w:szCs w:val="24"/>
        </w:rPr>
        <w:t xml:space="preserve"> on the ground. It is an important tool of public diplomacy ("single flag") to beneficiaries and other actors.</w:t>
      </w:r>
    </w:p>
    <w:p w:rsidR="00931071" w:rsidRPr="00E5151E" w:rsidRDefault="00931071" w:rsidP="00931071">
      <w:pPr>
        <w:pStyle w:val="PlainText"/>
        <w:numPr>
          <w:ilvl w:val="0"/>
          <w:numId w:val="7"/>
        </w:numPr>
        <w:rPr>
          <w:rFonts w:ascii="Times New Roman" w:hAnsi="Times New Roman"/>
          <w:sz w:val="24"/>
          <w:szCs w:val="24"/>
        </w:rPr>
      </w:pPr>
      <w:r w:rsidRPr="00A802A7">
        <w:rPr>
          <w:rFonts w:ascii="Times New Roman" w:hAnsi="Times New Roman"/>
          <w:b/>
          <w:i/>
          <w:sz w:val="24"/>
          <w:szCs w:val="24"/>
          <w:u w:val="single"/>
        </w:rPr>
        <w:t>Coordination</w:t>
      </w:r>
      <w:r>
        <w:rPr>
          <w:rFonts w:ascii="Times New Roman" w:hAnsi="Times New Roman"/>
          <w:b/>
          <w:i/>
          <w:sz w:val="24"/>
          <w:szCs w:val="24"/>
        </w:rPr>
        <w:t>:</w:t>
      </w:r>
      <w:r w:rsidRPr="009F4976">
        <w:rPr>
          <w:rFonts w:ascii="Times New Roman" w:hAnsi="Times New Roman"/>
          <w:sz w:val="24"/>
          <w:szCs w:val="24"/>
        </w:rPr>
        <w:t xml:space="preserve"> </w:t>
      </w:r>
      <w:r w:rsidR="009E1A49">
        <w:rPr>
          <w:rFonts w:ascii="Times New Roman" w:hAnsi="Times New Roman"/>
          <w:sz w:val="24"/>
          <w:szCs w:val="24"/>
        </w:rPr>
        <w:t>T</w:t>
      </w:r>
      <w:r>
        <w:rPr>
          <w:rFonts w:ascii="Times New Roman" w:hAnsi="Times New Roman"/>
          <w:sz w:val="24"/>
          <w:szCs w:val="24"/>
        </w:rPr>
        <w:t xml:space="preserve">he Trust Fund greatly </w:t>
      </w:r>
      <w:r w:rsidRPr="00645CD7">
        <w:rPr>
          <w:rFonts w:ascii="Times New Roman" w:hAnsi="Times New Roman"/>
          <w:sz w:val="24"/>
          <w:szCs w:val="24"/>
        </w:rPr>
        <w:t xml:space="preserve">facilitates the engagement of others. It can </w:t>
      </w:r>
      <w:r w:rsidRPr="00645CD7">
        <w:rPr>
          <w:rFonts w:ascii="Times New Roman" w:hAnsi="Times New Roman"/>
          <w:bCs/>
          <w:sz w:val="24"/>
          <w:szCs w:val="24"/>
        </w:rPr>
        <w:t>pool contributions from the EU budget, Member States and other donors, public or private, thus increasing the financial power in the interest of its beneficiaries. Its governance structure broadly reflects contributions made. Bilateral and other donors have a say in setting the priorities for the trust fund</w:t>
      </w:r>
      <w:r w:rsidRPr="00645CD7">
        <w:rPr>
          <w:rFonts w:ascii="Times New Roman" w:hAnsi="Times New Roman"/>
          <w:sz w:val="24"/>
          <w:szCs w:val="24"/>
        </w:rPr>
        <w:t>.</w:t>
      </w:r>
      <w:r w:rsidR="0059315F">
        <w:rPr>
          <w:rStyle w:val="FootnoteReference"/>
          <w:rFonts w:ascii="Times New Roman" w:hAnsi="Times New Roman"/>
          <w:sz w:val="24"/>
          <w:szCs w:val="24"/>
        </w:rPr>
        <w:footnoteReference w:id="1"/>
      </w:r>
    </w:p>
    <w:p w:rsidR="00931071" w:rsidRPr="00931071" w:rsidRDefault="00931071" w:rsidP="00931071">
      <w:pPr>
        <w:numPr>
          <w:ilvl w:val="0"/>
          <w:numId w:val="8"/>
        </w:numPr>
        <w:suppressAutoHyphens/>
        <w:autoSpaceDE w:val="0"/>
        <w:spacing w:after="240" w:line="240" w:lineRule="auto"/>
        <w:ind w:left="357" w:hanging="357"/>
        <w:jc w:val="both"/>
        <w:rPr>
          <w:rFonts w:ascii="Times New Roman" w:hAnsi="Times New Roman" w:cs="Times New Roman"/>
          <w:sz w:val="24"/>
          <w:szCs w:val="24"/>
          <w:lang w:val="en-GB"/>
        </w:rPr>
      </w:pPr>
      <w:r w:rsidRPr="00931071">
        <w:rPr>
          <w:rFonts w:ascii="Times New Roman" w:hAnsi="Times New Roman" w:cs="Times New Roman"/>
          <w:b/>
          <w:i/>
          <w:sz w:val="24"/>
          <w:szCs w:val="24"/>
          <w:u w:val="single"/>
          <w:lang w:val="en-GB" w:eastAsia="es-ES"/>
        </w:rPr>
        <w:t>Flexibility</w:t>
      </w:r>
      <w:r w:rsidRPr="00931071">
        <w:rPr>
          <w:rFonts w:ascii="Times New Roman" w:hAnsi="Times New Roman" w:cs="Times New Roman"/>
          <w:sz w:val="24"/>
          <w:szCs w:val="24"/>
          <w:lang w:val="en-GB" w:eastAsia="es-ES"/>
        </w:rPr>
        <w:t xml:space="preserve">: The Trust Fund </w:t>
      </w:r>
      <w:r w:rsidRPr="00931071">
        <w:rPr>
          <w:rFonts w:ascii="Times New Roman" w:hAnsi="Times New Roman" w:cs="Times New Roman"/>
          <w:bCs/>
          <w:sz w:val="24"/>
          <w:szCs w:val="24"/>
          <w:lang w:val="en-GB" w:eastAsia="es-ES"/>
        </w:rPr>
        <w:t>mixes a wide range of funding modalities</w:t>
      </w:r>
      <w:r w:rsidRPr="00931071">
        <w:rPr>
          <w:rFonts w:ascii="Times New Roman" w:hAnsi="Times New Roman" w:cs="Times New Roman"/>
          <w:sz w:val="24"/>
          <w:szCs w:val="24"/>
          <w:lang w:val="en-GB" w:eastAsia="es-ES"/>
        </w:rPr>
        <w:t xml:space="preserve"> (grants, budget support, delegated cooperation, etc.) adapted to each country and sector. </w:t>
      </w:r>
      <w:r w:rsidRPr="00931071">
        <w:rPr>
          <w:rFonts w:ascii="Times New Roman" w:eastAsia="Times New Roman" w:hAnsi="Times New Roman" w:cs="Times New Roman"/>
          <w:sz w:val="24"/>
          <w:szCs w:val="24"/>
          <w:lang w:val="en-GB"/>
        </w:rPr>
        <w:t xml:space="preserve">The Trust Fund can, on request of donors and subject to approval of its Board, establish </w:t>
      </w:r>
      <w:r w:rsidRPr="00931071">
        <w:rPr>
          <w:rFonts w:ascii="Times New Roman" w:eastAsia="Times New Roman" w:hAnsi="Times New Roman" w:cs="Times New Roman"/>
          <w:bCs/>
          <w:sz w:val="24"/>
          <w:szCs w:val="24"/>
          <w:lang w:val="en-GB"/>
        </w:rPr>
        <w:t>separate funding windows</w:t>
      </w:r>
      <w:r w:rsidRPr="00931071">
        <w:rPr>
          <w:rFonts w:ascii="Times New Roman" w:eastAsia="Times New Roman" w:hAnsi="Times New Roman" w:cs="Times New Roman"/>
          <w:sz w:val="24"/>
          <w:szCs w:val="24"/>
          <w:lang w:val="en-GB"/>
        </w:rPr>
        <w:t xml:space="preserve"> as required, permitting, e.g., the geographic ring-fencing of funding (e.g. for Turkey, a Western Balkans state etc.). Also, as this unprecedented crisis continues to evolve, the Trust Fund </w:t>
      </w:r>
      <w:r w:rsidRPr="00931071">
        <w:rPr>
          <w:rFonts w:ascii="Times New Roman" w:hAnsi="Times New Roman" w:cs="Times New Roman"/>
          <w:bCs/>
          <w:sz w:val="24"/>
          <w:szCs w:val="24"/>
          <w:lang w:val="en-GB" w:eastAsia="es-ES"/>
        </w:rPr>
        <w:t>board can shift funding between and among countries in a much speedier way than is the case with regular, "pre-programmed" EU instruments.</w:t>
      </w:r>
    </w:p>
    <w:p w:rsidR="00931071" w:rsidRPr="009F4976" w:rsidRDefault="00931071" w:rsidP="00931071">
      <w:pPr>
        <w:pStyle w:val="PlainText"/>
        <w:numPr>
          <w:ilvl w:val="0"/>
          <w:numId w:val="7"/>
        </w:numPr>
        <w:rPr>
          <w:rFonts w:ascii="Times New Roman" w:hAnsi="Times New Roman"/>
          <w:sz w:val="24"/>
          <w:szCs w:val="24"/>
        </w:rPr>
      </w:pPr>
      <w:r w:rsidRPr="00A802A7">
        <w:rPr>
          <w:rFonts w:ascii="Times New Roman" w:hAnsi="Times New Roman"/>
          <w:b/>
          <w:bCs/>
          <w:i/>
          <w:iCs/>
          <w:sz w:val="24"/>
          <w:szCs w:val="24"/>
          <w:u w:val="single"/>
          <w:lang w:eastAsia="es-ES"/>
        </w:rPr>
        <w:t>Speed</w:t>
      </w:r>
      <w:r w:rsidRPr="009F4976">
        <w:rPr>
          <w:rFonts w:ascii="Times New Roman" w:hAnsi="Times New Roman"/>
          <w:b/>
          <w:bCs/>
          <w:i/>
          <w:iCs/>
          <w:sz w:val="24"/>
          <w:szCs w:val="24"/>
          <w:lang w:eastAsia="es-ES"/>
        </w:rPr>
        <w:t xml:space="preserve">: </w:t>
      </w:r>
      <w:r w:rsidRPr="00672BB1">
        <w:rPr>
          <w:rFonts w:ascii="Times New Roman" w:hAnsi="Times New Roman"/>
          <w:bCs/>
          <w:iCs/>
          <w:sz w:val="24"/>
          <w:szCs w:val="24"/>
          <w:lang w:eastAsia="es-ES"/>
        </w:rPr>
        <w:t xml:space="preserve">Finally, </w:t>
      </w:r>
      <w:r>
        <w:rPr>
          <w:rFonts w:ascii="Times New Roman" w:hAnsi="Times New Roman"/>
          <w:sz w:val="24"/>
          <w:szCs w:val="24"/>
          <w:lang w:eastAsia="es-ES"/>
        </w:rPr>
        <w:t>the EU Trust Fund</w:t>
      </w:r>
      <w:r w:rsidRPr="009F4976">
        <w:rPr>
          <w:rFonts w:ascii="Times New Roman" w:hAnsi="Times New Roman"/>
          <w:sz w:val="24"/>
          <w:szCs w:val="24"/>
          <w:lang w:eastAsia="es-ES"/>
        </w:rPr>
        <w:t xml:space="preserve"> </w:t>
      </w:r>
      <w:r w:rsidRPr="00645CD7">
        <w:rPr>
          <w:rFonts w:ascii="Times New Roman" w:hAnsi="Times New Roman"/>
          <w:sz w:val="24"/>
          <w:szCs w:val="24"/>
          <w:lang w:eastAsia="es-ES"/>
        </w:rPr>
        <w:t xml:space="preserve">ensures speedy delivery by using </w:t>
      </w:r>
      <w:r w:rsidRPr="00645CD7">
        <w:rPr>
          <w:rFonts w:ascii="Times New Roman" w:hAnsi="Times New Roman"/>
          <w:bCs/>
          <w:sz w:val="24"/>
          <w:szCs w:val="24"/>
          <w:lang w:eastAsia="es-ES"/>
        </w:rPr>
        <w:t>fast-track contracting and disbursements, using the crisis situation provisions of the EU Financial Regulation</w:t>
      </w:r>
      <w:r w:rsidRPr="00645CD7">
        <w:rPr>
          <w:rFonts w:ascii="Times New Roman" w:hAnsi="Times New Roman"/>
          <w:sz w:val="24"/>
          <w:szCs w:val="24"/>
          <w:lang w:eastAsia="es-ES"/>
        </w:rPr>
        <w:t xml:space="preserve">. </w:t>
      </w:r>
      <w:r w:rsidRPr="00645CD7">
        <w:rPr>
          <w:rFonts w:ascii="Times New Roman" w:hAnsi="Times New Roman"/>
          <w:bCs/>
          <w:sz w:val="24"/>
          <w:szCs w:val="24"/>
          <w:lang w:eastAsia="es-ES"/>
        </w:rPr>
        <w:t>Instead of lengthy procurement and calls for proposals</w:t>
      </w:r>
      <w:r w:rsidRPr="00645CD7">
        <w:rPr>
          <w:rFonts w:ascii="Times New Roman" w:hAnsi="Times New Roman"/>
          <w:sz w:val="24"/>
          <w:szCs w:val="24"/>
          <w:lang w:eastAsia="es-ES"/>
        </w:rPr>
        <w:t xml:space="preserve">, partners are engaged directly and are responding with substantial projects that can be adopted by the board at any time. </w:t>
      </w:r>
      <w:r w:rsidRPr="00645CD7">
        <w:rPr>
          <w:rFonts w:ascii="Times New Roman" w:hAnsi="Times New Roman"/>
          <w:bCs/>
          <w:sz w:val="24"/>
          <w:szCs w:val="24"/>
          <w:lang w:eastAsia="es-ES"/>
        </w:rPr>
        <w:t xml:space="preserve">The first programmes, adopted during the 29 May 2015 Board meeting, are almost all </w:t>
      </w:r>
      <w:proofErr w:type="gramStart"/>
      <w:r w:rsidRPr="00645CD7">
        <w:rPr>
          <w:rFonts w:ascii="Times New Roman" w:hAnsi="Times New Roman"/>
          <w:bCs/>
          <w:sz w:val="24"/>
          <w:szCs w:val="24"/>
          <w:lang w:eastAsia="es-ES"/>
        </w:rPr>
        <w:t>contracted</w:t>
      </w:r>
      <w:proofErr w:type="gramEnd"/>
      <w:r w:rsidRPr="00645CD7">
        <w:rPr>
          <w:rFonts w:ascii="Times New Roman" w:hAnsi="Times New Roman"/>
          <w:bCs/>
          <w:sz w:val="24"/>
          <w:szCs w:val="24"/>
          <w:lang w:eastAsia="es-ES"/>
        </w:rPr>
        <w:t xml:space="preserve"> already and underway. The project pipeline, ready for financing, once funds become available, is in the order of </w:t>
      </w:r>
      <w:r>
        <w:rPr>
          <w:rFonts w:ascii="Times New Roman" w:hAnsi="Times New Roman"/>
          <w:bCs/>
          <w:sz w:val="24"/>
          <w:szCs w:val="24"/>
          <w:lang w:eastAsia="es-ES"/>
        </w:rPr>
        <w:t>€</w:t>
      </w:r>
      <w:r w:rsidRPr="00645CD7">
        <w:rPr>
          <w:rFonts w:ascii="Times New Roman" w:hAnsi="Times New Roman"/>
          <w:bCs/>
          <w:sz w:val="24"/>
          <w:szCs w:val="24"/>
          <w:lang w:eastAsia="es-ES"/>
        </w:rPr>
        <w:t>44</w:t>
      </w:r>
      <w:r>
        <w:rPr>
          <w:rFonts w:ascii="Times New Roman" w:hAnsi="Times New Roman"/>
          <w:bCs/>
          <w:sz w:val="24"/>
          <w:szCs w:val="24"/>
          <w:lang w:eastAsia="es-ES"/>
        </w:rPr>
        <w:t>0 million.</w:t>
      </w:r>
    </w:p>
    <w:p w:rsidR="00931071" w:rsidRDefault="00931071">
      <w:pPr>
        <w:rPr>
          <w:rFonts w:ascii="Times New Roman" w:hAnsi="Times New Roman" w:cs="Times New Roman"/>
          <w:b/>
          <w:bCs/>
          <w:iCs/>
          <w:sz w:val="24"/>
          <w:szCs w:val="24"/>
          <w:lang w:val="en-GB"/>
        </w:rPr>
      </w:pPr>
      <w:r>
        <w:rPr>
          <w:rFonts w:ascii="Times New Roman" w:hAnsi="Times New Roman" w:cs="Times New Roman"/>
          <w:b/>
          <w:bCs/>
          <w:iCs/>
          <w:sz w:val="24"/>
          <w:szCs w:val="24"/>
          <w:lang w:val="en-GB"/>
        </w:rPr>
        <w:br w:type="page"/>
      </w:r>
    </w:p>
    <w:p w:rsidR="00931071" w:rsidRPr="00931071" w:rsidRDefault="00931071" w:rsidP="00931071">
      <w:pPr>
        <w:spacing w:after="240" w:line="240" w:lineRule="auto"/>
        <w:jc w:val="both"/>
        <w:rPr>
          <w:rFonts w:ascii="Times New Roman" w:hAnsi="Times New Roman" w:cs="Times New Roman"/>
          <w:b/>
          <w:bCs/>
          <w:iCs/>
          <w:sz w:val="24"/>
          <w:szCs w:val="24"/>
          <w:lang w:val="en-GB"/>
        </w:rPr>
      </w:pPr>
      <w:r w:rsidRPr="00931071">
        <w:rPr>
          <w:rFonts w:ascii="Times New Roman" w:hAnsi="Times New Roman" w:cs="Times New Roman"/>
          <w:b/>
          <w:bCs/>
          <w:iCs/>
          <w:sz w:val="24"/>
          <w:szCs w:val="24"/>
          <w:lang w:val="en-GB"/>
        </w:rPr>
        <w:lastRenderedPageBreak/>
        <w:t>BACKGROUND:</w:t>
      </w:r>
    </w:p>
    <w:p w:rsidR="00931071" w:rsidRPr="00931071" w:rsidRDefault="00931071" w:rsidP="00931071">
      <w:pPr>
        <w:spacing w:after="240" w:line="240" w:lineRule="auto"/>
        <w:jc w:val="both"/>
        <w:rPr>
          <w:rFonts w:ascii="Times New Roman" w:hAnsi="Times New Roman" w:cs="Times New Roman"/>
          <w:bCs/>
          <w:sz w:val="24"/>
          <w:szCs w:val="24"/>
          <w:lang w:val="en-GB"/>
        </w:rPr>
      </w:pPr>
      <w:r w:rsidRPr="00931071">
        <w:rPr>
          <w:rFonts w:ascii="Times New Roman" w:hAnsi="Times New Roman" w:cs="Times New Roman"/>
          <w:b/>
          <w:bCs/>
          <w:iCs/>
          <w:sz w:val="24"/>
          <w:szCs w:val="24"/>
          <w:u w:val="single"/>
          <w:lang w:val="en-GB"/>
        </w:rPr>
        <w:t>Needs not yet covered</w:t>
      </w:r>
      <w:r w:rsidRPr="00931071">
        <w:rPr>
          <w:rFonts w:ascii="Times New Roman" w:hAnsi="Times New Roman" w:cs="Times New Roman"/>
          <w:b/>
          <w:bCs/>
          <w:i/>
          <w:iCs/>
          <w:sz w:val="24"/>
          <w:szCs w:val="24"/>
          <w:lang w:val="en-GB"/>
        </w:rPr>
        <w:t>:</w:t>
      </w:r>
      <w:r w:rsidRPr="00931071">
        <w:rPr>
          <w:rFonts w:ascii="Times New Roman" w:hAnsi="Times New Roman" w:cs="Times New Roman"/>
          <w:sz w:val="24"/>
          <w:szCs w:val="24"/>
          <w:lang w:val="en-GB"/>
        </w:rPr>
        <w:t xml:space="preserve"> </w:t>
      </w:r>
      <w:r w:rsidRPr="00931071">
        <w:rPr>
          <w:rFonts w:ascii="Times New Roman" w:hAnsi="Times New Roman" w:cs="Times New Roman"/>
          <w:bCs/>
          <w:sz w:val="24"/>
          <w:szCs w:val="24"/>
          <w:lang w:val="en-GB"/>
        </w:rPr>
        <w:t>Only 40% of the UN appeals for the Syrian refugee crisis covered after 9 months. The o</w:t>
      </w:r>
      <w:r w:rsidRPr="00931071">
        <w:rPr>
          <w:rFonts w:ascii="Times New Roman" w:hAnsi="Times New Roman" w:cs="Times New Roman"/>
          <w:sz w:val="24"/>
          <w:szCs w:val="24"/>
          <w:lang w:val="en-GB"/>
        </w:rPr>
        <w:t xml:space="preserve">verall funding gap is some </w:t>
      </w:r>
      <w:r w:rsidRPr="00931071">
        <w:rPr>
          <w:rFonts w:ascii="Times New Roman" w:hAnsi="Times New Roman"/>
          <w:bCs/>
          <w:sz w:val="24"/>
          <w:szCs w:val="24"/>
          <w:lang w:val="en-GB" w:eastAsia="es-ES"/>
        </w:rPr>
        <w:t>€</w:t>
      </w:r>
      <w:r w:rsidRPr="00931071">
        <w:rPr>
          <w:rFonts w:ascii="Times New Roman" w:hAnsi="Times New Roman" w:cs="Times New Roman"/>
          <w:sz w:val="24"/>
          <w:szCs w:val="24"/>
          <w:lang w:val="en-GB"/>
        </w:rPr>
        <w:t xml:space="preserve">4 billion for 2015, of which the longer term resilience, education, and livelihoods needs represent </w:t>
      </w:r>
      <w:r w:rsidRPr="00931071">
        <w:rPr>
          <w:rFonts w:ascii="Times New Roman" w:hAnsi="Times New Roman"/>
          <w:bCs/>
          <w:sz w:val="24"/>
          <w:szCs w:val="24"/>
          <w:lang w:val="en-GB" w:eastAsia="es-ES"/>
        </w:rPr>
        <w:t>€</w:t>
      </w:r>
      <w:r w:rsidRPr="00931071">
        <w:rPr>
          <w:rFonts w:ascii="Times New Roman" w:hAnsi="Times New Roman" w:cs="Times New Roman"/>
          <w:sz w:val="24"/>
          <w:szCs w:val="24"/>
          <w:lang w:val="en-GB"/>
        </w:rPr>
        <w:t xml:space="preserve">1.5 billion, the rest being short-term humanitarian needs. </w:t>
      </w:r>
      <w:r w:rsidRPr="00931071">
        <w:rPr>
          <w:rFonts w:ascii="Times New Roman" w:hAnsi="Times New Roman" w:cs="Times New Roman"/>
          <w:bCs/>
          <w:sz w:val="24"/>
          <w:szCs w:val="24"/>
          <w:lang w:val="en-GB"/>
        </w:rPr>
        <w:t xml:space="preserve">The EU and Member States are expected to cover half of this gap </w:t>
      </w:r>
      <w:r w:rsidRPr="00931071">
        <w:rPr>
          <w:rFonts w:ascii="Times New Roman" w:hAnsi="Times New Roman" w:cs="Times New Roman"/>
          <w:sz w:val="24"/>
          <w:szCs w:val="24"/>
          <w:lang w:val="en-GB"/>
        </w:rPr>
        <w:t>(in line with our "traditional" share in global aid).</w:t>
      </w:r>
    </w:p>
    <w:p w:rsidR="00931071" w:rsidRPr="00931071" w:rsidRDefault="00931071" w:rsidP="00931071">
      <w:pPr>
        <w:spacing w:after="240" w:line="240" w:lineRule="auto"/>
        <w:jc w:val="both"/>
        <w:rPr>
          <w:rFonts w:ascii="Times New Roman" w:hAnsi="Times New Roman" w:cs="Times New Roman"/>
          <w:sz w:val="24"/>
          <w:szCs w:val="24"/>
          <w:lang w:val="en-GB"/>
        </w:rPr>
      </w:pPr>
      <w:r w:rsidRPr="00931071">
        <w:rPr>
          <w:rFonts w:ascii="Times New Roman" w:hAnsi="Times New Roman" w:cs="Times New Roman"/>
          <w:b/>
          <w:bCs/>
          <w:iCs/>
          <w:sz w:val="24"/>
          <w:szCs w:val="24"/>
          <w:u w:val="single"/>
          <w:lang w:val="en-GB"/>
        </w:rPr>
        <w:t>Current funding of the EU trust fund</w:t>
      </w:r>
      <w:r w:rsidRPr="00931071">
        <w:rPr>
          <w:rFonts w:ascii="Times New Roman" w:hAnsi="Times New Roman" w:cs="Times New Roman"/>
          <w:sz w:val="24"/>
          <w:szCs w:val="24"/>
          <w:lang w:val="en-GB"/>
        </w:rPr>
        <w:t xml:space="preserve">: </w:t>
      </w:r>
      <w:r w:rsidRPr="00931071">
        <w:rPr>
          <w:rFonts w:ascii="Times New Roman" w:hAnsi="Times New Roman" w:cs="Times New Roman"/>
          <w:bCs/>
          <w:sz w:val="24"/>
          <w:szCs w:val="24"/>
          <w:lang w:val="en-GB"/>
        </w:rPr>
        <w:t xml:space="preserve">The EU has made start-up contributions to date of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38 million, </w:t>
      </w:r>
      <w:r w:rsidRPr="00931071">
        <w:rPr>
          <w:rFonts w:ascii="Times New Roman" w:hAnsi="Times New Roman" w:cs="Times New Roman"/>
          <w:sz w:val="24"/>
          <w:szCs w:val="24"/>
          <w:lang w:val="en-GB"/>
        </w:rPr>
        <w:t>with larger replenishments planned later in 2015 and beyond.</w:t>
      </w:r>
      <w:r w:rsidRPr="00931071">
        <w:rPr>
          <w:rFonts w:ascii="Times New Roman" w:hAnsi="Times New Roman" w:cs="Times New Roman"/>
          <w:bCs/>
          <w:sz w:val="24"/>
          <w:szCs w:val="24"/>
          <w:lang w:val="en-GB"/>
        </w:rPr>
        <w:t xml:space="preserve"> Italy has contributed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3 million. Germany has pledged to contribute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5 million. </w:t>
      </w:r>
      <w:r w:rsidRPr="00931071">
        <w:rPr>
          <w:rFonts w:ascii="Times New Roman" w:hAnsi="Times New Roman" w:cs="Times New Roman"/>
          <w:sz w:val="24"/>
          <w:szCs w:val="24"/>
          <w:lang w:val="en-GB"/>
        </w:rPr>
        <w:t>The EU is preparing to contribute</w:t>
      </w:r>
      <w:r w:rsidRPr="00931071">
        <w:rPr>
          <w:rFonts w:ascii="Times New Roman" w:hAnsi="Times New Roman" w:cs="Times New Roman"/>
          <w:bCs/>
          <w:sz w:val="24"/>
          <w:szCs w:val="24"/>
          <w:lang w:val="en-GB"/>
        </w:rPr>
        <w:t xml:space="preserve"> another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 xml:space="preserve">100 million </w:t>
      </w:r>
      <w:r w:rsidRPr="00931071">
        <w:rPr>
          <w:rFonts w:ascii="Times New Roman" w:hAnsi="Times New Roman" w:cs="Times New Roman"/>
          <w:sz w:val="24"/>
          <w:szCs w:val="24"/>
          <w:lang w:val="en-GB"/>
        </w:rPr>
        <w:t>by the end of 2015. This will result in a mobilisation</w:t>
      </w:r>
      <w:r w:rsidRPr="00931071">
        <w:rPr>
          <w:rFonts w:ascii="Times New Roman" w:hAnsi="Times New Roman" w:cs="Times New Roman"/>
          <w:bCs/>
          <w:sz w:val="24"/>
          <w:szCs w:val="24"/>
          <w:lang w:val="en-GB"/>
        </w:rPr>
        <w:t xml:space="preserve"> of around </w:t>
      </w:r>
      <w:r w:rsidRPr="00931071">
        <w:rPr>
          <w:rFonts w:ascii="Times New Roman" w:hAnsi="Times New Roman"/>
          <w:bCs/>
          <w:sz w:val="24"/>
          <w:szCs w:val="24"/>
          <w:lang w:val="en-GB" w:eastAsia="es-ES"/>
        </w:rPr>
        <w:t>€</w:t>
      </w:r>
      <w:r w:rsidRPr="00931071">
        <w:rPr>
          <w:rFonts w:ascii="Times New Roman" w:hAnsi="Times New Roman" w:cs="Times New Roman"/>
          <w:bCs/>
          <w:sz w:val="24"/>
          <w:szCs w:val="24"/>
          <w:lang w:val="en-GB"/>
        </w:rPr>
        <w:t>150 million for the Trust Fund in the first year alone.</w:t>
      </w:r>
      <w:r w:rsidRPr="00931071">
        <w:rPr>
          <w:rFonts w:ascii="Times New Roman" w:hAnsi="Times New Roman" w:cs="Times New Roman"/>
          <w:sz w:val="24"/>
          <w:szCs w:val="24"/>
          <w:lang w:val="en-GB"/>
        </w:rPr>
        <w:t xml:space="preserve"> But given the needs on the ground and an impressive project pipeline worth </w:t>
      </w:r>
      <w:r w:rsidRPr="00931071">
        <w:rPr>
          <w:rFonts w:ascii="Times New Roman" w:hAnsi="Times New Roman"/>
          <w:bCs/>
          <w:sz w:val="24"/>
          <w:szCs w:val="24"/>
          <w:lang w:val="en-GB" w:eastAsia="es-ES"/>
        </w:rPr>
        <w:t>€</w:t>
      </w:r>
      <w:r w:rsidRPr="00931071">
        <w:rPr>
          <w:rFonts w:ascii="Times New Roman" w:hAnsi="Times New Roman" w:cs="Times New Roman"/>
          <w:sz w:val="24"/>
          <w:szCs w:val="24"/>
          <w:lang w:val="en-GB"/>
        </w:rPr>
        <w:t xml:space="preserve">440 </w:t>
      </w:r>
      <w:r w:rsidR="009E1A49">
        <w:rPr>
          <w:rFonts w:ascii="Times New Roman" w:hAnsi="Times New Roman" w:cs="Times New Roman"/>
          <w:sz w:val="24"/>
          <w:szCs w:val="24"/>
          <w:lang w:val="en-GB"/>
        </w:rPr>
        <w:t xml:space="preserve">million </w:t>
      </w:r>
      <w:r w:rsidRPr="00931071">
        <w:rPr>
          <w:rFonts w:ascii="Times New Roman" w:hAnsi="Times New Roman" w:cs="Times New Roman"/>
          <w:sz w:val="24"/>
          <w:szCs w:val="24"/>
          <w:lang w:val="en-GB"/>
        </w:rPr>
        <w:t>already, much more is still needed.</w:t>
      </w:r>
    </w:p>
    <w:p w:rsidR="00931071" w:rsidRPr="00931071" w:rsidRDefault="00931071" w:rsidP="00931071">
      <w:pPr>
        <w:widowControl w:val="0"/>
        <w:autoSpaceDE w:val="0"/>
        <w:autoSpaceDN w:val="0"/>
        <w:adjustRightInd w:val="0"/>
        <w:spacing w:after="240" w:line="240" w:lineRule="auto"/>
        <w:jc w:val="both"/>
        <w:rPr>
          <w:rFonts w:ascii="Times New Roman" w:hAnsi="Times New Roman" w:cs="Times New Roman"/>
          <w:sz w:val="24"/>
          <w:szCs w:val="24"/>
          <w:lang w:val="en-GB"/>
        </w:rPr>
      </w:pPr>
      <w:r w:rsidRPr="00931071">
        <w:rPr>
          <w:rFonts w:ascii="Times New Roman" w:hAnsi="Times New Roman" w:cs="Times New Roman"/>
          <w:b/>
          <w:bCs/>
          <w:iCs/>
          <w:sz w:val="24"/>
          <w:szCs w:val="24"/>
          <w:u w:val="single"/>
          <w:lang w:val="en-GB" w:eastAsia="en-GB"/>
        </w:rPr>
        <w:t>Complementarity with other EU actions</w:t>
      </w:r>
      <w:r w:rsidRPr="00931071">
        <w:rPr>
          <w:rFonts w:ascii="Times New Roman" w:hAnsi="Times New Roman" w:cs="Times New Roman"/>
          <w:b/>
          <w:bCs/>
          <w:i/>
          <w:iCs/>
          <w:sz w:val="24"/>
          <w:szCs w:val="24"/>
          <w:lang w:val="en-GB" w:eastAsia="en-GB"/>
        </w:rPr>
        <w:t xml:space="preserve">: </w:t>
      </w:r>
      <w:r w:rsidRPr="00931071">
        <w:rPr>
          <w:rFonts w:ascii="Times New Roman" w:hAnsi="Times New Roman" w:cs="Times New Roman"/>
          <w:sz w:val="24"/>
          <w:szCs w:val="24"/>
          <w:lang w:val="en-GB"/>
        </w:rPr>
        <w:t xml:space="preserve">In the beneficiary countries, the EU Trust Fund focuses on the </w:t>
      </w:r>
      <w:r w:rsidRPr="00931071">
        <w:rPr>
          <w:rFonts w:ascii="Times New Roman" w:hAnsi="Times New Roman" w:cs="Times New Roman"/>
          <w:bCs/>
          <w:sz w:val="24"/>
          <w:szCs w:val="24"/>
          <w:lang w:val="en-GB"/>
        </w:rPr>
        <w:t xml:space="preserve">longer term resilience, education, and livelihoods needs (such as jobs, teaching and basic infrastructure), </w:t>
      </w:r>
      <w:r w:rsidRPr="00931071">
        <w:rPr>
          <w:rFonts w:ascii="Times New Roman" w:hAnsi="Times New Roman" w:cs="Times New Roman"/>
          <w:bCs/>
          <w:sz w:val="24"/>
          <w:szCs w:val="24"/>
          <w:u w:val="single"/>
          <w:lang w:val="en-GB"/>
        </w:rPr>
        <w:t>not</w:t>
      </w:r>
      <w:r w:rsidRPr="00931071">
        <w:rPr>
          <w:rFonts w:ascii="Times New Roman" w:hAnsi="Times New Roman" w:cs="Times New Roman"/>
          <w:bCs/>
          <w:sz w:val="24"/>
          <w:szCs w:val="24"/>
          <w:lang w:val="en-GB"/>
        </w:rPr>
        <w:t xml:space="preserve"> on immediate humanitarian relief aid (such as food and water). </w:t>
      </w:r>
      <w:r w:rsidRPr="00931071">
        <w:rPr>
          <w:rFonts w:ascii="Times New Roman" w:hAnsi="Times New Roman" w:cs="Times New Roman"/>
          <w:sz w:val="24"/>
          <w:szCs w:val="24"/>
          <w:lang w:val="en-GB"/>
        </w:rPr>
        <w:t>Humanitarian relief through UNHCR, WFP, ICRC and NGOs continues to be managed by ECHO and funded bilaterally, but in close coordination between ECHO and the EU trust fund.</w:t>
      </w:r>
    </w:p>
    <w:p w:rsidR="00931071" w:rsidRPr="00931071" w:rsidRDefault="00931071" w:rsidP="00931071">
      <w:pPr>
        <w:widowControl w:val="0"/>
        <w:autoSpaceDE w:val="0"/>
        <w:autoSpaceDN w:val="0"/>
        <w:adjustRightInd w:val="0"/>
        <w:spacing w:after="240" w:line="240" w:lineRule="auto"/>
        <w:jc w:val="both"/>
        <w:rPr>
          <w:rFonts w:ascii="Times New Roman" w:hAnsi="Times New Roman" w:cs="Times New Roman"/>
          <w:sz w:val="24"/>
          <w:szCs w:val="24"/>
          <w:lang w:val="en-GB" w:eastAsia="en-GB"/>
        </w:rPr>
      </w:pPr>
      <w:r w:rsidRPr="00931071">
        <w:rPr>
          <w:rFonts w:ascii="Times New Roman" w:hAnsi="Times New Roman" w:cs="Times New Roman"/>
          <w:sz w:val="24"/>
          <w:szCs w:val="24"/>
          <w:lang w:val="en-GB" w:eastAsia="en-GB"/>
        </w:rPr>
        <w:t xml:space="preserve">The Trust Fund's activities are very closely coordinated with other existing aid programmes and pooling mechanisms to avoid duplication and competition for funding in particular as regards the Syria Recovery Trust Fund based in Gaziantep (a Turkish city 60km from Aleppo), the World Bank Trust Fund for Lebanon, and World Bank and UN mechanisms in Jordan. The trust fund also aligns its decisions with the orientations provided by multilateral frameworks, e.g. the UN </w:t>
      </w:r>
      <w:r w:rsidRPr="00931071">
        <w:rPr>
          <w:rFonts w:ascii="Times New Roman" w:eastAsia="Times New Roman" w:hAnsi="Times New Roman" w:cs="Times New Roman"/>
          <w:sz w:val="24"/>
          <w:szCs w:val="24"/>
          <w:lang w:val="en-GB"/>
        </w:rPr>
        <w:t>Regional Refugee &amp; Resilience Plan</w:t>
      </w:r>
      <w:r w:rsidRPr="00931071">
        <w:rPr>
          <w:rFonts w:ascii="Times New Roman" w:hAnsi="Times New Roman" w:cs="Times New Roman"/>
          <w:sz w:val="24"/>
          <w:szCs w:val="24"/>
          <w:lang w:val="en-GB" w:eastAsia="en-GB"/>
        </w:rPr>
        <w:t xml:space="preserve"> and outcomes of other international fora and conferences (Kuwait conferences, G7; etc.).</w:t>
      </w:r>
    </w:p>
    <w:bookmarkEnd w:id="2"/>
    <w:bookmarkEnd w:id="3"/>
    <w:p w:rsidR="00931071" w:rsidRPr="003C7371" w:rsidRDefault="00931071" w:rsidP="00931071">
      <w:pPr>
        <w:pStyle w:val="PlainText"/>
        <w:rPr>
          <w:rFonts w:ascii="Times New Roman" w:hAnsi="Times New Roman"/>
          <w:sz w:val="24"/>
          <w:szCs w:val="24"/>
        </w:rPr>
      </w:pPr>
    </w:p>
    <w:p w:rsidR="0059315F" w:rsidRDefault="0059315F" w:rsidP="00F12329">
      <w:pPr>
        <w:jc w:val="cente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59315F" w:rsidRPr="0059315F" w:rsidRDefault="0059315F" w:rsidP="0059315F">
      <w:pPr>
        <w:rPr>
          <w:lang w:val="en-GB"/>
        </w:rPr>
      </w:pPr>
    </w:p>
    <w:p w:rsidR="00835CFD" w:rsidRPr="0059315F" w:rsidRDefault="00835CFD" w:rsidP="0059315F">
      <w:pPr>
        <w:jc w:val="center"/>
        <w:rPr>
          <w:lang w:val="en-GB"/>
        </w:rPr>
      </w:pPr>
    </w:p>
    <w:sectPr w:rsidR="00835CFD" w:rsidRPr="0059315F" w:rsidSect="00931071">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C Square Sans Pro">
    <w:altName w:val="Segoe UI"/>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D" w:rsidRPr="00BC3D8D" w:rsidRDefault="00BC3D8D" w:rsidP="00BC3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D" w:rsidRPr="00BC3D8D" w:rsidRDefault="00BC3D8D" w:rsidP="00BC3D8D">
    <w:pPr>
      <w:pStyle w:val="FooterCoverPage"/>
      <w:rPr>
        <w:rFonts w:ascii="Arial" w:hAnsi="Arial" w:cs="Arial"/>
        <w:b/>
        <w:sz w:val="48"/>
      </w:rPr>
    </w:pPr>
    <w:r w:rsidRPr="00BC3D8D">
      <w:rPr>
        <w:rFonts w:ascii="Arial" w:hAnsi="Arial" w:cs="Arial"/>
        <w:b/>
        <w:sz w:val="48"/>
      </w:rPr>
      <w:t>EN</w:t>
    </w:r>
    <w:r w:rsidRPr="00BC3D8D">
      <w:rPr>
        <w:rFonts w:ascii="Arial" w:hAnsi="Arial" w:cs="Arial"/>
        <w:b/>
        <w:sz w:val="48"/>
      </w:rPr>
      <w:tab/>
    </w:r>
    <w:r w:rsidRPr="00BC3D8D">
      <w:rPr>
        <w:rFonts w:ascii="Arial" w:hAnsi="Arial" w:cs="Arial"/>
        <w:b/>
        <w:sz w:val="48"/>
      </w:rPr>
      <w:tab/>
    </w:r>
    <w:fldSimple w:instr=" DOCVARIABLE &quot;LW_Confidence&quot; \* MERGEFORMAT ">
      <w:r>
        <w:t xml:space="preserve"> </w:t>
      </w:r>
    </w:fldSimple>
    <w:r w:rsidRPr="00BC3D8D">
      <w:tab/>
    </w:r>
    <w:r w:rsidRPr="00BC3D8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D" w:rsidRPr="00BC3D8D" w:rsidRDefault="00BC3D8D" w:rsidP="00BC3D8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7C" w:rsidRPr="0059315F" w:rsidRDefault="0059315F" w:rsidP="0059315F">
    <w:pPr>
      <w:pStyle w:val="Footer"/>
      <w:pBdr>
        <w:top w:val="single" w:sz="4" w:space="1" w:color="D9D9D9"/>
      </w:pBdr>
      <w:tabs>
        <w:tab w:val="left" w:pos="4080"/>
      </w:tabs>
      <w:jc w:val="center"/>
      <w:rPr>
        <w:rFonts w:ascii="EC Square Sans Pro" w:hAnsi="EC Square Sans Pro"/>
        <w:sz w:val="18"/>
        <w:szCs w:val="18"/>
      </w:rPr>
    </w:pPr>
    <w:r w:rsidRPr="0059315F">
      <w:rPr>
        <w:rFonts w:ascii="EC Square Sans Pro" w:hAnsi="EC Square Sans Pro"/>
        <w:sz w:val="18"/>
        <w:szCs w:val="18"/>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954237"/>
      <w:docPartObj>
        <w:docPartGallery w:val="Page Numbers (Bottom of Page)"/>
        <w:docPartUnique/>
      </w:docPartObj>
    </w:sdtPr>
    <w:sdtEndPr>
      <w:rPr>
        <w:noProof/>
      </w:rPr>
    </w:sdtEndPr>
    <w:sdtContent>
      <w:p w:rsidR="002F54DA" w:rsidRDefault="002F54DA">
        <w:pPr>
          <w:pStyle w:val="Footer"/>
          <w:jc w:val="center"/>
        </w:pPr>
        <w:r>
          <w:fldChar w:fldCharType="begin"/>
        </w:r>
        <w:r>
          <w:instrText xml:space="preserve"> PAGE   \* MERGEFORMAT </w:instrText>
        </w:r>
        <w:r>
          <w:fldChar w:fldCharType="separate"/>
        </w:r>
        <w:r w:rsidR="00BC3D8D">
          <w:rPr>
            <w:noProof/>
          </w:rPr>
          <w:t>2</w:t>
        </w:r>
        <w:r>
          <w:rPr>
            <w:noProof/>
          </w:rPr>
          <w:fldChar w:fldCharType="end"/>
        </w:r>
      </w:p>
    </w:sdtContent>
  </w:sdt>
  <w:p w:rsidR="002F54DA" w:rsidRDefault="002F5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 w:id="1">
    <w:p w:rsidR="0059315F" w:rsidRPr="00105EA8" w:rsidRDefault="0059315F">
      <w:pPr>
        <w:pStyle w:val="FootnoteText"/>
        <w:rPr>
          <w:rFonts w:ascii="Times New Roman" w:hAnsi="Times New Roman" w:cs="Times New Roman"/>
          <w:lang w:val="en-GB"/>
        </w:rPr>
      </w:pPr>
      <w:r w:rsidRPr="00105EA8">
        <w:rPr>
          <w:rStyle w:val="FootnoteReference"/>
          <w:rFonts w:ascii="Times New Roman" w:hAnsi="Times New Roman" w:cs="Times New Roman"/>
        </w:rPr>
        <w:footnoteRef/>
      </w:r>
      <w:r w:rsidRPr="00105EA8">
        <w:rPr>
          <w:rFonts w:ascii="Times New Roman" w:hAnsi="Times New Roman" w:cs="Times New Roman"/>
        </w:rPr>
        <w:t xml:space="preserve">  Decisions on EU contributions are made under the "</w:t>
      </w:r>
      <w:proofErr w:type="spellStart"/>
      <w:r w:rsidRPr="00105EA8">
        <w:rPr>
          <w:rFonts w:ascii="Times New Roman" w:hAnsi="Times New Roman" w:cs="Times New Roman"/>
        </w:rPr>
        <w:t>comitology</w:t>
      </w:r>
      <w:proofErr w:type="spellEnd"/>
      <w:r w:rsidRPr="00105EA8">
        <w:rPr>
          <w:rFonts w:ascii="Times New Roman" w:hAnsi="Times New Roman" w:cs="Times New Roman"/>
        </w:rPr>
        <w:t>" rules in the relevant funding instruments.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D" w:rsidRPr="00BC3D8D" w:rsidRDefault="00BC3D8D" w:rsidP="00BC3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D" w:rsidRPr="00BC3D8D" w:rsidRDefault="00BC3D8D" w:rsidP="00BC3D8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D" w:rsidRPr="00BC3D8D" w:rsidRDefault="00BC3D8D" w:rsidP="00BC3D8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DA" w:rsidRDefault="002F54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EU RESTRICTED"/>
    <w:docVar w:name="LW_CORRIGENDUM" w:val="CORRIGENDUM_x000b_This document corrects COM(2015) 490 final of 23 September 2015._x000b_Concerns the English version only._x000b_Update footnotes and minor amendments in the Communication and minor errors in annexes 2, 3, 4, 6, 7."/>
    <w:docVar w:name="LW_COVERPAGE_GUID" w:val="B7DD2981B5CA4DA080D9183591D70B85"/>
    <w:docVar w:name="LW_CROSSREFERENCE" w:val="&lt;UNUSED&gt;"/>
    <w:docVar w:name="LW_DocType" w:val="NORMAL"/>
    <w:docVar w:name="LW_EMISSION" w:val="29.9.2015"/>
    <w:docVar w:name="LW_EMISSION_ISODATE" w:val="2015-09-29"/>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s crisis: immediate operational, budgetary and legal measures under the European Agenda on Migration"/>
    <w:docVar w:name="LW_PART_NBR" w:val="1"/>
    <w:docVar w:name="LW_PART_NBR_TOTAL" w:val="1"/>
    <w:docVar w:name="LW_REF.INST.NEW" w:val="COM"/>
    <w:docVar w:name="LW_REF.INST.NEW_ADOPTED" w:val="final/2"/>
    <w:docVar w:name="LW_REF.INST.NEW_TEXT" w:val="(2015) 49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105EA8"/>
    <w:rsid w:val="002F54DA"/>
    <w:rsid w:val="003A303A"/>
    <w:rsid w:val="004D2D23"/>
    <w:rsid w:val="005133F0"/>
    <w:rsid w:val="0059315F"/>
    <w:rsid w:val="005D78FB"/>
    <w:rsid w:val="00691844"/>
    <w:rsid w:val="006F01D6"/>
    <w:rsid w:val="00835CFD"/>
    <w:rsid w:val="008E6876"/>
    <w:rsid w:val="008F7616"/>
    <w:rsid w:val="00931071"/>
    <w:rsid w:val="009E1A49"/>
    <w:rsid w:val="00A27A4C"/>
    <w:rsid w:val="00BA34B2"/>
    <w:rsid w:val="00BC3D8D"/>
    <w:rsid w:val="00C90500"/>
    <w:rsid w:val="00DC2921"/>
    <w:rsid w:val="00DE06AD"/>
    <w:rsid w:val="00EE0AEB"/>
    <w:rsid w:val="00F123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9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styleId="BalloonText">
    <w:name w:val="Balloon Text"/>
    <w:basedOn w:val="Normal"/>
    <w:link w:val="BalloonTextChar"/>
    <w:uiPriority w:val="99"/>
    <w:semiHidden/>
    <w:unhideWhenUsed/>
    <w:rsid w:val="00C9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74C9-3AF7-49B0-98F9-26B789E6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4329</Characters>
  <Application>Microsoft Office Word</Application>
  <DocSecurity>0</DocSecurity>
  <Lines>80</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dcterms:created xsi:type="dcterms:W3CDTF">2015-09-29T08:56:00Z</dcterms:created>
  <dcterms:modified xsi:type="dcterms:W3CDTF">2015-09-29T08:56:00Z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