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96538DD4FFB4E2E8160D934F932B86A" style="width:450.75pt;height:420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ПРИЛОЖЕНИЕ I</w:t>
      </w:r>
    </w:p>
    <w:p>
      <w:pPr>
        <w:rPr>
          <w:rFonts w:ascii="Times New Roman" w:hAnsi="Times New Roman"/>
          <w:b/>
          <w:noProof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Приоритетни действия по линия на Европейската програма за миграцията за изпълнение в рамките на шест месеца</w:t>
      </w:r>
    </w:p>
    <w:p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Оперативни мерки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Комисията</w:t>
      </w:r>
      <w:r>
        <w:rPr>
          <w:rFonts w:ascii="Times New Roman" w:hAnsi="Times New Roman"/>
          <w:noProof/>
          <w:sz w:val="24"/>
        </w:rPr>
        <w:t xml:space="preserve"> и </w:t>
      </w:r>
      <w:r>
        <w:rPr>
          <w:rFonts w:ascii="Times New Roman" w:hAnsi="Times New Roman"/>
          <w:i/>
          <w:noProof/>
          <w:sz w:val="24"/>
        </w:rPr>
        <w:t>агенциите на ЕС</w:t>
      </w:r>
      <w:r>
        <w:rPr>
          <w:rFonts w:ascii="Times New Roman" w:hAnsi="Times New Roman"/>
          <w:noProof/>
          <w:sz w:val="24"/>
        </w:rPr>
        <w:t>: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Ще подпомогнат държавите членки да предприемат всички необходими стъпки за изготвянето на решения за преместване, като организират координацията на място и създадат мрежа от национални звена за контакт. Ще проследят изпълнението на точките за действие от проведеното тази седмица заседание с държавите членки относно преместването.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Ще сътрудничат за целта екипите за съдействие в „горещите точки“ да започнат работа от тази седмица. Ролята на агенциите ще бъде да предоставят пряко експертен опит в области като правилното установяване на самоличността на мигрантите. Комисията ще осигури координацията между различните участници.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Ще организират до края на следващите две седмици среща между държавите членки и ВКБООН, за да се определят практически договорености за прилагането на схемата за презаселване. </w:t>
      </w:r>
    </w:p>
    <w:p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Държавите членки, подложени на натиск</w:t>
      </w:r>
      <w:r>
        <w:rPr>
          <w:rFonts w:ascii="Times New Roman" w:hAnsi="Times New Roman" w:cs="Times New Roman"/>
          <w:noProof/>
          <w:sz w:val="24"/>
          <w:szCs w:val="24"/>
        </w:rPr>
        <w:t>, следва: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Да финализират и да започнат да прилагат до края на седмицата своите пътни карти за преместване на бежанците и работата на екипите за съдействие в горещите точки; да установят мрежа от служители за връзка за всички заинтересовани местни и национални държавни агенции до края на тази седмица.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Да задействат Механизма за гражданска защита или да поискат екипи за бърза гранична намеса, за да призоват за незабавна практическа помощ от ЕС и от държавите — членки на ЕС.</w:t>
      </w:r>
    </w:p>
    <w:p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Всички </w:t>
      </w:r>
      <w:r>
        <w:rPr>
          <w:rFonts w:ascii="Times New Roman" w:hAnsi="Times New Roman"/>
          <w:i/>
          <w:noProof/>
          <w:sz w:val="24"/>
        </w:rPr>
        <w:t>държави членки</w:t>
      </w:r>
      <w:r>
        <w:rPr>
          <w:rFonts w:ascii="Times New Roman" w:hAnsi="Times New Roman"/>
          <w:noProof/>
          <w:sz w:val="24"/>
        </w:rPr>
        <w:t xml:space="preserve"> следва: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да определят тази седмица национални точки за контакт за преместване, за да се даде възможност на кандидатите да бъдат бързо идентифицирани и прехвърлени; да изпратят служители за връзка в Италия и Гърция за оказване на подкрепа за проверките на място; да определят капацитета за приемане на преместени лица.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да уведомят Frontex и Европейската служба за подкрепа в областта на убежището, в рамките на една седмица след финализирането на националните пътни карти за екипите за съдействие в „горещите точки“, относно националния експертен опит, който ще бъде предоставен.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да определят до края на септември извънредния резерв от гранични средства, които биха могли да бъдат използвани в екипите за бърза гранична намеса, задействани тази година, и да уведомят Frontex за него. 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да уведомят Комисията до края на месец септември относно средствата за гражданска защита, които ще бъдат в готовност за употреба съгласно Механизма за гражданска защита, ако се появи необходимост през годината.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да създадат система за планиране на действията при извънредни ситуации в случай на евентуално увеличение на броя на молбите за убежище през тази година.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да потвърдят непрекъснатата подкрепа за съвместната операция на Frontex „Тритон“ и да отговорят незабавно на призива за активи за операция „Посейдон“.</w:t>
      </w:r>
    </w:p>
    <w:p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да се обърнат към Frontex за координацията и финансовата подкрепа, които са на разположение още тази година, за съвместни полети за връщане и помощ, предшестваща връщането.</w:t>
      </w:r>
    </w:p>
    <w:p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Увеличаване на бюджетната помощ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Следващата седмица </w:t>
      </w:r>
      <w:r>
        <w:rPr>
          <w:rFonts w:ascii="Times New Roman" w:hAnsi="Times New Roman"/>
          <w:i/>
          <w:noProof/>
          <w:sz w:val="24"/>
        </w:rPr>
        <w:t>Комисията</w:t>
      </w:r>
      <w:r>
        <w:rPr>
          <w:rFonts w:ascii="Times New Roman" w:hAnsi="Times New Roman"/>
          <w:noProof/>
          <w:sz w:val="24"/>
        </w:rPr>
        <w:t xml:space="preserve"> ще представи необходимите предложения на </w:t>
      </w:r>
      <w:r>
        <w:rPr>
          <w:rFonts w:ascii="Times New Roman" w:hAnsi="Times New Roman"/>
          <w:i/>
          <w:noProof/>
          <w:sz w:val="24"/>
        </w:rPr>
        <w:t>Европейския парламент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i/>
          <w:noProof/>
          <w:sz w:val="24"/>
        </w:rPr>
        <w:t>и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i/>
          <w:noProof/>
          <w:sz w:val="24"/>
        </w:rPr>
        <w:t>Съвета</w:t>
      </w:r>
      <w:r>
        <w:rPr>
          <w:rFonts w:ascii="Times New Roman" w:hAnsi="Times New Roman"/>
          <w:noProof/>
          <w:sz w:val="24"/>
        </w:rPr>
        <w:t>.</w:t>
      </w:r>
      <w:r>
        <w:rPr>
          <w:rFonts w:ascii="Times New Roman" w:hAnsi="Times New Roman"/>
          <w:i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Институциите се приканват да приемат предложенията за 2015 г. в рамките на ускорена процедура: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Увеличаване на фонда за извънредни ситуации в рамките на фонд „Убежище, интеграция и миграция“ с 80 милиона евро, както и на фонда „Вътрешна сигурност“ — Граници с 20 милиона евро. Средствата ще бъдат използвани за посрещане на неотложните нужди от увеличаване на капацитета за приемане, засилване на административния капацитет за обработка на молби за убежище и подкрепа на капацитета за отговор на натиска на външните граници.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Увеличаване през 2015 г. на капацитета на трите основни агенции на ЕС с 120 допълнителни длъжности:  60 длъжности за Frontex, 30 за EASO и 30 за Европол.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Увеличаване на средствата за хуманитарна помощ с 200 милиона евро с цел незабавно предоставяне на ресурси в отговор на исканията на ВКБООН, Световната продоволствена програма, и други съответни организации за подпомагане на бежанци без всякакво отлагане.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Укрепване на Европейския инструмент за съседство (ЕИС) през 2015 г. с 300 милиона евро, за да се даде възможност за увеличаване на </w:t>
      </w:r>
      <w:r>
        <w:rPr>
          <w:rFonts w:ascii="Times New Roman" w:hAnsi="Times New Roman"/>
          <w:i/>
          <w:noProof/>
          <w:sz w:val="24"/>
        </w:rPr>
        <w:t>регионалния доверителен фонд на ЕС в отговор на кризата в Сирия (фонд „Мадад“)</w:t>
      </w:r>
      <w:r>
        <w:rPr>
          <w:rFonts w:ascii="Times New Roman" w:hAnsi="Times New Roman"/>
          <w:noProof/>
          <w:sz w:val="24"/>
        </w:rPr>
        <w:t>, както и за предоставяне на помощ на трети държави, приели бежанци от Сирия. Заедно с допълнително пренасочване на средства от Инструмента за предприсъединителна помощ това ще направи възможно общото финансиране от ЕС за доверителния фонд в тази фаза да надхвърли 500 милиона евро.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През идните седмици </w:t>
      </w:r>
      <w:r>
        <w:rPr>
          <w:rFonts w:ascii="Times New Roman" w:hAnsi="Times New Roman"/>
          <w:i/>
          <w:noProof/>
          <w:sz w:val="24"/>
        </w:rPr>
        <w:t>Комисията</w:t>
      </w:r>
      <w:r>
        <w:rPr>
          <w:rFonts w:ascii="Times New Roman" w:hAnsi="Times New Roman"/>
          <w:noProof/>
          <w:sz w:val="24"/>
        </w:rPr>
        <w:t xml:space="preserve"> ще предложи на </w:t>
      </w:r>
      <w:r>
        <w:rPr>
          <w:rFonts w:ascii="Times New Roman" w:hAnsi="Times New Roman"/>
          <w:i/>
          <w:noProof/>
          <w:sz w:val="24"/>
        </w:rPr>
        <w:t>Европейския парламент и Съвета</w:t>
      </w:r>
      <w:r>
        <w:rPr>
          <w:rFonts w:ascii="Times New Roman" w:hAnsi="Times New Roman"/>
          <w:noProof/>
          <w:sz w:val="24"/>
        </w:rPr>
        <w:t xml:space="preserve"> следните промени в предложението за бюджет за 2016 г.: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Нов пакет от 600 милиона евро за увеличаване на бюджета за спешно финансиране на фонд „Убежище, интеграция и миграция“ и фонд „Вътрешна сигурност“ – Граници, както и за финансиране на увеличаване на средствата за Frontex, EASO и Европол, за да има готовност да се реагира на неотложните потребности при управлението на миграцията, приемането, връщането и граничния контрол.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Увеличаване на хуманитарната помощ с 300 милиона евро с цел готовност за посрещане на основните нужди на бежанците като храна и подслон.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ЕС следва да преразгледа разпределението на средства на ЕС за Турция, така че общо 1 милиард евро биха могли да бъдат на разположение за свързани с бежанците действия в периода 2015—2016 г.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Държавите членки следва незабавно да се ангажират:</w:t>
      </w:r>
    </w:p>
    <w:p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Да възстановят финансирането за хранителна помощ чрез Световната продоволствена програма на равнищата от 2014 г. с цел стабилизиране на снабдяването с храна на сирийските бежанци.</w:t>
      </w:r>
    </w:p>
    <w:p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Да предоставят средства, равни на вноските от бюджета на ЕС в </w:t>
      </w:r>
      <w:r>
        <w:rPr>
          <w:rFonts w:ascii="Times New Roman" w:hAnsi="Times New Roman"/>
          <w:i/>
          <w:noProof/>
          <w:sz w:val="24"/>
        </w:rPr>
        <w:t>Регионалния доверителен фонд на ЕС в отговор на сирийската криза (фонд „Мадад“),</w:t>
      </w:r>
      <w:r>
        <w:rPr>
          <w:rFonts w:ascii="Times New Roman" w:hAnsi="Times New Roman"/>
          <w:noProof/>
          <w:sz w:val="24"/>
        </w:rPr>
        <w:t xml:space="preserve"> за подпомагане на сирийските бежанци (в която и да е държава извън ЕС), за да бъдат събрани най-малко 1 милиард евро общо.</w:t>
      </w:r>
    </w:p>
    <w:p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Да предоставят средства, равни на 1,8 милиарда евро финансиране от ЕС за </w:t>
      </w:r>
      <w:r>
        <w:rPr>
          <w:rFonts w:ascii="Times New Roman" w:hAnsi="Times New Roman"/>
          <w:i/>
          <w:noProof/>
          <w:sz w:val="24"/>
        </w:rPr>
        <w:t>Извънредния доверителен фонд на ЕС за стабилност и преодоляване на първопричините за незаконната миграция и разселването на хора в Африка</w:t>
      </w:r>
      <w:r>
        <w:rPr>
          <w:rFonts w:ascii="Times New Roman" w:hAnsi="Times New Roman"/>
          <w:noProof/>
          <w:sz w:val="24"/>
        </w:rPr>
        <w:t>.</w:t>
      </w:r>
    </w:p>
    <w:p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Да използват незабавно средствата от предварителното финансиране (над 300 милиона евро), които са в процес на прехвърляне на държавите членки, за изпълнението на национални програми по линия на фонд „Убежище, интеграция и миграция“ и фонд „Вътрешна сигурност“ — Граници.</w:t>
      </w:r>
    </w:p>
    <w:p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Да разгледат използването на своите текущи програми по структурните фондове по отношение на подкрепата за мерки, свързани с миграцията, с цел да предложат изменения на Комисията.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Прилагане на правото на ЕС в областта на убежището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Държавите членки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следва да поемат</w:t>
      </w:r>
      <w:r>
        <w:rPr>
          <w:rFonts w:ascii="Times New Roman" w:hAnsi="Times New Roman"/>
          <w:noProof/>
          <w:sz w:val="24"/>
        </w:rPr>
        <w:t xml:space="preserve"> ангажимент за спешни стъпки за транспонирането, въвеждането и цялостното прилагане на законодателството на ЕС относно Европейската система за убежище, включително относно условията на приемане, процедурите за предоставяне на убежище и критериите за лицата, които отговарят на условията за предоставяне на убежище. </w:t>
      </w:r>
    </w:p>
    <w:p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Следващите законодателни стъпки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Европейският парламент</w:t>
      </w:r>
      <w:r>
        <w:rPr>
          <w:rFonts w:ascii="Times New Roman" w:hAnsi="Times New Roman"/>
          <w:noProof/>
          <w:sz w:val="24"/>
        </w:rPr>
        <w:t xml:space="preserve"> и </w:t>
      </w:r>
      <w:r>
        <w:rPr>
          <w:rFonts w:ascii="Times New Roman" w:hAnsi="Times New Roman"/>
          <w:i/>
          <w:noProof/>
          <w:sz w:val="24"/>
        </w:rPr>
        <w:t>Съветът</w:t>
      </w:r>
      <w:r>
        <w:rPr>
          <w:rFonts w:ascii="Times New Roman" w:hAnsi="Times New Roman"/>
          <w:noProof/>
          <w:sz w:val="24"/>
        </w:rPr>
        <w:t xml:space="preserve"> следва да ускорят приемането на следните предложения, внесени от Комисията: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Сигурни страни на произход, включително Турция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изменението на Регламента „Дъблин“ с цел въвеждане на механизъм за преместване в кризисни ситуации.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Комисията</w:t>
      </w:r>
      <w:r>
        <w:rPr>
          <w:rFonts w:ascii="Times New Roman" w:hAnsi="Times New Roman"/>
          <w:noProof/>
          <w:sz w:val="24"/>
        </w:rPr>
        <w:t xml:space="preserve"> ще представи следните нови предложения: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Създаване на Европейска гранична и брегова охрана и разширяване на мандата на Frontex (декември 2015 г.)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пакет от мерки относно законната миграция, включително преразглеждане на Синята карта на ЕС (март 2016 г.)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допълнителна реформа на Регламента „Дъблин“ (март 2016 г.)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предложение за структурирана система за презаселване (март 2016 г.)</w:t>
      </w:r>
    </w:p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01045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D97"/>
    <w:multiLevelType w:val="hybridMultilevel"/>
    <w:tmpl w:val="1B7A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73D97"/>
    <w:multiLevelType w:val="hybridMultilevel"/>
    <w:tmpl w:val="3314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24DCA"/>
    <w:multiLevelType w:val="hybridMultilevel"/>
    <w:tmpl w:val="F504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F11CB"/>
    <w:multiLevelType w:val="hybridMultilevel"/>
    <w:tmpl w:val="A4CC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50607"/>
    <w:multiLevelType w:val="hybridMultilevel"/>
    <w:tmpl w:val="D564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11FC4"/>
    <w:multiLevelType w:val="hybridMultilevel"/>
    <w:tmpl w:val="405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96538DD4FFB4E2E8160D934F932B86A"/>
    <w:docVar w:name="LW_CROSSREFERENCE" w:val="&lt;UNUSED&gt;"/>
    <w:docVar w:name="LW_DocType" w:val="NORMAL"/>
    <w:docVar w:name="LW_EMISSION" w:val="23.9.2015"/>
    <w:docVar w:name="LW_EMISSION_ISODATE" w:val="2015-09-23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9?\u1087?\u1088?\u1072?\u1074?\u1083?\u1077?\u1085?\u1080?\u1077? \u1085?\u1072? \u1082?\u1088?\u1080?\u1079?\u1072?\u1090?\u1072? \u1089? \u1073?\u1077?\u1078?\u1072?\u1085?\u1094?\u1080?\u1090?\u1077?: \u1085?\u1077?\u1079?\u1072?\u1073?\u1072?\u1074?\u1085?\u1080? \u1086?\u1087?\u1077?\u1088?\u1072?\u1090?\u1080?\u1074?\u1085?\u1080?, \u1073?\u1102?\u1076?\u1078?\u1077?\u1090?\u1085?\u1080? \u1080? \u1087?\u1088?\u1072?\u1074?\u1085?\u1080? \u1084?\u1077?\u1088?\u1082?\u1080? \u1087?\u1086? \u1083?\u1080?\u1085?\u1080?\u1103? \u1085?\u1072? \u1045?\u1074?\u1088?\u1086?\u1087?\u1077?\u1081?\u1089?\u1082?\u1072?\u1090?\u1072? \u1087?\u1088?\u1086?\u1075?\u1088?\u1072?\u1084?\u1072? \u1079?\u1072? \u1084?\u1080?\u1075?\u1088?\u1072?\u1094?\u1080?\u1103?\u1090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5) 49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AF099-7480-4E16-9F01-4C1E6CB6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1131</Words>
  <Characters>6495</Characters>
  <Application>Microsoft Office Word</Application>
  <DocSecurity>0</DocSecurity>
  <Lines>138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GEENIS-PALERMO Mildred (SG)</dc:creator>
  <cp:lastModifiedBy>DIGIT/A3</cp:lastModifiedBy>
  <cp:revision>8</cp:revision>
  <dcterms:created xsi:type="dcterms:W3CDTF">2015-09-28T12:42:00Z</dcterms:created>
  <dcterms:modified xsi:type="dcterms:W3CDTF">2015-09-29T12:15:00Z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