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7C93E8DD0C54707B2478AF62063ABA5" style="width:450.75pt;height:420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ПРИЛОЖЕНИЕ II</w:t>
      </w:r>
    </w:p>
    <w:p>
      <w:pPr>
        <w:spacing w:after="120" w:line="240" w:lineRule="auto"/>
        <w:jc w:val="center"/>
        <w:rPr>
          <w:rFonts w:ascii="Times New Roman" w:hAnsi="Times New Roman" w:cs="Times New Roman"/>
          <w:b/>
          <w:noProof/>
          <w:sz w:val="24"/>
          <w:szCs w:val="24"/>
        </w:rPr>
      </w:pPr>
      <w:r>
        <w:rPr>
          <w:rFonts w:ascii="Times New Roman" w:hAnsi="Times New Roman"/>
          <w:b/>
          <w:noProof/>
          <w:sz w:val="24"/>
        </w:rPr>
        <w:t>Екипи за съдействие в управлението на миграцията, действащи в „горещи точки“</w:t>
      </w:r>
    </w:p>
    <w:p>
      <w:pPr>
        <w:spacing w:after="120" w:line="240" w:lineRule="auto"/>
        <w:jc w:val="center"/>
        <w:rPr>
          <w:rFonts w:ascii="Times New Roman" w:hAnsi="Times New Roman" w:cs="Times New Roman"/>
          <w:b/>
          <w:noProof/>
          <w:sz w:val="24"/>
          <w:szCs w:val="24"/>
          <w:u w:val="single"/>
        </w:rPr>
      </w:pPr>
    </w:p>
    <w:p>
      <w:pPr>
        <w:spacing w:after="120" w:line="240" w:lineRule="auto"/>
        <w:jc w:val="both"/>
        <w:rPr>
          <w:rFonts w:ascii="Times New Roman" w:hAnsi="Times New Roman" w:cs="Times New Roman"/>
          <w:b/>
          <w:noProof/>
          <w:sz w:val="24"/>
          <w:szCs w:val="24"/>
        </w:rPr>
      </w:pPr>
      <w:r>
        <w:rPr>
          <w:rFonts w:ascii="Times New Roman" w:hAnsi="Times New Roman"/>
          <w:b/>
          <w:noProof/>
          <w:sz w:val="24"/>
        </w:rPr>
        <w:t>I.</w:t>
      </w:r>
      <w:r>
        <w:rPr>
          <w:noProof/>
        </w:rPr>
        <w:tab/>
      </w:r>
      <w:r>
        <w:rPr>
          <w:rFonts w:ascii="Times New Roman" w:hAnsi="Times New Roman"/>
          <w:b/>
          <w:noProof/>
          <w:sz w:val="24"/>
        </w:rPr>
        <w:t>ВЪВЕДЕНИЕ</w:t>
      </w:r>
    </w:p>
    <w:p>
      <w:pPr>
        <w:spacing w:after="120" w:line="240" w:lineRule="auto"/>
        <w:jc w:val="both"/>
        <w:rPr>
          <w:rFonts w:ascii="Times New Roman" w:hAnsi="Times New Roman" w:cs="Times New Roman"/>
          <w:noProof/>
          <w:sz w:val="24"/>
          <w:szCs w:val="24"/>
        </w:rPr>
      </w:pPr>
      <w:r>
        <w:rPr>
          <w:rFonts w:ascii="Times New Roman" w:hAnsi="Times New Roman"/>
          <w:noProof/>
          <w:sz w:val="24"/>
        </w:rPr>
        <w:t>При сегашната бежанска криза ЕС се сблъсква със ситуации, в които големият брой лица, преминаващи външните граници на дадена държава членка, превишава капацитета за управление на пристигането на мигранти по нормален начин. В такива ситуации Съюзът трябва да окаже подкрепа на държавите членки, които са изправени пред несъразмерно голям миграционен натиск по външната си граница. Това е задължително в съюз, ръководен от принципа на солидарност. Тази подкрепа ще даде възможност на засегнатата държава членка да изпълни правните си задължения съгласно правото на ЕС, включително установяването на самоличността, регистрирането и снемането на дактилоскопични отпечатъци на лицата при пристигането им. За тези кризисни ситуации Комисията разработи подхода на екипите за съдействие в управлението на миграцията в „горещите точки“.</w:t>
      </w:r>
    </w:p>
    <w:p>
      <w:pPr>
        <w:spacing w:after="120" w:line="240" w:lineRule="auto"/>
        <w:rPr>
          <w:rFonts w:ascii="Times New Roman" w:hAnsi="Times New Roman" w:cs="Times New Roman"/>
          <w:b/>
          <w:noProof/>
          <w:sz w:val="24"/>
          <w:szCs w:val="24"/>
        </w:rPr>
      </w:pPr>
      <w:r>
        <w:rPr>
          <w:rFonts w:ascii="Times New Roman" w:hAnsi="Times New Roman"/>
          <w:b/>
          <w:noProof/>
          <w:sz w:val="24"/>
        </w:rPr>
        <w:t>Какво представлява подходът?</w:t>
      </w:r>
    </w:p>
    <w:p>
      <w:pPr>
        <w:spacing w:after="120" w:line="240" w:lineRule="auto"/>
        <w:jc w:val="both"/>
        <w:rPr>
          <w:rFonts w:ascii="Times New Roman" w:hAnsi="Times New Roman" w:cs="Times New Roman"/>
          <w:noProof/>
          <w:sz w:val="24"/>
          <w:szCs w:val="24"/>
        </w:rPr>
      </w:pPr>
      <w:r>
        <w:rPr>
          <w:rFonts w:ascii="Times New Roman" w:hAnsi="Times New Roman"/>
          <w:noProof/>
          <w:sz w:val="24"/>
        </w:rPr>
        <w:t>„Гореща точка“ е област на външната граница, която е подложена на несъразмерно голям миграционен натиск. Примери за това са островите Сицилия и Лампедуза в Италия и Лесбос и Кос в Гърция. Именно през тези „горещи точки“ повечето мигранти влизат в Съюза. Именно тук ЕС трябва да предостави оперативна помощ, за да се гарантира, че пристигащите мигранти са регистрирани, и да се избегне неконтролираното им преминаване в други държави членки. Съюзът предоставя оперативна помощ на държавите членки чрез агенциите на ЕС Frontex, Европейската служба за подкрепа в областта на убежището и Европол, под пълния контрол на приемащата държава членка. Подходът е оперативна концепция за увеличаване на добавената стойност на тази помощ посредством екипи за съдействие в управлението на миграцията.  Така се предоставя оперативна рамка за агенциите, които да съсредоточат помощта си на мястото, където е най-необходима, да координират операциите си и да си сътрудничат тясно с органите на приемащата държава членка. Понастоящем подходът се прилага в Италия и Гърция.</w:t>
      </w:r>
    </w:p>
    <w:p>
      <w:pPr>
        <w:spacing w:after="120" w:line="240" w:lineRule="auto"/>
        <w:jc w:val="both"/>
        <w:rPr>
          <w:rFonts w:ascii="Times New Roman" w:hAnsi="Times New Roman" w:cs="Times New Roman"/>
          <w:b/>
          <w:noProof/>
          <w:sz w:val="24"/>
          <w:szCs w:val="24"/>
        </w:rPr>
      </w:pPr>
      <w:r>
        <w:rPr>
          <w:rFonts w:ascii="Times New Roman" w:hAnsi="Times New Roman"/>
          <w:b/>
          <w:noProof/>
          <w:sz w:val="24"/>
        </w:rPr>
        <w:t>Как агенциите на ЕС оказват помощ съгласно подхода?</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Съгласно подхода агенциите на ЕС Frontex, Европейската служба за подкрепа в областта на убежището и Европол оказват конкретна помощ на приемащата държава членка в съответствие със своя мандат и експертен опит. За тази цел агенциите изпращат екипи от експерти директно в „горещите точки“ в приемащата държава членка. Тези екипи са съставени от експерти, командировани от други държави членки. Съставът и експертните знания на тези екипи за съдействие са адаптирани към конкретната ситуация и нуждите в „горещите точки“, където екипите работят в подкрепа на органите на приемащата държава членка. Frontex командирова експерти по проверката и предоставя мобилни бюра в помощ на приемащата държава членка за регистрирането и снемането на дактилоскопични отпечатъци на мигрантите при пристигането им. Освен това Frontex разполага експертни екипи, съдействащи за получаването на информация от мигрантите за маршрутите, по които са преминали, за да достигнат Европа, и за събирането на сведения за начина на действие на мрежите за контрабанда на мигранти. Когато е необходимо, експертите от Frontex предоставят също и помощ преди връщането и координират полети за връщане. Експертите на Европейската служба за подкрепа в областта на убежището (EASO) съдействат на приемащите държави членки за регистрацията на лицата, търсещи убежище, и подготовката на досието по делото. Европол и Евроюст изпращат екипи от следователи за съдействие при събирането на сведения с цел разбиване на мрежите за контрабанда на мигранти. </w:t>
      </w:r>
    </w:p>
    <w:p>
      <w:pPr>
        <w:spacing w:after="120" w:line="240" w:lineRule="auto"/>
        <w:jc w:val="both"/>
        <w:rPr>
          <w:rFonts w:ascii="Times New Roman" w:hAnsi="Times New Roman" w:cs="Times New Roman"/>
          <w:noProof/>
          <w:spacing w:val="-2"/>
          <w:sz w:val="24"/>
          <w:szCs w:val="24"/>
        </w:rPr>
      </w:pPr>
      <w:r>
        <w:rPr>
          <w:rFonts w:ascii="Times New Roman" w:hAnsi="Times New Roman"/>
          <w:noProof/>
          <w:spacing w:val="-2"/>
          <w:sz w:val="24"/>
        </w:rPr>
        <w:t>Във всяка приемаща държава членка има съвместен оперативен щаб с представители на трите агенции (т.нар. Регионална работна група на Европейския съюз — EURTF). Щабът координира работата на екипите за съдействие в „горещите точки“ и гарантира тясното сътрудничество с националните органи на приемащата държава членка. Такъв съвместен оперативен щаб беше създаден в Катания (Сицилия), за да се координира работата в Италия, а подобен щаб ще бъде изграден в Пирея за „горещите точки“ в Гърция.</w:t>
      </w:r>
    </w:p>
    <w:p>
      <w:pPr>
        <w:spacing w:after="120" w:line="240" w:lineRule="auto"/>
        <w:jc w:val="both"/>
        <w:rPr>
          <w:rFonts w:ascii="Times New Roman" w:hAnsi="Times New Roman" w:cs="Times New Roman"/>
          <w:noProof/>
          <w:sz w:val="24"/>
          <w:szCs w:val="24"/>
        </w:rPr>
      </w:pPr>
      <w:r>
        <w:rPr>
          <w:rFonts w:ascii="Times New Roman" w:hAnsi="Times New Roman"/>
          <w:noProof/>
          <w:sz w:val="24"/>
        </w:rPr>
        <w:t>Подходът ще улесни също така изпълнението на решенията за преместване от Италия и Гърция на лица, които очевидно се нуждаят от международна закрила. Установяването на самоличността, регистрирането и снемането на пръстови отпечатъци на мигрантите при пристигането им е предварително условие за доброто функциониране на преместването, а подходът осигурява необходимата подкрепа за това. Подходът обаче функционира независимо от процеса, свързан с преместването, и Комисията е готова да го прилага в други държави членки, които са подложени на несъразмерно голям миграционен натиск по своите граници.</w:t>
      </w: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Екипът за съдействие не управлява приемни центрове. За да има успех подходът, приемащата държава членка трябва да осигури добре функциониращи приемни съоръжения, в които командированите от агенциите на ЕС екипи от експерти могат да работят. Това включва центровете за първоначално приемане и центровете за настаняване преди извеждане. Наличието на достатъчен брой приемни съоръжения също е необходима предпоставка за преместването, като ЕС предоставя значителна финансова помощ на държавите членки за изграждането на тази инфраструктура. </w:t>
      </w:r>
    </w:p>
    <w:p>
      <w:pPr>
        <w:spacing w:after="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b/>
          <w:noProof/>
          <w:sz w:val="24"/>
          <w:szCs w:val="24"/>
        </w:rPr>
      </w:pPr>
      <w:r>
        <w:rPr>
          <w:rFonts w:ascii="Times New Roman" w:hAnsi="Times New Roman"/>
          <w:b/>
          <w:noProof/>
          <w:sz w:val="24"/>
        </w:rPr>
        <w:t>2.</w:t>
      </w:r>
      <w:r>
        <w:rPr>
          <w:noProof/>
        </w:rPr>
        <w:tab/>
      </w:r>
      <w:r>
        <w:rPr>
          <w:rFonts w:ascii="Times New Roman" w:hAnsi="Times New Roman"/>
          <w:b/>
          <w:noProof/>
          <w:sz w:val="24"/>
        </w:rPr>
        <w:t>СИТУАЦИЯТА ДНЕС: ИТАЛИЯ</w:t>
      </w:r>
    </w:p>
    <w:p>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pacing w:val="-4"/>
          <w:sz w:val="24"/>
          <w:szCs w:val="24"/>
        </w:rPr>
      </w:pPr>
      <w:r>
        <w:rPr>
          <w:rFonts w:ascii="Times New Roman" w:hAnsi="Times New Roman"/>
          <w:noProof/>
          <w:spacing w:val="-4"/>
          <w:sz w:val="24"/>
        </w:rPr>
        <w:t>Бяха проведени технически заседания между Комисията, агенциите на ЕС и италианските органи, включително на 23 юли, когато Комисията присъства на заседание в Рим, и видеоконференции на 6 юли и 10 септември, както и заседание, организирано от Комисията в Брюксел на 2 септември. През това време бяха проведени няколко двустранни срещи и осъществени контакти между Италия и агенциите.</w:t>
      </w:r>
    </w:p>
    <w:p>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На 15 септември на Комисията беше представена пътната карта за преместването в съответствие с Решението на Съвета за преместването, с включена оценка на потребностите, свързани с „горещите точки“. Пътната карта ще бъде преразгледана с оглед на забележките, направени от Комисията, като преразгледаната версия се очаква скоро.</w:t>
      </w:r>
    </w:p>
    <w:p>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На 21 септември се проведе семинар относно преместването, на който Италия представи своята пътна карта за преместването.</w:t>
      </w:r>
    </w:p>
    <w:p>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На 26 юни 2015 г. в Катания беше създадена Регионална работна група на ЕС, съставена от представители на Frontex, EASO, Европол, EUNAVFORMED и националните органи, с цел координиране на усилията на екипите за съдействие, осигуряващи присъствие на различните пристанища, където мигрантите слизат на брега. Евроюст оказва подкрепа за оперативния регионален екип на Frontex в Катания и интензивно си сътрудничи със служителя на Националната дирекция за борба с тероризма и мафията (DNA), отговарящ за провинция Катания.</w:t>
      </w:r>
    </w:p>
    <w:p>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Frontex участва в съвместната операция „Тритон“.</w:t>
      </w:r>
    </w:p>
    <w:p>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Frontex изпрати подкрепления, като командирова 18 експерти по получаване на информация, 16 културни медиатори и 12 експерти по проверката.</w:t>
      </w:r>
    </w:p>
    <w:p>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Бяха създадени центрове за първоначално приемане в четири горещи точки, а именно Поцало, Порто Емпедокле и Трапани в Сицилия и на остров Лампедуза, с общ капацитет от около 1 500 места. Планирано е създаването на още два центъра за първоначално приемане в Аугуста и Таранто до края на годината.</w:t>
      </w:r>
    </w:p>
    <w:p>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Беше постигнато споразумение между EASO и Италия относно оперативния план за горещите точки. Италия се съгласи EASO да ѝ съдейства при предоставянето на информация, включително относно процедурата по преместване, при самата процедура по преместване и за укрепване на отдела, отговарящ за въпроси, свързани със законодателните актове „Дъблин“.</w:t>
      </w:r>
    </w:p>
    <w:p>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EASO разполага с 45 експерти, имащи готовност да бъдат командировани, за което държавите членки са се ангажирали.</w:t>
      </w:r>
    </w:p>
    <w:p>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Започна пилотен проект между службите за предоставяне на убежище и EASO.</w:t>
      </w:r>
    </w:p>
    <w:p>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Европол присъства редовно на пристанищата, където мигрантите слизат на брега, като предоставя техника за пряко сравняване на данни и оказва криминологична подкрепа в сътрудничество с италианското национално звено на Европол. </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noProof/>
          <w:sz w:val="24"/>
          <w:szCs w:val="24"/>
        </w:rPr>
      </w:pPr>
      <w:r>
        <w:rPr>
          <w:rFonts w:ascii="Times New Roman" w:hAnsi="Times New Roman"/>
          <w:b/>
          <w:i/>
          <w:noProof/>
          <w:sz w:val="24"/>
        </w:rPr>
        <w:t>Какво все още трябва да се направи</w:t>
      </w:r>
    </w:p>
    <w:p>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noProof/>
          <w:sz w:val="24"/>
          <w:szCs w:val="24"/>
        </w:rPr>
      </w:pPr>
      <w:r>
        <w:rPr>
          <w:rFonts w:ascii="Times New Roman" w:hAnsi="Times New Roman"/>
          <w:noProof/>
          <w:sz w:val="24"/>
        </w:rPr>
        <w:t>Да се командироват служители на Frontex за съдействие при снемането на пръстови отпечатъци.</w:t>
      </w:r>
    </w:p>
    <w:p>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noProof/>
          <w:sz w:val="24"/>
          <w:szCs w:val="24"/>
        </w:rPr>
      </w:pPr>
      <w:r>
        <w:rPr>
          <w:rFonts w:ascii="Times New Roman" w:hAnsi="Times New Roman"/>
          <w:noProof/>
          <w:sz w:val="24"/>
        </w:rPr>
        <w:t>Да се командироват служители на EASO в Италия.</w:t>
      </w:r>
    </w:p>
    <w:p>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noProof/>
          <w:sz w:val="24"/>
          <w:szCs w:val="24"/>
        </w:rPr>
      </w:pPr>
      <w:r>
        <w:rPr>
          <w:rFonts w:ascii="Times New Roman" w:hAnsi="Times New Roman"/>
          <w:noProof/>
          <w:sz w:val="24"/>
        </w:rPr>
        <w:t>Италия да представи своите допълнителни нужди на Frontex по отношение на връщането.</w:t>
      </w:r>
    </w:p>
    <w:p>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noProof/>
          <w:sz w:val="24"/>
          <w:szCs w:val="24"/>
        </w:rPr>
      </w:pPr>
      <w:r>
        <w:rPr>
          <w:rFonts w:ascii="Times New Roman" w:hAnsi="Times New Roman"/>
          <w:noProof/>
          <w:sz w:val="24"/>
        </w:rPr>
        <w:t>Да се представи преразгледана версия на пътната карта за преместването с включена оценка на потребностите.</w:t>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b/>
          <w:noProof/>
          <w:sz w:val="24"/>
          <w:szCs w:val="24"/>
        </w:rPr>
      </w:pPr>
      <w:r>
        <w:rPr>
          <w:rFonts w:ascii="Times New Roman" w:hAnsi="Times New Roman"/>
          <w:b/>
          <w:noProof/>
          <w:sz w:val="24"/>
        </w:rPr>
        <w:t>3.</w:t>
      </w:r>
      <w:r>
        <w:rPr>
          <w:noProof/>
        </w:rPr>
        <w:tab/>
      </w:r>
      <w:r>
        <w:rPr>
          <w:rFonts w:ascii="Times New Roman" w:hAnsi="Times New Roman"/>
          <w:b/>
          <w:noProof/>
          <w:sz w:val="24"/>
        </w:rPr>
        <w:t>СИТУАЦИЯТА ДНЕС: ГЪРЦИЯ</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Бяха проведени технически заседания между Комисията, агенциите на ЕС и гръцките органи, включително на 26 август, когато Комисията присъства на заседание в Пирея, и видеоконференции на 10 юли и 11 септември, както и заседание, организирано от Комисията в Брюксел на 2 септември. През това време бяха проведени няколко двустранни срещи и осъществени контакти между Гърция и агенциите.</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На 3 и 4 септември първият заместник-председател на Комисията Тимерманс и комисар Аврамопулос посетиха Гърция, включително остров Кос.</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На 14 септември на Комисията беше представена пътната карта за преместването в съответствие с Решението на Съвета за преместването, с включена оценка на потребностите, свързани с „горещите точки“. Гръцките органи преразглеждат пътната карта с оглед на забележките, направени от Комисията, като преразгледаната версия се очаква скоро.</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На 21 септември се проведе семинар относно преместването, на който Гърция представи своята пътна карта за преместването.</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Бюрото за връзка на Frontex в Пирея бе определено като мястото за разполагане на Регионалната работна група на ЕС.</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Frontex участва в съвместната операция „Посейдон“.</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Frontex изпрати подкрепления, като командирова 33 експерти (включително гръцки служители) и инсталира 7 мобилни бюра на островите в Егейско море (Самос, Лесбос, Хиос, Кос и Лерос). Гърция е приела предложението на Frontex да командирова още 30 експерти по проверката и по получаването на информация. </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В ход са обсъжданията между EASO и Гърция относно оперативния план за горещите точки. Гърция се съгласи EASO да ѝ съдейства при регистрацията на кандидатите за международна закрила, сезирането за изходящи искания за поемане на отговорността по Регламента „Дъблин“ и временните мерки за преместване. EASO предложи да командирова 28 експерти. Веднага щом бъде постигнато съгласие по оперативния план, EASO ще отправи покана за привличане на експерти.</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В ход е пилотен проект по Евродак, управляван съвместно със съдействието на Frontex, EASO И EU-LISA, а за края на тази седмица е планирано техническо посещение в Лесбос във връзка с този пилотен проект.</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Създадени са център за първоначално приемане и център за проверка в Лесбос, с общ капацитет от 480 души, както и център за проверка в Хиос и още един в Самос, с общ капацитет от 393 души.</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Създадени са два регистрационни пункта в Лесбос и се планира скоро да бъде открит още един регистрационен пункт. </w:t>
      </w:r>
    </w:p>
    <w:p>
      <w:p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b/>
          <w:i/>
          <w:noProof/>
          <w:sz w:val="24"/>
          <w:szCs w:val="24"/>
        </w:rPr>
      </w:pPr>
      <w:r>
        <w:rPr>
          <w:rFonts w:ascii="Times New Roman" w:hAnsi="Times New Roman"/>
          <w:b/>
          <w:i/>
          <w:noProof/>
          <w:sz w:val="24"/>
        </w:rPr>
        <w:t>Какво все още трябва да се направи</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Да се представи преразгледана версия на пътната карта за преместването с включена оценка на потребностите.</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Да се създаде Регионална работна група на ЕС, от където агенциите да могат да координират усилията на място и с националните органи.</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Гърция трябва да въведе ясен метод/режим за систематичното установяване на самоличността, регистриране и снемане на дактилоскопичните отпечатъци на мигрантите и въвеждане на данните в ЕВРОДАК.  </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Да се увеличи значително капацитетът за първоначално приемане на новопристигналите в смесените миграционни движения на Егейските острови, за които Комисията предостави съвсем наскоро 4,1 милиона евро. Налице е спешна нужда от изграждане на капацитет за първоначално приемане в Кос, където пристигат повечето граждани на трети страни и където понастоящем няма приемно съоръжение.</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Гърция следва да задейства Механизма за гражданска защита, за да се окаже незабавна помощ на мигрантите, пристигащи на островите, включително подслон.</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Да се постигне споразумение с EASO относно оперативния план за „горещите точки“, относно задачите на експертите, които ще бъдат командировани, и броя на експертите.</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Гърция следва да възобнови процеса по вземането и изпълнението на решения за връщане.</w:t>
      </w:r>
    </w:p>
    <w:p>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Гърция да представи своите допълнителни нужди на Frontex по отношение на връщането и на Европол по отношение на разследванията на контрабандата на мигранти.</w:t>
      </w:r>
    </w:p>
    <w:p>
      <w:pPr>
        <w:jc w:val="cente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0658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57D97"/>
    <w:multiLevelType w:val="hybridMultilevel"/>
    <w:tmpl w:val="1B7A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573D97"/>
    <w:multiLevelType w:val="hybridMultilevel"/>
    <w:tmpl w:val="3314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924DCA"/>
    <w:multiLevelType w:val="hybridMultilevel"/>
    <w:tmpl w:val="F50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4ECF11CB"/>
    <w:multiLevelType w:val="hybridMultilevel"/>
    <w:tmpl w:val="A4C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5C50607"/>
    <w:multiLevelType w:val="hybridMultilevel"/>
    <w:tmpl w:val="D564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8B82206"/>
    <w:multiLevelType w:val="hybridMultilevel"/>
    <w:tmpl w:val="00D2F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9011FC4"/>
    <w:multiLevelType w:val="hybridMultilevel"/>
    <w:tmpl w:val="405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2"/>
    <w:docVar w:name="LW_ANNEX_NBR_LAST" w:val="2"/>
    <w:docVar w:name="LW_CONFIDENCE" w:val=" "/>
    <w:docVar w:name="LW_CONST_RESTREINT_UE" w:val="RESTREINT UE"/>
    <w:docVar w:name="LW_CORRIGENDUM" w:val="&lt;UNUSED&gt;"/>
    <w:docVar w:name="LW_COVERPAGE_GUID" w:val="87C93E8DD0C54707B2478AF62063ABA5"/>
    <w:docVar w:name="LW_CROSSREFERENCE" w:val="&lt;UNUSED&gt;"/>
    <w:docVar w:name="LW_DocType" w:val="NORMAL"/>
    <w:docVar w:name="LW_EMISSION" w:val="23.9.2015"/>
    <w:docVar w:name="LW_EMISSION_ISODATE" w:val="2015-09-23"/>
    <w:docVar w:name="LW_EMISSION_LOCATION" w:val="BRX"/>
    <w:docVar w:name="LW_EMISSION_PREFIX" w:val="Брюксел, "/>
    <w:docVar w:name="LW_EMISSION_SUFFIX" w:val=" \u1075?."/>
    <w:docVar w:name="LW_ID_DOCTYPE_NONLW" w:val="CP-039"/>
    <w:docVar w:name="LW_LANGUE" w:val="BG"/>
    <w:docVar w:name="LW_MARKING" w:val="&lt;UNUSED&gt;"/>
    <w:docVar w:name="LW_NOM.INST" w:val="\u1045?\u1042?\u1056?\u1054?\u1055?\u1045?\u1049?\u1057?\u1050?\u1040? \u1050?\u1054?\u1052?\u1048?\u1057?\u1048?\u1071?"/>
    <w:docVar w:name="LW_NOM.INST_JOINTDOC" w:val="&lt;EMPTY&gt;"/>
    <w:docVar w:name="LW_OBJETACTEPRINCIPAL.CP" w:val="\u1059?\u1087?\u1088?\u1072?\u1074?\u1083?\u1077?\u1085?\u1080?\u1077? \u1085?\u1072? \u1082?\u1088?\u1080?\u1079?\u1072?\u1090?\u1072? \u1089? \u1073?\u1077?\u1078?\u1072?\u1085?\u1094?\u1080?\u1090?\u1077?: \u1085?\u1077?\u1079?\u1072?\u1073?\u1072?\u1074?\u1085?\u1080? \u1086?\u1087?\u1077?\u1088?\u1072?\u1090?\u1080?\u1074?\u1085?\u1080?, \u1073?\u1102?\u1076?\u1078?\u1077?\u1090?\u1085?\u1080? \u1080? \u1087?\u1088?\u1072?\u1074?\u1085?\u1080? \u1084?\u1077?\u1088?\u1082?\u1080? \u1087?\u1086? \u1083?\u1080?\u1085?\u1080?\u1103? \u1085?\u1072? \u1045?\u1074?\u1088?\u1086?\u1087?\u1077?\u1081?\u1089?\u1082?\u1072?\u1090?\u1072? \u1087?\u1088?\u1086?\u1075?\u1088?\u1072?\u1084?\u1072? \u1079?\u1072? \u1084?\u1080?\u1075?\u1088?\u1072?\u1094?\u1080?\u1103?\u1090?\u1072?_x000b_"/>
    <w:docVar w:name="LW_PART_NBR" w:val="1"/>
    <w:docVar w:name="LW_PART_NBR_TOTAL" w:val="1"/>
    <w:docVar w:name="LW_REF.INST.NEW" w:val="COM"/>
    <w:docVar w:name="LW_REF.INST.NEW_ADOPTED" w:val="final"/>
    <w:docVar w:name="LW_REF.INST.NEW_TEXT" w:val="(2015) 490"/>
    <w:docVar w:name="LW_REF.INTERNE" w:val="&lt;UNUSED&gt;"/>
    <w:docVar w:name="LW_SUPERTITRE" w:val="&lt;UNUSED&gt;"/>
    <w:docVar w:name="LW_TITRE.OBJ.CP" w:val="&lt;UNUSED&gt;"/>
    <w:docVar w:name="LW_TYPE.DOC.CP" w:val="\u1055?\u1056?\u1048?\u1051?\u1054?\u1046?\u1045?\u1053?\u1048?\u1045?_x000b_"/>
    <w:docVar w:name="LW_TYPEACTEPRINCIPAL.CP" w:val="\u1057?\u1066?\u1054?\u1041?\u1065?\u1045?\u1053?\u1048?\u1045? \u1053?\u1040? \u1050?\u1054?\u1052?\u1048?\u1057?\u1048?\u1071?\u1058?\u1040? \u1044?\u1054? \u1045?\u1042?\u1056?\u1054?\u1055?\u1045?\u1049?\u1057?\u1050?\u1048?\u1071? \u1055?\u1040?\u1056?\u1051?\u1040?\u1052?\u1045?\u1053?\u1058?, \u1045?\u1042?\u1056?\u1054?\u1055?\u1045?\u1049?\u1057?\u1050?\u1048?\u1071? \u1057?\u1066?\u1042?\u1045?\u1058? \u1048? \u1057?\u1066?\u1042?\u1045?\u1058?\u1040?_x000b_"/>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C8BCE-3099-4BDE-9DB3-754FF4A2E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1747</Words>
  <Characters>10273</Characters>
  <Application>Microsoft Office Word</Application>
  <DocSecurity>0</DocSecurity>
  <Lines>183</Lines>
  <Paragraphs>56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DIGIT/A3</cp:lastModifiedBy>
  <cp:revision>11</cp:revision>
  <dcterms:created xsi:type="dcterms:W3CDTF">2015-09-28T09:36:00Z</dcterms:created>
  <dcterms:modified xsi:type="dcterms:W3CDTF">2015-09-29T12:15:00Z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2</vt:lpwstr>
  </property>
  <property fmtid="{D5CDD505-2E9C-101B-9397-08002B2CF9AE}" pid="3" name="Last annex">
    <vt:lpwstr>2</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