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D47FF94BDC0B467FABE7C99034A8C7D1" style="width:450.75pt;height:406.5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jc w:val="center"/>
        <w:rPr>
          <w:rFonts w:ascii="Times New Roman" w:hAnsi="Times New Roman"/>
          <w:b/>
          <w:noProof/>
          <w:szCs w:val="24"/>
        </w:rPr>
      </w:pPr>
      <w:bookmarkStart w:id="1" w:name="_GoBack"/>
      <w:bookmarkEnd w:id="1"/>
      <w:r>
        <w:rPr>
          <w:rFonts w:ascii="Times New Roman" w:hAnsi="Times New Roman"/>
          <w:b/>
          <w:noProof/>
        </w:rPr>
        <w:lastRenderedPageBreak/>
        <w:t>ANNEXE V</w:t>
      </w:r>
    </w:p>
    <w:p>
      <w:pPr>
        <w:jc w:val="center"/>
        <w:rPr>
          <w:rFonts w:ascii="Times New Roman" w:hAnsi="Times New Roman"/>
          <w:b/>
          <w:noProof/>
          <w:szCs w:val="24"/>
        </w:rPr>
      </w:pPr>
      <w:r>
        <w:rPr>
          <w:rFonts w:ascii="Times New Roman" w:hAnsi="Times New Roman"/>
          <w:b/>
          <w:noProof/>
        </w:rPr>
        <w:t>Concours des États membres et de la Commission au Programme alimentaire mondial</w:t>
      </w:r>
    </w:p>
    <w:p>
      <w:pPr>
        <w:rPr>
          <w:rFonts w:ascii="Times New Roman" w:hAnsi="Times New Roman"/>
          <w:b/>
          <w:i/>
          <w:noProof/>
          <w:sz w:val="28"/>
          <w:szCs w:val="28"/>
        </w:rPr>
      </w:pPr>
    </w:p>
    <w:tbl>
      <w:tblPr>
        <w:tblpPr w:leftFromText="180" w:rightFromText="180" w:vertAnchor="text" w:tblpXSpec="center" w:tblpY="1"/>
        <w:tblOverlap w:val="never"/>
        <w:tblW w:w="7779" w:type="dxa"/>
        <w:tblInd w:w="-2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62"/>
        <w:gridCol w:w="1341"/>
        <w:gridCol w:w="1318"/>
        <w:gridCol w:w="1629"/>
        <w:gridCol w:w="1629"/>
      </w:tblGrid>
      <w:tr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En milliers d’euros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31.12.2014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13.9.2015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 xml:space="preserve">Moyenne </w:t>
            </w:r>
            <w:r>
              <w:rPr>
                <w:rFonts w:ascii="Arial" w:hAnsi="Arial"/>
                <w:b/>
                <w:noProof/>
                <w:sz w:val="20"/>
              </w:rPr>
              <w:br/>
              <w:t>cinq ans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center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Variation</w:t>
            </w:r>
            <w:r>
              <w:rPr>
                <w:rFonts w:ascii="Arial" w:hAnsi="Arial"/>
                <w:b/>
                <w:noProof/>
                <w:sz w:val="20"/>
              </w:rPr>
              <w:br/>
              <w:t>2014-2015 (%)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Autriche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946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Belgique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20 436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9 253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19 223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-54,7 %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Bulgarie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101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-9,3 %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Chypre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Croatie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République tchèque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-25,6 %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Danemark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54 770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40 428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41 684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-26,2 %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Estonie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Finlande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27 892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17 345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22 232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-37,8 %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France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18 392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14 164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20 588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-23 %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Allemagne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240 947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117 315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158 172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-51,3 %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Grèce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51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Hongrie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Irlande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17 069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13 869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16 766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-18,7 %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Italie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25 311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19 734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18 458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-22 %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Lettonie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Lituanie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-69,5 %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Luxembourg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9 709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8 487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8 806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-12,6 %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Malte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Pays-Bas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70 969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75 099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61 637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+5,8 %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Pologne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219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Portugal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8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Roumanie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Slovaquie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12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-100 %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Slovénie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48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-14,5 %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Espagne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6 174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3 653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14 790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-40,8 %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Suède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74 770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3 775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60 800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-95 %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Royaume-Uni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327 453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230 733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231 297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-29,5 %</w:t>
            </w: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  <w:r>
              <w:rPr>
                <w:rFonts w:ascii="Arial" w:hAnsi="Arial"/>
                <w:noProof/>
                <w:sz w:val="20"/>
              </w:rPr>
              <w:t> 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rPr>
                <w:rFonts w:ascii="Arial" w:hAnsi="Arial" w:cs="Arial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TOTAL</w:t>
            </w:r>
          </w:p>
        </w:tc>
        <w:tc>
          <w:tcPr>
            <w:tcW w:w="13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895 386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554 087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675 863</w:t>
            </w:r>
          </w:p>
        </w:tc>
        <w:tc>
          <w:tcPr>
            <w:tcW w:w="162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-38,1 %</w:t>
            </w:r>
          </w:p>
        </w:tc>
      </w:tr>
      <w:tr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UE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297 340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157 190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238 933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-47,1 %</w:t>
            </w:r>
          </w:p>
        </w:tc>
      </w:tr>
      <w:tr>
        <w:trPr>
          <w:trHeight w:val="255"/>
        </w:trPr>
        <w:tc>
          <w:tcPr>
            <w:tcW w:w="1862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41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318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  <w:tc>
          <w:tcPr>
            <w:tcW w:w="1629" w:type="dxa"/>
            <w:tcBorders>
              <w:bottom w:val="single" w:sz="8" w:space="0" w:color="auto"/>
            </w:tcBorders>
          </w:tcPr>
          <w:p>
            <w:pPr>
              <w:rPr>
                <w:rFonts w:ascii="Times New Roman" w:hAnsi="Times New Roman"/>
                <w:noProof/>
                <w:sz w:val="20"/>
                <w:szCs w:val="20"/>
              </w:rPr>
            </w:pPr>
          </w:p>
        </w:tc>
      </w:tr>
      <w:tr>
        <w:trPr>
          <w:trHeight w:val="255"/>
        </w:trPr>
        <w:tc>
          <w:tcPr>
            <w:tcW w:w="186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UE + États membres</w:t>
            </w:r>
          </w:p>
        </w:tc>
        <w:tc>
          <w:tcPr>
            <w:tcW w:w="134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1 192 726</w:t>
            </w:r>
          </w:p>
        </w:tc>
        <w:tc>
          <w:tcPr>
            <w:tcW w:w="13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711 277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914 796</w:t>
            </w:r>
          </w:p>
        </w:tc>
        <w:tc>
          <w:tcPr>
            <w:tcW w:w="162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AEEF3"/>
          </w:tcPr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</w:p>
          <w:p>
            <w:pPr>
              <w:jc w:val="right"/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sz w:val="20"/>
              </w:rPr>
              <w:t>-40,4 %</w:t>
            </w:r>
          </w:p>
        </w:tc>
      </w:tr>
    </w:tbl>
    <w:p>
      <w:pPr>
        <w:jc w:val="right"/>
        <w:rPr>
          <w:rFonts w:ascii="Times New Roman" w:hAnsi="Times New Roman"/>
          <w:noProof/>
          <w:sz w:val="28"/>
          <w:szCs w:val="28"/>
        </w:rPr>
      </w:pPr>
      <w:r>
        <w:rPr>
          <w:noProof/>
        </w:rPr>
        <w:br/>
      </w:r>
    </w:p>
    <w:p>
      <w:pPr>
        <w:jc w:val="right"/>
        <w:rPr>
          <w:rFonts w:ascii="Times New Roman" w:hAnsi="Times New Roman"/>
          <w:noProof/>
          <w:sz w:val="24"/>
          <w:szCs w:val="24"/>
        </w:rPr>
      </w:pPr>
    </w:p>
    <w:p>
      <w:pPr>
        <w:jc w:val="right"/>
        <w:rPr>
          <w:rFonts w:ascii="Times New Roman" w:hAnsi="Times New Roman"/>
          <w:noProof/>
          <w:sz w:val="24"/>
          <w:szCs w:val="24"/>
        </w:rPr>
      </w:pPr>
      <w:r>
        <w:rPr>
          <w:rFonts w:ascii="Times New Roman" w:hAnsi="Times New Roman"/>
          <w:noProof/>
          <w:sz w:val="24"/>
        </w:rPr>
        <w:t>(2014 et 2015, jusqu’au 13.9) [source: site web PAM]</w:t>
      </w:r>
    </w:p>
    <w:p>
      <w:pPr>
        <w:jc w:val="right"/>
        <w:rPr>
          <w:rFonts w:ascii="Times New Roman" w:hAnsi="Times New Roman"/>
          <w:b/>
          <w:noProof/>
          <w:sz w:val="28"/>
          <w:szCs w:val="28"/>
        </w:rPr>
      </w:pPr>
    </w:p>
    <w:p>
      <w:pPr>
        <w:rPr>
          <w:rFonts w:ascii="Times New Roman" w:hAnsi="Times New Roman"/>
          <w:b/>
          <w:noProof/>
          <w:sz w:val="28"/>
          <w:szCs w:val="28"/>
        </w:rPr>
      </w:pPr>
    </w:p>
    <w:p>
      <w:pPr>
        <w:jc w:val="center"/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71326643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57D97"/>
    <w:multiLevelType w:val="hybridMultilevel"/>
    <w:tmpl w:val="1B7A5D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573D97"/>
    <w:multiLevelType w:val="hybridMultilevel"/>
    <w:tmpl w:val="3314DB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924DCA"/>
    <w:multiLevelType w:val="hybridMultilevel"/>
    <w:tmpl w:val="F5043F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CF11CB"/>
    <w:multiLevelType w:val="hybridMultilevel"/>
    <w:tmpl w:val="A4CC95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5C50607"/>
    <w:multiLevelType w:val="hybridMultilevel"/>
    <w:tmpl w:val="D56405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011FC4"/>
    <w:multiLevelType w:val="hybridMultilevel"/>
    <w:tmpl w:val="4058BC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revisionView w:markup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de la "/>
    <w:docVar w:name="LW_ANNEX_NBR_FIRST" w:val="5"/>
    <w:docVar w:name="LW_ANNEX_NBR_LAST" w:val="5"/>
    <w:docVar w:name="LW_CONFIDENCE" w:val=" "/>
    <w:docVar w:name="LW_CONST_RESTREINT_UE" w:val="RESTREINT UE"/>
    <w:docVar w:name="LW_CORRIGENDUM" w:val="&lt;UNUSED&gt;"/>
    <w:docVar w:name="LW_COVERPAGE_GUID" w:val="D47FF94BDC0B467FABE7C99034A8C7D1"/>
    <w:docVar w:name="LW_CROSSREFERENCE" w:val="&lt;UNUSED&gt;"/>
    <w:docVar w:name="LW_DocType" w:val="NORMAL"/>
    <w:docVar w:name="LW_EMISSION" w:val="23.9.2015"/>
    <w:docVar w:name="LW_EMISSION_ISODATE" w:val="2015-09-23"/>
    <w:docVar w:name="LW_EMISSION_LOCATION" w:val="BRX"/>
    <w:docVar w:name="LW_EMISSION_PREFIX" w:val="Bruxelles, le "/>
    <w:docVar w:name="LW_EMISSION_SUFFIX" w:val=" "/>
    <w:docVar w:name="LW_ID_DOCTYPE_NONLW" w:val="CP-039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Gestion de la crise des réfugiés: mesures opérationnelles, budgétaires et juridiques immédiates au titre de l'agenda européen en matière de migration"/>
    <w:docVar w:name="LW_PART_NBR" w:val="1"/>
    <w:docVar w:name="LW_PART_NBR_TOTAL" w:val="1"/>
    <w:docVar w:name="LW_REF.INST.NEW" w:val="COM"/>
    <w:docVar w:name="LW_REF.INST.NEW_ADOPTED" w:val="final"/>
    <w:docVar w:name="LW_REF.INST.NEW_TEXT" w:val="(2015) 490"/>
    <w:docVar w:name="LW_REF.INTERNE" w:val="&lt;UNUSED&gt;"/>
    <w:docVar w:name="LW_SUPERTITRE" w:val="&lt;UNUSED&gt;"/>
    <w:docVar w:name="LW_TITRE.OBJ.CP" w:val="&lt;UNUSED&gt;"/>
    <w:docVar w:name="LW_TYPE.DOC.CP" w:val="ANNEXE_x000b_"/>
    <w:docVar w:name="LW_TYPEACTEPRINCIPAL.CP" w:val="COMMUNICATION DE LA COMMISSION AU PARLEMENT EUROPÉEN, AU CONSEIL EUROPÉEN ET AU CONSEIL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fr-FR" w:bidi="fr-F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 w:cs="Times New Roman"/>
      <w:sz w:val="24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</w:pPr>
    <w:rPr>
      <w:rFonts w:ascii="Times New Roman" w:hAnsi="Times New Roman" w:cs="Times New Roman"/>
      <w:sz w:val="24"/>
    </w:rPr>
  </w:style>
  <w:style w:type="character" w:customStyle="1" w:styleId="FooterCoverPageChar">
    <w:name w:val="Footer Cover Page Char"/>
    <w:basedOn w:val="DefaultParagraphFont"/>
    <w:link w:val="FooterCoverPage"/>
    <w:rPr>
      <w:rFonts w:ascii="Times New Roman" w:hAnsi="Times New Roman" w:cs="Times New Roman"/>
      <w:sz w:val="24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</w:pPr>
    <w:rPr>
      <w:rFonts w:ascii="Times New Roman" w:hAnsi="Times New Roman" w:cs="Times New Roman"/>
      <w:sz w:val="24"/>
    </w:rPr>
  </w:style>
  <w:style w:type="character" w:customStyle="1" w:styleId="HeaderCoverPageChar">
    <w:name w:val="Header Cover Page Char"/>
    <w:basedOn w:val="DefaultParagraphFont"/>
    <w:link w:val="HeaderCoverPage"/>
    <w:rPr>
      <w:rFonts w:ascii="Times New Roman" w:hAnsi="Times New Roman" w:cs="Times New Roman"/>
      <w:sz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691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C8F678-EC7B-4BB5-B3D1-4B3DE7E3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290</Words>
  <Characters>964</Characters>
  <Application>Microsoft Office Word</Application>
  <DocSecurity>0</DocSecurity>
  <Lines>241</Lines>
  <Paragraphs>208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GEENIS-PALERMO Mildred (SG)</dc:creator>
  <cp:lastModifiedBy>DIGIT/A3</cp:lastModifiedBy>
  <cp:revision>13</cp:revision>
  <cp:lastPrinted>2015-09-24T11:58:00Z</cp:lastPrinted>
  <dcterms:created xsi:type="dcterms:W3CDTF">2015-09-23T08:30:00Z</dcterms:created>
  <dcterms:modified xsi:type="dcterms:W3CDTF">2015-09-29T12:17:00Z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5</vt:lpwstr>
  </property>
  <property fmtid="{D5CDD505-2E9C-101B-9397-08002B2CF9AE}" pid="3" name="Last annex">
    <vt:lpwstr>5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