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8EC8F4443634F7CB2A15414E0FBCB1A" style="width:450.75pt;height:407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noProof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V</w:t>
      </w:r>
    </w:p>
    <w:p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</w:rPr>
        <w:t>Държавите членки и Комисията принос за Световната продоволствена програма</w:t>
      </w:r>
    </w:p>
    <w:p>
      <w:pPr>
        <w:rPr>
          <w:rFonts w:ascii="Times New Roman" w:hAnsi="Times New Roman"/>
          <w:b/>
          <w:i/>
          <w:noProof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777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341"/>
        <w:gridCol w:w="1318"/>
        <w:gridCol w:w="1629"/>
        <w:gridCol w:w="1629"/>
      </w:tblGrid>
      <w:tr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В хиляди евро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pacing w:val="-6"/>
                <w:sz w:val="20"/>
              </w:rPr>
              <w:t>31.12.2014 г.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13.9.2015 г.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Средна сума за 5 години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Процент на дисперсия 2014—2015 г.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Австрия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Белгия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20 436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9 253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19 223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-54,7 %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България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101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-9,3 %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Кипър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Хърватия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Чешка република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-25,6 %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54 770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40 428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41 684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-26,2 %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Естония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Финландия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27 892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17 345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22 232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-37,8 %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Франция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18 392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14 164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20 588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-23 %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Германия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240 947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117 315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158 172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-51,3 %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Гърция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51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Унгария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Ирландия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17 069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13 869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16 766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-18,7 %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Италия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25 311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19 734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18 458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-22 %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Латвия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-69,5 %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Люксембург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9 709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8 487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8 806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-12,6 %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Малта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Нидерландия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70 969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75 099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61 637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+5,8 %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Полша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Португалия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Румъния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Словакия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-14,5 %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Испания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6 174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3 653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14 790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-40,8 %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Швеция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74 770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3 775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60 800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-95 %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Обединеното кралство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327 453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230 733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231 297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-29,5 %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895 386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554 087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675 863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-38,1 %</w:t>
            </w:r>
          </w:p>
        </w:tc>
      </w:tr>
      <w:tr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ЕС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297 340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157 190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238 933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-47,1 %</w:t>
            </w:r>
          </w:p>
        </w:tc>
      </w:tr>
      <w:tr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ЕС + държавите членки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1 192 726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711 277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914 796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-40,4 %</w:t>
            </w:r>
          </w:p>
        </w:tc>
      </w:tr>
    </w:tbl>
    <w:p>
      <w:pPr>
        <w:jc w:val="right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br/>
      </w:r>
    </w:p>
    <w:p>
      <w:pPr>
        <w:jc w:val="right"/>
        <w:rPr>
          <w:rFonts w:ascii="Times New Roman" w:hAnsi="Times New Roman"/>
          <w:noProof/>
          <w:sz w:val="24"/>
          <w:szCs w:val="24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4"/>
          <w:lang w:val="en-GB"/>
        </w:rPr>
      </w:pPr>
    </w:p>
    <w:p>
      <w:pPr>
        <w:jc w:val="right"/>
        <w:rPr>
          <w:rFonts w:ascii="Times New Roman" w:hAnsi="Times New Roman"/>
          <w:noProof/>
          <w:sz w:val="28"/>
          <w:szCs w:val="28"/>
        </w:rPr>
      </w:pPr>
    </w:p>
    <w:p>
      <w:pPr>
        <w:jc w:val="right"/>
        <w:rPr>
          <w:rFonts w:ascii="Times New Roman" w:hAnsi="Times New Roman"/>
          <w:noProof/>
          <w:sz w:val="24"/>
          <w:szCs w:val="24"/>
        </w:rPr>
      </w:pPr>
    </w:p>
    <w:p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 (2014 и 2015 г. до 13.9.) [източник: СПП уебсайт]</w:t>
      </w:r>
    </w:p>
    <w:p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>
      <w:pPr>
        <w:rPr>
          <w:rFonts w:ascii="Times New Roman" w:hAnsi="Times New Roman"/>
          <w:b/>
          <w:noProof/>
          <w:sz w:val="28"/>
          <w:szCs w:val="28"/>
        </w:rPr>
      </w:pPr>
    </w:p>
    <w:p>
      <w:pPr>
        <w:jc w:val="center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2664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D97"/>
    <w:multiLevelType w:val="hybridMultilevel"/>
    <w:tmpl w:val="1B7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3D97"/>
    <w:multiLevelType w:val="hybridMultilevel"/>
    <w:tmpl w:val="331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24DCA"/>
    <w:multiLevelType w:val="hybridMultilevel"/>
    <w:tmpl w:val="F50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11CB"/>
    <w:multiLevelType w:val="hybridMultilevel"/>
    <w:tmpl w:val="A4CC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50607"/>
    <w:multiLevelType w:val="hybridMultilevel"/>
    <w:tmpl w:val="D564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11FC4"/>
    <w:multiLevelType w:val="hybridMultilevel"/>
    <w:tmpl w:val="405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5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18EC8F4443634F7CB2A15414E0FBCB1A"/>
    <w:docVar w:name="LW_CROSSREFERENCE" w:val="&lt;UNUSED&gt;"/>
    <w:docVar w:name="LW_DocType" w:val="NORMAL"/>
    <w:docVar w:name="LW_EMISSION" w:val="23.9.2015"/>
    <w:docVar w:name="LW_EMISSION_ISODATE" w:val="2015-09-2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9?\u1087?\u1088?\u1072?\u1074?\u1083?\u1077?\u1085?\u1080?\u1077? \u1085?\u1072? \u1082?\u1088?\u1080?\u1079?\u1072?\u1090?\u1072? \u1089? \u1073?\u1077?\u1078?\u1072?\u1085?\u1094?\u1080?\u1090?\u1077?: \u1085?\u1077?\u1079?\u1072?\u1073?\u1072?\u1074?\u1085?\u1080? \u1086?\u1087?\u1077?\u1088?\u1072?\u1090?\u1080?\u1074?\u1085?\u1080?, \u1073?\u1102?\u1076?\u1078?\u1077?\u1090?\u1085?\u1080? \u1080? \u1087?\u1088?\u1072?\u1074?\u1085?\u1080? \u1084?\u1077?\u1088?\u1082?\u1080? \u1087?\u1086? \u1083?\u1080?\u1085?\u1080?\u1103? \u1085?\u1072? \u1045?\u1074?\u1088?\u1086?\u1087?\u1077?\u1081?\u1089?\u1082?\u1072?\u1090?\u1072? \u1087?\u1088?\u1086?\u1075?\u1088?\u1072?\u1084?\u1072? \u1079?\u1072? \u1084?\u1080?\u1075?\u1088?\u1072?\u1094?\u1080?\u1103?\u1090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49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94E2-10E6-4B51-AC82-54442CA7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298</Words>
  <Characters>984</Characters>
  <Application>Microsoft Office Word</Application>
  <DocSecurity>0</DocSecurity>
  <Lines>246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GEENIS-PALERMO Mildred (SG)</dc:creator>
  <cp:lastModifiedBy>DIGIT/A3</cp:lastModifiedBy>
  <cp:revision>11</cp:revision>
  <dcterms:created xsi:type="dcterms:W3CDTF">2015-09-23T08:30:00Z</dcterms:created>
  <dcterms:modified xsi:type="dcterms:W3CDTF">2015-09-29T12:17:00Z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5</vt:lpwstr>
  </property>
  <property fmtid="{D5CDD505-2E9C-101B-9397-08002B2CF9AE}" pid="3" name="Last annex">
    <vt:lpwstr>5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