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eastAsia="en-GB"/>
        </w:rPr>
      </w:pPr>
      <w:bookmarkStart w:id="0" w:name="LW_BM_COVERPAGE"/>
      <w:r>
        <w:rPr>
          <w:noProof/>
          <w:lang w:val="bg-B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3F5F0D777B41889B0B203420687B3B" style="width:450.7pt;height:393.65pt">
            <v:imagedata r:id="rId8" o:title=""/>
          </v:shape>
        </w:pict>
      </w:r>
    </w:p>
    <w:bookmarkEnd w:id="0"/>
    <w:p>
      <w:pPr>
        <w:rPr>
          <w:noProof/>
          <w:lang w:val="bg-BG" w:eastAsia="en-GB"/>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0" w:line="240" w:lineRule="auto"/>
        <w:jc w:val="center"/>
        <w:rPr>
          <w:rFonts w:ascii="Times New Roman" w:hAnsi="Times New Roman"/>
          <w:b/>
          <w:noProof/>
          <w:sz w:val="24"/>
          <w:szCs w:val="24"/>
          <w:u w:val="single"/>
          <w:lang w:val="bg-BG" w:eastAsia="en-GB"/>
        </w:rPr>
      </w:pPr>
      <w:bookmarkStart w:id="1" w:name="_GoBack"/>
      <w:bookmarkEnd w:id="1"/>
      <w:r>
        <w:rPr>
          <w:rFonts w:ascii="Times New Roman" w:hAnsi="Times New Roman"/>
          <w:b/>
          <w:noProof/>
          <w:sz w:val="24"/>
          <w:szCs w:val="24"/>
          <w:u w:val="single"/>
          <w:lang w:val="bg-BG" w:eastAsia="en-GB"/>
        </w:rPr>
        <w:lastRenderedPageBreak/>
        <w:t>Приложение I</w:t>
      </w:r>
    </w:p>
    <w:p>
      <w:pPr>
        <w:spacing w:after="0" w:line="240" w:lineRule="auto"/>
        <w:jc w:val="center"/>
        <w:rPr>
          <w:rFonts w:ascii="Times New Roman" w:hAnsi="Times New Roman"/>
          <w:noProof/>
          <w:sz w:val="24"/>
          <w:szCs w:val="24"/>
          <w:lang w:val="bg-BG" w:eastAsia="en-GB"/>
        </w:rPr>
      </w:pPr>
    </w:p>
    <w:p>
      <w:pPr>
        <w:spacing w:after="0" w:line="240" w:lineRule="auto"/>
        <w:ind w:left="720" w:hanging="360"/>
        <w:jc w:val="both"/>
        <w:outlineLvl w:val="2"/>
        <w:rPr>
          <w:rFonts w:ascii="Times New Roman" w:hAnsi="Times New Roman"/>
          <w:b/>
          <w:noProof/>
          <w:sz w:val="24"/>
          <w:szCs w:val="24"/>
          <w:lang w:val="bg-BG" w:eastAsia="en-GB"/>
        </w:rPr>
      </w:pPr>
      <w:r>
        <w:rPr>
          <w:rFonts w:ascii="Times New Roman" w:hAnsi="Times New Roman"/>
          <w:b/>
          <w:noProof/>
          <w:sz w:val="24"/>
          <w:szCs w:val="24"/>
          <w:lang w:val="bg-BG" w:eastAsia="en-GB"/>
        </w:rPr>
        <w:t>1. Терминология</w:t>
      </w:r>
    </w:p>
    <w:p>
      <w:pPr>
        <w:spacing w:after="0" w:line="240" w:lineRule="auto"/>
        <w:ind w:firstLine="360"/>
        <w:jc w:val="center"/>
        <w:rPr>
          <w:rFonts w:ascii="Times New Roman" w:hAnsi="Times New Roman"/>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r>
        <w:rPr>
          <w:rFonts w:ascii="Times New Roman" w:hAnsi="Times New Roman"/>
          <w:noProof/>
          <w:sz w:val="24"/>
          <w:szCs w:val="24"/>
          <w:lang w:val="bg-BG" w:eastAsia="en-GB"/>
        </w:rPr>
        <w:t>Рамковата директива за морска стратегия не съдържа определения за термините „морска защитена територия“ и „мярка за пространствена защита“. Целта на този раздел е да предостави определенията, които бяха използвани в подготвянето на настоящия доклад и ще бъдат приложени в контекста на прилагането на Рамковата директива за морска стратегия, както и друго законодателство.</w:t>
      </w:r>
    </w:p>
    <w:p>
      <w:pPr>
        <w:spacing w:after="0" w:line="240" w:lineRule="auto"/>
        <w:jc w:val="both"/>
        <w:rPr>
          <w:rFonts w:ascii="Times New Roman" w:hAnsi="Times New Roman"/>
          <w:noProof/>
          <w:sz w:val="24"/>
          <w:szCs w:val="24"/>
          <w:lang w:val="bg-BG" w:eastAsia="en-GB"/>
        </w:rPr>
      </w:pPr>
    </w:p>
    <w:p>
      <w:pPr>
        <w:spacing w:after="0" w:line="240" w:lineRule="auto"/>
        <w:ind w:left="360"/>
        <w:jc w:val="both"/>
        <w:outlineLvl w:val="2"/>
        <w:rPr>
          <w:rFonts w:ascii="Times New Roman" w:hAnsi="Times New Roman"/>
          <w:noProof/>
          <w:sz w:val="24"/>
          <w:szCs w:val="24"/>
          <w:lang w:val="bg-BG" w:eastAsia="en-GB"/>
        </w:rPr>
      </w:pPr>
      <w:r>
        <w:rPr>
          <w:rFonts w:ascii="Times New Roman" w:hAnsi="Times New Roman"/>
          <w:noProof/>
          <w:sz w:val="24"/>
          <w:szCs w:val="24"/>
          <w:lang w:val="bg-BG" w:eastAsia="en-GB"/>
        </w:rPr>
        <w:t>1.1 Морски защитени територии</w:t>
      </w:r>
    </w:p>
    <w:p>
      <w:pPr>
        <w:spacing w:after="0" w:line="240" w:lineRule="auto"/>
        <w:ind w:firstLine="360"/>
        <w:rPr>
          <w:rFonts w:ascii="Times New Roman" w:hAnsi="Times New Roman"/>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r>
        <w:rPr>
          <w:rFonts w:ascii="Times New Roman" w:hAnsi="Times New Roman"/>
          <w:noProof/>
          <w:sz w:val="24"/>
          <w:szCs w:val="24"/>
          <w:lang w:val="bg-BG" w:eastAsia="en-GB"/>
        </w:rPr>
        <w:t>В международното право, в чл. 8 от Конвенцията за биологично разнообразие (КБР) е изложено основното задължение на страните за изграждане на защитени територии</w:t>
      </w:r>
      <w:r>
        <w:rPr>
          <w:rFonts w:ascii="Times New Roman" w:hAnsi="Times New Roman"/>
          <w:noProof/>
          <w:sz w:val="24"/>
          <w:szCs w:val="24"/>
          <w:vertAlign w:val="superscript"/>
          <w:lang w:val="bg-BG" w:eastAsia="en-GB"/>
        </w:rPr>
        <w:footnoteReference w:id="1"/>
      </w:r>
      <w:r>
        <w:rPr>
          <w:rFonts w:ascii="Times New Roman" w:hAnsi="Times New Roman"/>
          <w:noProof/>
          <w:sz w:val="24"/>
          <w:szCs w:val="24"/>
          <w:lang w:val="bg-BG" w:eastAsia="en-GB"/>
        </w:rPr>
        <w:t>. Определението за защитени територии</w:t>
      </w:r>
      <w:r>
        <w:rPr>
          <w:rFonts w:ascii="Times New Roman" w:hAnsi="Times New Roman"/>
          <w:noProof/>
          <w:sz w:val="24"/>
          <w:szCs w:val="24"/>
          <w:vertAlign w:val="superscript"/>
          <w:lang w:val="bg-BG" w:eastAsia="en-GB"/>
        </w:rPr>
        <w:footnoteReference w:id="2"/>
      </w:r>
      <w:r>
        <w:rPr>
          <w:rFonts w:ascii="Times New Roman" w:hAnsi="Times New Roman"/>
          <w:noProof/>
          <w:sz w:val="24"/>
          <w:szCs w:val="24"/>
          <w:lang w:val="bg-BG" w:eastAsia="en-GB"/>
        </w:rPr>
        <w:t xml:space="preserve"> в чл. 2 от Конвенцията предоставя основата за определенията за защитените територии и морските защитени територии, използвани от други международни организации, като например Международния съюз за опазване на природата и природните ресурси (IUCN)</w:t>
      </w:r>
      <w:r>
        <w:rPr>
          <w:rFonts w:ascii="Times New Roman" w:hAnsi="Times New Roman"/>
          <w:noProof/>
          <w:sz w:val="24"/>
          <w:szCs w:val="24"/>
          <w:vertAlign w:val="superscript"/>
          <w:lang w:val="bg-BG" w:eastAsia="en-GB"/>
        </w:rPr>
        <w:footnoteReference w:id="3"/>
      </w:r>
      <w:r>
        <w:rPr>
          <w:rFonts w:ascii="Times New Roman" w:hAnsi="Times New Roman"/>
          <w:noProof/>
          <w:sz w:val="24"/>
          <w:szCs w:val="24"/>
          <w:lang w:val="bg-BG" w:eastAsia="en-GB"/>
        </w:rPr>
        <w:t xml:space="preserve"> или регионалните морски конвенции (РМК)</w:t>
      </w:r>
      <w:r>
        <w:rPr>
          <w:rFonts w:ascii="Times New Roman" w:hAnsi="Times New Roman"/>
          <w:noProof/>
          <w:sz w:val="24"/>
          <w:szCs w:val="24"/>
          <w:vertAlign w:val="superscript"/>
          <w:lang w:val="bg-BG" w:eastAsia="en-GB"/>
        </w:rPr>
        <w:footnoteReference w:id="4"/>
      </w:r>
      <w:r>
        <w:rPr>
          <w:rFonts w:ascii="Times New Roman" w:hAnsi="Times New Roman"/>
          <w:noProof/>
          <w:sz w:val="24"/>
          <w:szCs w:val="24"/>
          <w:vertAlign w:val="superscript"/>
          <w:lang w:val="bg-BG" w:eastAsia="en-GB"/>
        </w:rPr>
        <w:t>.</w:t>
      </w: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В Европейския съюз защитените територии са изградени съгласно директивите за природата (вж. „специални защитени зони“ съгласно Директивата за местообитанията и „специални защитени зони“ съгласно Директивата за птиците). Определението за тези зони</w:t>
      </w:r>
      <w:r>
        <w:rPr>
          <w:rFonts w:ascii="Times New Roman" w:hAnsi="Times New Roman"/>
          <w:noProof/>
          <w:sz w:val="24"/>
          <w:szCs w:val="24"/>
          <w:vertAlign w:val="superscript"/>
          <w:lang w:val="bg-BG" w:eastAsia="en-GB"/>
        </w:rPr>
        <w:footnoteReference w:id="5"/>
      </w:r>
      <w:r>
        <w:rPr>
          <w:rFonts w:ascii="Times New Roman" w:hAnsi="Times New Roman"/>
          <w:noProof/>
          <w:sz w:val="24"/>
          <w:szCs w:val="24"/>
          <w:lang w:val="bg-BG" w:eastAsia="en-GB"/>
        </w:rPr>
        <w:t xml:space="preserve"> е в съответствие с определението за защитени територии в КБР, т.е. те са географски определени, имат ясни природозащитни цели и на тяхната територия се предприемат мерки за управление за постигането на тези цели.</w:t>
      </w:r>
    </w:p>
    <w:p>
      <w:pPr>
        <w:spacing w:after="0" w:line="240" w:lineRule="auto"/>
        <w:ind w:firstLine="360"/>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Въз основа на общите елементи на тези определения се предлагат следните критерии за целите на определянето на морски защитени територии в контекста на РДМС и свързаните европейски политики</w:t>
      </w:r>
      <w:r>
        <w:rPr>
          <w:rFonts w:ascii="Times New Roman" w:hAnsi="Times New Roman"/>
          <w:noProof/>
          <w:sz w:val="24"/>
          <w:szCs w:val="24"/>
          <w:vertAlign w:val="superscript"/>
          <w:lang w:val="bg-BG" w:eastAsia="en-GB"/>
        </w:rPr>
        <w:footnoteReference w:id="6"/>
      </w:r>
      <w:r>
        <w:rPr>
          <w:rFonts w:ascii="Times New Roman" w:hAnsi="Times New Roman"/>
          <w:noProof/>
          <w:sz w:val="24"/>
          <w:szCs w:val="24"/>
          <w:lang w:val="bg-BG" w:eastAsia="en-GB"/>
        </w:rPr>
        <w:t>:</w:t>
      </w:r>
    </w:p>
    <w:p>
      <w:pPr>
        <w:spacing w:after="0" w:line="240" w:lineRule="auto"/>
        <w:jc w:val="both"/>
        <w:rPr>
          <w:rFonts w:ascii="Times New Roman" w:hAnsi="Times New Roman"/>
          <w:noProof/>
          <w:sz w:val="24"/>
          <w:szCs w:val="24"/>
          <w:lang w:val="bg-BG" w:eastAsia="en-GB"/>
        </w:rPr>
      </w:pPr>
    </w:p>
    <w:p>
      <w:pPr>
        <w:numPr>
          <w:ilvl w:val="0"/>
          <w:numId w:val="5"/>
        </w:numPr>
        <w:spacing w:line="240" w:lineRule="auto"/>
        <w:jc w:val="both"/>
        <w:rPr>
          <w:rFonts w:ascii="Times New Roman" w:hAnsi="Times New Roman"/>
          <w:noProof/>
          <w:sz w:val="24"/>
          <w:szCs w:val="24"/>
        </w:rPr>
      </w:pPr>
      <w:r>
        <w:rPr>
          <w:rFonts w:ascii="Times New Roman" w:hAnsi="Times New Roman"/>
          <w:noProof/>
          <w:sz w:val="24"/>
          <w:szCs w:val="24"/>
          <w:lang w:val="bg-BG"/>
        </w:rPr>
        <w:t>географски определени морски територии,</w:t>
      </w:r>
    </w:p>
    <w:p>
      <w:pPr>
        <w:numPr>
          <w:ilvl w:val="0"/>
          <w:numId w:val="5"/>
        </w:numPr>
        <w:spacing w:line="240" w:lineRule="auto"/>
        <w:jc w:val="both"/>
        <w:rPr>
          <w:rFonts w:ascii="Times New Roman" w:hAnsi="Times New Roman"/>
          <w:noProof/>
          <w:sz w:val="24"/>
          <w:szCs w:val="24"/>
          <w:lang w:val="ru-RU"/>
        </w:rPr>
      </w:pPr>
      <w:r>
        <w:rPr>
          <w:rFonts w:ascii="Times New Roman" w:hAnsi="Times New Roman"/>
          <w:noProof/>
          <w:sz w:val="24"/>
          <w:szCs w:val="24"/>
          <w:lang w:val="bg-BG"/>
        </w:rPr>
        <w:t>територии, чиято основна и ясно заявена цел е опазване на природата</w:t>
      </w:r>
      <w:r>
        <w:rPr>
          <w:rFonts w:ascii="Times New Roman" w:hAnsi="Times New Roman"/>
          <w:noProof/>
          <w:sz w:val="24"/>
          <w:szCs w:val="24"/>
          <w:lang w:val="ru-RU"/>
        </w:rPr>
        <w:t>,</w:t>
      </w:r>
    </w:p>
    <w:p>
      <w:pPr>
        <w:numPr>
          <w:ilvl w:val="0"/>
          <w:numId w:val="5"/>
        </w:num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rPr>
        <w:t>и територии, които са регулирани и управлявани чрез правни или други ефективни мерки за постигане на тази цел.</w:t>
      </w:r>
    </w:p>
    <w:p>
      <w:pPr>
        <w:spacing w:after="0" w:line="240" w:lineRule="auto"/>
        <w:ind w:left="720"/>
        <w:jc w:val="both"/>
        <w:rPr>
          <w:rFonts w:ascii="Times New Roman" w:hAnsi="Times New Roman"/>
          <w:noProof/>
          <w:sz w:val="24"/>
          <w:szCs w:val="24"/>
          <w:lang w:val="bg-BG" w:eastAsia="en-GB"/>
        </w:rPr>
      </w:pPr>
    </w:p>
    <w:p>
      <w:pPr>
        <w:spacing w:after="0" w:line="240" w:lineRule="auto"/>
        <w:ind w:left="360"/>
        <w:jc w:val="both"/>
        <w:outlineLvl w:val="2"/>
        <w:rPr>
          <w:rFonts w:ascii="Times New Roman" w:hAnsi="Times New Roman"/>
          <w:noProof/>
          <w:sz w:val="24"/>
          <w:szCs w:val="24"/>
          <w:lang w:val="bg-BG" w:eastAsia="en-GB"/>
        </w:rPr>
      </w:pPr>
      <w:r>
        <w:rPr>
          <w:rFonts w:ascii="Times New Roman" w:hAnsi="Times New Roman"/>
          <w:noProof/>
          <w:sz w:val="24"/>
          <w:szCs w:val="24"/>
          <w:lang w:val="bg-BG" w:eastAsia="en-GB"/>
        </w:rPr>
        <w:lastRenderedPageBreak/>
        <w:t>1.2 Мерки за пространствена защита</w:t>
      </w:r>
    </w:p>
    <w:p>
      <w:pPr>
        <w:spacing w:after="0" w:line="240" w:lineRule="auto"/>
        <w:ind w:firstLine="360"/>
        <w:jc w:val="both"/>
        <w:rPr>
          <w:rFonts w:ascii="Times New Roman" w:hAnsi="Times New Roman"/>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r>
        <w:rPr>
          <w:rFonts w:ascii="Times New Roman" w:hAnsi="Times New Roman"/>
          <w:noProof/>
          <w:sz w:val="24"/>
          <w:szCs w:val="24"/>
          <w:lang w:val="bg-BG" w:eastAsia="en-GB"/>
        </w:rPr>
        <w:t>Цел 11 от Стратегическия план за биологично разнообразие за периода 2011—2020 г.</w:t>
      </w:r>
      <w:r>
        <w:rPr>
          <w:rFonts w:ascii="Times New Roman" w:hAnsi="Times New Roman"/>
          <w:noProof/>
          <w:sz w:val="24"/>
          <w:szCs w:val="24"/>
          <w:vertAlign w:val="superscript"/>
          <w:lang w:val="bg-BG" w:eastAsia="en-GB"/>
        </w:rPr>
        <w:footnoteReference w:id="7"/>
      </w:r>
      <w:r>
        <w:rPr>
          <w:rFonts w:ascii="Times New Roman" w:hAnsi="Times New Roman"/>
          <w:noProof/>
          <w:sz w:val="24"/>
          <w:szCs w:val="24"/>
          <w:lang w:val="bg-BG" w:eastAsia="en-GB"/>
        </w:rPr>
        <w:t xml:space="preserve"> изисква да бъдат съхранени „(…) 10 % от крайбрежните и морски територии, особено територии с особена важност за биологичното разнообразие и предоставянето на екосистемни услуги, чрез ефективно и справедливо управление, екологично представителни и добре свързани помежду си системи от защитени територии и приемане на други ефективни природозащитни мерки на районен принцип (…)“. Не съществува обаче международно прието определение за това какво следва да се разбира под „други ефективни природозащитни мерки на районен принцип“.</w:t>
      </w:r>
    </w:p>
    <w:p>
      <w:pPr>
        <w:spacing w:after="0" w:line="240" w:lineRule="auto"/>
        <w:ind w:firstLine="360"/>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В Рамковата директива за морска стратегия, както и в Директивата за птиците и Директивата за местообитанията се предвиждат мерки за опазване извън защитените територии, с цел да се гарантира адекватна защита на видовете и местообитанията и да се увеличат максимално ползите от защитените територии. В Рамковата директива за морска стратегия се посочват изрично мерки за пространствена защита</w:t>
      </w:r>
      <w:r>
        <w:rPr>
          <w:rFonts w:ascii="Times New Roman" w:hAnsi="Times New Roman"/>
          <w:noProof/>
          <w:sz w:val="24"/>
          <w:szCs w:val="24"/>
          <w:vertAlign w:val="superscript"/>
          <w:lang w:val="bg-BG" w:eastAsia="en-GB"/>
        </w:rPr>
        <w:footnoteReference w:id="8"/>
      </w:r>
      <w:r>
        <w:rPr>
          <w:rFonts w:ascii="Times New Roman" w:hAnsi="Times New Roman"/>
          <w:noProof/>
          <w:sz w:val="24"/>
          <w:szCs w:val="24"/>
          <w:lang w:val="bg-BG" w:eastAsia="en-GB"/>
        </w:rPr>
        <w:t>. Директивата за местообитанията предвижда изграждането на строг защитен режим за видове и подвидове, изброени в приложение IV към директивата, както и мерки за защита за видовете и подвидовете, изброени в приложение V</w:t>
      </w:r>
      <w:r>
        <w:rPr>
          <w:rFonts w:ascii="Times New Roman" w:hAnsi="Times New Roman"/>
          <w:noProof/>
          <w:sz w:val="24"/>
          <w:szCs w:val="24"/>
          <w:vertAlign w:val="superscript"/>
          <w:lang w:val="bg-BG" w:eastAsia="en-GB"/>
        </w:rPr>
        <w:footnoteReference w:id="9"/>
      </w:r>
      <w:r>
        <w:rPr>
          <w:rFonts w:ascii="Times New Roman" w:hAnsi="Times New Roman"/>
          <w:noProof/>
          <w:sz w:val="24"/>
          <w:szCs w:val="24"/>
          <w:lang w:val="bg-BG" w:eastAsia="en-GB"/>
        </w:rPr>
        <w:t>. Някои от тези мерки се основават на районен принцип (напр. временна или местна забрана за вземане на екземпляри от природата и използване на определени популации, установяване на система от разрешения за вземането на екземпляри от природата или от квоти</w:t>
      </w:r>
      <w:r>
        <w:rPr>
          <w:rFonts w:ascii="Times New Roman" w:hAnsi="Times New Roman"/>
          <w:noProof/>
          <w:sz w:val="24"/>
          <w:szCs w:val="24"/>
          <w:vertAlign w:val="superscript"/>
          <w:lang w:val="bg-BG" w:eastAsia="en-GB"/>
        </w:rPr>
        <w:footnoteReference w:id="10"/>
      </w:r>
      <w:r>
        <w:rPr>
          <w:rFonts w:ascii="Times New Roman" w:hAnsi="Times New Roman"/>
          <w:noProof/>
          <w:sz w:val="24"/>
          <w:szCs w:val="24"/>
          <w:lang w:val="bg-BG" w:eastAsia="en-GB"/>
        </w:rPr>
        <w:t xml:space="preserve"> и др.). Директивата за птиците създава сходна структура</w:t>
      </w:r>
      <w:r>
        <w:rPr>
          <w:rFonts w:ascii="Times New Roman" w:hAnsi="Times New Roman"/>
          <w:noProof/>
          <w:sz w:val="24"/>
          <w:szCs w:val="24"/>
          <w:vertAlign w:val="superscript"/>
          <w:lang w:val="bg-BG" w:eastAsia="en-GB"/>
        </w:rPr>
        <w:footnoteReference w:id="11"/>
      </w:r>
      <w:r>
        <w:rPr>
          <w:rFonts w:ascii="Times New Roman" w:hAnsi="Times New Roman"/>
          <w:noProof/>
          <w:sz w:val="24"/>
          <w:szCs w:val="24"/>
          <w:lang w:val="bg-BG" w:eastAsia="en-GB"/>
        </w:rPr>
        <w:t xml:space="preserve">. </w:t>
      </w:r>
    </w:p>
    <w:p>
      <w:pPr>
        <w:spacing w:after="0" w:line="240" w:lineRule="auto"/>
        <w:ind w:firstLine="360"/>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Поради това мерките за пространствена защита са определени съгласно логиката на РДМС и директивите за природата, т.е. че мерките за пространствена защита са по-широка категория от МЗТ и имат спомагателна роля за опазването на природата. Следователно терминът „мерки за пространствена защита“ се използва за</w:t>
      </w:r>
      <w:r>
        <w:rPr>
          <w:rFonts w:ascii="Times New Roman" w:hAnsi="Times New Roman"/>
          <w:noProof/>
          <w:sz w:val="24"/>
          <w:szCs w:val="24"/>
          <w:vertAlign w:val="superscript"/>
          <w:lang w:val="bg-BG" w:eastAsia="en-GB"/>
        </w:rPr>
        <w:footnoteReference w:id="12"/>
      </w:r>
      <w:r>
        <w:rPr>
          <w:rFonts w:ascii="Times New Roman" w:hAnsi="Times New Roman"/>
          <w:noProof/>
          <w:sz w:val="24"/>
          <w:szCs w:val="24"/>
          <w:lang w:val="bg-BG" w:eastAsia="en-GB"/>
        </w:rPr>
        <w:t>:</w:t>
      </w:r>
    </w:p>
    <w:p>
      <w:pPr>
        <w:numPr>
          <w:ilvl w:val="0"/>
          <w:numId w:val="7"/>
        </w:num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основаващи се на територия мерки за опазване,</w:t>
      </w:r>
    </w:p>
    <w:p>
      <w:pPr>
        <w:numPr>
          <w:ilvl w:val="0"/>
          <w:numId w:val="9"/>
        </w:num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мерки, които не отговарят на критериите за морски защитени територии или защото основната им цел не е опазване на околната среда, или защото целта им се фокусира върху определена дейност или сектор с цел защита на част от екосистема.</w:t>
      </w:r>
    </w:p>
    <w:p>
      <w:pPr>
        <w:spacing w:after="0" w:line="240" w:lineRule="auto"/>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В този смисъл определени мерки за</w:t>
      </w:r>
      <w:r>
        <w:rPr>
          <w:noProof/>
          <w:lang w:val="bg-BG"/>
        </w:rPr>
        <w:t xml:space="preserve"> </w:t>
      </w:r>
      <w:r>
        <w:rPr>
          <w:rFonts w:ascii="Times New Roman" w:hAnsi="Times New Roman"/>
          <w:noProof/>
          <w:sz w:val="24"/>
          <w:szCs w:val="24"/>
          <w:lang w:val="bg-BG" w:eastAsia="en-GB"/>
        </w:rPr>
        <w:t>управление на риболовните дейности, които имат отнасящи се до опазването аспекти, попадат в обхвата на определението за мерки за пространствена защита. Такива мерки за управление на риболовните дейности може да включват специални разрешителни или забрани за риболов относно специфични риболовни уреди</w:t>
      </w:r>
      <w:r>
        <w:rPr>
          <w:rFonts w:ascii="Times New Roman" w:hAnsi="Times New Roman"/>
          <w:noProof/>
          <w:sz w:val="24"/>
          <w:szCs w:val="24"/>
          <w:vertAlign w:val="superscript"/>
          <w:lang w:val="bg-BG" w:eastAsia="en-GB"/>
        </w:rPr>
        <w:footnoteReference w:id="13"/>
      </w:r>
      <w:r>
        <w:rPr>
          <w:rFonts w:ascii="Times New Roman" w:hAnsi="Times New Roman"/>
          <w:noProof/>
          <w:sz w:val="24"/>
          <w:szCs w:val="24"/>
          <w:lang w:val="bg-BG" w:eastAsia="en-GB"/>
        </w:rPr>
        <w:t xml:space="preserve"> за конкретни територии за защита на, например, уязвими морски екосистеми или ливади с морска трева, или определени мерки за опазване, приети съгласно член 7 от общата политика в областта на рибарството</w:t>
      </w:r>
      <w:r>
        <w:rPr>
          <w:rFonts w:ascii="Times New Roman" w:hAnsi="Times New Roman"/>
          <w:noProof/>
          <w:sz w:val="24"/>
          <w:szCs w:val="24"/>
          <w:vertAlign w:val="superscript"/>
          <w:lang w:val="bg-BG" w:eastAsia="en-GB"/>
        </w:rPr>
        <w:footnoteReference w:id="14"/>
      </w:r>
      <w:r>
        <w:rPr>
          <w:rFonts w:ascii="Times New Roman" w:hAnsi="Times New Roman"/>
          <w:noProof/>
          <w:sz w:val="24"/>
          <w:szCs w:val="24"/>
          <w:lang w:val="bg-BG" w:eastAsia="en-GB"/>
        </w:rPr>
        <w:t>.</w:t>
      </w:r>
    </w:p>
    <w:p>
      <w:pPr>
        <w:spacing w:after="0" w:line="240" w:lineRule="auto"/>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Определени мерки, които предстои да се предприемат съгласно Директивата относно морското пространствено планиране, също могат да се считат за мерки за пространствена защита, тъй като една от целите на пространственото планиране е защита и подобряване на състоянието на околната среда.</w:t>
      </w:r>
    </w:p>
    <w:p>
      <w:pPr>
        <w:spacing w:after="0" w:line="240" w:lineRule="auto"/>
        <w:jc w:val="both"/>
        <w:rPr>
          <w:rFonts w:ascii="Times New Roman" w:hAnsi="Times New Roman"/>
          <w:noProof/>
          <w:sz w:val="24"/>
          <w:szCs w:val="24"/>
          <w:lang w:val="bg-BG" w:eastAsia="en-GB"/>
        </w:rPr>
      </w:pPr>
    </w:p>
    <w:p>
      <w:pPr>
        <w:spacing w:after="0" w:line="240" w:lineRule="auto"/>
        <w:ind w:left="720" w:hanging="360"/>
        <w:jc w:val="both"/>
        <w:outlineLvl w:val="2"/>
        <w:rPr>
          <w:rFonts w:ascii="Times New Roman" w:hAnsi="Times New Roman"/>
          <w:b/>
          <w:noProof/>
          <w:sz w:val="24"/>
          <w:szCs w:val="24"/>
          <w:lang w:val="bg-BG" w:eastAsia="en-GB"/>
        </w:rPr>
      </w:pPr>
      <w:r>
        <w:rPr>
          <w:rFonts w:ascii="Times New Roman" w:hAnsi="Times New Roman"/>
          <w:b/>
          <w:noProof/>
          <w:sz w:val="24"/>
          <w:szCs w:val="24"/>
          <w:lang w:val="bg-BG" w:eastAsia="en-GB"/>
        </w:rPr>
        <w:t>2. Свързано европейско и международно право</w:t>
      </w:r>
    </w:p>
    <w:p>
      <w:pPr>
        <w:spacing w:after="0" w:line="240" w:lineRule="auto"/>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r>
        <w:rPr>
          <w:rFonts w:ascii="Times New Roman" w:hAnsi="Times New Roman"/>
          <w:noProof/>
          <w:sz w:val="24"/>
          <w:szCs w:val="24"/>
          <w:lang w:val="bg-BG" w:eastAsia="en-GB"/>
        </w:rPr>
        <w:t>РДМС</w:t>
      </w:r>
      <w:r>
        <w:rPr>
          <w:rFonts w:ascii="Times New Roman" w:hAnsi="Times New Roman"/>
          <w:noProof/>
          <w:sz w:val="24"/>
          <w:szCs w:val="24"/>
          <w:vertAlign w:val="superscript"/>
          <w:lang w:val="bg-BG" w:eastAsia="en-GB"/>
        </w:rPr>
        <w:footnoteReference w:id="15"/>
      </w:r>
      <w:r>
        <w:rPr>
          <w:rFonts w:ascii="Times New Roman" w:hAnsi="Times New Roman"/>
          <w:noProof/>
          <w:sz w:val="24"/>
          <w:szCs w:val="24"/>
          <w:lang w:val="bg-BG" w:eastAsia="en-GB"/>
        </w:rPr>
        <w:t xml:space="preserve"> има за цел да гарантира включване </w:t>
      </w:r>
      <w:r>
        <w:rPr>
          <w:rFonts w:ascii="Times New Roman" w:hAnsi="Times New Roman"/>
          <w:noProof/>
          <w:sz w:val="24"/>
          <w:szCs w:val="24"/>
          <w:lang w:val="bg-BG"/>
        </w:rPr>
        <w:t>на свързани с опазването на околната среда аспекти</w:t>
      </w:r>
      <w:r>
        <w:rPr>
          <w:rFonts w:ascii="Times New Roman" w:hAnsi="Times New Roman"/>
          <w:noProof/>
          <w:sz w:val="24"/>
          <w:szCs w:val="24"/>
          <w:lang w:val="bg-BG" w:eastAsia="en-GB"/>
        </w:rPr>
        <w:t xml:space="preserve"> в различните политики, споразумения и законодателни мерки, които оказват въздействие върху морската среда</w:t>
      </w:r>
      <w:r>
        <w:rPr>
          <w:rFonts w:ascii="Times New Roman" w:hAnsi="Times New Roman"/>
          <w:noProof/>
          <w:sz w:val="24"/>
          <w:szCs w:val="24"/>
          <w:vertAlign w:val="superscript"/>
          <w:lang w:val="bg-BG" w:eastAsia="en-GB"/>
        </w:rPr>
        <w:footnoteReference w:id="16"/>
      </w:r>
      <w:r>
        <w:rPr>
          <w:rFonts w:ascii="Times New Roman" w:hAnsi="Times New Roman"/>
          <w:noProof/>
          <w:sz w:val="24"/>
          <w:szCs w:val="24"/>
          <w:lang w:val="bg-BG" w:eastAsia="en-GB"/>
        </w:rPr>
        <w:t>. Поради това в настоящия раздел е включен списък на европейското законодателство и международното право, засягащи изграждането на МЗТ съгласно РДМС.</w:t>
      </w:r>
    </w:p>
    <w:p>
      <w:pPr>
        <w:spacing w:after="0" w:line="240" w:lineRule="auto"/>
        <w:jc w:val="both"/>
        <w:rPr>
          <w:rFonts w:ascii="Times New Roman" w:hAnsi="Times New Roman"/>
          <w:noProof/>
          <w:sz w:val="24"/>
          <w:szCs w:val="24"/>
          <w:lang w:val="bg-BG" w:eastAsia="en-GB"/>
        </w:rPr>
      </w:pPr>
    </w:p>
    <w:p>
      <w:pPr>
        <w:spacing w:after="0" w:line="240" w:lineRule="auto"/>
        <w:jc w:val="both"/>
        <w:outlineLvl w:val="2"/>
        <w:rPr>
          <w:rFonts w:ascii="Times New Roman" w:hAnsi="Times New Roman"/>
          <w:noProof/>
          <w:sz w:val="24"/>
          <w:szCs w:val="24"/>
          <w:u w:val="single"/>
          <w:lang w:val="bg-BG" w:eastAsia="en-GB"/>
        </w:rPr>
      </w:pPr>
      <w:r>
        <w:rPr>
          <w:rFonts w:ascii="Times New Roman" w:hAnsi="Times New Roman"/>
          <w:noProof/>
          <w:sz w:val="24"/>
          <w:szCs w:val="24"/>
          <w:u w:val="single"/>
          <w:lang w:val="bg-BG" w:eastAsia="en-GB"/>
        </w:rPr>
        <w:t>Европейско законодателство</w:t>
      </w:r>
    </w:p>
    <w:p>
      <w:pPr>
        <w:spacing w:after="0" w:line="240" w:lineRule="auto"/>
        <w:ind w:firstLine="360"/>
        <w:jc w:val="both"/>
        <w:rPr>
          <w:rFonts w:ascii="Times New Roman" w:hAnsi="Times New Roman"/>
          <w:noProof/>
          <w:sz w:val="24"/>
          <w:szCs w:val="24"/>
          <w:lang w:val="bg-BG" w:eastAsia="en-GB"/>
        </w:rPr>
      </w:pPr>
    </w:p>
    <w:p>
      <w:pPr>
        <w:numPr>
          <w:ilvl w:val="0"/>
          <w:numId w:val="3"/>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Директивите за местообитанията</w:t>
      </w:r>
      <w:r>
        <w:rPr>
          <w:rFonts w:ascii="Times New Roman" w:hAnsi="Times New Roman"/>
          <w:noProof/>
          <w:sz w:val="24"/>
          <w:szCs w:val="24"/>
          <w:vertAlign w:val="superscript"/>
          <w:lang w:val="bg-BG" w:eastAsia="en-GB"/>
        </w:rPr>
        <w:footnoteReference w:id="17"/>
      </w:r>
      <w:r>
        <w:rPr>
          <w:rFonts w:ascii="Times New Roman" w:hAnsi="Times New Roman"/>
          <w:noProof/>
          <w:sz w:val="24"/>
          <w:szCs w:val="24"/>
          <w:lang w:val="bg-BG" w:eastAsia="en-GB"/>
        </w:rPr>
        <w:t xml:space="preserve"> и </w:t>
      </w:r>
      <w:r>
        <w:rPr>
          <w:rFonts w:ascii="Times New Roman" w:hAnsi="Times New Roman"/>
          <w:b/>
          <w:noProof/>
          <w:sz w:val="24"/>
          <w:szCs w:val="24"/>
          <w:lang w:val="bg-BG" w:eastAsia="en-GB"/>
        </w:rPr>
        <w:t>за</w:t>
      </w:r>
      <w:r>
        <w:rPr>
          <w:rFonts w:ascii="Times New Roman" w:hAnsi="Times New Roman"/>
          <w:noProof/>
          <w:sz w:val="24"/>
          <w:szCs w:val="24"/>
          <w:lang w:val="bg-BG" w:eastAsia="en-GB"/>
        </w:rPr>
        <w:t xml:space="preserve"> </w:t>
      </w:r>
      <w:r>
        <w:rPr>
          <w:rFonts w:ascii="Times New Roman" w:hAnsi="Times New Roman"/>
          <w:b/>
          <w:noProof/>
          <w:sz w:val="24"/>
          <w:szCs w:val="24"/>
          <w:lang w:val="bg-BG" w:eastAsia="en-GB"/>
        </w:rPr>
        <w:t>птиците</w:t>
      </w:r>
      <w:r>
        <w:rPr>
          <w:rFonts w:ascii="Times New Roman" w:hAnsi="Times New Roman"/>
          <w:noProof/>
          <w:sz w:val="24"/>
          <w:szCs w:val="24"/>
          <w:vertAlign w:val="superscript"/>
          <w:lang w:val="bg-BG" w:eastAsia="en-GB"/>
        </w:rPr>
        <w:footnoteReference w:id="18"/>
      </w:r>
      <w:r>
        <w:rPr>
          <w:rFonts w:ascii="Times New Roman" w:hAnsi="Times New Roman"/>
          <w:b/>
          <w:noProof/>
          <w:sz w:val="24"/>
          <w:szCs w:val="24"/>
          <w:lang w:val="bg-BG" w:eastAsia="en-GB"/>
        </w:rPr>
        <w:t xml:space="preserve">: </w:t>
      </w:r>
      <w:r>
        <w:rPr>
          <w:rFonts w:ascii="Times New Roman" w:hAnsi="Times New Roman"/>
          <w:noProof/>
          <w:sz w:val="24"/>
          <w:szCs w:val="24"/>
          <w:lang w:val="bg-BG" w:eastAsia="en-GB"/>
        </w:rPr>
        <w:t>предвиждат</w:t>
      </w:r>
      <w:r>
        <w:rPr>
          <w:rFonts w:ascii="Times New Roman" w:hAnsi="Times New Roman"/>
          <w:b/>
          <w:noProof/>
          <w:sz w:val="24"/>
          <w:szCs w:val="24"/>
          <w:lang w:val="bg-BG" w:eastAsia="en-GB"/>
        </w:rPr>
        <w:t xml:space="preserve"> </w:t>
      </w:r>
      <w:r>
        <w:rPr>
          <w:rFonts w:ascii="Times New Roman" w:hAnsi="Times New Roman"/>
          <w:noProof/>
          <w:sz w:val="24"/>
          <w:szCs w:val="24"/>
          <w:lang w:val="bg-BG" w:eastAsia="en-GB"/>
        </w:rPr>
        <w:t>определянето на защитени територии, които формират единна европейска екологична мрежа (мрежата „Натура 2000“)</w:t>
      </w:r>
      <w:r>
        <w:rPr>
          <w:rFonts w:ascii="Times New Roman" w:hAnsi="Times New Roman"/>
          <w:noProof/>
          <w:sz w:val="24"/>
          <w:szCs w:val="24"/>
          <w:vertAlign w:val="superscript"/>
          <w:lang w:val="bg-BG" w:eastAsia="en-GB"/>
        </w:rPr>
        <w:footnoteReference w:id="19"/>
      </w:r>
      <w:r>
        <w:rPr>
          <w:rFonts w:ascii="Times New Roman" w:hAnsi="Times New Roman"/>
          <w:noProof/>
          <w:sz w:val="24"/>
          <w:szCs w:val="24"/>
          <w:lang w:val="bg-BG" w:eastAsia="en-GB"/>
        </w:rPr>
        <w:t xml:space="preserve"> и са предмет на строги изисквания за защита и управление с цел постигане на благоприятно състояние на запазване на най-уязвимите европейски местообитания и видове.</w:t>
      </w:r>
    </w:p>
    <w:p>
      <w:pPr>
        <w:spacing w:after="0" w:line="240" w:lineRule="auto"/>
        <w:ind w:left="975"/>
        <w:jc w:val="both"/>
        <w:rPr>
          <w:rFonts w:ascii="Times New Roman" w:hAnsi="Times New Roman"/>
          <w:noProof/>
          <w:sz w:val="24"/>
          <w:szCs w:val="24"/>
          <w:lang w:val="bg-BG" w:eastAsia="en-GB"/>
        </w:rPr>
      </w:pPr>
      <w:r>
        <w:rPr>
          <w:rFonts w:ascii="Times New Roman" w:hAnsi="Times New Roman"/>
          <w:noProof/>
          <w:sz w:val="24"/>
          <w:szCs w:val="24"/>
          <w:lang w:val="bg-BG" w:eastAsia="en-GB"/>
        </w:rPr>
        <w:t xml:space="preserve"> </w:t>
      </w:r>
    </w:p>
    <w:p>
      <w:pPr>
        <w:numPr>
          <w:ilvl w:val="0"/>
          <w:numId w:val="3"/>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Обща политика в областта на рибарството</w:t>
      </w:r>
      <w:r>
        <w:rPr>
          <w:rFonts w:ascii="Times New Roman" w:hAnsi="Times New Roman"/>
          <w:noProof/>
          <w:sz w:val="24"/>
          <w:szCs w:val="24"/>
          <w:lang w:val="bg-BG" w:eastAsia="en-GB"/>
        </w:rPr>
        <w:t>: нейният наскоро реформиран основен регламент предвижда приемането на мерки за опазване в съответствие с целите на РДМС и директивите за местообитанията и за птиците</w:t>
      </w:r>
      <w:r>
        <w:rPr>
          <w:rFonts w:ascii="Times New Roman" w:hAnsi="Times New Roman"/>
          <w:noProof/>
          <w:sz w:val="24"/>
          <w:szCs w:val="24"/>
          <w:vertAlign w:val="superscript"/>
          <w:lang w:val="bg-BG" w:eastAsia="en-GB"/>
        </w:rPr>
        <w:footnoteReference w:id="20"/>
      </w:r>
      <w:r>
        <w:rPr>
          <w:rFonts w:ascii="Times New Roman" w:hAnsi="Times New Roman"/>
          <w:noProof/>
          <w:sz w:val="24"/>
          <w:szCs w:val="24"/>
          <w:lang w:val="bg-BG" w:eastAsia="en-GB"/>
        </w:rPr>
        <w:t>. Той също така позволява изграждането на защитени територии въз основа на биологическа чувствителност</w:t>
      </w:r>
      <w:r>
        <w:rPr>
          <w:rFonts w:ascii="Times New Roman" w:hAnsi="Times New Roman"/>
          <w:noProof/>
          <w:sz w:val="24"/>
          <w:szCs w:val="24"/>
          <w:vertAlign w:val="superscript"/>
          <w:lang w:val="bg-BG" w:eastAsia="en-GB"/>
        </w:rPr>
        <w:footnoteReference w:id="21"/>
      </w:r>
      <w:r>
        <w:rPr>
          <w:rFonts w:ascii="Times New Roman" w:hAnsi="Times New Roman"/>
          <w:noProof/>
          <w:sz w:val="24"/>
          <w:szCs w:val="24"/>
          <w:lang w:val="bg-BG" w:eastAsia="en-GB"/>
        </w:rPr>
        <w:t>. В допълнение могат да се изграждат защитени риболовни зони съгласно регламента във връзка с мерки за управление за устойчивата експлоатация на рибните ресурси в Средиземно море</w:t>
      </w:r>
      <w:r>
        <w:rPr>
          <w:rFonts w:ascii="Times New Roman" w:hAnsi="Times New Roman"/>
          <w:noProof/>
          <w:sz w:val="24"/>
          <w:szCs w:val="24"/>
          <w:vertAlign w:val="superscript"/>
          <w:lang w:val="bg-BG" w:eastAsia="en-GB"/>
        </w:rPr>
        <w:footnoteReference w:id="22"/>
      </w:r>
      <w:r>
        <w:rPr>
          <w:rFonts w:ascii="Times New Roman" w:hAnsi="Times New Roman"/>
          <w:noProof/>
          <w:sz w:val="24"/>
          <w:szCs w:val="24"/>
          <w:lang w:val="bg-BG" w:eastAsia="en-GB"/>
        </w:rPr>
        <w:t xml:space="preserve">. </w:t>
      </w:r>
    </w:p>
    <w:p>
      <w:pPr>
        <w:spacing w:after="0" w:line="240" w:lineRule="auto"/>
        <w:ind w:left="615"/>
        <w:jc w:val="both"/>
        <w:rPr>
          <w:rFonts w:ascii="Times New Roman" w:hAnsi="Times New Roman"/>
          <w:noProof/>
          <w:sz w:val="24"/>
          <w:szCs w:val="24"/>
          <w:lang w:val="bg-BG" w:eastAsia="en-GB"/>
        </w:rPr>
      </w:pPr>
    </w:p>
    <w:p>
      <w:pPr>
        <w:numPr>
          <w:ilvl w:val="0"/>
          <w:numId w:val="3"/>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Рамковата директива за водите</w:t>
      </w:r>
      <w:r>
        <w:rPr>
          <w:rFonts w:ascii="Times New Roman" w:hAnsi="Times New Roman"/>
          <w:b/>
          <w:noProof/>
          <w:sz w:val="24"/>
          <w:szCs w:val="24"/>
          <w:vertAlign w:val="superscript"/>
          <w:lang w:val="bg-BG" w:eastAsia="en-GB"/>
        </w:rPr>
        <w:footnoteReference w:id="23"/>
      </w:r>
      <w:r>
        <w:rPr>
          <w:rFonts w:ascii="Times New Roman" w:hAnsi="Times New Roman"/>
          <w:b/>
          <w:noProof/>
          <w:sz w:val="24"/>
          <w:szCs w:val="24"/>
          <w:lang w:val="bg-BG" w:eastAsia="en-GB"/>
        </w:rPr>
        <w:t xml:space="preserve">: </w:t>
      </w:r>
      <w:r>
        <w:rPr>
          <w:rFonts w:ascii="Times New Roman" w:hAnsi="Times New Roman"/>
          <w:noProof/>
          <w:sz w:val="24"/>
          <w:szCs w:val="24"/>
          <w:lang w:val="bg-BG" w:eastAsia="en-GB"/>
        </w:rPr>
        <w:t>приложима за вътрешни преходни води, но разпоредбите ѝ са особено целесъобразни за МЗТ в близки до брега води, които са богати на райони за размножаване и развъждане и поради това важни от гледна точка на опазването.</w:t>
      </w:r>
    </w:p>
    <w:p>
      <w:pPr>
        <w:spacing w:after="0" w:line="240" w:lineRule="auto"/>
        <w:ind w:left="615"/>
        <w:jc w:val="both"/>
        <w:rPr>
          <w:rFonts w:ascii="Times New Roman" w:hAnsi="Times New Roman"/>
          <w:b/>
          <w:noProof/>
          <w:sz w:val="24"/>
          <w:szCs w:val="24"/>
          <w:lang w:val="bg-BG" w:eastAsia="en-GB"/>
        </w:rPr>
      </w:pPr>
    </w:p>
    <w:p>
      <w:pPr>
        <w:numPr>
          <w:ilvl w:val="0"/>
          <w:numId w:val="3"/>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Директива относно морското пространствено планиране</w:t>
      </w:r>
      <w:r>
        <w:rPr>
          <w:rFonts w:ascii="Times New Roman" w:hAnsi="Times New Roman"/>
          <w:b/>
          <w:noProof/>
          <w:sz w:val="24"/>
          <w:szCs w:val="24"/>
          <w:vertAlign w:val="superscript"/>
          <w:lang w:val="bg-BG" w:eastAsia="en-GB"/>
        </w:rPr>
        <w:footnoteReference w:id="24"/>
      </w:r>
      <w:r>
        <w:rPr>
          <w:rFonts w:ascii="Times New Roman" w:hAnsi="Times New Roman"/>
          <w:b/>
          <w:noProof/>
          <w:sz w:val="24"/>
          <w:szCs w:val="24"/>
          <w:lang w:val="bg-BG" w:eastAsia="en-GB"/>
        </w:rPr>
        <w:t>:</w:t>
      </w:r>
      <w:r>
        <w:rPr>
          <w:rFonts w:ascii="Times New Roman" w:hAnsi="Times New Roman"/>
          <w:noProof/>
          <w:sz w:val="24"/>
          <w:szCs w:val="24"/>
          <w:lang w:val="bg-BG" w:eastAsia="en-GB"/>
        </w:rPr>
        <w:t xml:space="preserve"> МЗТ ще съставляват част от морските пространствени планове, създадени съгласно директивата.</w:t>
      </w:r>
    </w:p>
    <w:p>
      <w:pPr>
        <w:spacing w:after="0" w:line="240" w:lineRule="auto"/>
        <w:jc w:val="both"/>
        <w:outlineLvl w:val="2"/>
        <w:rPr>
          <w:rFonts w:ascii="Times New Roman" w:hAnsi="Times New Roman"/>
          <w:noProof/>
          <w:sz w:val="24"/>
          <w:szCs w:val="24"/>
          <w:lang w:val="bg-BG" w:eastAsia="en-GB"/>
        </w:rPr>
      </w:pPr>
    </w:p>
    <w:p>
      <w:pPr>
        <w:spacing w:after="0" w:line="240" w:lineRule="auto"/>
        <w:jc w:val="both"/>
        <w:outlineLvl w:val="2"/>
        <w:rPr>
          <w:rFonts w:ascii="Times New Roman" w:hAnsi="Times New Roman"/>
          <w:noProof/>
          <w:sz w:val="24"/>
          <w:szCs w:val="24"/>
          <w:u w:val="single"/>
          <w:lang w:val="bg-BG" w:eastAsia="en-GB"/>
        </w:rPr>
      </w:pPr>
      <w:r>
        <w:rPr>
          <w:rFonts w:ascii="Times New Roman" w:hAnsi="Times New Roman"/>
          <w:noProof/>
          <w:sz w:val="24"/>
          <w:szCs w:val="24"/>
          <w:u w:val="single"/>
          <w:lang w:val="bg-BG" w:eastAsia="en-GB"/>
        </w:rPr>
        <w:t>Международно измерение</w:t>
      </w:r>
    </w:p>
    <w:p>
      <w:pPr>
        <w:spacing w:after="0" w:line="240" w:lineRule="auto"/>
        <w:ind w:firstLine="360"/>
        <w:jc w:val="both"/>
        <w:rPr>
          <w:rFonts w:ascii="Times New Roman" w:hAnsi="Times New Roman"/>
          <w:noProof/>
          <w:sz w:val="24"/>
          <w:szCs w:val="24"/>
          <w:lang w:val="bg-BG" w:eastAsia="en-GB"/>
        </w:rPr>
      </w:pPr>
    </w:p>
    <w:p>
      <w:pPr>
        <w:numPr>
          <w:ilvl w:val="0"/>
          <w:numId w:val="4"/>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Конвенцията на Организацията на обединените нации по морско право:</w:t>
      </w:r>
      <w:r>
        <w:rPr>
          <w:rFonts w:ascii="Times New Roman" w:hAnsi="Times New Roman"/>
          <w:noProof/>
          <w:sz w:val="24"/>
          <w:szCs w:val="24"/>
          <w:lang w:val="bg-BG" w:eastAsia="en-GB"/>
        </w:rPr>
        <w:t xml:space="preserve"> изисква от страните да предприемат мерки за защита и запазване на морската среда в общи и редки или уязвими екосистеми, местообитанията на изчезнали, изчезващи или застрашени видове и други морски видове в частност</w:t>
      </w:r>
      <w:r>
        <w:rPr>
          <w:rFonts w:ascii="Times New Roman" w:hAnsi="Times New Roman"/>
          <w:noProof/>
          <w:sz w:val="24"/>
          <w:szCs w:val="24"/>
          <w:vertAlign w:val="superscript"/>
          <w:lang w:val="bg-BG" w:eastAsia="en-GB"/>
        </w:rPr>
        <w:footnoteReference w:id="25"/>
      </w:r>
      <w:r>
        <w:rPr>
          <w:rFonts w:ascii="Times New Roman" w:hAnsi="Times New Roman"/>
          <w:noProof/>
          <w:sz w:val="24"/>
          <w:szCs w:val="24"/>
          <w:lang w:val="bg-BG" w:eastAsia="en-GB"/>
        </w:rPr>
        <w:t xml:space="preserve">. </w:t>
      </w:r>
    </w:p>
    <w:p>
      <w:pPr>
        <w:spacing w:after="0" w:line="240" w:lineRule="auto"/>
        <w:ind w:firstLine="360"/>
        <w:jc w:val="both"/>
        <w:rPr>
          <w:rFonts w:ascii="Times New Roman" w:hAnsi="Times New Roman"/>
          <w:noProof/>
          <w:sz w:val="24"/>
          <w:szCs w:val="24"/>
          <w:lang w:val="bg-BG" w:eastAsia="en-GB"/>
        </w:rPr>
      </w:pPr>
    </w:p>
    <w:p>
      <w:pPr>
        <w:numPr>
          <w:ilvl w:val="0"/>
          <w:numId w:val="4"/>
        </w:numPr>
        <w:spacing w:after="0" w:line="240" w:lineRule="auto"/>
        <w:jc w:val="both"/>
        <w:rPr>
          <w:rFonts w:ascii="Times New Roman" w:hAnsi="Times New Roman"/>
          <w:noProof/>
          <w:sz w:val="24"/>
          <w:szCs w:val="24"/>
          <w:lang w:val="bg-BG" w:eastAsia="en-GB"/>
        </w:rPr>
      </w:pPr>
      <w:r>
        <w:rPr>
          <w:rFonts w:ascii="Times New Roman" w:hAnsi="Times New Roman"/>
          <w:b/>
          <w:noProof/>
          <w:sz w:val="24"/>
          <w:szCs w:val="24"/>
          <w:lang w:val="bg-BG" w:eastAsia="en-GB"/>
        </w:rPr>
        <w:t>Конвенция за биологичното разнообразие:</w:t>
      </w:r>
      <w:r>
        <w:rPr>
          <w:rFonts w:ascii="Times New Roman" w:hAnsi="Times New Roman"/>
          <w:noProof/>
          <w:sz w:val="24"/>
          <w:szCs w:val="24"/>
          <w:lang w:val="bg-BG" w:eastAsia="en-GB"/>
        </w:rPr>
        <w:t xml:space="preserve"> има за цел спиране на загубата на биологично разнообразие, като гарантира опазването и устойчивото ползване на морското биологично разнообразие.</w:t>
      </w:r>
      <w:r>
        <w:rPr>
          <w:noProof/>
          <w:lang w:val="bg-BG"/>
        </w:rPr>
        <w:t xml:space="preserve"> </w:t>
      </w:r>
      <w:r>
        <w:rPr>
          <w:rFonts w:ascii="Times New Roman" w:hAnsi="Times New Roman"/>
          <w:noProof/>
          <w:sz w:val="24"/>
          <w:szCs w:val="24"/>
          <w:lang w:val="bg-BG" w:eastAsia="en-GB"/>
        </w:rPr>
        <w:t>Цел 11 от Аичи в областта на биологичното разнообразие</w:t>
      </w:r>
      <w:r>
        <w:rPr>
          <w:rFonts w:ascii="Times New Roman" w:hAnsi="Times New Roman"/>
          <w:noProof/>
          <w:sz w:val="24"/>
          <w:szCs w:val="24"/>
          <w:vertAlign w:val="superscript"/>
          <w:lang w:val="bg-BG" w:eastAsia="en-GB"/>
        </w:rPr>
        <w:footnoteReference w:id="26"/>
      </w:r>
      <w:r>
        <w:rPr>
          <w:rFonts w:ascii="Times New Roman" w:hAnsi="Times New Roman"/>
          <w:noProof/>
          <w:sz w:val="24"/>
          <w:szCs w:val="24"/>
          <w:lang w:val="bg-BG" w:eastAsia="en-GB"/>
        </w:rPr>
        <w:t xml:space="preserve"> е насочена към съхраняване на 10 % от крайбрежните и морските територии чрез „ефективно и справедливо управление, екологично представителни и добре свързани помежду си системи от защитени територии и други ефективни природозащитни мерки на районен принцип“. Тази цел се превърна в глобална отговорност чрез включването ѝ в заключителния документ от „Рио+20“, „Бъдещето, което искаме“ </w:t>
      </w:r>
      <w:r>
        <w:rPr>
          <w:rFonts w:ascii="Times New Roman" w:hAnsi="Times New Roman"/>
          <w:noProof/>
          <w:sz w:val="24"/>
          <w:szCs w:val="24"/>
          <w:vertAlign w:val="superscript"/>
          <w:lang w:val="bg-BG" w:eastAsia="en-GB"/>
        </w:rPr>
        <w:footnoteReference w:id="27"/>
      </w:r>
      <w:r>
        <w:rPr>
          <w:rFonts w:ascii="Times New Roman" w:hAnsi="Times New Roman"/>
          <w:noProof/>
          <w:sz w:val="24"/>
          <w:szCs w:val="24"/>
          <w:lang w:val="bg-BG" w:eastAsia="en-GB"/>
        </w:rPr>
        <w:t xml:space="preserve"> и в предложената цел за океаните</w:t>
      </w:r>
      <w:r>
        <w:rPr>
          <w:rFonts w:ascii="Times New Roman" w:hAnsi="Times New Roman"/>
          <w:noProof/>
          <w:sz w:val="24"/>
          <w:szCs w:val="24"/>
          <w:vertAlign w:val="superscript"/>
          <w:lang w:val="bg-BG" w:eastAsia="en-GB"/>
        </w:rPr>
        <w:footnoteReference w:id="28"/>
      </w:r>
      <w:r>
        <w:rPr>
          <w:rFonts w:ascii="Times New Roman" w:hAnsi="Times New Roman"/>
          <w:noProof/>
          <w:sz w:val="24"/>
          <w:szCs w:val="24"/>
          <w:lang w:val="bg-BG" w:eastAsia="en-GB"/>
        </w:rPr>
        <w:t xml:space="preserve"> в програмата за развитие след 2015 г., договорена с ООН. Също съгласно КБР екологично или биологично значимите морски територии са описани заради важния си принос в подпомагането на здравословното функциониране на океаните, и като признание за тяхната потенциална нужда от някакъв вид защита. Близо 200 екологично или биологично морски територии са описани по време на регионални практически семинари по целия свят и са одобрени от Конференцията на страните за включване в „хранилището“ за</w:t>
      </w:r>
      <w:r>
        <w:rPr>
          <w:noProof/>
          <w:lang w:val="bg-BG"/>
        </w:rPr>
        <w:t xml:space="preserve"> </w:t>
      </w:r>
      <w:r>
        <w:rPr>
          <w:rFonts w:ascii="Times New Roman" w:hAnsi="Times New Roman"/>
          <w:noProof/>
          <w:sz w:val="24"/>
          <w:szCs w:val="24"/>
          <w:lang w:val="bg-BG" w:eastAsia="en-GB"/>
        </w:rPr>
        <w:t>екологично или биологично значими морски територии съгласно КБР. Задача на държавите и компетентните междуправителствени организации е да вземат решение относно мерки за управление и защита за тези територии или части от тях, включително чрез определянето им за МЗТ.</w:t>
      </w:r>
    </w:p>
    <w:p>
      <w:pPr>
        <w:spacing w:after="0" w:line="240" w:lineRule="auto"/>
        <w:jc w:val="both"/>
        <w:rPr>
          <w:rFonts w:ascii="Times New Roman" w:hAnsi="Times New Roman"/>
          <w:b/>
          <w:noProof/>
          <w:sz w:val="24"/>
          <w:szCs w:val="24"/>
          <w:lang w:val="bg-BG" w:eastAsia="en-GB"/>
        </w:rPr>
      </w:pPr>
    </w:p>
    <w:p>
      <w:pPr>
        <w:spacing w:after="0" w:line="240" w:lineRule="auto"/>
        <w:ind w:left="567" w:hanging="567"/>
        <w:jc w:val="both"/>
        <w:rPr>
          <w:rFonts w:ascii="Times New Roman" w:hAnsi="Times New Roman"/>
          <w:noProof/>
          <w:sz w:val="24"/>
          <w:szCs w:val="24"/>
          <w:lang w:val="bg-BG" w:eastAsia="en-GB"/>
        </w:rPr>
      </w:pPr>
      <w:r>
        <w:rPr>
          <w:rFonts w:ascii="Times New Roman" w:hAnsi="Times New Roman"/>
          <w:noProof/>
          <w:sz w:val="24"/>
          <w:szCs w:val="24"/>
          <w:lang w:val="bg-BG" w:eastAsia="en-GB"/>
        </w:rPr>
        <w:t xml:space="preserve">3. </w:t>
      </w:r>
      <w:r>
        <w:rPr>
          <w:rFonts w:ascii="Times New Roman" w:hAnsi="Times New Roman"/>
          <w:noProof/>
          <w:sz w:val="24"/>
          <w:szCs w:val="24"/>
          <w:lang w:val="bg-BG" w:eastAsia="en-GB"/>
        </w:rPr>
        <w:tab/>
      </w:r>
      <w:r>
        <w:rPr>
          <w:rFonts w:ascii="Times New Roman" w:hAnsi="Times New Roman"/>
          <w:b/>
          <w:noProof/>
          <w:sz w:val="24"/>
          <w:szCs w:val="24"/>
          <w:lang w:val="bg-BG" w:eastAsia="en-GB"/>
        </w:rPr>
        <w:t xml:space="preserve">Регионални морски конвенции: </w:t>
      </w:r>
      <w:r>
        <w:rPr>
          <w:rFonts w:ascii="Times New Roman" w:hAnsi="Times New Roman"/>
          <w:noProof/>
          <w:sz w:val="24"/>
          <w:szCs w:val="24"/>
          <w:lang w:val="bg-BG" w:eastAsia="en-GB"/>
        </w:rPr>
        <w:t>имат за цел да подобрят регионалното управление за защита на морската среда. Четири РМК обхващат морските води в обхвата на РКМС: OSPAR за Североизточния Атлантически океан, HELCOM за Балтийско море, Конвенцията от Барселона за Средиземноморието и Конвенцията от Букурещ за Черно море. Всички четири РМК участват активно в изграждането на МЗТ и оценяване на  последователността на мрежите от МЗТ</w:t>
      </w:r>
      <w:r>
        <w:rPr>
          <w:rFonts w:ascii="Times New Roman" w:hAnsi="Times New Roman"/>
          <w:noProof/>
          <w:sz w:val="24"/>
          <w:szCs w:val="24"/>
          <w:vertAlign w:val="superscript"/>
          <w:lang w:val="bg-BG" w:eastAsia="en-GB"/>
        </w:rPr>
        <w:footnoteReference w:id="29"/>
      </w:r>
      <w:r>
        <w:rPr>
          <w:rFonts w:ascii="Times New Roman" w:hAnsi="Times New Roman"/>
          <w:noProof/>
          <w:sz w:val="24"/>
          <w:szCs w:val="24"/>
          <w:lang w:val="bg-BG" w:eastAsia="en-GB"/>
        </w:rPr>
        <w:t>.</w:t>
      </w:r>
    </w:p>
    <w:p>
      <w:pPr>
        <w:spacing w:after="0" w:line="240" w:lineRule="auto"/>
        <w:ind w:firstLine="360"/>
        <w:jc w:val="center"/>
        <w:rPr>
          <w:rFonts w:ascii="Times New Roman" w:hAnsi="Times New Roman"/>
          <w:b/>
          <w:noProof/>
          <w:sz w:val="24"/>
          <w:szCs w:val="24"/>
          <w:u w:val="single"/>
          <w:lang w:val="bg-BG" w:eastAsia="en-GB"/>
        </w:rPr>
      </w:pPr>
      <w:r>
        <w:rPr>
          <w:rFonts w:ascii="Times New Roman" w:hAnsi="Times New Roman"/>
          <w:noProof/>
          <w:sz w:val="24"/>
          <w:szCs w:val="24"/>
          <w:lang w:val="bg-BG" w:eastAsia="en-GB"/>
        </w:rPr>
        <w:br w:type="page"/>
      </w:r>
      <w:r>
        <w:rPr>
          <w:rFonts w:ascii="Times New Roman" w:hAnsi="Times New Roman"/>
          <w:b/>
          <w:noProof/>
          <w:sz w:val="24"/>
          <w:szCs w:val="24"/>
          <w:u w:val="single"/>
          <w:lang w:val="bg-BG" w:eastAsia="en-GB"/>
        </w:rPr>
        <w:t>Приложение II</w:t>
      </w:r>
    </w:p>
    <w:p>
      <w:pPr>
        <w:spacing w:after="0" w:line="240" w:lineRule="auto"/>
        <w:ind w:firstLine="360"/>
        <w:jc w:val="center"/>
        <w:rPr>
          <w:rFonts w:ascii="Times New Roman" w:hAnsi="Times New Roman"/>
          <w:b/>
          <w:noProof/>
          <w:sz w:val="24"/>
          <w:szCs w:val="24"/>
          <w:lang w:val="en-US" w:eastAsia="en-GB"/>
        </w:rPr>
      </w:pPr>
      <w:r>
        <w:rPr>
          <w:rFonts w:ascii="Times New Roman" w:hAnsi="Times New Roman"/>
          <w:b/>
          <w:noProof/>
          <w:sz w:val="24"/>
          <w:szCs w:val="24"/>
          <w:lang w:val="bg-BG" w:eastAsia="en-GB"/>
        </w:rPr>
        <w:t>Таблици</w:t>
      </w:r>
    </w:p>
    <w:p>
      <w:pPr>
        <w:spacing w:after="0" w:line="240" w:lineRule="auto"/>
        <w:ind w:firstLine="360"/>
        <w:jc w:val="center"/>
        <w:rPr>
          <w:rFonts w:ascii="Times New Roman" w:hAnsi="Times New Roman"/>
          <w:b/>
          <w:noProof/>
          <w:sz w:val="24"/>
          <w:szCs w:val="24"/>
          <w:lang w:val="en-US" w:eastAsia="en-GB"/>
        </w:rPr>
      </w:pPr>
    </w:p>
    <w:p>
      <w:pPr>
        <w:spacing w:after="0" w:line="240" w:lineRule="auto"/>
        <w:ind w:firstLine="360"/>
        <w:jc w:val="center"/>
        <w:rPr>
          <w:rFonts w:ascii="Times New Roman" w:hAnsi="Times New Roman"/>
          <w:b/>
          <w:noProof/>
          <w:sz w:val="24"/>
          <w:szCs w:val="24"/>
          <w:lang w:val="en-US" w:eastAsia="en-GB"/>
        </w:rPr>
      </w:pPr>
    </w:p>
    <w:p>
      <w:pPr>
        <w:spacing w:after="0" w:line="240" w:lineRule="auto"/>
        <w:ind w:firstLine="360"/>
        <w:jc w:val="both"/>
        <w:rPr>
          <w:rFonts w:ascii="Times New Roman" w:hAnsi="Times New Roman"/>
          <w:noProof/>
          <w:sz w:val="24"/>
          <w:szCs w:val="24"/>
          <w:lang w:val="bg-BG" w:eastAsia="en-GB"/>
        </w:rPr>
      </w:pPr>
      <w:r>
        <w:rPr>
          <w:noProof/>
          <w:lang w:val="en-US"/>
        </w:rPr>
        <w:drawing>
          <wp:inline distT="0" distB="0" distL="0" distR="0">
            <wp:extent cx="5724525" cy="545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5457825"/>
                    </a:xfrm>
                    <a:prstGeom prst="rect">
                      <a:avLst/>
                    </a:prstGeom>
                    <a:noFill/>
                    <a:ln>
                      <a:noFill/>
                    </a:ln>
                  </pic:spPr>
                </pic:pic>
              </a:graphicData>
            </a:graphic>
          </wp:inline>
        </w:drawing>
      </w:r>
    </w:p>
    <w:p>
      <w:pPr>
        <w:spacing w:after="0" w:line="240" w:lineRule="auto"/>
        <w:ind w:firstLine="360"/>
        <w:jc w:val="both"/>
        <w:rPr>
          <w:rFonts w:ascii="Times New Roman" w:hAnsi="Times New Roman"/>
          <w:i/>
          <w:noProof/>
          <w:sz w:val="24"/>
          <w:szCs w:val="24"/>
          <w:lang w:val="bg-BG" w:eastAsia="en-GB"/>
        </w:rPr>
      </w:pPr>
    </w:p>
    <w:p>
      <w:pPr>
        <w:spacing w:after="0" w:line="240" w:lineRule="auto"/>
        <w:ind w:left="426"/>
        <w:jc w:val="center"/>
        <w:rPr>
          <w:rFonts w:ascii="Times New Roman" w:hAnsi="Times New Roman"/>
          <w:noProof/>
          <w:sz w:val="24"/>
          <w:szCs w:val="24"/>
          <w:lang w:val="bg-BG" w:eastAsia="en-GB"/>
        </w:rPr>
      </w:pPr>
      <w:r>
        <w:rPr>
          <w:rFonts w:ascii="Times New Roman" w:hAnsi="Times New Roman"/>
          <w:noProof/>
          <w:sz w:val="24"/>
          <w:szCs w:val="24"/>
          <w:lang w:val="bg-BG" w:eastAsia="en-GB"/>
        </w:rPr>
        <w:t xml:space="preserve">Таблица 1 — Обхват на морските защитени територии в европейските морета (2012 г.) </w:t>
      </w:r>
      <w:r>
        <w:rPr>
          <w:rFonts w:ascii="Times New Roman" w:hAnsi="Times New Roman"/>
          <w:noProof/>
          <w:sz w:val="24"/>
          <w:szCs w:val="24"/>
          <w:vertAlign w:val="superscript"/>
          <w:lang w:val="bg-BG" w:eastAsia="en-GB"/>
        </w:rPr>
        <w:footnoteReference w:id="30"/>
      </w:r>
    </w:p>
    <w:p>
      <w:pPr>
        <w:spacing w:after="0" w:line="240" w:lineRule="auto"/>
        <w:ind w:firstLine="360"/>
        <w:jc w:val="both"/>
        <w:rPr>
          <w:rFonts w:ascii="Times New Roman" w:hAnsi="Times New Roman"/>
          <w:noProof/>
          <w:sz w:val="24"/>
          <w:szCs w:val="24"/>
          <w:lang w:val="bg-BG" w:eastAsia="en-GB"/>
        </w:rPr>
      </w:pPr>
    </w:p>
    <w:p>
      <w:pPr>
        <w:spacing w:after="0" w:line="240" w:lineRule="auto"/>
        <w:jc w:val="both"/>
        <w:rPr>
          <w:rFonts w:ascii="Times New Roman" w:hAnsi="Times New Roman"/>
          <w:noProof/>
          <w:sz w:val="24"/>
          <w:szCs w:val="24"/>
          <w:lang w:val="bg-BG" w:eastAsia="en-GB"/>
        </w:rPr>
      </w:pPr>
    </w:p>
    <w:p>
      <w:pPr>
        <w:spacing w:after="0" w:line="240" w:lineRule="auto"/>
        <w:ind w:left="426"/>
        <w:jc w:val="center"/>
        <w:rPr>
          <w:rFonts w:ascii="Times New Roman" w:hAnsi="Times New Roman"/>
          <w:i/>
          <w:noProof/>
          <w:sz w:val="24"/>
          <w:szCs w:val="24"/>
          <w:lang w:val="bg-BG" w:eastAsia="en-GB"/>
        </w:rPr>
      </w:pPr>
      <w:r>
        <w:rPr>
          <w:noProof/>
          <w:lang w:val="en-US"/>
        </w:rPr>
        <w:drawing>
          <wp:inline distT="0" distB="0" distL="0" distR="0">
            <wp:extent cx="5724525" cy="692467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6924675"/>
                    </a:xfrm>
                    <a:prstGeom prst="rect">
                      <a:avLst/>
                    </a:prstGeom>
                    <a:noFill/>
                    <a:ln>
                      <a:noFill/>
                    </a:ln>
                  </pic:spPr>
                </pic:pic>
              </a:graphicData>
            </a:graphic>
          </wp:inline>
        </w:drawing>
      </w:r>
      <w:r>
        <w:rPr>
          <w:rFonts w:ascii="Times New Roman" w:hAnsi="Times New Roman"/>
          <w:i/>
          <w:noProof/>
          <w:sz w:val="24"/>
          <w:szCs w:val="24"/>
          <w:lang w:val="bg-BG" w:eastAsia="en-GB"/>
        </w:rPr>
        <w:t xml:space="preserve"> </w:t>
      </w:r>
    </w:p>
    <w:p>
      <w:pPr>
        <w:spacing w:after="0" w:line="240" w:lineRule="auto"/>
        <w:ind w:left="426"/>
        <w:jc w:val="center"/>
        <w:rPr>
          <w:rFonts w:ascii="Times New Roman" w:hAnsi="Times New Roman"/>
          <w:noProof/>
          <w:sz w:val="24"/>
          <w:szCs w:val="24"/>
          <w:lang w:val="bg-BG" w:eastAsia="en-GB"/>
        </w:rPr>
      </w:pPr>
      <w:r>
        <w:rPr>
          <w:rFonts w:ascii="Times New Roman" w:hAnsi="Times New Roman"/>
          <w:noProof/>
          <w:sz w:val="24"/>
          <w:szCs w:val="24"/>
          <w:lang w:val="bg-BG" w:eastAsia="en-GB"/>
        </w:rPr>
        <w:t xml:space="preserve">Таблица 2 — Процентен обхват на морските защитени територии в европейските морета в границите 0—1 морска миля, 1—12 морски мили и 12 морски мили — края на зоните от териториите за оценка (2012 г.) </w:t>
      </w:r>
      <w:r>
        <w:rPr>
          <w:rFonts w:ascii="Times New Roman" w:hAnsi="Times New Roman"/>
          <w:noProof/>
          <w:sz w:val="24"/>
          <w:szCs w:val="24"/>
          <w:vertAlign w:val="superscript"/>
          <w:lang w:val="bg-BG" w:eastAsia="en-GB"/>
        </w:rPr>
        <w:footnoteReference w:id="31"/>
      </w:r>
    </w:p>
    <w:p>
      <w:pPr>
        <w:spacing w:after="0" w:line="240" w:lineRule="auto"/>
        <w:ind w:left="426"/>
        <w:jc w:val="both"/>
        <w:rPr>
          <w:rFonts w:ascii="Times New Roman" w:hAnsi="Times New Roman"/>
          <w:i/>
          <w:noProof/>
          <w:sz w:val="24"/>
          <w:szCs w:val="24"/>
          <w:lang w:val="bg-BG" w:eastAsia="en-GB"/>
        </w:rPr>
      </w:pPr>
    </w:p>
    <w:p>
      <w:pPr>
        <w:spacing w:after="0" w:line="240" w:lineRule="auto"/>
        <w:ind w:left="426"/>
        <w:jc w:val="both"/>
        <w:rPr>
          <w:rFonts w:ascii="Times New Roman" w:hAnsi="Times New Roman"/>
          <w:i/>
          <w:noProof/>
          <w:sz w:val="24"/>
          <w:szCs w:val="24"/>
          <w:lang w:val="bg-BG" w:eastAsia="en-GB"/>
        </w:rPr>
      </w:pPr>
    </w:p>
    <w:p>
      <w:pPr>
        <w:spacing w:after="0" w:line="240" w:lineRule="auto"/>
        <w:ind w:left="426"/>
        <w:jc w:val="both"/>
        <w:rPr>
          <w:rFonts w:ascii="Times New Roman" w:hAnsi="Times New Roman"/>
          <w:i/>
          <w:noProof/>
          <w:sz w:val="24"/>
          <w:szCs w:val="24"/>
          <w:lang w:val="bg-BG" w:eastAsia="en-GB"/>
        </w:rPr>
      </w:pPr>
    </w:p>
    <w:p>
      <w:pPr>
        <w:spacing w:after="0" w:line="240" w:lineRule="auto"/>
        <w:ind w:left="426"/>
        <w:jc w:val="both"/>
        <w:rPr>
          <w:rFonts w:ascii="Times New Roman" w:hAnsi="Times New Roman"/>
          <w:i/>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r>
        <w:rPr>
          <w:noProof/>
          <w:lang w:val="en-US"/>
        </w:rPr>
        <w:drawing>
          <wp:inline distT="0" distB="0" distL="0" distR="0">
            <wp:extent cx="5735955" cy="4156075"/>
            <wp:effectExtent l="0" t="0" r="17145" b="15875"/>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after="0" w:line="240" w:lineRule="auto"/>
        <w:ind w:left="426"/>
        <w:jc w:val="center"/>
        <w:rPr>
          <w:rFonts w:ascii="Times New Roman" w:hAnsi="Times New Roman"/>
          <w:noProof/>
          <w:sz w:val="24"/>
          <w:szCs w:val="24"/>
          <w:lang w:val="bg-BG" w:eastAsia="en-GB"/>
        </w:rPr>
      </w:pPr>
      <w:r>
        <w:rPr>
          <w:rFonts w:ascii="Times New Roman" w:hAnsi="Times New Roman"/>
          <w:noProof/>
          <w:sz w:val="24"/>
          <w:szCs w:val="24"/>
          <w:lang w:val="bg-BG" w:eastAsia="en-GB"/>
        </w:rPr>
        <w:t>Таблица 3 — Обхват на мрежата „Натура 2000“ в регионалните европейски морета (2012 г.)</w:t>
      </w:r>
      <w:r>
        <w:rPr>
          <w:rFonts w:ascii="Times New Roman" w:hAnsi="Times New Roman"/>
          <w:noProof/>
          <w:sz w:val="24"/>
          <w:szCs w:val="24"/>
          <w:vertAlign w:val="superscript"/>
          <w:lang w:val="bg-BG" w:eastAsia="en-GB"/>
        </w:rPr>
        <w:footnoteReference w:id="32"/>
      </w:r>
    </w:p>
    <w:p>
      <w:pPr>
        <w:spacing w:after="0" w:line="240" w:lineRule="auto"/>
        <w:ind w:firstLine="360"/>
        <w:jc w:val="both"/>
        <w:rPr>
          <w:rFonts w:ascii="Times New Roman" w:hAnsi="Times New Roman"/>
          <w:noProof/>
          <w:sz w:val="24"/>
          <w:szCs w:val="24"/>
          <w:lang w:val="bg-BG" w:eastAsia="en-GB"/>
        </w:rPr>
      </w:pPr>
    </w:p>
    <w:p>
      <w:pPr>
        <w:spacing w:after="0" w:line="240" w:lineRule="auto"/>
        <w:jc w:val="center"/>
        <w:rPr>
          <w:rFonts w:ascii="Times New Roman" w:hAnsi="Times New Roman"/>
          <w:noProof/>
          <w:sz w:val="24"/>
          <w:szCs w:val="24"/>
          <w:lang w:val="bg-BG" w:eastAsia="en-GB"/>
        </w:rPr>
      </w:pPr>
      <w:r>
        <w:rPr>
          <w:noProof/>
          <w:lang w:val="en-US"/>
        </w:rPr>
        <w:drawing>
          <wp:inline distT="0" distB="0" distL="0" distR="0">
            <wp:extent cx="5724525" cy="1876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876425"/>
                    </a:xfrm>
                    <a:prstGeom prst="rect">
                      <a:avLst/>
                    </a:prstGeom>
                    <a:noFill/>
                    <a:ln>
                      <a:noFill/>
                    </a:ln>
                  </pic:spPr>
                </pic:pic>
              </a:graphicData>
            </a:graphic>
          </wp:inline>
        </w:drawing>
      </w:r>
    </w:p>
    <w:p>
      <w:pPr>
        <w:spacing w:after="0" w:line="240" w:lineRule="auto"/>
        <w:jc w:val="center"/>
        <w:rPr>
          <w:rFonts w:ascii="Times New Roman" w:hAnsi="Times New Roman"/>
          <w:i/>
          <w:noProof/>
          <w:sz w:val="24"/>
          <w:szCs w:val="24"/>
          <w:lang w:val="bg-BG" w:eastAsia="en-GB"/>
        </w:rPr>
      </w:pPr>
    </w:p>
    <w:p>
      <w:pPr>
        <w:spacing w:after="0" w:line="240" w:lineRule="auto"/>
        <w:jc w:val="center"/>
        <w:rPr>
          <w:rFonts w:ascii="Times New Roman" w:hAnsi="Times New Roman"/>
          <w:noProof/>
          <w:sz w:val="24"/>
          <w:szCs w:val="24"/>
          <w:lang w:val="bg-BG" w:eastAsia="en-GB"/>
        </w:rPr>
      </w:pPr>
      <w:r>
        <w:rPr>
          <w:rFonts w:ascii="Times New Roman" w:hAnsi="Times New Roman"/>
          <w:noProof/>
          <w:sz w:val="24"/>
          <w:szCs w:val="24"/>
          <w:lang w:val="bg-BG" w:eastAsia="en-GB"/>
        </w:rPr>
        <w:t xml:space="preserve">Таблица 4: Обща площ, процентен обхват на обектите съгласно РМК в територията за оценка на МЗТ и припокриване с мрежата „Натура 2000“ (2012 г.) </w:t>
      </w:r>
      <w:r>
        <w:rPr>
          <w:rFonts w:ascii="Times New Roman" w:hAnsi="Times New Roman"/>
          <w:noProof/>
          <w:sz w:val="24"/>
          <w:szCs w:val="24"/>
          <w:vertAlign w:val="superscript"/>
          <w:lang w:val="bg-BG" w:eastAsia="en-GB"/>
        </w:rPr>
        <w:footnoteReference w:id="33"/>
      </w:r>
      <w:r>
        <w:rPr>
          <w:rFonts w:ascii="Times New Roman" w:hAnsi="Times New Roman"/>
          <w:noProof/>
          <w:sz w:val="24"/>
          <w:szCs w:val="24"/>
          <w:lang w:val="bg-BG" w:eastAsia="en-GB"/>
        </w:rPr>
        <w:t>.</w:t>
      </w:r>
    </w:p>
    <w:p>
      <w:pPr>
        <w:spacing w:after="0" w:line="240" w:lineRule="auto"/>
        <w:jc w:val="center"/>
        <w:rPr>
          <w:rFonts w:ascii="Times New Roman" w:hAnsi="Times New Roman"/>
          <w:noProof/>
          <w:sz w:val="24"/>
          <w:szCs w:val="24"/>
          <w:lang w:val="bg-BG" w:eastAsia="en-GB"/>
        </w:rPr>
      </w:pPr>
    </w:p>
    <w:p>
      <w:pPr>
        <w:spacing w:after="0" w:line="240" w:lineRule="auto"/>
        <w:jc w:val="center"/>
        <w:rPr>
          <w:rFonts w:ascii="Times New Roman" w:hAnsi="Times New Roman"/>
          <w:noProof/>
          <w:sz w:val="24"/>
          <w:szCs w:val="24"/>
          <w:lang w:val="bg-BG" w:eastAsia="en-GB"/>
        </w:rPr>
      </w:pPr>
    </w:p>
    <w:p>
      <w:pPr>
        <w:spacing w:after="0" w:line="240" w:lineRule="auto"/>
        <w:ind w:firstLine="360"/>
        <w:jc w:val="both"/>
        <w:rPr>
          <w:rFonts w:ascii="Times New Roman" w:hAnsi="Times New Roman"/>
          <w:noProof/>
          <w:sz w:val="24"/>
          <w:szCs w:val="24"/>
          <w:lang w:val="bg-BG" w:eastAsia="en-GB"/>
        </w:rPr>
      </w:pPr>
    </w:p>
    <w:p>
      <w:pPr>
        <w:rPr>
          <w:rFonts w:ascii="Times New Roman" w:hAnsi="Times New Roman"/>
          <w:noProof/>
          <w:sz w:val="24"/>
          <w:szCs w:val="24"/>
          <w:lang w:val="bg-BG"/>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firstLine="0"/>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Това задължение е приложимо за територии, попадащи в суверенните правомощия и юрисдикцията на държавата</w:t>
      </w:r>
      <w:r>
        <w:rPr>
          <w:rFonts w:ascii="Times New Roman" w:hAnsi="Times New Roman"/>
          <w:lang w:val="ru-RU"/>
        </w:rPr>
        <w:t>.</w:t>
      </w:r>
    </w:p>
  </w:footnote>
  <w:footnote w:id="2">
    <w:p>
      <w:pPr>
        <w:pStyle w:val="FootnoteText"/>
        <w:ind w:firstLine="0"/>
        <w:rPr>
          <w:lang w:val="bg-BG"/>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 xml:space="preserve">„Защитена територия“ означава определена географска територия, която е предвидена или регулирана и управлявана за постигане на определени цели на опазването“. </w:t>
      </w:r>
      <w:r>
        <w:rPr>
          <w:rFonts w:ascii="Times New Roman" w:hAnsi="Times New Roman"/>
        </w:rPr>
        <w:t xml:space="preserve"> </w:t>
      </w:r>
      <w:r>
        <w:rPr>
          <w:rFonts w:ascii="Times New Roman" w:hAnsi="Times New Roman"/>
          <w:lang w:val="bg-BG"/>
        </w:rPr>
        <w:t>Конвенция за биологичното разнообразие (1992 г.), член 2.</w:t>
      </w:r>
    </w:p>
  </w:footnote>
  <w:footnote w:id="3">
    <w:p>
      <w:pPr>
        <w:spacing w:after="0"/>
        <w:rPr>
          <w:lang w:val="en-GB"/>
        </w:rPr>
      </w:pPr>
      <w:r>
        <w:rPr>
          <w:rStyle w:val="FootnoteReference"/>
          <w:rFonts w:ascii="Times New Roman" w:hAnsi="Times New Roman"/>
          <w:sz w:val="20"/>
          <w:szCs w:val="20"/>
        </w:rPr>
        <w:footnoteRef/>
      </w:r>
      <w:r>
        <w:rPr>
          <w:rFonts w:ascii="Times New Roman" w:hAnsi="Times New Roman"/>
          <w:sz w:val="20"/>
          <w:szCs w:val="20"/>
          <w:lang w:val="bg-BG"/>
        </w:rPr>
        <w:t xml:space="preserve"> Вж. определение в </w:t>
      </w:r>
      <w:r>
        <w:rPr>
          <w:rFonts w:ascii="Times New Roman" w:hAnsi="Times New Roman"/>
          <w:sz w:val="20"/>
          <w:szCs w:val="20"/>
          <w:lang w:val="en-US"/>
        </w:rPr>
        <w:t>IUCN</w:t>
      </w:r>
      <w:r>
        <w:rPr>
          <w:rFonts w:ascii="Times New Roman" w:hAnsi="Times New Roman"/>
          <w:sz w:val="20"/>
          <w:szCs w:val="20"/>
          <w:lang w:val="bg-BG"/>
        </w:rPr>
        <w:t xml:space="preserve"> (2008 г.), „</w:t>
      </w:r>
      <w:r>
        <w:rPr>
          <w:rFonts w:ascii="Times New Roman" w:hAnsi="Times New Roman"/>
          <w:sz w:val="20"/>
          <w:szCs w:val="20"/>
          <w:lang w:val="en-US"/>
        </w:rPr>
        <w:t>Guidelines</w:t>
      </w:r>
      <w:r>
        <w:rPr>
          <w:rFonts w:ascii="Times New Roman" w:hAnsi="Times New Roman"/>
          <w:sz w:val="20"/>
          <w:szCs w:val="20"/>
          <w:lang w:val="bg-BG"/>
        </w:rPr>
        <w:t xml:space="preserve"> </w:t>
      </w:r>
      <w:r>
        <w:rPr>
          <w:rFonts w:ascii="Times New Roman" w:hAnsi="Times New Roman"/>
          <w:sz w:val="20"/>
          <w:szCs w:val="20"/>
          <w:lang w:val="en-US"/>
        </w:rPr>
        <w:t>for</w:t>
      </w:r>
      <w:r>
        <w:rPr>
          <w:rFonts w:ascii="Times New Roman" w:hAnsi="Times New Roman"/>
          <w:sz w:val="20"/>
          <w:szCs w:val="20"/>
          <w:lang w:val="bg-BG"/>
        </w:rPr>
        <w:t xml:space="preserve"> </w:t>
      </w:r>
      <w:r>
        <w:rPr>
          <w:rFonts w:ascii="Times New Roman" w:hAnsi="Times New Roman"/>
          <w:sz w:val="20"/>
          <w:szCs w:val="20"/>
          <w:lang w:val="en-US"/>
        </w:rPr>
        <w:t>Applying</w:t>
      </w:r>
      <w:r>
        <w:rPr>
          <w:rFonts w:ascii="Times New Roman" w:hAnsi="Times New Roman"/>
          <w:sz w:val="20"/>
          <w:szCs w:val="20"/>
          <w:lang w:val="bg-BG"/>
        </w:rPr>
        <w:t xml:space="preserve"> </w:t>
      </w:r>
      <w:r>
        <w:rPr>
          <w:rFonts w:ascii="Times New Roman" w:hAnsi="Times New Roman"/>
          <w:sz w:val="20"/>
          <w:szCs w:val="20"/>
          <w:lang w:val="en-US"/>
        </w:rPr>
        <w:t>Protected</w:t>
      </w:r>
      <w:r>
        <w:rPr>
          <w:rFonts w:ascii="Times New Roman" w:hAnsi="Times New Roman"/>
          <w:sz w:val="20"/>
          <w:szCs w:val="20"/>
          <w:lang w:val="bg-BG"/>
        </w:rPr>
        <w:t xml:space="preserve"> </w:t>
      </w:r>
      <w:r>
        <w:rPr>
          <w:rFonts w:ascii="Times New Roman" w:hAnsi="Times New Roman"/>
          <w:sz w:val="20"/>
          <w:szCs w:val="20"/>
          <w:lang w:val="en-US"/>
        </w:rPr>
        <w:t>Area</w:t>
      </w:r>
      <w:r>
        <w:rPr>
          <w:rFonts w:ascii="Times New Roman" w:hAnsi="Times New Roman"/>
          <w:sz w:val="20"/>
          <w:szCs w:val="20"/>
          <w:lang w:val="bg-BG"/>
        </w:rPr>
        <w:t xml:space="preserve"> </w:t>
      </w:r>
      <w:r>
        <w:rPr>
          <w:rFonts w:ascii="Times New Roman" w:hAnsi="Times New Roman"/>
          <w:sz w:val="20"/>
          <w:szCs w:val="20"/>
          <w:lang w:val="en-US"/>
        </w:rPr>
        <w:t>Management</w:t>
      </w:r>
      <w:r>
        <w:rPr>
          <w:rFonts w:ascii="Times New Roman" w:hAnsi="Times New Roman"/>
          <w:sz w:val="20"/>
          <w:szCs w:val="20"/>
          <w:lang w:val="bg-BG"/>
        </w:rPr>
        <w:t xml:space="preserve"> </w:t>
      </w:r>
      <w:r>
        <w:rPr>
          <w:rFonts w:ascii="Times New Roman" w:hAnsi="Times New Roman"/>
          <w:sz w:val="20"/>
          <w:szCs w:val="20"/>
          <w:lang w:val="en-US"/>
        </w:rPr>
        <w:t>Categories</w:t>
      </w:r>
      <w:r>
        <w:rPr>
          <w:rFonts w:ascii="Times New Roman" w:hAnsi="Times New Roman"/>
          <w:sz w:val="20"/>
          <w:szCs w:val="20"/>
          <w:lang w:val="bg-BG"/>
        </w:rPr>
        <w:t>“, стр. 8.</w:t>
      </w:r>
    </w:p>
  </w:footnote>
  <w:footnote w:id="4">
    <w:p>
      <w:pPr>
        <w:spacing w:after="0"/>
        <w:rPr>
          <w:rFonts w:ascii="Times New Roman" w:hAnsi="Times New Roman"/>
          <w:sz w:val="20"/>
          <w:szCs w:val="20"/>
          <w:lang w:val="en-US"/>
        </w:rPr>
      </w:pPr>
      <w:r>
        <w:rPr>
          <w:rStyle w:val="FootnoteReference"/>
          <w:rFonts w:ascii="Times New Roman" w:hAnsi="Times New Roman"/>
          <w:sz w:val="20"/>
          <w:szCs w:val="20"/>
        </w:rPr>
        <w:footnoteRef/>
      </w:r>
      <w:r>
        <w:rPr>
          <w:rFonts w:ascii="Times New Roman" w:hAnsi="Times New Roman"/>
          <w:sz w:val="20"/>
          <w:szCs w:val="20"/>
          <w:lang w:val="en-US"/>
        </w:rPr>
        <w:t xml:space="preserve"> </w:t>
      </w:r>
      <w:r>
        <w:rPr>
          <w:rFonts w:ascii="Times New Roman" w:hAnsi="Times New Roman"/>
          <w:sz w:val="20"/>
          <w:szCs w:val="20"/>
          <w:lang w:val="bg-BG"/>
        </w:rPr>
        <w:t>За определенията вж.</w:t>
      </w:r>
      <w:r>
        <w:rPr>
          <w:rFonts w:ascii="Times New Roman" w:hAnsi="Times New Roman"/>
          <w:sz w:val="20"/>
          <w:szCs w:val="20"/>
          <w:lang w:val="en-US"/>
        </w:rPr>
        <w:t xml:space="preserve"> OSPAR (2003</w:t>
      </w:r>
      <w:r>
        <w:rPr>
          <w:rFonts w:ascii="Times New Roman" w:hAnsi="Times New Roman"/>
          <w:sz w:val="20"/>
          <w:szCs w:val="20"/>
          <w:lang w:val="bg-BG"/>
        </w:rPr>
        <w:t> г.</w:t>
      </w:r>
      <w:r>
        <w:rPr>
          <w:rFonts w:ascii="Times New Roman" w:hAnsi="Times New Roman"/>
          <w:sz w:val="20"/>
          <w:szCs w:val="20"/>
          <w:lang w:val="en-US"/>
        </w:rPr>
        <w:t xml:space="preserve">), „Recommendation on a Network of Marine Protected Areas 2003/3“, </w:t>
      </w:r>
      <w:r>
        <w:rPr>
          <w:rFonts w:ascii="Times New Roman" w:hAnsi="Times New Roman"/>
          <w:sz w:val="20"/>
          <w:szCs w:val="20"/>
          <w:lang w:val="bg-BG"/>
        </w:rPr>
        <w:t>член </w:t>
      </w:r>
      <w:r>
        <w:rPr>
          <w:rFonts w:ascii="Times New Roman" w:hAnsi="Times New Roman"/>
          <w:sz w:val="20"/>
          <w:szCs w:val="20"/>
          <w:lang w:val="en-US"/>
        </w:rPr>
        <w:t>1.</w:t>
      </w:r>
    </w:p>
    <w:p>
      <w:pPr>
        <w:spacing w:after="0"/>
        <w:rPr>
          <w:rFonts w:ascii="Times New Roman" w:hAnsi="Times New Roman"/>
          <w:sz w:val="20"/>
          <w:szCs w:val="20"/>
          <w:lang w:val="bg-BG"/>
        </w:rPr>
      </w:pPr>
      <w:r>
        <w:rPr>
          <w:rFonts w:ascii="Times New Roman" w:hAnsi="Times New Roman"/>
          <w:sz w:val="20"/>
          <w:szCs w:val="20"/>
          <w:lang w:val="en-US"/>
        </w:rPr>
        <w:t>HELCOM (2013 </w:t>
      </w:r>
      <w:r>
        <w:rPr>
          <w:rFonts w:ascii="Times New Roman" w:hAnsi="Times New Roman"/>
          <w:sz w:val="20"/>
          <w:szCs w:val="20"/>
          <w:lang w:val="bg-BG"/>
        </w:rPr>
        <w:t>г</w:t>
      </w:r>
      <w:r>
        <w:rPr>
          <w:rFonts w:ascii="Times New Roman" w:hAnsi="Times New Roman"/>
          <w:sz w:val="20"/>
          <w:szCs w:val="20"/>
          <w:lang w:val="en-US"/>
        </w:rPr>
        <w:t xml:space="preserve">.), „Overview of the status of the network of Baltic Sea marine protected areas“, </w:t>
      </w:r>
      <w:r>
        <w:rPr>
          <w:rFonts w:ascii="Times New Roman" w:hAnsi="Times New Roman"/>
          <w:sz w:val="20"/>
          <w:szCs w:val="20"/>
          <w:lang w:val="bg-BG"/>
        </w:rPr>
        <w:t>стр</w:t>
      </w:r>
      <w:r>
        <w:rPr>
          <w:rFonts w:ascii="Times New Roman" w:hAnsi="Times New Roman"/>
          <w:sz w:val="20"/>
          <w:szCs w:val="20"/>
          <w:lang w:val="en-US"/>
        </w:rPr>
        <w:t>. 7.</w:t>
      </w:r>
    </w:p>
    <w:p>
      <w:pPr>
        <w:spacing w:after="0"/>
        <w:rPr>
          <w:lang w:val="bg-BG"/>
        </w:rPr>
      </w:pPr>
      <w:r>
        <w:rPr>
          <w:rFonts w:ascii="Times New Roman" w:hAnsi="Times New Roman"/>
          <w:sz w:val="20"/>
          <w:szCs w:val="20"/>
          <w:lang w:val="bg-BG"/>
        </w:rPr>
        <w:t>Членове </w:t>
      </w:r>
      <w:r>
        <w:rPr>
          <w:rFonts w:ascii="Times New Roman" w:hAnsi="Times New Roman"/>
          <w:sz w:val="20"/>
          <w:szCs w:val="20"/>
          <w:lang w:val="ru-RU"/>
        </w:rPr>
        <w:t xml:space="preserve">4,6 </w:t>
      </w:r>
      <w:r>
        <w:rPr>
          <w:rFonts w:ascii="Times New Roman" w:hAnsi="Times New Roman"/>
          <w:sz w:val="20"/>
          <w:szCs w:val="20"/>
          <w:lang w:val="bg-BG"/>
        </w:rPr>
        <w:t>и</w:t>
      </w:r>
      <w:r>
        <w:rPr>
          <w:rFonts w:ascii="Times New Roman" w:hAnsi="Times New Roman"/>
          <w:sz w:val="20"/>
          <w:szCs w:val="20"/>
          <w:lang w:val="ru-RU"/>
        </w:rPr>
        <w:t xml:space="preserve"> 7 </w:t>
      </w:r>
      <w:r>
        <w:rPr>
          <w:rFonts w:ascii="Times New Roman" w:hAnsi="Times New Roman"/>
          <w:sz w:val="20"/>
          <w:szCs w:val="20"/>
          <w:lang w:val="bg-BG"/>
        </w:rPr>
        <w:t>от Протокола към Конвенцията от Барселона</w:t>
      </w:r>
      <w:r>
        <w:rPr>
          <w:lang w:val="bg-BG"/>
        </w:rPr>
        <w:t xml:space="preserve"> </w:t>
      </w:r>
      <w:r>
        <w:rPr>
          <w:rFonts w:ascii="Times New Roman" w:hAnsi="Times New Roman"/>
          <w:sz w:val="20"/>
          <w:szCs w:val="20"/>
          <w:lang w:val="bg-BG"/>
        </w:rPr>
        <w:t>относно специалните защитени територии и биологичното разнообразие в Средиземноморието</w:t>
      </w:r>
      <w:r>
        <w:rPr>
          <w:rFonts w:ascii="Times New Roman" w:hAnsi="Times New Roman"/>
          <w:sz w:val="20"/>
          <w:szCs w:val="20"/>
          <w:lang w:val="ru-RU"/>
        </w:rPr>
        <w:t xml:space="preserve"> (1999</w:t>
      </w:r>
      <w:r>
        <w:rPr>
          <w:rFonts w:ascii="Times New Roman" w:hAnsi="Times New Roman"/>
          <w:sz w:val="20"/>
          <w:szCs w:val="20"/>
          <w:lang w:val="en-US"/>
        </w:rPr>
        <w:t> </w:t>
      </w:r>
      <w:r>
        <w:rPr>
          <w:rFonts w:ascii="Times New Roman" w:hAnsi="Times New Roman"/>
          <w:sz w:val="20"/>
          <w:szCs w:val="20"/>
          <w:lang w:val="bg-BG"/>
        </w:rPr>
        <w:t>г.</w:t>
      </w:r>
      <w:r>
        <w:rPr>
          <w:rFonts w:ascii="Times New Roman" w:hAnsi="Times New Roman"/>
          <w:sz w:val="20"/>
          <w:szCs w:val="20"/>
          <w:lang w:val="ru-RU"/>
        </w:rPr>
        <w:t xml:space="preserve">).  </w:t>
      </w:r>
    </w:p>
  </w:footnote>
  <w:footnote w:id="5">
    <w:p>
      <w:pPr>
        <w:spacing w:after="0"/>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Директива</w:t>
      </w:r>
      <w:r>
        <w:rPr>
          <w:rFonts w:ascii="Times New Roman" w:hAnsi="Times New Roman"/>
          <w:sz w:val="20"/>
          <w:szCs w:val="20"/>
          <w:lang w:val="ru-RU"/>
        </w:rPr>
        <w:t>та</w:t>
      </w:r>
      <w:r>
        <w:rPr>
          <w:rFonts w:ascii="Times New Roman" w:hAnsi="Times New Roman"/>
          <w:sz w:val="20"/>
          <w:szCs w:val="20"/>
          <w:lang w:val="bg-BG"/>
        </w:rPr>
        <w:t xml:space="preserve"> за местообитанията</w:t>
      </w:r>
      <w:r>
        <w:rPr>
          <w:rFonts w:ascii="Times New Roman" w:hAnsi="Times New Roman"/>
          <w:sz w:val="20"/>
          <w:szCs w:val="20"/>
          <w:lang w:val="ru-RU"/>
        </w:rPr>
        <w:t xml:space="preserve">, </w:t>
      </w:r>
      <w:r>
        <w:rPr>
          <w:rFonts w:ascii="Times New Roman" w:hAnsi="Times New Roman"/>
          <w:sz w:val="20"/>
          <w:szCs w:val="20"/>
          <w:lang w:val="bg-BG"/>
        </w:rPr>
        <w:t>чл</w:t>
      </w:r>
      <w:r>
        <w:rPr>
          <w:rFonts w:ascii="Times New Roman" w:hAnsi="Times New Roman"/>
          <w:sz w:val="20"/>
          <w:szCs w:val="20"/>
          <w:lang w:val="ru-RU"/>
        </w:rPr>
        <w:t>.</w:t>
      </w:r>
      <w:r>
        <w:rPr>
          <w:rFonts w:ascii="Times New Roman" w:hAnsi="Times New Roman"/>
          <w:sz w:val="20"/>
          <w:szCs w:val="20"/>
          <w:lang w:val="bg-BG"/>
        </w:rPr>
        <w:t> </w:t>
      </w:r>
      <w:r>
        <w:rPr>
          <w:rFonts w:ascii="Times New Roman" w:hAnsi="Times New Roman"/>
          <w:sz w:val="20"/>
          <w:szCs w:val="20"/>
          <w:lang w:val="ru-RU"/>
        </w:rPr>
        <w:t>1</w:t>
      </w:r>
      <w:r>
        <w:rPr>
          <w:rFonts w:ascii="Times New Roman" w:hAnsi="Times New Roman"/>
          <w:sz w:val="20"/>
          <w:szCs w:val="20"/>
          <w:lang w:val="bg-BG"/>
        </w:rPr>
        <w:t>, параграф 1, и Директивата за птиците</w:t>
      </w:r>
      <w:r>
        <w:rPr>
          <w:rFonts w:ascii="Times New Roman" w:hAnsi="Times New Roman"/>
          <w:sz w:val="20"/>
          <w:szCs w:val="20"/>
          <w:lang w:val="ru-RU"/>
        </w:rPr>
        <w:t xml:space="preserve">, </w:t>
      </w:r>
      <w:r>
        <w:rPr>
          <w:rFonts w:ascii="Times New Roman" w:hAnsi="Times New Roman"/>
          <w:sz w:val="20"/>
          <w:szCs w:val="20"/>
          <w:lang w:val="bg-BG"/>
        </w:rPr>
        <w:t>чл. </w:t>
      </w:r>
      <w:r>
        <w:rPr>
          <w:rFonts w:ascii="Times New Roman" w:hAnsi="Times New Roman"/>
          <w:sz w:val="20"/>
          <w:szCs w:val="20"/>
          <w:lang w:val="ru-RU"/>
        </w:rPr>
        <w:t>4.</w:t>
      </w:r>
    </w:p>
  </w:footnote>
  <w:footnote w:id="6">
    <w:p>
      <w:pPr>
        <w:pStyle w:val="FootnoteText"/>
        <w:ind w:firstLine="0"/>
        <w:rPr>
          <w:lang w:val="bg-BG"/>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Вж точка </w:t>
      </w:r>
      <w:r>
        <w:rPr>
          <w:rFonts w:ascii="Times New Roman" w:hAnsi="Times New Roman"/>
          <w:lang w:val="ru-RU"/>
        </w:rPr>
        <w:t xml:space="preserve">2 </w:t>
      </w:r>
      <w:r>
        <w:rPr>
          <w:rFonts w:ascii="Times New Roman" w:hAnsi="Times New Roman"/>
          <w:lang w:val="bg-BG"/>
        </w:rPr>
        <w:t>от приложението</w:t>
      </w:r>
      <w:r>
        <w:rPr>
          <w:rFonts w:ascii="Times New Roman" w:hAnsi="Times New Roman"/>
          <w:lang w:val="ru-RU"/>
        </w:rPr>
        <w:t>.</w:t>
      </w:r>
    </w:p>
  </w:footnote>
  <w:footnote w:id="7">
    <w:p>
      <w:pPr>
        <w:spacing w:after="0"/>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Конвенция за биологичното разнообразие (2010 г.), </w:t>
      </w:r>
      <w:r>
        <w:rPr>
          <w:rFonts w:ascii="Times New Roman" w:hAnsi="Times New Roman"/>
          <w:sz w:val="20"/>
          <w:szCs w:val="20"/>
        </w:rPr>
        <w:t>COP</w:t>
      </w:r>
      <w:r>
        <w:rPr>
          <w:rFonts w:ascii="Times New Roman" w:hAnsi="Times New Roman"/>
          <w:sz w:val="20"/>
          <w:szCs w:val="20"/>
          <w:lang w:val="ru-RU"/>
        </w:rPr>
        <w:t xml:space="preserve"> 10, </w:t>
      </w:r>
      <w:r>
        <w:rPr>
          <w:rFonts w:ascii="Times New Roman" w:hAnsi="Times New Roman"/>
          <w:sz w:val="20"/>
          <w:szCs w:val="20"/>
          <w:lang w:val="bg-BG"/>
        </w:rPr>
        <w:t>Приложение към Решение </w:t>
      </w:r>
      <w:r>
        <w:rPr>
          <w:rFonts w:ascii="Times New Roman" w:hAnsi="Times New Roman"/>
          <w:sz w:val="20"/>
          <w:szCs w:val="20"/>
        </w:rPr>
        <w:t>X</w:t>
      </w:r>
      <w:r>
        <w:rPr>
          <w:rFonts w:ascii="Times New Roman" w:hAnsi="Times New Roman"/>
          <w:sz w:val="20"/>
          <w:szCs w:val="20"/>
          <w:lang w:val="ru-RU"/>
        </w:rPr>
        <w:t xml:space="preserve">/2. </w:t>
      </w:r>
    </w:p>
  </w:footnote>
  <w:footnote w:id="8">
    <w:p>
      <w:pPr>
        <w:spacing w:after="0"/>
        <w:jc w:val="both"/>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Вж. член 13, параграф 4 от РДМС</w:t>
      </w:r>
      <w:r>
        <w:rPr>
          <w:rFonts w:ascii="Times New Roman" w:hAnsi="Times New Roman"/>
          <w:sz w:val="20"/>
          <w:szCs w:val="20"/>
          <w:lang w:val="ru-RU"/>
        </w:rPr>
        <w:t>.</w:t>
      </w:r>
    </w:p>
  </w:footnote>
  <w:footnote w:id="9">
    <w:p>
      <w:pPr>
        <w:spacing w:after="0"/>
        <w:jc w:val="both"/>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Вж. членове 12</w:t>
      </w:r>
      <w:r>
        <w:rPr>
          <w:rFonts w:ascii="Times New Roman" w:hAnsi="Times New Roman"/>
          <w:sz w:val="20"/>
          <w:szCs w:val="20"/>
          <w:lang w:val="ru-RU"/>
        </w:rPr>
        <w:t>—16</w:t>
      </w:r>
      <w:r>
        <w:rPr>
          <w:rFonts w:ascii="Times New Roman" w:hAnsi="Times New Roman"/>
          <w:sz w:val="20"/>
          <w:szCs w:val="20"/>
          <w:lang w:val="bg-BG"/>
        </w:rPr>
        <w:t xml:space="preserve"> от Директивата за местообитанията</w:t>
      </w:r>
      <w:r>
        <w:rPr>
          <w:rFonts w:ascii="Times New Roman" w:hAnsi="Times New Roman"/>
          <w:sz w:val="20"/>
          <w:szCs w:val="20"/>
          <w:lang w:val="ru-RU"/>
        </w:rPr>
        <w:t>.</w:t>
      </w:r>
    </w:p>
  </w:footnote>
  <w:footnote w:id="10">
    <w:p>
      <w:pPr>
        <w:spacing w:after="0"/>
        <w:jc w:val="both"/>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Директива за местообитанията, чл. </w:t>
      </w:r>
      <w:r>
        <w:rPr>
          <w:rFonts w:ascii="Times New Roman" w:hAnsi="Times New Roman"/>
          <w:sz w:val="20"/>
          <w:szCs w:val="20"/>
          <w:lang w:val="ru-RU"/>
        </w:rPr>
        <w:t>14.</w:t>
      </w:r>
    </w:p>
  </w:footnote>
  <w:footnote w:id="11">
    <w:p>
      <w:pPr>
        <w:spacing w:after="0"/>
        <w:jc w:val="both"/>
        <w:rPr>
          <w:lang w:val="bg-BG"/>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Вж. Директивата за птиците, чл. </w:t>
      </w:r>
      <w:r>
        <w:rPr>
          <w:rFonts w:ascii="Times New Roman" w:hAnsi="Times New Roman"/>
          <w:sz w:val="20"/>
          <w:szCs w:val="20"/>
          <w:lang w:val="ru-RU"/>
        </w:rPr>
        <w:t>5.</w:t>
      </w:r>
    </w:p>
  </w:footnote>
  <w:footnote w:id="12">
    <w:p>
      <w:pPr>
        <w:pStyle w:val="FootnoteText"/>
        <w:ind w:firstLine="0"/>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lang w:val="bg-BG"/>
        </w:rPr>
        <w:t>Вж. документ</w:t>
      </w:r>
      <w:r>
        <w:rPr>
          <w:rFonts w:ascii="Times New Roman" w:hAnsi="Times New Roman"/>
        </w:rPr>
        <w:t xml:space="preserve"> </w:t>
      </w:r>
      <w:r>
        <w:rPr>
          <w:rFonts w:ascii="Times New Roman" w:hAnsi="Times New Roman"/>
          <w:lang w:val="bg-BG"/>
        </w:rPr>
        <w:t>„</w:t>
      </w:r>
      <w:r>
        <w:rPr>
          <w:rFonts w:ascii="Times New Roman" w:hAnsi="Times New Roman"/>
        </w:rPr>
        <w:t>Programmes of measures under the Marine Strategy Framework Directive – Recommendations for implementation and reporting</w:t>
      </w:r>
      <w:r>
        <w:rPr>
          <w:rFonts w:ascii="Times New Roman" w:hAnsi="Times New Roman"/>
          <w:lang w:val="bg-BG"/>
        </w:rPr>
        <w:t>“</w:t>
      </w:r>
      <w:r>
        <w:rPr>
          <w:rFonts w:ascii="Times New Roman" w:hAnsi="Times New Roman"/>
        </w:rPr>
        <w:t xml:space="preserve">, 25 </w:t>
      </w:r>
      <w:r>
        <w:rPr>
          <w:rFonts w:ascii="Times New Roman" w:hAnsi="Times New Roman"/>
          <w:lang w:val="bg-BG"/>
        </w:rPr>
        <w:t xml:space="preserve">ноември </w:t>
      </w:r>
      <w:r>
        <w:rPr>
          <w:rFonts w:ascii="Times New Roman" w:hAnsi="Times New Roman"/>
        </w:rPr>
        <w:t>2014</w:t>
      </w:r>
      <w:r>
        <w:rPr>
          <w:rFonts w:ascii="Times New Roman" w:hAnsi="Times New Roman"/>
          <w:lang w:val="bg-BG"/>
        </w:rPr>
        <w:t> г</w:t>
      </w:r>
      <w:r>
        <w:rPr>
          <w:rFonts w:ascii="Times New Roman" w:hAnsi="Times New Roman"/>
        </w:rPr>
        <w:t xml:space="preserve">. </w:t>
      </w:r>
      <w:hyperlink r:id="rId1" w:history="1">
        <w:r>
          <w:rPr>
            <w:rStyle w:val="Hyperlink"/>
            <w:rFonts w:ascii="Times New Roman" w:hAnsi="Times New Roman"/>
          </w:rPr>
          <w:t>https://circabc.europa.eu/w/browse/0ee797dd-d92c-4d7c-a9f9-5dffb36d2065</w:t>
        </w:r>
      </w:hyperlink>
      <w:r>
        <w:rPr>
          <w:rFonts w:ascii="Times New Roman" w:hAnsi="Times New Roman"/>
        </w:rPr>
        <w:t xml:space="preserve"> </w:t>
      </w:r>
    </w:p>
  </w:footnote>
  <w:footnote w:id="13">
    <w:p>
      <w:pPr>
        <w:spacing w:after="0"/>
        <w:jc w:val="both"/>
        <w:rPr>
          <w:lang w:val="en-GB"/>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Вж. например Регламент (ЕО) № 734/2008 на Съвета</w:t>
      </w:r>
      <w:r>
        <w:rPr>
          <w:rFonts w:ascii="Times New Roman" w:hAnsi="Times New Roman"/>
          <w:sz w:val="20"/>
          <w:szCs w:val="20"/>
          <w:lang w:val="ru-RU"/>
        </w:rPr>
        <w:t xml:space="preserve"> </w:t>
      </w:r>
      <w:r>
        <w:rPr>
          <w:rFonts w:ascii="Times New Roman" w:hAnsi="Times New Roman"/>
          <w:sz w:val="20"/>
          <w:szCs w:val="20"/>
          <w:lang w:val="bg-BG"/>
        </w:rPr>
        <w:t>от 15 юли 2008 г.</w:t>
      </w:r>
      <w:r>
        <w:rPr>
          <w:rFonts w:ascii="Times New Roman" w:hAnsi="Times New Roman"/>
          <w:sz w:val="20"/>
          <w:szCs w:val="20"/>
          <w:lang w:val="ru-RU"/>
        </w:rPr>
        <w:t xml:space="preserve"> </w:t>
      </w:r>
      <w:r>
        <w:rPr>
          <w:rFonts w:ascii="Times New Roman" w:hAnsi="Times New Roman"/>
          <w:sz w:val="20"/>
          <w:szCs w:val="20"/>
          <w:lang w:val="bg-BG"/>
        </w:rPr>
        <w:t>относно опазването на уязвимите морски екосистеми в открито море от неблагоприятните въздействия при използване на дънни риболовни съоръжения</w:t>
      </w:r>
      <w:r>
        <w:rPr>
          <w:rFonts w:ascii="Times New Roman" w:hAnsi="Times New Roman"/>
          <w:sz w:val="20"/>
          <w:szCs w:val="20"/>
          <w:lang w:val="ru-RU"/>
        </w:rPr>
        <w:t>.</w:t>
      </w:r>
    </w:p>
  </w:footnote>
  <w:footnote w:id="14">
    <w:p>
      <w:pPr>
        <w:spacing w:after="0"/>
        <w:jc w:val="both"/>
        <w:rPr>
          <w:lang w:val="en-GB"/>
        </w:rPr>
      </w:pPr>
      <w:r>
        <w:rPr>
          <w:rStyle w:val="FootnoteReference"/>
          <w:rFonts w:ascii="Times New Roman" w:hAnsi="Times New Roman"/>
          <w:sz w:val="20"/>
          <w:szCs w:val="20"/>
        </w:rPr>
        <w:footnoteRef/>
      </w:r>
      <w:r>
        <w:rPr>
          <w:rFonts w:ascii="Times New Roman" w:hAnsi="Times New Roman"/>
          <w:sz w:val="20"/>
          <w:szCs w:val="20"/>
          <w:lang w:val="ru-RU"/>
        </w:rPr>
        <w:t xml:space="preserve"> </w:t>
      </w:r>
      <w:r>
        <w:rPr>
          <w:rFonts w:ascii="Times New Roman" w:hAnsi="Times New Roman"/>
          <w:sz w:val="20"/>
          <w:szCs w:val="20"/>
          <w:lang w:val="bg-BG"/>
        </w:rPr>
        <w:t>Вж. член 7, параграф 1, букви а), б), з), и) и параграф 2, букви в), г), д) от Регламент (ЕС) № </w:t>
      </w:r>
      <w:r>
        <w:rPr>
          <w:rFonts w:ascii="Times New Roman" w:hAnsi="Times New Roman"/>
          <w:sz w:val="20"/>
          <w:szCs w:val="20"/>
          <w:lang w:val="ru-RU"/>
        </w:rPr>
        <w:t xml:space="preserve">1380/2013 </w:t>
      </w:r>
      <w:r>
        <w:rPr>
          <w:rFonts w:ascii="Times New Roman" w:hAnsi="Times New Roman"/>
          <w:sz w:val="20"/>
          <w:szCs w:val="20"/>
          <w:lang w:val="bg-BG"/>
        </w:rPr>
        <w:t>на Европейския парламент и на Съвета от 11 декември 2013 г. относно общата политика в областта на рибарството.</w:t>
      </w:r>
      <w:r>
        <w:rPr>
          <w:sz w:val="20"/>
          <w:szCs w:val="20"/>
          <w:lang w:val="ru-RU"/>
        </w:rPr>
        <w:t xml:space="preserve"> </w:t>
      </w:r>
    </w:p>
  </w:footnote>
  <w:footnote w:id="15">
    <w:p>
      <w:pPr>
        <w:pStyle w:val="FootnoteText"/>
        <w:ind w:firstLine="0"/>
        <w:jc w:val="both"/>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РДМС, чл. </w:t>
      </w:r>
      <w:r>
        <w:rPr>
          <w:rFonts w:ascii="Times New Roman" w:hAnsi="Times New Roman"/>
          <w:lang w:val="ru-RU"/>
        </w:rPr>
        <w:t>1.</w:t>
      </w:r>
    </w:p>
  </w:footnote>
  <w:footnote w:id="16">
    <w:p>
      <w:pPr>
        <w:pStyle w:val="FootnoteText"/>
        <w:ind w:firstLine="0"/>
        <w:jc w:val="both"/>
        <w:rPr>
          <w:lang w:val="bg-BG"/>
        </w:rPr>
      </w:pPr>
      <w:r>
        <w:rPr>
          <w:rStyle w:val="FootnoteReference"/>
          <w:rFonts w:ascii="Times New Roman" w:hAnsi="Times New Roman"/>
        </w:rPr>
        <w:footnoteRef/>
      </w:r>
      <w:r>
        <w:rPr>
          <w:rStyle w:val="FootnoteReference"/>
          <w:rFonts w:ascii="Times New Roman" w:hAnsi="Times New Roman"/>
          <w:lang w:val="ru-RU"/>
        </w:rPr>
        <w:t xml:space="preserve"> </w:t>
      </w:r>
      <w:r>
        <w:rPr>
          <w:rFonts w:ascii="Times New Roman" w:hAnsi="Times New Roman"/>
          <w:lang w:val="bg-BG"/>
        </w:rPr>
        <w:t>Във връзка с общите взаимодействия между РДМС, европейските политики и международните споразумения, вж. Доклада на Комисията до Съвета и Европейския парламент относно приноса на Рамковата директива за морска стратегия (2008/56/ЕО) за осъществяването на съществуващите задължения, ангажименти и инициативи на държавите членки или на ЕС на равнище ЕС или на международно равнище в областта на защитата на околната среда за морските води,</w:t>
      </w:r>
      <w:r>
        <w:rPr>
          <w:rFonts w:ascii="Times New Roman" w:hAnsi="Times New Roman"/>
          <w:lang w:val="ru-RU"/>
        </w:rPr>
        <w:t xml:space="preserve"> </w:t>
      </w:r>
      <w:r>
        <w:rPr>
          <w:rFonts w:ascii="Times New Roman" w:hAnsi="Times New Roman"/>
        </w:rPr>
        <w:t>COM</w:t>
      </w:r>
      <w:r>
        <w:rPr>
          <w:rFonts w:ascii="Times New Roman" w:hAnsi="Times New Roman"/>
          <w:lang w:val="ru-RU"/>
        </w:rPr>
        <w:t xml:space="preserve"> (2012) 662, 16 </w:t>
      </w:r>
      <w:r>
        <w:rPr>
          <w:rFonts w:ascii="Times New Roman" w:hAnsi="Times New Roman"/>
          <w:lang w:val="bg-BG"/>
        </w:rPr>
        <w:t>ноември</w:t>
      </w:r>
      <w:r>
        <w:rPr>
          <w:rFonts w:ascii="Times New Roman" w:hAnsi="Times New Roman"/>
          <w:lang w:val="ru-RU"/>
        </w:rPr>
        <w:t xml:space="preserve"> 2012</w:t>
      </w:r>
      <w:r>
        <w:rPr>
          <w:rFonts w:ascii="Times New Roman" w:hAnsi="Times New Roman"/>
          <w:lang w:val="bg-BG"/>
        </w:rPr>
        <w:t> г.</w:t>
      </w:r>
    </w:p>
  </w:footnote>
  <w:footnote w:id="17">
    <w:p>
      <w:pPr>
        <w:pStyle w:val="FootnoteText"/>
        <w:ind w:firstLine="0"/>
        <w:jc w:val="both"/>
        <w:rPr>
          <w:lang w:val="bg-BG"/>
        </w:rPr>
      </w:pPr>
      <w:r>
        <w:rPr>
          <w:rStyle w:val="FootnoteReference"/>
          <w:rFonts w:ascii="Times New Roman" w:hAnsi="Times New Roman"/>
        </w:rPr>
        <w:footnoteRef/>
      </w:r>
      <w:r>
        <w:rPr>
          <w:rFonts w:ascii="Times New Roman" w:hAnsi="Times New Roman"/>
          <w:lang w:val="ru-RU"/>
        </w:rPr>
        <w:t xml:space="preserve"> Директива 92/43/</w:t>
      </w:r>
      <w:r>
        <w:rPr>
          <w:rFonts w:ascii="Times New Roman" w:hAnsi="Times New Roman"/>
          <w:lang w:val="bg-BG"/>
        </w:rPr>
        <w:t>ЕИО на Съвета от 21 май 1992 г. за опазване на естествените местообитания и на дивата флора и фауна, O</w:t>
      </w:r>
      <w:r>
        <w:rPr>
          <w:rFonts w:ascii="Times New Roman" w:hAnsi="Times New Roman"/>
          <w:lang w:val="ru-RU"/>
        </w:rPr>
        <w:t>.</w:t>
      </w:r>
      <w:r>
        <w:rPr>
          <w:rFonts w:ascii="Times New Roman" w:hAnsi="Times New Roman"/>
          <w:lang w:val="bg-BG"/>
        </w:rPr>
        <w:t>В</w:t>
      </w:r>
      <w:r>
        <w:rPr>
          <w:rFonts w:ascii="Times New Roman" w:hAnsi="Times New Roman"/>
          <w:lang w:val="ru-RU"/>
        </w:rPr>
        <w:t xml:space="preserve">. </w:t>
      </w:r>
      <w:r>
        <w:rPr>
          <w:rFonts w:ascii="Times New Roman" w:hAnsi="Times New Roman"/>
        </w:rPr>
        <w:t>L</w:t>
      </w:r>
      <w:r>
        <w:rPr>
          <w:rFonts w:ascii="Times New Roman" w:hAnsi="Times New Roman"/>
          <w:lang w:val="ru-RU"/>
        </w:rPr>
        <w:t xml:space="preserve"> 206, 22.7.1992</w:t>
      </w:r>
      <w:r>
        <w:rPr>
          <w:rFonts w:ascii="Times New Roman" w:hAnsi="Times New Roman"/>
          <w:lang w:val="bg-BG"/>
        </w:rPr>
        <w:t> г.</w:t>
      </w:r>
    </w:p>
  </w:footnote>
  <w:footnote w:id="18">
    <w:p>
      <w:pPr>
        <w:pStyle w:val="FootnoteText"/>
        <w:ind w:firstLine="0"/>
        <w:jc w:val="both"/>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Директива 79/409/ЕИО на Съвета от 2 април 1979 г. за опазване на дивите птици</w:t>
      </w:r>
      <w:r>
        <w:rPr>
          <w:rFonts w:ascii="Times New Roman" w:hAnsi="Times New Roman"/>
          <w:lang w:val="ru-RU"/>
        </w:rPr>
        <w:t xml:space="preserve">, </w:t>
      </w:r>
      <w:r>
        <w:rPr>
          <w:rFonts w:ascii="Times New Roman" w:hAnsi="Times New Roman"/>
        </w:rPr>
        <w:t>O</w:t>
      </w:r>
      <w:r>
        <w:rPr>
          <w:rFonts w:ascii="Times New Roman" w:hAnsi="Times New Roman"/>
          <w:lang w:val="bg-BG"/>
        </w:rPr>
        <w:t>В</w:t>
      </w:r>
      <w:r>
        <w:rPr>
          <w:rFonts w:ascii="Times New Roman" w:hAnsi="Times New Roman"/>
          <w:lang w:val="ru-RU"/>
        </w:rPr>
        <w:t xml:space="preserve"> </w:t>
      </w:r>
      <w:r>
        <w:rPr>
          <w:rFonts w:ascii="Times New Roman" w:hAnsi="Times New Roman"/>
        </w:rPr>
        <w:t>L</w:t>
      </w:r>
      <w:r>
        <w:rPr>
          <w:rFonts w:ascii="Times New Roman" w:hAnsi="Times New Roman"/>
          <w:lang w:val="ru-RU"/>
        </w:rPr>
        <w:t xml:space="preserve"> 103, 25.4.1979</w:t>
      </w:r>
      <w:r>
        <w:rPr>
          <w:rFonts w:ascii="Times New Roman" w:hAnsi="Times New Roman"/>
          <w:lang w:val="bg-BG"/>
        </w:rPr>
        <w:t> г.</w:t>
      </w:r>
    </w:p>
  </w:footnote>
  <w:footnote w:id="19">
    <w:p>
      <w:pPr>
        <w:pStyle w:val="FootnoteText"/>
        <w:ind w:firstLine="0"/>
        <w:jc w:val="both"/>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Директива за местообитанията, чл. 3.</w:t>
      </w:r>
    </w:p>
  </w:footnote>
  <w:footnote w:id="20">
    <w:p>
      <w:pPr>
        <w:pStyle w:val="FootnoteText"/>
        <w:ind w:firstLine="0"/>
        <w:jc w:val="both"/>
        <w:rPr>
          <w:lang w:val="bg-BG"/>
        </w:rPr>
      </w:pPr>
      <w:r>
        <w:rPr>
          <w:rStyle w:val="FootnoteReference"/>
          <w:rFonts w:ascii="Times New Roman" w:hAnsi="Times New Roman"/>
          <w:lang w:val="bg-BG"/>
        </w:rPr>
        <w:footnoteRef/>
      </w:r>
      <w:r>
        <w:rPr>
          <w:rFonts w:ascii="Times New Roman" w:hAnsi="Times New Roman"/>
          <w:lang w:val="bg-BG"/>
        </w:rPr>
        <w:t xml:space="preserve"> Регламент (ЕС) № 1380/2013 на Европейския парламент и на Съвета от 11 декември 2013 г. относно общата политика в областта на рибарството, чл. 11.</w:t>
      </w:r>
    </w:p>
  </w:footnote>
  <w:footnote w:id="21">
    <w:p>
      <w:pPr>
        <w:pStyle w:val="FootnoteText"/>
        <w:ind w:firstLine="0"/>
        <w:jc w:val="both"/>
        <w:rPr>
          <w:lang w:val="bg-BG"/>
        </w:rPr>
      </w:pPr>
      <w:r>
        <w:rPr>
          <w:rStyle w:val="FootnoteReference"/>
          <w:rFonts w:ascii="Times New Roman" w:hAnsi="Times New Roman"/>
          <w:lang w:val="bg-BG"/>
        </w:rPr>
        <w:footnoteRef/>
      </w:r>
      <w:r>
        <w:rPr>
          <w:rFonts w:ascii="Times New Roman" w:hAnsi="Times New Roman"/>
          <w:lang w:val="bg-BG"/>
        </w:rPr>
        <w:t xml:space="preserve"> Регламент (ЕС) № 1380/2013 на Европейския парламент и на Съвета от 11 декември 2013 г. относно общата политика в областта на рибарството, чл. 8 относно</w:t>
      </w:r>
      <w:r>
        <w:rPr>
          <w:lang w:val="bg-BG"/>
        </w:rPr>
        <w:t xml:space="preserve"> </w:t>
      </w:r>
      <w:r>
        <w:rPr>
          <w:rFonts w:ascii="Times New Roman" w:hAnsi="Times New Roman"/>
          <w:lang w:val="bg-BG"/>
        </w:rPr>
        <w:t>зони за възстановяване на рибните запаси.</w:t>
      </w:r>
    </w:p>
  </w:footnote>
  <w:footnote w:id="22">
    <w:p>
      <w:pPr>
        <w:pStyle w:val="FootnoteText"/>
        <w:ind w:firstLine="0"/>
        <w:jc w:val="both"/>
        <w:rPr>
          <w:lang w:val="bg-BG"/>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Регламент (ЕО) № 1967/2006 на Съвета от 21 декември 2006 г.</w:t>
      </w:r>
    </w:p>
  </w:footnote>
  <w:footnote w:id="23">
    <w:p>
      <w:pPr>
        <w:pStyle w:val="FootnoteText"/>
        <w:ind w:firstLine="0"/>
        <w:jc w:val="both"/>
        <w:rPr>
          <w:lang w:val="bg-BG"/>
        </w:rPr>
      </w:pPr>
      <w:r>
        <w:rPr>
          <w:rStyle w:val="FootnoteReference"/>
          <w:rFonts w:ascii="Times New Roman" w:hAnsi="Times New Roman"/>
          <w:lang w:val="bg-BG"/>
        </w:rPr>
        <w:footnoteRef/>
      </w:r>
      <w:r>
        <w:rPr>
          <w:rFonts w:ascii="Times New Roman" w:hAnsi="Times New Roman"/>
          <w:lang w:val="bg-BG"/>
        </w:rPr>
        <w:t xml:space="preserve"> 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w:t>
      </w:r>
    </w:p>
  </w:footnote>
  <w:footnote w:id="24">
    <w:p>
      <w:pPr>
        <w:pStyle w:val="FootnoteText"/>
        <w:ind w:firstLine="0"/>
        <w:jc w:val="both"/>
        <w:rPr>
          <w:lang w:val="ru-RU"/>
        </w:rPr>
      </w:pPr>
      <w:r>
        <w:rPr>
          <w:rStyle w:val="FootnoteReference"/>
          <w:rFonts w:ascii="Times New Roman" w:hAnsi="Times New Roman"/>
          <w:lang w:val="bg-BG"/>
        </w:rPr>
        <w:footnoteRef/>
      </w:r>
      <w:r>
        <w:rPr>
          <w:rFonts w:ascii="Times New Roman" w:hAnsi="Times New Roman"/>
          <w:lang w:val="bg-BG"/>
        </w:rPr>
        <w:t xml:space="preserve"> Директива 2014/89/ЕС на Европейския парламент и на съвета от 23 юли 2014 г. за установяване на рамка за морско пространствено планиране</w:t>
      </w:r>
      <w:r>
        <w:rPr>
          <w:rFonts w:ascii="Times New Roman" w:hAnsi="Times New Roman"/>
          <w:lang w:val="ru-RU"/>
        </w:rPr>
        <w:t xml:space="preserve">. </w:t>
      </w:r>
      <w:r>
        <w:rPr>
          <w:rFonts w:ascii="Times New Roman" w:hAnsi="Times New Roman"/>
          <w:lang w:val="bg-BG"/>
        </w:rPr>
        <w:t>Член </w:t>
      </w:r>
      <w:r>
        <w:rPr>
          <w:rFonts w:ascii="Times New Roman" w:hAnsi="Times New Roman"/>
          <w:lang w:val="ru-RU"/>
        </w:rPr>
        <w:t>8</w:t>
      </w:r>
      <w:r>
        <w:rPr>
          <w:rFonts w:ascii="Times New Roman" w:hAnsi="Times New Roman"/>
          <w:lang w:val="bg-BG"/>
        </w:rPr>
        <w:t xml:space="preserve"> от Директивата за МПП приканва държавите членки да интегрират в своите морски пространствени планове дейности, свързани</w:t>
      </w:r>
      <w:r>
        <w:rPr>
          <w:rFonts w:ascii="Times New Roman" w:hAnsi="Times New Roman"/>
          <w:lang w:val="ru-RU"/>
        </w:rPr>
        <w:t xml:space="preserve"> </w:t>
      </w:r>
      <w:r>
        <w:rPr>
          <w:rFonts w:ascii="Times New Roman" w:hAnsi="Times New Roman"/>
          <w:lang w:val="bg-BG"/>
        </w:rPr>
        <w:t>с обекти за опазване на природата и видовете и защитени територии</w:t>
      </w:r>
      <w:r>
        <w:rPr>
          <w:rFonts w:ascii="Times New Roman" w:hAnsi="Times New Roman"/>
          <w:lang w:val="ru-RU"/>
        </w:rPr>
        <w:t>.</w:t>
      </w:r>
    </w:p>
  </w:footnote>
  <w:footnote w:id="25">
    <w:p>
      <w:pPr>
        <w:pStyle w:val="FootnoteText"/>
        <w:ind w:firstLine="0"/>
        <w:jc w:val="both"/>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rPr>
        <w:t>UNCLOS</w:t>
      </w:r>
      <w:r>
        <w:rPr>
          <w:rFonts w:ascii="Times New Roman" w:hAnsi="Times New Roman"/>
          <w:lang w:val="ru-RU"/>
        </w:rPr>
        <w:t xml:space="preserve"> </w:t>
      </w:r>
      <w:r>
        <w:rPr>
          <w:rFonts w:ascii="Times New Roman" w:hAnsi="Times New Roman"/>
          <w:lang w:val="bg-BG"/>
        </w:rPr>
        <w:t>чл</w:t>
      </w:r>
      <w:r>
        <w:rPr>
          <w:rFonts w:ascii="Times New Roman" w:hAnsi="Times New Roman"/>
          <w:lang w:val="ru-RU"/>
        </w:rPr>
        <w:t>.</w:t>
      </w:r>
      <w:r>
        <w:rPr>
          <w:rFonts w:ascii="Times New Roman" w:hAnsi="Times New Roman"/>
          <w:lang w:val="bg-BG"/>
        </w:rPr>
        <w:t> </w:t>
      </w:r>
      <w:r>
        <w:rPr>
          <w:rFonts w:ascii="Times New Roman" w:hAnsi="Times New Roman"/>
          <w:lang w:val="ru-RU"/>
        </w:rPr>
        <w:t xml:space="preserve">192 </w:t>
      </w:r>
      <w:r>
        <w:rPr>
          <w:rFonts w:ascii="Times New Roman" w:hAnsi="Times New Roman"/>
          <w:lang w:val="bg-BG"/>
        </w:rPr>
        <w:t>и</w:t>
      </w:r>
      <w:r>
        <w:rPr>
          <w:rFonts w:ascii="Times New Roman" w:hAnsi="Times New Roman"/>
          <w:lang w:val="ru-RU"/>
        </w:rPr>
        <w:t xml:space="preserve"> чл. 194</w:t>
      </w:r>
      <w:r>
        <w:rPr>
          <w:rFonts w:ascii="Times New Roman" w:hAnsi="Times New Roman"/>
          <w:lang w:val="bg-BG"/>
        </w:rPr>
        <w:t>, параграф </w:t>
      </w:r>
      <w:r>
        <w:rPr>
          <w:rFonts w:ascii="Times New Roman" w:hAnsi="Times New Roman"/>
          <w:lang w:val="ru-RU"/>
        </w:rPr>
        <w:t>5.</w:t>
      </w:r>
    </w:p>
  </w:footnote>
  <w:footnote w:id="26">
    <w:p>
      <w:pPr>
        <w:pStyle w:val="FootnoteText"/>
        <w:ind w:firstLine="0"/>
        <w:jc w:val="both"/>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 xml:space="preserve">Част от Стратегическия план за биологично разнообразие </w:t>
      </w:r>
      <w:r>
        <w:rPr>
          <w:rFonts w:ascii="Times New Roman" w:hAnsi="Times New Roman"/>
          <w:lang w:val="ru-RU"/>
        </w:rPr>
        <w:t xml:space="preserve">2011—2020 г., </w:t>
      </w:r>
      <w:r>
        <w:rPr>
          <w:rFonts w:ascii="Times New Roman" w:hAnsi="Times New Roman"/>
          <w:lang w:val="bg-BG"/>
        </w:rPr>
        <w:t>приет от страните – членки по КБР, през 2010 г.</w:t>
      </w:r>
      <w:r>
        <w:rPr>
          <w:rFonts w:ascii="Times New Roman" w:hAnsi="Times New Roman"/>
          <w:lang w:val="ru-RU"/>
        </w:rPr>
        <w:t xml:space="preserve"> (</w:t>
      </w:r>
      <w:r>
        <w:rPr>
          <w:rFonts w:ascii="Times New Roman" w:hAnsi="Times New Roman"/>
        </w:rPr>
        <w:t>UNEP</w:t>
      </w:r>
      <w:r>
        <w:rPr>
          <w:rFonts w:ascii="Times New Roman" w:hAnsi="Times New Roman"/>
          <w:lang w:val="ru-RU"/>
        </w:rPr>
        <w:t>/</w:t>
      </w:r>
      <w:r>
        <w:rPr>
          <w:rFonts w:ascii="Times New Roman" w:hAnsi="Times New Roman"/>
        </w:rPr>
        <w:t>CBD</w:t>
      </w:r>
      <w:r>
        <w:rPr>
          <w:rFonts w:ascii="Times New Roman" w:hAnsi="Times New Roman"/>
          <w:lang w:val="ru-RU"/>
        </w:rPr>
        <w:t>/</w:t>
      </w:r>
      <w:r>
        <w:rPr>
          <w:rFonts w:ascii="Times New Roman" w:hAnsi="Times New Roman"/>
        </w:rPr>
        <w:t>COP</w:t>
      </w:r>
      <w:r>
        <w:rPr>
          <w:rFonts w:ascii="Times New Roman" w:hAnsi="Times New Roman"/>
          <w:lang w:val="ru-RU"/>
        </w:rPr>
        <w:t>/</w:t>
      </w:r>
      <w:r>
        <w:rPr>
          <w:rFonts w:ascii="Times New Roman" w:hAnsi="Times New Roman"/>
        </w:rPr>
        <w:t>DEC</w:t>
      </w:r>
      <w:r>
        <w:rPr>
          <w:rFonts w:ascii="Times New Roman" w:hAnsi="Times New Roman"/>
          <w:lang w:val="ru-RU"/>
        </w:rPr>
        <w:t>/</w:t>
      </w:r>
      <w:r>
        <w:rPr>
          <w:rFonts w:ascii="Times New Roman" w:hAnsi="Times New Roman"/>
        </w:rPr>
        <w:t>X</w:t>
      </w:r>
      <w:r>
        <w:rPr>
          <w:rFonts w:ascii="Times New Roman" w:hAnsi="Times New Roman"/>
          <w:lang w:val="ru-RU"/>
        </w:rPr>
        <w:t>/2).</w:t>
      </w:r>
    </w:p>
  </w:footnote>
  <w:footnote w:id="27">
    <w:p>
      <w:pPr>
        <w:pStyle w:val="FootnoteText"/>
        <w:ind w:firstLine="0"/>
        <w:jc w:val="both"/>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Резолюция на Общото събрание на ООН</w:t>
      </w:r>
      <w:r>
        <w:rPr>
          <w:rFonts w:ascii="Times New Roman" w:hAnsi="Times New Roman"/>
          <w:lang w:val="ru-RU"/>
        </w:rPr>
        <w:t xml:space="preserve"> 66/288 </w:t>
      </w:r>
      <w:r>
        <w:rPr>
          <w:rFonts w:ascii="Times New Roman" w:hAnsi="Times New Roman"/>
          <w:lang w:val="bg-BG"/>
        </w:rPr>
        <w:t>от</w:t>
      </w:r>
      <w:r>
        <w:rPr>
          <w:rFonts w:ascii="Times New Roman" w:hAnsi="Times New Roman"/>
          <w:lang w:val="ru-RU"/>
        </w:rPr>
        <w:t xml:space="preserve"> 27 </w:t>
      </w:r>
      <w:r>
        <w:rPr>
          <w:rFonts w:ascii="Times New Roman" w:hAnsi="Times New Roman"/>
          <w:lang w:val="bg-BG"/>
        </w:rPr>
        <w:t>юли</w:t>
      </w:r>
      <w:r>
        <w:rPr>
          <w:rFonts w:ascii="Times New Roman" w:hAnsi="Times New Roman"/>
          <w:lang w:val="ru-RU"/>
        </w:rPr>
        <w:t xml:space="preserve"> 2012</w:t>
      </w:r>
      <w:r>
        <w:rPr>
          <w:rFonts w:ascii="Times New Roman" w:hAnsi="Times New Roman"/>
          <w:lang w:val="bg-BG"/>
        </w:rPr>
        <w:t> г.</w:t>
      </w:r>
      <w:r>
        <w:rPr>
          <w:rFonts w:ascii="Times New Roman" w:hAnsi="Times New Roman"/>
          <w:lang w:val="ru-RU"/>
        </w:rPr>
        <w:t xml:space="preserve"> — „Бъдещето, което искаме“, </w:t>
      </w:r>
      <w:r>
        <w:rPr>
          <w:rFonts w:ascii="Times New Roman" w:hAnsi="Times New Roman"/>
          <w:lang w:val="bg-BG"/>
        </w:rPr>
        <w:t>параграф </w:t>
      </w:r>
      <w:r>
        <w:rPr>
          <w:rFonts w:ascii="Times New Roman" w:hAnsi="Times New Roman"/>
          <w:lang w:val="ru-RU"/>
        </w:rPr>
        <w:t>177.</w:t>
      </w:r>
    </w:p>
  </w:footnote>
  <w:footnote w:id="28">
    <w:p>
      <w:pPr>
        <w:pStyle w:val="FootnoteText"/>
        <w:ind w:firstLine="0"/>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Виж цел</w:t>
      </w:r>
      <w:r>
        <w:rPr>
          <w:rFonts w:ascii="Times New Roman" w:hAnsi="Times New Roman"/>
          <w:lang w:val="ru-RU"/>
        </w:rPr>
        <w:t xml:space="preserve"> 14 </w:t>
      </w:r>
      <w:r>
        <w:rPr>
          <w:rFonts w:ascii="Times New Roman" w:hAnsi="Times New Roman"/>
          <w:lang w:val="bg-BG"/>
        </w:rPr>
        <w:t>от доклада на Общото събрание на ООН</w:t>
      </w:r>
      <w:r>
        <w:rPr>
          <w:rFonts w:ascii="Times New Roman" w:hAnsi="Times New Roman"/>
          <w:lang w:val="ru-RU"/>
        </w:rPr>
        <w:t xml:space="preserve"> </w:t>
      </w:r>
      <w:r>
        <w:rPr>
          <w:rFonts w:ascii="Times New Roman" w:hAnsi="Times New Roman"/>
        </w:rPr>
        <w:t>A</w:t>
      </w:r>
      <w:r>
        <w:rPr>
          <w:rFonts w:ascii="Times New Roman" w:hAnsi="Times New Roman"/>
          <w:lang w:val="ru-RU"/>
        </w:rPr>
        <w:t xml:space="preserve">/68/970 </w:t>
      </w:r>
      <w:r>
        <w:rPr>
          <w:rFonts w:ascii="Times New Roman" w:hAnsi="Times New Roman"/>
          <w:lang w:val="bg-BG"/>
        </w:rPr>
        <w:t>от</w:t>
      </w:r>
      <w:r>
        <w:rPr>
          <w:rFonts w:ascii="Times New Roman" w:hAnsi="Times New Roman"/>
          <w:lang w:val="ru-RU"/>
        </w:rPr>
        <w:t xml:space="preserve"> 12 </w:t>
      </w:r>
      <w:r>
        <w:rPr>
          <w:rFonts w:ascii="Times New Roman" w:hAnsi="Times New Roman"/>
          <w:lang w:val="bg-BG"/>
        </w:rPr>
        <w:t>август</w:t>
      </w:r>
      <w:r>
        <w:rPr>
          <w:rFonts w:ascii="Times New Roman" w:hAnsi="Times New Roman"/>
          <w:lang w:val="ru-RU"/>
        </w:rPr>
        <w:t xml:space="preserve"> 2014</w:t>
      </w:r>
      <w:r>
        <w:rPr>
          <w:rFonts w:ascii="Times New Roman" w:hAnsi="Times New Roman"/>
          <w:lang w:val="bg-BG"/>
        </w:rPr>
        <w:t> г.</w:t>
      </w:r>
      <w:r>
        <w:rPr>
          <w:rFonts w:ascii="Times New Roman" w:hAnsi="Times New Roman"/>
          <w:lang w:val="ru-RU"/>
        </w:rPr>
        <w:t xml:space="preserve"> — Доклад на отворената работна група към Общото събрание относно целите на устойчивото развитие.</w:t>
      </w:r>
    </w:p>
  </w:footnote>
  <w:footnote w:id="29">
    <w:p>
      <w:pPr>
        <w:pStyle w:val="FootnoteText"/>
        <w:ind w:firstLine="0"/>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Вж. раздели </w:t>
      </w:r>
      <w:r>
        <w:rPr>
          <w:rFonts w:ascii="Times New Roman" w:hAnsi="Times New Roman"/>
          <w:lang w:val="ru-RU"/>
        </w:rPr>
        <w:t xml:space="preserve">2.2 </w:t>
      </w:r>
      <w:r>
        <w:rPr>
          <w:rFonts w:ascii="Times New Roman" w:hAnsi="Times New Roman"/>
          <w:lang w:val="bg-BG"/>
        </w:rPr>
        <w:t>и </w:t>
      </w:r>
      <w:r>
        <w:rPr>
          <w:rFonts w:ascii="Times New Roman" w:hAnsi="Times New Roman"/>
          <w:lang w:val="ru-RU"/>
        </w:rPr>
        <w:t xml:space="preserve">3 </w:t>
      </w:r>
      <w:r>
        <w:rPr>
          <w:rFonts w:ascii="Times New Roman" w:hAnsi="Times New Roman"/>
          <w:lang w:val="bg-BG"/>
        </w:rPr>
        <w:t>от настоящия доклад</w:t>
      </w:r>
      <w:r>
        <w:rPr>
          <w:rFonts w:ascii="Times New Roman" w:hAnsi="Times New Roman"/>
          <w:lang w:val="ru-RU"/>
        </w:rPr>
        <w:t>.</w:t>
      </w:r>
    </w:p>
  </w:footnote>
  <w:footnote w:id="30">
    <w:p>
      <w:pPr>
        <w:pStyle w:val="FootnoteText"/>
        <w:ind w:firstLine="0"/>
        <w:rPr>
          <w:lang w:val="ru-RU"/>
        </w:rPr>
      </w:pPr>
      <w:r>
        <w:rPr>
          <w:rStyle w:val="FootnoteReference"/>
          <w:rFonts w:ascii="Times New Roman" w:hAnsi="Times New Roman"/>
        </w:rPr>
        <w:footnoteRef/>
      </w:r>
      <w:r>
        <w:rPr>
          <w:rFonts w:ascii="Times New Roman" w:hAnsi="Times New Roman"/>
          <w:lang w:val="ru-RU"/>
        </w:rPr>
        <w:t xml:space="preserve"> ЕАОС (2015</w:t>
      </w:r>
      <w:r>
        <w:rPr>
          <w:rFonts w:ascii="Times New Roman" w:hAnsi="Times New Roman"/>
          <w:lang w:val="bg-BG"/>
        </w:rPr>
        <w:t> </w:t>
      </w:r>
      <w:r>
        <w:rPr>
          <w:rFonts w:ascii="Times New Roman" w:hAnsi="Times New Roman"/>
          <w:lang w:val="ru-RU"/>
        </w:rPr>
        <w:t>г.), „</w:t>
      </w:r>
      <w:r>
        <w:rPr>
          <w:rFonts w:ascii="Times New Roman" w:hAnsi="Times New Roman"/>
          <w:lang w:val="bg-BG"/>
        </w:rPr>
        <w:t>Пространствен анализ на морските защитени територии в европейските морета</w:t>
      </w:r>
      <w:r>
        <w:rPr>
          <w:rFonts w:ascii="Times New Roman" w:hAnsi="Times New Roman"/>
          <w:lang w:val="ru-RU"/>
        </w:rPr>
        <w:t>“.</w:t>
      </w:r>
    </w:p>
  </w:footnote>
  <w:footnote w:id="31">
    <w:p>
      <w:pPr>
        <w:pStyle w:val="FootnoteText"/>
        <w:ind w:firstLine="0"/>
        <w:rPr>
          <w:lang w:val="ru-RU"/>
        </w:rPr>
      </w:pPr>
      <w:r>
        <w:rPr>
          <w:rStyle w:val="FootnoteReference"/>
          <w:rFonts w:ascii="Times New Roman" w:hAnsi="Times New Roman"/>
        </w:rPr>
        <w:footnoteRef/>
      </w:r>
      <w:r>
        <w:rPr>
          <w:rFonts w:ascii="Times New Roman" w:hAnsi="Times New Roman"/>
          <w:lang w:val="ru-RU"/>
        </w:rPr>
        <w:t xml:space="preserve"> Адаптирано от таблица 3.8 в ЕАОС (2015 г.) „</w:t>
      </w:r>
      <w:r>
        <w:rPr>
          <w:rFonts w:ascii="Times New Roman" w:hAnsi="Times New Roman"/>
          <w:lang w:val="bg-BG"/>
        </w:rPr>
        <w:t>Пространствен анализ на морските защитени територии в европейските морета</w:t>
      </w:r>
      <w:r>
        <w:rPr>
          <w:rFonts w:ascii="Times New Roman" w:hAnsi="Times New Roman"/>
          <w:lang w:val="ru-RU"/>
        </w:rPr>
        <w:t>“.</w:t>
      </w:r>
    </w:p>
  </w:footnote>
  <w:footnote w:id="32">
    <w:p>
      <w:pPr>
        <w:pStyle w:val="FootnoteText"/>
        <w:ind w:firstLine="0"/>
        <w:rPr>
          <w:lang w:val="ru-RU"/>
        </w:rPr>
      </w:pPr>
      <w:r>
        <w:rPr>
          <w:rStyle w:val="FootnoteReference"/>
          <w:rFonts w:ascii="Times New Roman" w:hAnsi="Times New Roman"/>
        </w:rPr>
        <w:footnoteRef/>
      </w:r>
      <w:r>
        <w:rPr>
          <w:rFonts w:ascii="Times New Roman" w:hAnsi="Times New Roman"/>
          <w:lang w:val="ru-RU"/>
        </w:rPr>
        <w:t xml:space="preserve"> </w:t>
      </w:r>
      <w:r>
        <w:rPr>
          <w:rFonts w:ascii="Times New Roman" w:hAnsi="Times New Roman"/>
          <w:lang w:val="bg-BG"/>
        </w:rPr>
        <w:t>Европейска агенция по околна среда</w:t>
      </w:r>
      <w:r>
        <w:rPr>
          <w:rFonts w:ascii="Times New Roman" w:hAnsi="Times New Roman"/>
          <w:lang w:val="ru-RU"/>
        </w:rPr>
        <w:t xml:space="preserve"> (2015</w:t>
      </w:r>
      <w:r>
        <w:rPr>
          <w:rFonts w:ascii="Times New Roman" w:hAnsi="Times New Roman"/>
          <w:lang w:val="bg-BG"/>
        </w:rPr>
        <w:t> г.</w:t>
      </w:r>
      <w:r>
        <w:rPr>
          <w:rFonts w:ascii="Times New Roman" w:hAnsi="Times New Roman"/>
          <w:lang w:val="ru-RU"/>
        </w:rPr>
        <w:t>) „</w:t>
      </w:r>
      <w:r>
        <w:rPr>
          <w:rFonts w:ascii="Times New Roman" w:hAnsi="Times New Roman"/>
          <w:lang w:val="bg-BG"/>
        </w:rPr>
        <w:t xml:space="preserve"> Морски защитени територии в европейските морета</w:t>
      </w:r>
      <w:r>
        <w:rPr>
          <w:rFonts w:ascii="Times New Roman" w:hAnsi="Times New Roman"/>
          <w:lang w:val="ru-RU"/>
        </w:rPr>
        <w:t xml:space="preserve"> – </w:t>
      </w:r>
      <w:r>
        <w:rPr>
          <w:rFonts w:ascii="Times New Roman" w:hAnsi="Times New Roman"/>
          <w:lang w:val="bg-BG"/>
        </w:rPr>
        <w:t xml:space="preserve">обзор и </w:t>
      </w:r>
      <w:r>
        <w:rPr>
          <w:rFonts w:ascii="Times New Roman" w:hAnsi="Times New Roman"/>
          <w:lang w:val="ru-RU"/>
        </w:rPr>
        <w:t>съгласуване на бъдещите действия“.</w:t>
      </w:r>
    </w:p>
  </w:footnote>
  <w:footnote w:id="33">
    <w:p>
      <w:pPr>
        <w:pStyle w:val="FootnoteText"/>
        <w:ind w:firstLine="0"/>
        <w:rPr>
          <w:lang w:val="ru-RU"/>
        </w:rPr>
      </w:pPr>
      <w:r>
        <w:rPr>
          <w:rStyle w:val="FootnoteReference"/>
          <w:rFonts w:ascii="Times New Roman" w:hAnsi="Times New Roman"/>
        </w:rPr>
        <w:footnoteRef/>
      </w:r>
      <w:r>
        <w:rPr>
          <w:rFonts w:ascii="Times New Roman" w:hAnsi="Times New Roman"/>
          <w:lang w:val="ru-RU"/>
        </w:rPr>
        <w:t xml:space="preserve"> Адаптирано от таблица 3.4 в ЕАОС (2015 г.) „</w:t>
      </w:r>
      <w:r>
        <w:rPr>
          <w:rFonts w:ascii="Times New Roman" w:hAnsi="Times New Roman"/>
          <w:lang w:val="bg-BG"/>
        </w:rPr>
        <w:t>Пространствен анализ на морските защитени територии в европейските морета</w:t>
      </w:r>
      <w:r>
        <w:rPr>
          <w:rFonts w:ascii="Times New Roman" w:hAnsi="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33AC"/>
    <w:multiLevelType w:val="hybridMultilevel"/>
    <w:tmpl w:val="D37CC658"/>
    <w:lvl w:ilvl="0" w:tplc="F3BC389A">
      <w:numFmt w:val="bullet"/>
      <w:lvlText w:val="—"/>
      <w:lvlJc w:val="left"/>
      <w:pPr>
        <w:tabs>
          <w:tab w:val="num" w:pos="360"/>
        </w:tabs>
        <w:ind w:left="1080" w:hanging="360"/>
      </w:pPr>
      <w:rPr>
        <w:rFonts w:ascii="Times New Roman" w:eastAsia="Times New Roman" w:hAnsi="Times New Roman"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
    <w:nsid w:val="373D6638"/>
    <w:multiLevelType w:val="hybridMultilevel"/>
    <w:tmpl w:val="91EC705E"/>
    <w:lvl w:ilvl="0" w:tplc="1F34588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162F1E"/>
    <w:multiLevelType w:val="hybridMultilevel"/>
    <w:tmpl w:val="982A105A"/>
    <w:lvl w:ilvl="0" w:tplc="AF3AF504">
      <w:start w:val="1"/>
      <w:numFmt w:val="decimal"/>
      <w:lvlText w:val="%1."/>
      <w:lvlJc w:val="left"/>
      <w:pPr>
        <w:ind w:left="615" w:hanging="615"/>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B654890"/>
    <w:multiLevelType w:val="multilevel"/>
    <w:tmpl w:val="91EC705E"/>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0597CE3"/>
    <w:multiLevelType w:val="hybridMultilevel"/>
    <w:tmpl w:val="CBF87B0E"/>
    <w:lvl w:ilvl="0" w:tplc="F3BC389A">
      <w:numFmt w:val="bullet"/>
      <w:lvlText w:val="—"/>
      <w:lvlJc w:val="left"/>
      <w:pPr>
        <w:tabs>
          <w:tab w:val="num" w:pos="360"/>
        </w:tabs>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B81BFD"/>
    <w:multiLevelType w:val="multilevel"/>
    <w:tmpl w:val="91EC705E"/>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D27F0A"/>
    <w:multiLevelType w:val="hybridMultilevel"/>
    <w:tmpl w:val="AABA1D02"/>
    <w:lvl w:ilvl="0" w:tplc="1F34588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81FC3"/>
    <w:multiLevelType w:val="hybridMultilevel"/>
    <w:tmpl w:val="40D48110"/>
    <w:lvl w:ilvl="0" w:tplc="AF3AF504">
      <w:start w:val="1"/>
      <w:numFmt w:val="decimal"/>
      <w:lvlText w:val="%1."/>
      <w:lvlJc w:val="left"/>
      <w:pPr>
        <w:ind w:left="615" w:hanging="615"/>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79951A40"/>
    <w:multiLevelType w:val="hybridMultilevel"/>
    <w:tmpl w:val="6BFAE928"/>
    <w:lvl w:ilvl="0" w:tplc="F3BC389A">
      <w:numFmt w:val="bullet"/>
      <w:lvlText w:val="—"/>
      <w:lvlJc w:val="left"/>
      <w:pPr>
        <w:tabs>
          <w:tab w:val="num" w:pos="360"/>
        </w:tabs>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0"/>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1"/>
    <w:docVar w:name="LW_ANNEX_NBR_LAST" w:val="2"/>
    <w:docVar w:name="LW_CONFIDENCE" w:val=" "/>
    <w:docVar w:name="LW_CONST_RESTREINT_UE" w:val="RESTREINT UE"/>
    <w:docVar w:name="LW_CORRIGENDUM" w:val="&lt;UNUSED&gt;"/>
    <w:docVar w:name="LW_COVERPAGE_GUID" w:val="BA3F5F0D777B41889B0B203420687B3B"/>
    <w:docVar w:name="LW_CROSSREFERENCE" w:val="&lt;UNUSED&gt;"/>
    <w:docVar w:name="LW_DocType" w:val="NORMAL"/>
    <w:docVar w:name="LW_EMISSION" w:val="1.10.2015"/>
    <w:docVar w:name="LW_EMISSION_ISODATE" w:val="2015-10-01"/>
    <w:docVar w:name="LW_EMISSION_LOCATION" w:val="BRX"/>
    <w:docVar w:name="LW_EMISSION_PREFIX" w:val="Брюксел, "/>
    <w:docVar w:name="LW_EMISSION_SUFFIX" w:val=" \u1075?."/>
    <w:docVar w:name="LW_ID_DOCTYPE_NONLW" w:val="CP-039"/>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87?\u1086?\u1089?\u1090?\u1080?\u1075?\u1085?\u1072?\u1090?\u1080?\u1103? \u1085?\u1072?\u1087?\u1088?\u1077?\u1076?\u1098?\u1082? \u1074? \u1080?\u1079?\u1075?\u1088?\u1072?\u1078?\u1076?\u1072?\u1085?\u1077?\u1090?\u1086? \u1085?\u1072? \u1084?\u1086?\u1088?\u1089?\u1082?\u1080? \u1079?\u1072?\u1097?\u1080?\u1090?\u1077?\u1085?\u1080? \u1090?\u1077?\u1088?\u1080?\u1090?\u1086?\u1088?\u1080?\u1080? (\u1089?\u1098?\u1075?\u1083?\u1072?\u1089?\u1085?\u1086? \u1080?\u1079?\u1080?\u1089?\u1082?\u1074?\u1072?\u1085?\u1080?\u1103?\u1090?\u1072? \u1085?\u1072? \u1095?\u1083?. 21 \u1086?\u1090? \u1056?\u1072?\u1084?\u1082?\u1086?\u1074?\u1072?\u1090?\u1072? \u1076?\u1080?\u1088?\u1077?\u1082?\u1090?\u1080?\u1074?\u1072? \u1079?\u1072? \u1084?\u1086?\u1088?\u1089?\u1082?\u1072? \u1089?\u1090?\u1088?\u1072?\u1090?\u1077?\u1075?\u1080?\u1103? 2008/56/\u1045?\u1054?)"/>
    <w:docVar w:name="LW_PART_NBR" w:val="&lt;UNUSED&gt;"/>
    <w:docVar w:name="LW_PART_NBR_TOTAL" w:val="&lt;UNUSED&gt;"/>
    <w:docVar w:name="LW_REF.INST.NEW" w:val="COM"/>
    <w:docVar w:name="LW_REF.INST.NEW_ADOPTED" w:val="final"/>
    <w:docVar w:name="LW_REF.INST.NEW_TEXT" w:val="(2015) 481"/>
    <w:docVar w:name="LW_REF.INTERNE" w:val="&lt;UNUSED&gt;"/>
    <w:docVar w:name="LW_SUPERTITRE" w:val="&lt;UNUSED&gt;"/>
    <w:docVar w:name="LW_TITRE.OBJ.CP" w:val="&lt;UNUSED&gt;"/>
    <w:docVar w:name="LW_TYPE.DOC.CP" w:val="\u1055?\u1056?\u1048?\u1051?\u1054?\u1046?\u1045?\u1053?\u1048?\u1071?_x000b_"/>
    <w:docVar w:name="LW_TYPEACTEPRINCIPAL.CP" w:val="\u1044?\u1086?\u1082?\u1083?\u1072?\u1076? \u1085?\u1072? \u1050?\u1086?\u1084?\u1080?\u1089?\u1080?\u1103?\u1090?\u1072? \u1076?\u1086? \u1045?\u1074?\u1088?\u1086?\u1087?\u1077?\u1081?\u1089?\u1082?\u1080?\u1103? \u1087?\u1072?\u1088?\u1083?\u1072?\u1084?\u1077?\u1085?\u1090? \u1080?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link w:val="Footer"/>
    <w:uiPriority w:val="99"/>
    <w:locked/>
    <w:rPr>
      <w:rFonts w:cs="Times New Roman"/>
    </w:rPr>
  </w:style>
  <w:style w:type="character" w:styleId="Hyperlink">
    <w:name w:val="Hyperlink"/>
    <w:uiPriority w:val="99"/>
    <w:rPr>
      <w:rFonts w:cs="Times New Roman"/>
      <w:color w:val="0000FF"/>
      <w:u w:val="single"/>
    </w:rPr>
  </w:style>
  <w:style w:type="paragraph" w:styleId="FootnoteText">
    <w:name w:val="footnote text"/>
    <w:basedOn w:val="Normal"/>
    <w:link w:val="FootnoteTextChar"/>
    <w:uiPriority w:val="99"/>
    <w:semiHidden/>
    <w:pPr>
      <w:spacing w:after="0" w:line="240" w:lineRule="auto"/>
      <w:ind w:firstLine="360"/>
    </w:pPr>
    <w:rPr>
      <w:rFonts w:eastAsia="Times New Roman"/>
      <w:sz w:val="20"/>
      <w:szCs w:val="20"/>
      <w:lang w:val="en-GB" w:eastAsia="en-GB"/>
    </w:rPr>
  </w:style>
  <w:style w:type="character" w:customStyle="1" w:styleId="FootnoteTextChar">
    <w:name w:val="Footnote Text Char"/>
    <w:link w:val="FootnoteText"/>
    <w:uiPriority w:val="99"/>
    <w:semiHidden/>
    <w:locked/>
    <w:rPr>
      <w:rFonts w:ascii="Calibri" w:hAnsi="Calibri" w:cs="Times New Roman"/>
      <w:sz w:val="20"/>
      <w:szCs w:val="20"/>
      <w:lang w:val="en-GB" w:eastAsia="en-GB"/>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Marker">
    <w:name w:val="Marker"/>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szCs w:val="28"/>
      <w:lang w:val="en-GB" w:eastAsia="en-GB"/>
    </w:rPr>
  </w:style>
  <w:style w:type="character" w:customStyle="1" w:styleId="FooterCoverPageChar">
    <w:name w:val="Footer Cover Page Char"/>
    <w:link w:val="FooterCoverPage"/>
    <w:uiPriority w:val="99"/>
    <w:locked/>
    <w:rPr>
      <w:rFonts w:ascii="Times New Roman" w:hAnsi="Times New Roman"/>
      <w:sz w:val="24"/>
      <w:szCs w:val="28"/>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szCs w:val="28"/>
      <w:lang w:val="en-GB" w:eastAsia="en-GB"/>
    </w:rPr>
  </w:style>
  <w:style w:type="character" w:customStyle="1" w:styleId="HeaderCoverPageChar">
    <w:name w:val="Header Cover Page Char"/>
    <w:link w:val="HeaderCoverPage"/>
    <w:uiPriority w:val="99"/>
    <w:locked/>
    <w:rPr>
      <w:rFonts w:ascii="Times New Roman" w:hAnsi="Times New Roman"/>
      <w:sz w:val="24"/>
      <w:szCs w:val="28"/>
    </w:rPr>
  </w:style>
  <w:style w:type="paragraph" w:customStyle="1" w:styleId="Typedudocument">
    <w:name w:val="Type du document"/>
    <w:basedOn w:val="Normal"/>
    <w:next w:val="Normal"/>
    <w:uiPriority w:val="99"/>
    <w:pPr>
      <w:spacing w:before="360" w:after="0" w:line="240" w:lineRule="auto"/>
      <w:jc w:val="center"/>
    </w:pPr>
    <w:rPr>
      <w:rFonts w:ascii="Times New Roman" w:hAnsi="Times New Roman"/>
      <w:b/>
      <w:sz w:val="24"/>
    </w:rPr>
  </w:style>
  <w:style w:type="paragraph" w:customStyle="1" w:styleId="Accompagnant">
    <w:name w:val="Accompagnant"/>
    <w:basedOn w:val="Normal"/>
    <w:next w:val="Normal"/>
    <w:uiPriority w:val="99"/>
    <w:pPr>
      <w:spacing w:after="240" w:line="240" w:lineRule="auto"/>
      <w:jc w:val="center"/>
    </w:pPr>
    <w:rPr>
      <w:rFonts w:ascii="Times New Roman" w:hAnsi="Times New Roman"/>
      <w:b/>
      <w:i/>
      <w:sz w:val="24"/>
    </w:rPr>
  </w:style>
  <w:style w:type="paragraph" w:customStyle="1" w:styleId="Typeacteprincipal">
    <w:name w:val="Type acte principal"/>
    <w:basedOn w:val="Normal"/>
    <w:next w:val="Normal"/>
    <w:uiPriority w:val="99"/>
    <w:pPr>
      <w:spacing w:after="240" w:line="240" w:lineRule="auto"/>
      <w:jc w:val="center"/>
    </w:pPr>
    <w:rPr>
      <w:rFonts w:ascii="Times New Roman" w:hAnsi="Times New Roman"/>
      <w:b/>
      <w:sz w:val="24"/>
    </w:rPr>
  </w:style>
  <w:style w:type="paragraph" w:customStyle="1" w:styleId="Objetacteprincipal">
    <w:name w:val="Objet acte principal"/>
    <w:basedOn w:val="Normal"/>
    <w:next w:val="Normal"/>
    <w:uiPriority w:val="99"/>
    <w:pPr>
      <w:spacing w:after="360" w:line="240" w:lineRule="auto"/>
      <w:jc w:val="center"/>
    </w:pPr>
    <w:rPr>
      <w:rFonts w:ascii="Times New Roman" w:hAnsi="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fr-F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link w:val="Footer"/>
    <w:uiPriority w:val="99"/>
    <w:locked/>
    <w:rPr>
      <w:rFonts w:cs="Times New Roman"/>
    </w:rPr>
  </w:style>
  <w:style w:type="character" w:styleId="Hyperlink">
    <w:name w:val="Hyperlink"/>
    <w:uiPriority w:val="99"/>
    <w:rPr>
      <w:rFonts w:cs="Times New Roman"/>
      <w:color w:val="0000FF"/>
      <w:u w:val="single"/>
    </w:rPr>
  </w:style>
  <w:style w:type="paragraph" w:styleId="FootnoteText">
    <w:name w:val="footnote text"/>
    <w:basedOn w:val="Normal"/>
    <w:link w:val="FootnoteTextChar"/>
    <w:uiPriority w:val="99"/>
    <w:semiHidden/>
    <w:pPr>
      <w:spacing w:after="0" w:line="240" w:lineRule="auto"/>
      <w:ind w:firstLine="360"/>
    </w:pPr>
    <w:rPr>
      <w:rFonts w:eastAsia="Times New Roman"/>
      <w:sz w:val="20"/>
      <w:szCs w:val="20"/>
      <w:lang w:val="en-GB" w:eastAsia="en-GB"/>
    </w:rPr>
  </w:style>
  <w:style w:type="character" w:customStyle="1" w:styleId="FootnoteTextChar">
    <w:name w:val="Footnote Text Char"/>
    <w:link w:val="FootnoteText"/>
    <w:uiPriority w:val="99"/>
    <w:semiHidden/>
    <w:locked/>
    <w:rPr>
      <w:rFonts w:ascii="Calibri" w:hAnsi="Calibri" w:cs="Times New Roman"/>
      <w:sz w:val="20"/>
      <w:szCs w:val="20"/>
      <w:lang w:val="en-GB" w:eastAsia="en-GB"/>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Marker">
    <w:name w:val="Marker"/>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szCs w:val="28"/>
      <w:lang w:val="en-GB" w:eastAsia="en-GB"/>
    </w:rPr>
  </w:style>
  <w:style w:type="character" w:customStyle="1" w:styleId="FooterCoverPageChar">
    <w:name w:val="Footer Cover Page Char"/>
    <w:link w:val="FooterCoverPage"/>
    <w:uiPriority w:val="99"/>
    <w:locked/>
    <w:rPr>
      <w:rFonts w:ascii="Times New Roman" w:hAnsi="Times New Roman"/>
      <w:sz w:val="24"/>
      <w:szCs w:val="28"/>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szCs w:val="28"/>
      <w:lang w:val="en-GB" w:eastAsia="en-GB"/>
    </w:rPr>
  </w:style>
  <w:style w:type="character" w:customStyle="1" w:styleId="HeaderCoverPageChar">
    <w:name w:val="Header Cover Page Char"/>
    <w:link w:val="HeaderCoverPage"/>
    <w:uiPriority w:val="99"/>
    <w:locked/>
    <w:rPr>
      <w:rFonts w:ascii="Times New Roman" w:hAnsi="Times New Roman"/>
      <w:sz w:val="24"/>
      <w:szCs w:val="28"/>
    </w:rPr>
  </w:style>
  <w:style w:type="paragraph" w:customStyle="1" w:styleId="Typedudocument">
    <w:name w:val="Type du document"/>
    <w:basedOn w:val="Normal"/>
    <w:next w:val="Normal"/>
    <w:uiPriority w:val="99"/>
    <w:pPr>
      <w:spacing w:before="360" w:after="0" w:line="240" w:lineRule="auto"/>
      <w:jc w:val="center"/>
    </w:pPr>
    <w:rPr>
      <w:rFonts w:ascii="Times New Roman" w:hAnsi="Times New Roman"/>
      <w:b/>
      <w:sz w:val="24"/>
    </w:rPr>
  </w:style>
  <w:style w:type="paragraph" w:customStyle="1" w:styleId="Accompagnant">
    <w:name w:val="Accompagnant"/>
    <w:basedOn w:val="Normal"/>
    <w:next w:val="Normal"/>
    <w:uiPriority w:val="99"/>
    <w:pPr>
      <w:spacing w:after="240" w:line="240" w:lineRule="auto"/>
      <w:jc w:val="center"/>
    </w:pPr>
    <w:rPr>
      <w:rFonts w:ascii="Times New Roman" w:hAnsi="Times New Roman"/>
      <w:b/>
      <w:i/>
      <w:sz w:val="24"/>
    </w:rPr>
  </w:style>
  <w:style w:type="paragraph" w:customStyle="1" w:styleId="Typeacteprincipal">
    <w:name w:val="Type acte principal"/>
    <w:basedOn w:val="Normal"/>
    <w:next w:val="Normal"/>
    <w:uiPriority w:val="99"/>
    <w:pPr>
      <w:spacing w:after="240" w:line="240" w:lineRule="auto"/>
      <w:jc w:val="center"/>
    </w:pPr>
    <w:rPr>
      <w:rFonts w:ascii="Times New Roman" w:hAnsi="Times New Roman"/>
      <w:b/>
      <w:sz w:val="24"/>
    </w:rPr>
  </w:style>
  <w:style w:type="paragraph" w:customStyle="1" w:styleId="Objetacteprincipal">
    <w:name w:val="Objet acte principal"/>
    <w:basedOn w:val="Normal"/>
    <w:next w:val="Normal"/>
    <w:uiPriority w:val="99"/>
    <w:pPr>
      <w:spacing w:after="360" w:line="240" w:lineRule="auto"/>
      <w:jc w:val="center"/>
    </w:pPr>
    <w:rPr>
      <w:rFonts w:ascii="Times New Roman" w:hAnsi="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fr-F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w/browse/0ee797dd-d92c-4d7c-a9f9-5dffb36d206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rist_000\SkyDrive\Work\E4706\ENV-2015-80038-00-01-BG-SRC-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Sheet1!$G$11</c:f>
              <c:strCache>
                <c:ptCount val="1"/>
                <c:pt idx="0">
                  <c:v>Територия, обхваната от "Натура 2000", км2</c:v>
                </c:pt>
              </c:strCache>
            </c:strRef>
          </c:tx>
          <c:invertIfNegative val="0"/>
          <c:cat>
            <c:strRef>
              <c:f>Sheet1!$F$12:$F$23</c:f>
              <c:strCache>
                <c:ptCount val="12"/>
                <c:pt idx="0">
                  <c:v>Балтийско море</c:v>
                </c:pt>
                <c:pt idx="1">
                  <c:v>Североизточен Атлантически океан</c:v>
                </c:pt>
                <c:pt idx="2">
                  <c:v>Келтско море</c:v>
                </c:pt>
                <c:pt idx="3">
                  <c:v>Северно море в широки граници, включително Категарт и Ламанша</c:v>
                </c:pt>
                <c:pt idx="4">
                  <c:v>Бискайски залив и Иберийското крайбрежия</c:v>
                </c:pt>
                <c:pt idx="5">
                  <c:v>Макаронезия</c:v>
                </c:pt>
                <c:pt idx="6">
                  <c:v>Средиземно море</c:v>
                </c:pt>
                <c:pt idx="7">
                  <c:v>Западно Средиземноморие</c:v>
                </c:pt>
                <c:pt idx="8">
                  <c:v>Йонийско море и Централно Средиземно море</c:v>
                </c:pt>
                <c:pt idx="9">
                  <c:v>Адриатическо море</c:v>
                </c:pt>
                <c:pt idx="10">
                  <c:v>Егейско-Левантийско море</c:v>
                </c:pt>
                <c:pt idx="11">
                  <c:v>Черно море</c:v>
                </c:pt>
              </c:strCache>
            </c:strRef>
          </c:cat>
          <c:val>
            <c:numRef>
              <c:f>Sheet1!$G$12:$G$23</c:f>
              <c:numCache>
                <c:formatCode>General</c:formatCode>
                <c:ptCount val="12"/>
                <c:pt idx="0">
                  <c:v>45688</c:v>
                </c:pt>
                <c:pt idx="1">
                  <c:v>151041</c:v>
                </c:pt>
                <c:pt idx="2">
                  <c:v>34836</c:v>
                </c:pt>
                <c:pt idx="3">
                  <c:v>88323</c:v>
                </c:pt>
                <c:pt idx="4">
                  <c:v>25676</c:v>
                </c:pt>
                <c:pt idx="5">
                  <c:v>2205</c:v>
                </c:pt>
                <c:pt idx="6">
                  <c:v>29331</c:v>
                </c:pt>
                <c:pt idx="7">
                  <c:v>19680</c:v>
                </c:pt>
                <c:pt idx="8">
                  <c:v>3303</c:v>
                </c:pt>
                <c:pt idx="9">
                  <c:v>1525</c:v>
                </c:pt>
                <c:pt idx="10">
                  <c:v>4823</c:v>
                </c:pt>
                <c:pt idx="11">
                  <c:v>2875</c:v>
                </c:pt>
              </c:numCache>
            </c:numRef>
          </c:val>
        </c:ser>
        <c:ser>
          <c:idx val="1"/>
          <c:order val="1"/>
          <c:tx>
            <c:strRef>
              <c:f>Sheet1!$H$11</c:f>
              <c:strCache>
                <c:ptCount val="1"/>
                <c:pt idx="0">
                  <c:v>B</c:v>
                </c:pt>
              </c:strCache>
            </c:strRef>
          </c:tx>
          <c:invertIfNegative val="0"/>
          <c:cat>
            <c:strRef>
              <c:f>Sheet1!$F$12:$F$23</c:f>
              <c:strCache>
                <c:ptCount val="12"/>
                <c:pt idx="0">
                  <c:v>Балтийско море</c:v>
                </c:pt>
                <c:pt idx="1">
                  <c:v>Североизточен Атлантически океан</c:v>
                </c:pt>
                <c:pt idx="2">
                  <c:v>Келтско море</c:v>
                </c:pt>
                <c:pt idx="3">
                  <c:v>Северно море в широки граници, включително Категарт и Ламанша</c:v>
                </c:pt>
                <c:pt idx="4">
                  <c:v>Бискайски залив и Иберийското крайбрежия</c:v>
                </c:pt>
                <c:pt idx="5">
                  <c:v>Макаронезия</c:v>
                </c:pt>
                <c:pt idx="6">
                  <c:v>Средиземно море</c:v>
                </c:pt>
                <c:pt idx="7">
                  <c:v>Западно Средиземноморие</c:v>
                </c:pt>
                <c:pt idx="8">
                  <c:v>Йонийско море и Централно Средиземно море</c:v>
                </c:pt>
                <c:pt idx="9">
                  <c:v>Адриатическо море</c:v>
                </c:pt>
                <c:pt idx="10">
                  <c:v>Егейско-Левантийско море</c:v>
                </c:pt>
                <c:pt idx="11">
                  <c:v>Черно море</c:v>
                </c:pt>
              </c:strCache>
            </c:strRef>
          </c:cat>
          <c:val>
            <c:numRef>
              <c:f>Sheet1!$H$12:$H$23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43871232"/>
        <c:axId val="43881600"/>
      </c:barChart>
      <c:barChart>
        <c:barDir val="col"/>
        <c:grouping val="clustered"/>
        <c:varyColors val="0"/>
        <c:ser>
          <c:idx val="2"/>
          <c:order val="2"/>
          <c:tx>
            <c:strRef>
              <c:f>Sheet1!$I$11</c:f>
              <c:strCache>
                <c:ptCount val="1"/>
                <c:pt idx="0">
                  <c:v>C</c:v>
                </c:pt>
              </c:strCache>
            </c:strRef>
          </c:tx>
          <c:spPr>
            <a:solidFill>
              <a:schemeClr val="accent2"/>
            </a:solidFill>
          </c:spPr>
          <c:invertIfNegative val="0"/>
          <c:cat>
            <c:strRef>
              <c:f>Sheet1!$F$12:$F$23</c:f>
              <c:strCache>
                <c:ptCount val="12"/>
                <c:pt idx="0">
                  <c:v>Балтийско море</c:v>
                </c:pt>
                <c:pt idx="1">
                  <c:v>Североизточен Атлантически океан</c:v>
                </c:pt>
                <c:pt idx="2">
                  <c:v>Келтско море</c:v>
                </c:pt>
                <c:pt idx="3">
                  <c:v>Северно море в широки граници, включително Категарт и Ламанша</c:v>
                </c:pt>
                <c:pt idx="4">
                  <c:v>Бискайски залив и Иберийското крайбрежия</c:v>
                </c:pt>
                <c:pt idx="5">
                  <c:v>Макаронезия</c:v>
                </c:pt>
                <c:pt idx="6">
                  <c:v>Средиземно море</c:v>
                </c:pt>
                <c:pt idx="7">
                  <c:v>Западно Средиземноморие</c:v>
                </c:pt>
                <c:pt idx="8">
                  <c:v>Йонийско море и Централно Средиземно море</c:v>
                </c:pt>
                <c:pt idx="9">
                  <c:v>Адриатическо море</c:v>
                </c:pt>
                <c:pt idx="10">
                  <c:v>Егейско-Левантийско море</c:v>
                </c:pt>
                <c:pt idx="11">
                  <c:v>Черно море</c:v>
                </c:pt>
              </c:strCache>
            </c:strRef>
          </c:cat>
          <c:val>
            <c:numRef>
              <c:f>Sheet1!$I$12:$I$23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3"/>
          <c:order val="3"/>
          <c:tx>
            <c:strRef>
              <c:f>Sheet1!$J$11</c:f>
              <c:strCache>
                <c:ptCount val="1"/>
                <c:pt idx="0">
                  <c:v>% обхванат от "Натура 2000"</c:v>
                </c:pt>
              </c:strCache>
            </c:strRef>
          </c:tx>
          <c:spPr>
            <a:solidFill>
              <a:schemeClr val="accent2"/>
            </a:solidFill>
          </c:spPr>
          <c:invertIfNegative val="0"/>
          <c:cat>
            <c:strRef>
              <c:f>Sheet1!$F$12:$F$23</c:f>
              <c:strCache>
                <c:ptCount val="12"/>
                <c:pt idx="0">
                  <c:v>Балтийско море</c:v>
                </c:pt>
                <c:pt idx="1">
                  <c:v>Североизточен Атлантически океан</c:v>
                </c:pt>
                <c:pt idx="2">
                  <c:v>Келтско море</c:v>
                </c:pt>
                <c:pt idx="3">
                  <c:v>Северно море в широки граници, включително Категарт и Ламанша</c:v>
                </c:pt>
                <c:pt idx="4">
                  <c:v>Бискайски залив и Иберийското крайбрежия</c:v>
                </c:pt>
                <c:pt idx="5">
                  <c:v>Макаронезия</c:v>
                </c:pt>
                <c:pt idx="6">
                  <c:v>Средиземно море</c:v>
                </c:pt>
                <c:pt idx="7">
                  <c:v>Западно Средиземноморие</c:v>
                </c:pt>
                <c:pt idx="8">
                  <c:v>Йонийско море и Централно Средиземно море</c:v>
                </c:pt>
                <c:pt idx="9">
                  <c:v>Адриатическо море</c:v>
                </c:pt>
                <c:pt idx="10">
                  <c:v>Егейско-Левантийско море</c:v>
                </c:pt>
                <c:pt idx="11">
                  <c:v>Черно море</c:v>
                </c:pt>
              </c:strCache>
            </c:strRef>
          </c:cat>
          <c:val>
            <c:numRef>
              <c:f>Sheet1!$J$12:$J$23</c:f>
              <c:numCache>
                <c:formatCode>General</c:formatCode>
                <c:ptCount val="12"/>
                <c:pt idx="0">
                  <c:v>12.3</c:v>
                </c:pt>
                <c:pt idx="1">
                  <c:v>3.7</c:v>
                </c:pt>
                <c:pt idx="2">
                  <c:v>3.8</c:v>
                </c:pt>
                <c:pt idx="3">
                  <c:v>17.600000000000001</c:v>
                </c:pt>
                <c:pt idx="4">
                  <c:v>3.2</c:v>
                </c:pt>
                <c:pt idx="5">
                  <c:v>0.1</c:v>
                </c:pt>
                <c:pt idx="6">
                  <c:v>2.4</c:v>
                </c:pt>
                <c:pt idx="7">
                  <c:v>3</c:v>
                </c:pt>
                <c:pt idx="8">
                  <c:v>1.4</c:v>
                </c:pt>
                <c:pt idx="9">
                  <c:v>1.3</c:v>
                </c:pt>
                <c:pt idx="10">
                  <c:v>2.5</c:v>
                </c:pt>
                <c:pt idx="11">
                  <c:v>4.5</c:v>
                </c:pt>
              </c:numCache>
            </c:numRef>
          </c:val>
        </c:ser>
        <c:dLbls>
          <c:showLegendKey val="0"/>
          <c:showVal val="0"/>
          <c:showCatName val="0"/>
          <c:showSerName val="0"/>
          <c:showPercent val="0"/>
          <c:showBubbleSize val="0"/>
        </c:dLbls>
        <c:gapWidth val="150"/>
        <c:overlap val="2"/>
        <c:axId val="43897984"/>
        <c:axId val="43883520"/>
      </c:barChart>
      <c:catAx>
        <c:axId val="43871232"/>
        <c:scaling>
          <c:orientation val="minMax"/>
        </c:scaling>
        <c:delete val="0"/>
        <c:axPos val="b"/>
        <c:title>
          <c:tx>
            <c:rich>
              <a:bodyPr/>
              <a:lstStyle/>
              <a:p>
                <a:pPr>
                  <a:defRPr/>
                </a:pPr>
                <a:r>
                  <a:rPr lang="bg-BG"/>
                  <a:t>Морски</a:t>
                </a:r>
                <a:r>
                  <a:rPr lang="bg-BG" baseline="0"/>
                  <a:t> регион и подрегион</a:t>
                </a:r>
                <a:endParaRPr lang="en-US"/>
              </a:p>
            </c:rich>
          </c:tx>
          <c:layout>
            <c:manualLayout>
              <c:xMode val="edge"/>
              <c:yMode val="edge"/>
              <c:x val="0.40890528905289064"/>
              <c:y val="0.86563005275643168"/>
            </c:manualLayout>
          </c:layout>
          <c:overlay val="0"/>
        </c:title>
        <c:numFmt formatCode="General" sourceLinked="0"/>
        <c:majorTickMark val="out"/>
        <c:minorTickMark val="none"/>
        <c:tickLblPos val="nextTo"/>
        <c:crossAx val="43881600"/>
        <c:crosses val="autoZero"/>
        <c:auto val="1"/>
        <c:lblAlgn val="ctr"/>
        <c:lblOffset val="100"/>
        <c:noMultiLvlLbl val="0"/>
      </c:catAx>
      <c:valAx>
        <c:axId val="43881600"/>
        <c:scaling>
          <c:orientation val="minMax"/>
        </c:scaling>
        <c:delete val="0"/>
        <c:axPos val="l"/>
        <c:majorGridlines/>
        <c:title>
          <c:tx>
            <c:rich>
              <a:bodyPr rot="-5400000" vert="horz"/>
              <a:lstStyle/>
              <a:p>
                <a:pPr>
                  <a:defRPr/>
                </a:pPr>
                <a:r>
                  <a:rPr lang="it-IT"/>
                  <a:t>km</a:t>
                </a:r>
                <a:r>
                  <a:rPr lang="it-IT" baseline="30000"/>
                  <a:t>2</a:t>
                </a:r>
              </a:p>
            </c:rich>
          </c:tx>
          <c:overlay val="0"/>
        </c:title>
        <c:numFmt formatCode="General" sourceLinked="1"/>
        <c:majorTickMark val="out"/>
        <c:minorTickMark val="none"/>
        <c:tickLblPos val="nextTo"/>
        <c:crossAx val="43871232"/>
        <c:crosses val="autoZero"/>
        <c:crossBetween val="between"/>
      </c:valAx>
      <c:valAx>
        <c:axId val="43883520"/>
        <c:scaling>
          <c:orientation val="minMax"/>
        </c:scaling>
        <c:delete val="0"/>
        <c:axPos val="r"/>
        <c:title>
          <c:tx>
            <c:rich>
              <a:bodyPr rot="-5400000" vert="horz"/>
              <a:lstStyle/>
              <a:p>
                <a:pPr>
                  <a:defRPr/>
                </a:pPr>
                <a:r>
                  <a:rPr lang="en-US"/>
                  <a:t>%</a:t>
                </a:r>
                <a:endParaRPr lang="en-US" b="0"/>
              </a:p>
            </c:rich>
          </c:tx>
          <c:overlay val="0"/>
        </c:title>
        <c:numFmt formatCode="General" sourceLinked="1"/>
        <c:majorTickMark val="out"/>
        <c:minorTickMark val="none"/>
        <c:tickLblPos val="nextTo"/>
        <c:crossAx val="43897984"/>
        <c:crosses val="max"/>
        <c:crossBetween val="between"/>
      </c:valAx>
      <c:catAx>
        <c:axId val="43897984"/>
        <c:scaling>
          <c:orientation val="minMax"/>
        </c:scaling>
        <c:delete val="1"/>
        <c:axPos val="b"/>
        <c:numFmt formatCode="General" sourceLinked="1"/>
        <c:majorTickMark val="out"/>
        <c:minorTickMark val="none"/>
        <c:tickLblPos val="none"/>
        <c:crossAx val="43883520"/>
        <c:crosses val="autoZero"/>
        <c:auto val="1"/>
        <c:lblAlgn val="ctr"/>
        <c:lblOffset val="100"/>
        <c:noMultiLvlLbl val="0"/>
      </c:catAx>
    </c:plotArea>
    <c:legend>
      <c:legendPos val="b"/>
      <c:legendEntry>
        <c:idx val="1"/>
        <c:delete val="1"/>
      </c:legendEntry>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1334</Words>
  <Characters>7833</Characters>
  <Application>Microsoft Office Word</Application>
  <DocSecurity>0</DocSecurity>
  <Lines>186</Lines>
  <Paragraphs>40</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9127</CharactersWithSpaces>
  <SharedDoc>false</SharedDoc>
  <HLinks>
    <vt:vector size="6" baseType="variant">
      <vt:variant>
        <vt:i4>8061051</vt:i4>
      </vt:variant>
      <vt:variant>
        <vt:i4>0</vt:i4>
      </vt:variant>
      <vt:variant>
        <vt:i4>0</vt:i4>
      </vt:variant>
      <vt:variant>
        <vt:i4>5</vt:i4>
      </vt:variant>
      <vt:variant>
        <vt:lpwstr>https://circabc.europa.eu/w/browse/0ee797dd-d92c-4d7c-a9f9-5dffb36d2065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 ENV</dc:creator>
  <cp:lastModifiedBy>DIGIT/A3</cp:lastModifiedBy>
  <cp:revision>9</cp:revision>
  <cp:lastPrinted>2015-07-02T09:12:00Z</cp:lastPrinted>
  <dcterms:created xsi:type="dcterms:W3CDTF">2015-07-30T14:48:00Z</dcterms:created>
  <dcterms:modified xsi:type="dcterms:W3CDTF">2015-09-24T12:13:00Z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2</vt:lpwstr>
  </property>
  <property fmtid="{D5CDD505-2E9C-101B-9397-08002B2CF9AE}" pid="4" name="Part">
    <vt:lpwstr>&lt;UNUSED&gt;</vt:lpwstr>
  </property>
  <property fmtid="{D5CDD505-2E9C-101B-9397-08002B2CF9AE}" pid="5" name="Total parts">
    <vt:lpwstr>&lt;UNUSED&gt;</vt:lpwstr>
  </property>
  <property fmtid="{D5CDD505-2E9C-101B-9397-08002B2CF9AE}" pid="6" name="Classification">
    <vt:lpwstr> </vt:lpwstr>
  </property>
  <property fmtid="{D5CDD505-2E9C-101B-9397-08002B2CF9AE}" pid="7" name="DocStatus">
    <vt:lpwstr>Green</vt:lpwstr>
  </property>
</Properties>
</file>