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15A62252714AB696F28BF0AAF9ED4F" style="width:450.25pt;height:307.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26"/>
        </w:sectPr>
      </w:pPr>
    </w:p>
    <w:p>
      <w:pPr>
        <w:pStyle w:val="ManualHeading1"/>
        <w:rPr>
          <w:noProof/>
        </w:rPr>
      </w:pPr>
      <w:bookmarkStart w:id="1" w:name="_GoBack"/>
      <w:bookmarkEnd w:id="1"/>
      <w:r>
        <w:lastRenderedPageBreak/>
        <w:t>1.</w:t>
      </w:r>
      <w:r>
        <w:tab/>
      </w:r>
      <w:r>
        <w:rPr>
          <w:noProof/>
        </w:rPr>
        <w:t>Avant-propos</w:t>
      </w:r>
    </w:p>
    <w:p>
      <w:pPr>
        <w:pStyle w:val="Text1"/>
        <w:rPr>
          <w:noProof/>
        </w:rPr>
      </w:pPr>
      <w:r>
        <w:rPr>
          <w:noProof/>
        </w:rPr>
        <w:t>Conformément à l'article 7, paragraphe 3, de l'accord interne relatif au 11</w:t>
      </w:r>
      <w:r>
        <w:rPr>
          <w:noProof/>
          <w:vertAlign w:val="superscript"/>
        </w:rPr>
        <w:t>e</w:t>
      </w:r>
      <w:r>
        <w:rPr>
          <w:noProof/>
        </w:rPr>
        <w:t xml:space="preserve"> FED</w:t>
      </w:r>
      <w:r>
        <w:rPr>
          <w:rStyle w:val="FootnoteReference"/>
          <w:noProof/>
        </w:rPr>
        <w:footnoteReference w:id="1"/>
      </w:r>
      <w:r>
        <w:rPr>
          <w:noProof/>
        </w:rPr>
        <w:t xml:space="preserve"> et à l'article 21, paragraphe 2, du règlement (UE) 2015/323 du Conseil portant règlement financier applicable au 11</w:t>
      </w:r>
      <w:r>
        <w:rPr>
          <w:noProof/>
          <w:vertAlign w:val="superscript"/>
        </w:rPr>
        <w:t>e</w:t>
      </w:r>
      <w:r>
        <w:rPr>
          <w:noProof/>
        </w:rPr>
        <w:t> Fonds européen de développement</w:t>
      </w:r>
      <w:r>
        <w:rPr>
          <w:rStyle w:val="FootnoteReference"/>
          <w:noProof/>
        </w:rPr>
        <w:footnoteReference w:id="2"/>
      </w:r>
      <w:r>
        <w:rPr>
          <w:noProof/>
        </w:rPr>
        <w:t xml:space="preserve"> (ci-après le «règlement financier du 11</w:t>
      </w:r>
      <w:r>
        <w:rPr>
          <w:noProof/>
          <w:vertAlign w:val="superscript"/>
        </w:rPr>
        <w:t>e</w:t>
      </w:r>
      <w:r>
        <w:rPr>
          <w:noProof/>
        </w:rPr>
        <w:t xml:space="preserve"> FED»), la Commission présente dans le présent document une estimation des engagements, des paiements et des contributions pour les exercices 2015 à 2017, en tenant compte des prévisions de la Banque européenne d’investissement (BEI).</w:t>
      </w:r>
    </w:p>
    <w:p>
      <w:pPr>
        <w:pStyle w:val="Text1"/>
        <w:rPr>
          <w:noProof/>
        </w:rPr>
      </w:pPr>
      <w:r>
        <w:rPr>
          <w:noProof/>
        </w:rPr>
        <w:t>Le présent document expose l’exécution financière des FED (du 8</w:t>
      </w:r>
      <w:r>
        <w:rPr>
          <w:noProof/>
          <w:vertAlign w:val="superscript"/>
        </w:rPr>
        <w:t>e</w:t>
      </w:r>
      <w:r>
        <w:rPr>
          <w:noProof/>
        </w:rPr>
        <w:t xml:space="preserve"> au 11</w:t>
      </w:r>
      <w:r>
        <w:rPr>
          <w:noProof/>
          <w:vertAlign w:val="superscript"/>
        </w:rPr>
        <w:t>e</w:t>
      </w:r>
      <w:r>
        <w:rPr>
          <w:noProof/>
        </w:rPr>
        <w:t>) pour 2014 et les prévisions d’exécution pour 2015 à 2017. Il présente en outre une estimation non contraignante des contributions des États membres au FED pour les années 2018 et 2019.</w:t>
      </w:r>
    </w:p>
    <w:p>
      <w:pPr>
        <w:pStyle w:val="Text1"/>
        <w:rPr>
          <w:noProof/>
        </w:rPr>
      </w:pPr>
      <w:r>
        <w:rPr>
          <w:noProof/>
        </w:rPr>
        <w:t>Les contributions sont directement versées par les États membres à la BEI pour les instruments des 9</w:t>
      </w:r>
      <w:r>
        <w:rPr>
          <w:noProof/>
          <w:vertAlign w:val="superscript"/>
        </w:rPr>
        <w:t>e</w:t>
      </w:r>
      <w:r>
        <w:rPr>
          <w:noProof/>
        </w:rPr>
        <w:t>, 10</w:t>
      </w:r>
      <w:r>
        <w:rPr>
          <w:noProof/>
          <w:vertAlign w:val="superscript"/>
        </w:rPr>
        <w:t>e</w:t>
      </w:r>
      <w:r>
        <w:rPr>
          <w:noProof/>
        </w:rPr>
        <w:t xml:space="preserve"> et 11</w:t>
      </w:r>
      <w:r>
        <w:rPr>
          <w:noProof/>
          <w:vertAlign w:val="superscript"/>
        </w:rPr>
        <w:t>e</w:t>
      </w:r>
      <w:r>
        <w:rPr>
          <w:noProof/>
        </w:rPr>
        <w:t xml:space="preserve"> FED dont elle assure la gestion (la facilité d’investissement et les bonifications d’intérêt).</w:t>
      </w:r>
    </w:p>
    <w:p>
      <w:pPr>
        <w:pStyle w:val="ManualHeading1"/>
        <w:rPr>
          <w:noProof/>
        </w:rPr>
      </w:pPr>
      <w:r>
        <w:t>2.</w:t>
      </w:r>
      <w:r>
        <w:tab/>
      </w:r>
      <w:r>
        <w:rPr>
          <w:noProof/>
        </w:rPr>
        <w:t>Introduction</w:t>
      </w:r>
    </w:p>
    <w:p>
      <w:pPr>
        <w:pStyle w:val="Text1"/>
        <w:rPr>
          <w:noProof/>
        </w:rPr>
      </w:pPr>
      <w:r>
        <w:rPr>
          <w:noProof/>
        </w:rPr>
        <w:t>La Commission et la BEI ont actualisé, pour chacun des pays ACP</w:t>
      </w:r>
      <w:r>
        <w:rPr>
          <w:rStyle w:val="FootnoteReference"/>
          <w:noProof/>
        </w:rPr>
        <w:footnoteReference w:id="3"/>
      </w:r>
      <w:r>
        <w:rPr>
          <w:noProof/>
        </w:rPr>
        <w:t xml:space="preserve"> et des PTOM</w:t>
      </w:r>
      <w:r>
        <w:rPr>
          <w:rStyle w:val="FootnoteReference"/>
          <w:noProof/>
        </w:rPr>
        <w:footnoteReference w:id="4"/>
      </w:r>
      <w:r>
        <w:rPr>
          <w:noProof/>
        </w:rPr>
        <w:t>, leurs prévisions d’engagements et de paiements pour les exercices 2015, 2016 et 2017. Les prévisions de paiements, en particulier, ont été élaborées dans l’objectif d’aider les États membres à réserver des montants les plus exacts possible sur leurs budgets nationaux, tout en s’assurant qu’un volume suffisant de ressources financières soit disponible pour le FED afin d’éviter des problèmes de trésorerie.</w:t>
      </w:r>
    </w:p>
    <w:p>
      <w:pPr>
        <w:pStyle w:val="Text1"/>
        <w:rPr>
          <w:noProof/>
        </w:rPr>
      </w:pPr>
      <w:r>
        <w:rPr>
          <w:noProof/>
        </w:rPr>
        <w:t>Conformément à l’article 7 de l’accord interne relatif au 11</w:t>
      </w:r>
      <w:r>
        <w:rPr>
          <w:noProof/>
          <w:vertAlign w:val="superscript"/>
        </w:rPr>
        <w:t>e</w:t>
      </w:r>
      <w:r>
        <w:rPr>
          <w:noProof/>
        </w:rPr>
        <w:t xml:space="preserve"> FED</w:t>
      </w:r>
      <w:r>
        <w:rPr>
          <w:rStyle w:val="FootnoteReference"/>
          <w:noProof/>
        </w:rPr>
        <w:footnoteReference w:id="5"/>
      </w:r>
      <w:r>
        <w:rPr>
          <w:noProof/>
        </w:rPr>
        <w:t xml:space="preserve"> et à l’article 21, paragraphe 5, du règlement financier du 11</w:t>
      </w:r>
      <w:r>
        <w:rPr>
          <w:noProof/>
          <w:vertAlign w:val="superscript"/>
        </w:rPr>
        <w:t>e</w:t>
      </w:r>
      <w:r>
        <w:rPr>
          <w:noProof/>
        </w:rPr>
        <w:t xml:space="preserve"> FED</w:t>
      </w:r>
      <w:r>
        <w:rPr>
          <w:rStyle w:val="FootnoteReference"/>
          <w:noProof/>
        </w:rPr>
        <w:footnoteReference w:id="6"/>
      </w:r>
      <w:r>
        <w:rPr>
          <w:noProof/>
        </w:rPr>
        <w:t>, les estimations fournies dans le présent document ont été actualisées.</w:t>
      </w:r>
    </w:p>
    <w:p>
      <w:pPr>
        <w:pStyle w:val="Text1"/>
        <w:rPr>
          <w:noProof/>
        </w:rPr>
      </w:pPr>
      <w:r>
        <w:rPr>
          <w:noProof/>
        </w:rPr>
        <w:t>Le graphique ci-dessous donne un aperçu général de l’évolution des engagements et paiements bruts réalisés depuis 1999 et attendus pour 2015, 2016 et 2017 (montants cumulés Commission et BEI).</w:t>
      </w:r>
    </w:p>
    <w:p>
      <w:pPr>
        <w:pStyle w:val="Text1"/>
        <w:rPr>
          <w:noProof/>
        </w:rPr>
      </w:pPr>
    </w:p>
    <w:p>
      <w:pPr>
        <w:pStyle w:val="Text1"/>
        <w:rPr>
          <w:b/>
          <w:noProof/>
        </w:rPr>
      </w:pPr>
      <w:r>
        <w:rPr>
          <w:noProof/>
        </w:rPr>
        <w:br w:type="page"/>
      </w:r>
    </w:p>
    <w:p>
      <w:pPr>
        <w:pStyle w:val="Text1"/>
        <w:rPr>
          <w:noProof/>
        </w:rPr>
      </w:pPr>
      <w:r>
        <w:rPr>
          <w:b/>
          <w:noProof/>
        </w:rPr>
        <w:t>Engagements et paiements bruts: tendance 1999-2017 (en millions d’EUR)</w:t>
      </w:r>
    </w:p>
    <w:p>
      <w:pPr>
        <w:pStyle w:val="Text1"/>
        <w:ind w:left="0"/>
        <w:rPr>
          <w:noProof/>
        </w:rPr>
      </w:pPr>
      <w:r>
        <w:rPr>
          <w:noProof/>
          <w:lang w:val="en-US" w:eastAsia="en-US" w:bidi="ar-SA"/>
        </w:rPr>
        <w:drawing>
          <wp:inline distT="0" distB="0" distL="0" distR="0">
            <wp:extent cx="5970905" cy="3807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0905" cy="3807460"/>
                    </a:xfrm>
                    <a:prstGeom prst="rect">
                      <a:avLst/>
                    </a:prstGeom>
                    <a:noFill/>
                    <a:ln>
                      <a:noFill/>
                    </a:ln>
                  </pic:spPr>
                </pic:pic>
              </a:graphicData>
            </a:graphic>
          </wp:inline>
        </w:drawing>
      </w:r>
    </w:p>
    <w:p>
      <w:pPr>
        <w:pStyle w:val="Text1"/>
        <w:ind w:left="0"/>
        <w:rPr>
          <w:noProof/>
        </w:rPr>
      </w:pPr>
      <w:r>
        <w:rPr>
          <w:noProof/>
        </w:rPr>
        <w:t>NB: chiffres de la mise en œuvre des Fonds européens de développement au 31 décembre 2014 (engagements, paiements et situation financière) et prévisions pour 2015, 2016 et 2017.</w:t>
      </w:r>
    </w:p>
    <w:p>
      <w:pPr>
        <w:pStyle w:val="Text1"/>
        <w:ind w:left="0"/>
        <w:rPr>
          <w:noProof/>
        </w:rPr>
      </w:pPr>
      <w:r>
        <w:rPr>
          <w:noProof/>
        </w:rPr>
        <w:t>Les annexes 1, 2 et 3 indiquent respectivement les engagements, les paiements et la situation financière observés par rapport aux prévisions précédentes.</w:t>
      </w:r>
      <w:r>
        <w:rPr>
          <w:noProof/>
        </w:rPr>
        <w:br/>
        <w:t>Les annexes 4, 5 et 6 indiquent respectivement les contributions des États membres pour 2015 et 2016 par tranches et donnent un aperçu général des contributions annuelles de chaque État membre pour la période 2016-2019.</w:t>
      </w:r>
    </w:p>
    <w:p>
      <w:pPr>
        <w:pStyle w:val="ManualHeading1"/>
        <w:rPr>
          <w:noProof/>
        </w:rPr>
      </w:pPr>
      <w:r>
        <w:t>3.</w:t>
      </w:r>
      <w:r>
        <w:tab/>
      </w:r>
      <w:r>
        <w:rPr>
          <w:noProof/>
        </w:rPr>
        <w:t>Prévisions financières pour les exercices 2015 à 2017</w:t>
      </w:r>
    </w:p>
    <w:p>
      <w:pPr>
        <w:pStyle w:val="Text1"/>
        <w:rPr>
          <w:noProof/>
        </w:rPr>
      </w:pPr>
      <w:r>
        <w:rPr>
          <w:noProof/>
        </w:rPr>
        <w:t>Le tableau ci-après fait le point sur les engagements, les paiements et les contributions, sur la base des dernières prévisions de la Commission.</w:t>
      </w:r>
    </w:p>
    <w:tbl>
      <w:tblPr>
        <w:tblW w:w="8540" w:type="dxa"/>
        <w:tblInd w:w="93" w:type="dxa"/>
        <w:tblLook w:val="04A0" w:firstRow="1" w:lastRow="0" w:firstColumn="1" w:lastColumn="0" w:noHBand="0" w:noVBand="1"/>
      </w:tblPr>
      <w:tblGrid>
        <w:gridCol w:w="1900"/>
        <w:gridCol w:w="1900"/>
        <w:gridCol w:w="1580"/>
        <w:gridCol w:w="1580"/>
        <w:gridCol w:w="1580"/>
      </w:tblGrid>
      <w:tr>
        <w:trPr>
          <w:trHeight w:val="240"/>
        </w:trPr>
        <w:tc>
          <w:tcPr>
            <w:tcW w:w="1900" w:type="dxa"/>
            <w:tcBorders>
              <w:top w:val="single" w:sz="8" w:space="0" w:color="auto"/>
              <w:left w:val="single" w:sz="8" w:space="0" w:color="auto"/>
              <w:bottom w:val="nil"/>
              <w:right w:val="nil"/>
            </w:tcBorders>
            <w:noWrap/>
            <w:vAlign w:val="bottom"/>
            <w:hideMark/>
          </w:tcPr>
          <w:p>
            <w:pPr>
              <w:spacing w:before="0" w:after="0"/>
              <w:jc w:val="left"/>
              <w:rPr>
                <w:b/>
                <w:bCs/>
                <w:noProof/>
                <w:szCs w:val="24"/>
              </w:rPr>
            </w:pPr>
            <w:r>
              <w:rPr>
                <w:b/>
                <w:noProof/>
              </w:rPr>
              <w:t> </w:t>
            </w:r>
          </w:p>
        </w:tc>
        <w:tc>
          <w:tcPr>
            <w:tcW w:w="1900" w:type="dxa"/>
            <w:tcBorders>
              <w:top w:val="single" w:sz="8" w:space="0" w:color="auto"/>
              <w:left w:val="nil"/>
              <w:bottom w:val="nil"/>
              <w:right w:val="nil"/>
            </w:tcBorders>
            <w:noWrap/>
            <w:vAlign w:val="bottom"/>
            <w:hideMark/>
          </w:tcPr>
          <w:p>
            <w:pPr>
              <w:spacing w:before="0" w:after="0"/>
              <w:jc w:val="left"/>
              <w:rPr>
                <w:b/>
                <w:bCs/>
                <w:noProof/>
                <w:szCs w:val="24"/>
              </w:rPr>
            </w:pPr>
            <w:r>
              <w:rPr>
                <w:b/>
                <w:noProof/>
              </w:rPr>
              <w:t> </w:t>
            </w:r>
          </w:p>
        </w:tc>
        <w:tc>
          <w:tcPr>
            <w:tcW w:w="1580" w:type="dxa"/>
            <w:tcBorders>
              <w:top w:val="single" w:sz="8" w:space="0" w:color="auto"/>
              <w:left w:val="single" w:sz="4" w:space="0" w:color="auto"/>
              <w:bottom w:val="nil"/>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single" w:sz="8" w:space="0" w:color="auto"/>
              <w:left w:val="nil"/>
              <w:bottom w:val="nil"/>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single" w:sz="8" w:space="0" w:color="auto"/>
              <w:left w:val="nil"/>
              <w:bottom w:val="nil"/>
              <w:right w:val="single" w:sz="8" w:space="0" w:color="auto"/>
            </w:tcBorders>
            <w:noWrap/>
            <w:vAlign w:val="bottom"/>
            <w:hideMark/>
          </w:tcPr>
          <w:p>
            <w:pPr>
              <w:spacing w:before="0" w:after="0"/>
              <w:jc w:val="center"/>
              <w:rPr>
                <w:b/>
                <w:bCs/>
                <w:noProof/>
                <w:szCs w:val="24"/>
              </w:rPr>
            </w:pPr>
            <w:r>
              <w:rPr>
                <w:b/>
                <w:noProof/>
              </w:rPr>
              <w:t> </w:t>
            </w:r>
          </w:p>
        </w:tc>
      </w:tr>
      <w:tr>
        <w:trPr>
          <w:trHeight w:val="240"/>
        </w:trPr>
        <w:tc>
          <w:tcPr>
            <w:tcW w:w="3800" w:type="dxa"/>
            <w:gridSpan w:val="2"/>
            <w:tcBorders>
              <w:top w:val="nil"/>
              <w:left w:val="single" w:sz="8" w:space="0" w:color="auto"/>
              <w:bottom w:val="nil"/>
              <w:right w:val="single" w:sz="4" w:space="0" w:color="000000"/>
            </w:tcBorders>
            <w:noWrap/>
            <w:vAlign w:val="bottom"/>
            <w:hideMark/>
          </w:tcPr>
          <w:p>
            <w:pPr>
              <w:spacing w:before="0" w:after="0"/>
              <w:jc w:val="center"/>
              <w:rPr>
                <w:b/>
                <w:bCs/>
                <w:noProof/>
                <w:szCs w:val="24"/>
              </w:rPr>
            </w:pPr>
            <w:r>
              <w:rPr>
                <w:b/>
                <w:noProof/>
              </w:rPr>
              <w:t>Prévisions 2015-2017 (*)</w:t>
            </w:r>
          </w:p>
        </w:tc>
        <w:tc>
          <w:tcPr>
            <w:tcW w:w="1580" w:type="dxa"/>
            <w:tcBorders>
              <w:top w:val="nil"/>
              <w:left w:val="nil"/>
              <w:bottom w:val="nil"/>
              <w:right w:val="single" w:sz="4" w:space="0" w:color="auto"/>
            </w:tcBorders>
            <w:noWrap/>
            <w:vAlign w:val="bottom"/>
            <w:hideMark/>
          </w:tcPr>
          <w:p>
            <w:pPr>
              <w:spacing w:before="0" w:after="0"/>
              <w:jc w:val="center"/>
              <w:rPr>
                <w:b/>
                <w:bCs/>
                <w:noProof/>
                <w:szCs w:val="24"/>
              </w:rPr>
            </w:pPr>
            <w:r>
              <w:rPr>
                <w:b/>
                <w:noProof/>
              </w:rPr>
              <w:t>2015</w:t>
            </w:r>
          </w:p>
        </w:tc>
        <w:tc>
          <w:tcPr>
            <w:tcW w:w="1580" w:type="dxa"/>
            <w:tcBorders>
              <w:top w:val="nil"/>
              <w:left w:val="nil"/>
              <w:bottom w:val="nil"/>
              <w:right w:val="single" w:sz="4" w:space="0" w:color="auto"/>
            </w:tcBorders>
            <w:noWrap/>
            <w:vAlign w:val="bottom"/>
            <w:hideMark/>
          </w:tcPr>
          <w:p>
            <w:pPr>
              <w:spacing w:before="0" w:after="0"/>
              <w:jc w:val="center"/>
              <w:rPr>
                <w:b/>
                <w:bCs/>
                <w:noProof/>
                <w:szCs w:val="24"/>
              </w:rPr>
            </w:pPr>
            <w:r>
              <w:rPr>
                <w:b/>
                <w:noProof/>
              </w:rPr>
              <w:t>2016</w:t>
            </w:r>
          </w:p>
        </w:tc>
        <w:tc>
          <w:tcPr>
            <w:tcW w:w="1580" w:type="dxa"/>
            <w:tcBorders>
              <w:top w:val="nil"/>
              <w:left w:val="nil"/>
              <w:bottom w:val="nil"/>
              <w:right w:val="single" w:sz="8" w:space="0" w:color="auto"/>
            </w:tcBorders>
            <w:noWrap/>
            <w:vAlign w:val="bottom"/>
            <w:hideMark/>
          </w:tcPr>
          <w:p>
            <w:pPr>
              <w:spacing w:before="0" w:after="0"/>
              <w:jc w:val="center"/>
              <w:rPr>
                <w:b/>
                <w:bCs/>
                <w:noProof/>
                <w:szCs w:val="24"/>
              </w:rPr>
            </w:pPr>
            <w:r>
              <w:rPr>
                <w:b/>
                <w:noProof/>
              </w:rPr>
              <w:t>2017</w:t>
            </w:r>
          </w:p>
        </w:tc>
      </w:tr>
      <w:tr>
        <w:trPr>
          <w:trHeight w:val="240"/>
        </w:trPr>
        <w:tc>
          <w:tcPr>
            <w:tcW w:w="1900" w:type="dxa"/>
            <w:tcBorders>
              <w:top w:val="nil"/>
              <w:left w:val="single" w:sz="8" w:space="0" w:color="auto"/>
              <w:bottom w:val="single" w:sz="8" w:space="0" w:color="auto"/>
              <w:right w:val="nil"/>
            </w:tcBorders>
            <w:noWrap/>
            <w:vAlign w:val="bottom"/>
            <w:hideMark/>
          </w:tcPr>
          <w:p>
            <w:pPr>
              <w:spacing w:before="0" w:after="0"/>
              <w:jc w:val="left"/>
              <w:rPr>
                <w:b/>
                <w:bCs/>
                <w:noProof/>
                <w:szCs w:val="24"/>
              </w:rPr>
            </w:pPr>
            <w:r>
              <w:rPr>
                <w:b/>
                <w:noProof/>
              </w:rPr>
              <w:t> </w:t>
            </w:r>
          </w:p>
        </w:tc>
        <w:tc>
          <w:tcPr>
            <w:tcW w:w="1900" w:type="dxa"/>
            <w:tcBorders>
              <w:top w:val="nil"/>
              <w:left w:val="nil"/>
              <w:bottom w:val="single" w:sz="8" w:space="0" w:color="auto"/>
              <w:right w:val="nil"/>
            </w:tcBorders>
            <w:noWrap/>
            <w:vAlign w:val="bottom"/>
            <w:hideMark/>
          </w:tcPr>
          <w:p>
            <w:pPr>
              <w:spacing w:before="0" w:after="0"/>
              <w:jc w:val="left"/>
              <w:rPr>
                <w:b/>
                <w:bCs/>
                <w:noProof/>
                <w:szCs w:val="24"/>
              </w:rPr>
            </w:pPr>
            <w:r>
              <w:rPr>
                <w:b/>
                <w:noProof/>
              </w:rPr>
              <w:t> </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nil"/>
              <w:left w:val="nil"/>
              <w:bottom w:val="single" w:sz="8" w:space="0" w:color="auto"/>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nil"/>
              <w:left w:val="nil"/>
              <w:bottom w:val="single" w:sz="8" w:space="0" w:color="auto"/>
              <w:right w:val="single" w:sz="8" w:space="0" w:color="auto"/>
            </w:tcBorders>
            <w:noWrap/>
            <w:vAlign w:val="bottom"/>
            <w:hideMark/>
          </w:tcPr>
          <w:p>
            <w:pPr>
              <w:spacing w:before="0" w:after="0"/>
              <w:jc w:val="center"/>
              <w:rPr>
                <w:b/>
                <w:bCs/>
                <w:noProof/>
                <w:szCs w:val="24"/>
              </w:rPr>
            </w:pPr>
            <w:r>
              <w:rPr>
                <w:b/>
                <w:noProof/>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rPr>
              <w:t>Engagements</w:t>
            </w:r>
          </w:p>
        </w:tc>
        <w:tc>
          <w:tcPr>
            <w:tcW w:w="1900" w:type="dxa"/>
            <w:noWrap/>
            <w:vAlign w:val="bottom"/>
            <w:hideMark/>
          </w:tcPr>
          <w:p>
            <w:pPr>
              <w:spacing w:before="0" w:after="0"/>
              <w:jc w:val="left"/>
              <w:rPr>
                <w:noProof/>
                <w:szCs w:val="24"/>
              </w:rPr>
            </w:pPr>
            <w:r>
              <w:rPr>
                <w:noProof/>
              </w:rPr>
              <w:t>Commission</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4 947</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4 663</w:t>
            </w:r>
          </w:p>
        </w:tc>
        <w:tc>
          <w:tcPr>
            <w:tcW w:w="1580" w:type="dxa"/>
            <w:tcBorders>
              <w:top w:val="nil"/>
              <w:left w:val="single" w:sz="4" w:space="0" w:color="auto"/>
              <w:bottom w:val="nil"/>
              <w:right w:val="single" w:sz="8" w:space="0" w:color="auto"/>
            </w:tcBorders>
            <w:noWrap/>
            <w:vAlign w:val="bottom"/>
            <w:hideMark/>
          </w:tcPr>
          <w:p>
            <w:pPr>
              <w:spacing w:before="0" w:after="0"/>
              <w:jc w:val="center"/>
              <w:rPr>
                <w:noProof/>
                <w:szCs w:val="24"/>
              </w:rPr>
            </w:pPr>
            <w:r>
              <w:rPr>
                <w:noProof/>
              </w:rPr>
              <w:t>4 963</w:t>
            </w:r>
          </w:p>
        </w:tc>
      </w:tr>
      <w:tr>
        <w:trPr>
          <w:trHeight w:val="240"/>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rPr>
              <w:t> </w:t>
            </w:r>
          </w:p>
        </w:tc>
        <w:tc>
          <w:tcPr>
            <w:tcW w:w="1900" w:type="dxa"/>
            <w:noWrap/>
            <w:vAlign w:val="bottom"/>
            <w:hideMark/>
          </w:tcPr>
          <w:p>
            <w:pPr>
              <w:spacing w:before="0" w:after="0"/>
              <w:jc w:val="left"/>
              <w:rPr>
                <w:noProof/>
                <w:szCs w:val="24"/>
              </w:rPr>
            </w:pPr>
            <w:r>
              <w:rPr>
                <w:noProof/>
              </w:rPr>
              <w:t>BEI</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830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850</w:t>
            </w:r>
          </w:p>
        </w:tc>
        <w:tc>
          <w:tcPr>
            <w:tcW w:w="1580" w:type="dxa"/>
            <w:tcBorders>
              <w:top w:val="nil"/>
              <w:left w:val="single" w:sz="4" w:space="0" w:color="auto"/>
              <w:bottom w:val="nil"/>
              <w:right w:val="single" w:sz="8" w:space="0" w:color="auto"/>
            </w:tcBorders>
            <w:noWrap/>
            <w:vAlign w:val="bottom"/>
            <w:hideMark/>
          </w:tcPr>
          <w:p>
            <w:pPr>
              <w:spacing w:before="0" w:after="0"/>
              <w:jc w:val="center"/>
              <w:rPr>
                <w:noProof/>
                <w:szCs w:val="24"/>
              </w:rPr>
            </w:pPr>
            <w:r>
              <w:rPr>
                <w:noProof/>
              </w:rPr>
              <w:t>900</w:t>
            </w:r>
          </w:p>
        </w:tc>
      </w:tr>
      <w:tr>
        <w:trPr>
          <w:trHeight w:val="240"/>
        </w:trPr>
        <w:tc>
          <w:tcPr>
            <w:tcW w:w="1900" w:type="dxa"/>
            <w:tcBorders>
              <w:top w:val="nil"/>
              <w:left w:val="single" w:sz="8" w:space="0" w:color="auto"/>
              <w:bottom w:val="single" w:sz="4" w:space="0" w:color="auto"/>
              <w:right w:val="single" w:sz="4" w:space="0" w:color="auto"/>
            </w:tcBorders>
            <w:noWrap/>
            <w:vAlign w:val="bottom"/>
            <w:hideMark/>
          </w:tcPr>
          <w:p>
            <w:pPr>
              <w:spacing w:before="0" w:after="0"/>
              <w:jc w:val="left"/>
              <w:rPr>
                <w:noProof/>
                <w:szCs w:val="24"/>
              </w:rPr>
            </w:pPr>
            <w:r>
              <w:rPr>
                <w:noProof/>
              </w:rPr>
              <w:t> </w:t>
            </w:r>
          </w:p>
        </w:tc>
        <w:tc>
          <w:tcPr>
            <w:tcW w:w="1900" w:type="dxa"/>
            <w:tcBorders>
              <w:top w:val="nil"/>
              <w:left w:val="nil"/>
              <w:bottom w:val="single" w:sz="4" w:space="0" w:color="auto"/>
              <w:right w:val="nil"/>
            </w:tcBorders>
            <w:noWrap/>
            <w:vAlign w:val="bottom"/>
            <w:hideMark/>
          </w:tcPr>
          <w:p>
            <w:pPr>
              <w:spacing w:before="0" w:after="0"/>
              <w:jc w:val="left"/>
              <w:rPr>
                <w:noProof/>
                <w:szCs w:val="24"/>
              </w:rPr>
            </w:pPr>
            <w:r>
              <w:rPr>
                <w:noProof/>
              </w:rPr>
              <w:t>Total</w:t>
            </w:r>
          </w:p>
        </w:tc>
        <w:tc>
          <w:tcPr>
            <w:tcW w:w="1580" w:type="dxa"/>
            <w:tcBorders>
              <w:top w:val="nil"/>
              <w:left w:val="single" w:sz="4" w:space="0" w:color="auto"/>
              <w:bottom w:val="single" w:sz="4" w:space="0" w:color="auto"/>
              <w:right w:val="single" w:sz="4" w:space="0" w:color="auto"/>
            </w:tcBorders>
            <w:noWrap/>
            <w:vAlign w:val="bottom"/>
            <w:hideMark/>
          </w:tcPr>
          <w:p>
            <w:pPr>
              <w:spacing w:before="0" w:after="0"/>
              <w:jc w:val="center"/>
              <w:rPr>
                <w:noProof/>
                <w:szCs w:val="24"/>
              </w:rPr>
            </w:pPr>
            <w:r>
              <w:rPr>
                <w:noProof/>
              </w:rPr>
              <w:t>5 777</w:t>
            </w:r>
          </w:p>
        </w:tc>
        <w:tc>
          <w:tcPr>
            <w:tcW w:w="1580" w:type="dxa"/>
            <w:tcBorders>
              <w:top w:val="nil"/>
              <w:left w:val="nil"/>
              <w:bottom w:val="single" w:sz="4" w:space="0" w:color="auto"/>
              <w:right w:val="single" w:sz="8" w:space="0" w:color="auto"/>
            </w:tcBorders>
            <w:noWrap/>
            <w:vAlign w:val="bottom"/>
            <w:hideMark/>
          </w:tcPr>
          <w:p>
            <w:pPr>
              <w:spacing w:before="0" w:after="0"/>
              <w:jc w:val="center"/>
              <w:rPr>
                <w:noProof/>
                <w:szCs w:val="24"/>
              </w:rPr>
            </w:pPr>
            <w:r>
              <w:rPr>
                <w:noProof/>
              </w:rPr>
              <w:t>5 513</w:t>
            </w:r>
          </w:p>
        </w:tc>
        <w:tc>
          <w:tcPr>
            <w:tcW w:w="1580" w:type="dxa"/>
            <w:tcBorders>
              <w:top w:val="nil"/>
              <w:left w:val="single" w:sz="4" w:space="0" w:color="auto"/>
              <w:bottom w:val="single" w:sz="4" w:space="0" w:color="auto"/>
              <w:right w:val="single" w:sz="8" w:space="0" w:color="auto"/>
            </w:tcBorders>
            <w:noWrap/>
            <w:vAlign w:val="bottom"/>
            <w:hideMark/>
          </w:tcPr>
          <w:p>
            <w:pPr>
              <w:spacing w:before="0" w:after="0"/>
              <w:jc w:val="center"/>
              <w:rPr>
                <w:noProof/>
                <w:szCs w:val="24"/>
              </w:rPr>
            </w:pPr>
            <w:r>
              <w:rPr>
                <w:noProof/>
              </w:rPr>
              <w:t>5 863</w:t>
            </w:r>
          </w:p>
        </w:tc>
      </w:tr>
      <w:tr>
        <w:trPr>
          <w:trHeight w:val="240"/>
        </w:trPr>
        <w:tc>
          <w:tcPr>
            <w:tcW w:w="1900" w:type="dxa"/>
            <w:tcBorders>
              <w:top w:val="single" w:sz="4" w:space="0" w:color="auto"/>
              <w:left w:val="single" w:sz="4" w:space="0" w:color="auto"/>
              <w:bottom w:val="nil"/>
              <w:right w:val="single" w:sz="4" w:space="0" w:color="auto"/>
            </w:tcBorders>
            <w:noWrap/>
            <w:vAlign w:val="bottom"/>
            <w:hideMark/>
          </w:tcPr>
          <w:p>
            <w:pPr>
              <w:spacing w:before="0" w:after="0"/>
              <w:jc w:val="left"/>
              <w:rPr>
                <w:noProof/>
                <w:szCs w:val="24"/>
              </w:rPr>
            </w:pPr>
            <w:r>
              <w:rPr>
                <w:noProof/>
              </w:rPr>
              <w:t>Paiements</w:t>
            </w:r>
          </w:p>
        </w:tc>
        <w:tc>
          <w:tcPr>
            <w:tcW w:w="1900" w:type="dxa"/>
            <w:tcBorders>
              <w:top w:val="single" w:sz="4" w:space="0" w:color="auto"/>
              <w:left w:val="nil"/>
              <w:bottom w:val="nil"/>
              <w:right w:val="nil"/>
            </w:tcBorders>
            <w:noWrap/>
            <w:vAlign w:val="bottom"/>
            <w:hideMark/>
          </w:tcPr>
          <w:p>
            <w:pPr>
              <w:spacing w:before="0" w:after="0"/>
              <w:jc w:val="left"/>
              <w:rPr>
                <w:noProof/>
                <w:szCs w:val="24"/>
              </w:rPr>
            </w:pPr>
            <w:r>
              <w:rPr>
                <w:noProof/>
              </w:rPr>
              <w:t>Commission</w:t>
            </w:r>
          </w:p>
        </w:tc>
        <w:tc>
          <w:tcPr>
            <w:tcW w:w="1580" w:type="dxa"/>
            <w:tcBorders>
              <w:top w:val="single" w:sz="4" w:space="0" w:color="auto"/>
              <w:left w:val="single" w:sz="4" w:space="0" w:color="auto"/>
              <w:bottom w:val="nil"/>
              <w:right w:val="single" w:sz="4" w:space="0" w:color="auto"/>
            </w:tcBorders>
            <w:noWrap/>
            <w:vAlign w:val="bottom"/>
            <w:hideMark/>
          </w:tcPr>
          <w:p>
            <w:pPr>
              <w:spacing w:before="0" w:after="0"/>
              <w:jc w:val="center"/>
              <w:rPr>
                <w:noProof/>
                <w:szCs w:val="24"/>
              </w:rPr>
            </w:pPr>
            <w:r>
              <w:rPr>
                <w:noProof/>
              </w:rPr>
              <w:t>3 152</w:t>
            </w:r>
          </w:p>
        </w:tc>
        <w:tc>
          <w:tcPr>
            <w:tcW w:w="1580" w:type="dxa"/>
            <w:tcBorders>
              <w:top w:val="single" w:sz="4" w:space="0" w:color="auto"/>
              <w:left w:val="nil"/>
              <w:bottom w:val="nil"/>
              <w:right w:val="single" w:sz="8" w:space="0" w:color="auto"/>
            </w:tcBorders>
            <w:noWrap/>
            <w:vAlign w:val="bottom"/>
            <w:hideMark/>
          </w:tcPr>
          <w:p>
            <w:pPr>
              <w:spacing w:before="0" w:after="0"/>
              <w:jc w:val="center"/>
              <w:rPr>
                <w:noProof/>
                <w:szCs w:val="24"/>
              </w:rPr>
            </w:pPr>
            <w:r>
              <w:rPr>
                <w:noProof/>
              </w:rPr>
              <w:t>3 550</w:t>
            </w:r>
          </w:p>
        </w:tc>
        <w:tc>
          <w:tcPr>
            <w:tcW w:w="1580" w:type="dxa"/>
            <w:tcBorders>
              <w:top w:val="single" w:sz="4" w:space="0" w:color="auto"/>
              <w:left w:val="single" w:sz="4" w:space="0" w:color="auto"/>
              <w:bottom w:val="nil"/>
              <w:right w:val="single" w:sz="4" w:space="0" w:color="auto"/>
            </w:tcBorders>
            <w:noWrap/>
            <w:vAlign w:val="bottom"/>
            <w:hideMark/>
          </w:tcPr>
          <w:p>
            <w:pPr>
              <w:spacing w:before="0" w:after="0"/>
              <w:jc w:val="center"/>
              <w:rPr>
                <w:noProof/>
                <w:szCs w:val="24"/>
              </w:rPr>
            </w:pPr>
            <w:r>
              <w:rPr>
                <w:noProof/>
              </w:rPr>
              <w:t>3 900</w:t>
            </w:r>
          </w:p>
        </w:tc>
      </w:tr>
      <w:tr>
        <w:trPr>
          <w:trHeight w:val="240"/>
        </w:trPr>
        <w:tc>
          <w:tcPr>
            <w:tcW w:w="1900" w:type="dxa"/>
            <w:tcBorders>
              <w:top w:val="nil"/>
              <w:left w:val="single" w:sz="4" w:space="0" w:color="auto"/>
              <w:bottom w:val="nil"/>
              <w:right w:val="single" w:sz="4" w:space="0" w:color="auto"/>
            </w:tcBorders>
            <w:noWrap/>
            <w:vAlign w:val="bottom"/>
            <w:hideMark/>
          </w:tcPr>
          <w:p>
            <w:pPr>
              <w:spacing w:before="0" w:after="0"/>
              <w:jc w:val="left"/>
              <w:rPr>
                <w:noProof/>
                <w:szCs w:val="24"/>
              </w:rPr>
            </w:pPr>
            <w:r>
              <w:rPr>
                <w:noProof/>
              </w:rPr>
              <w:t> </w:t>
            </w:r>
          </w:p>
        </w:tc>
        <w:tc>
          <w:tcPr>
            <w:tcW w:w="1900" w:type="dxa"/>
            <w:noWrap/>
            <w:vAlign w:val="bottom"/>
            <w:hideMark/>
          </w:tcPr>
          <w:p>
            <w:pPr>
              <w:spacing w:before="0" w:after="0"/>
              <w:jc w:val="left"/>
              <w:rPr>
                <w:noProof/>
                <w:szCs w:val="24"/>
              </w:rPr>
            </w:pPr>
            <w:r>
              <w:rPr>
                <w:noProof/>
              </w:rPr>
              <w:t>BEI</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300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410</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460</w:t>
            </w:r>
          </w:p>
        </w:tc>
      </w:tr>
      <w:tr>
        <w:trPr>
          <w:trHeight w:val="240"/>
        </w:trPr>
        <w:tc>
          <w:tcPr>
            <w:tcW w:w="1900" w:type="dxa"/>
            <w:tcBorders>
              <w:top w:val="nil"/>
              <w:left w:val="single" w:sz="4" w:space="0" w:color="auto"/>
              <w:bottom w:val="single" w:sz="4" w:space="0" w:color="auto"/>
              <w:right w:val="single" w:sz="4" w:space="0" w:color="auto"/>
            </w:tcBorders>
            <w:noWrap/>
            <w:vAlign w:val="bottom"/>
            <w:hideMark/>
          </w:tcPr>
          <w:p>
            <w:pPr>
              <w:spacing w:before="0" w:after="0"/>
              <w:jc w:val="left"/>
              <w:rPr>
                <w:noProof/>
                <w:szCs w:val="24"/>
              </w:rPr>
            </w:pPr>
            <w:r>
              <w:rPr>
                <w:noProof/>
              </w:rPr>
              <w:t> </w:t>
            </w:r>
          </w:p>
        </w:tc>
        <w:tc>
          <w:tcPr>
            <w:tcW w:w="1900" w:type="dxa"/>
            <w:tcBorders>
              <w:top w:val="nil"/>
              <w:left w:val="nil"/>
              <w:bottom w:val="single" w:sz="4" w:space="0" w:color="auto"/>
              <w:right w:val="nil"/>
            </w:tcBorders>
            <w:noWrap/>
            <w:vAlign w:val="bottom"/>
            <w:hideMark/>
          </w:tcPr>
          <w:p>
            <w:pPr>
              <w:spacing w:before="0" w:after="0"/>
              <w:jc w:val="left"/>
              <w:rPr>
                <w:noProof/>
                <w:szCs w:val="24"/>
              </w:rPr>
            </w:pPr>
            <w:r>
              <w:rPr>
                <w:noProof/>
              </w:rPr>
              <w:t>Total</w:t>
            </w:r>
          </w:p>
        </w:tc>
        <w:tc>
          <w:tcPr>
            <w:tcW w:w="1580" w:type="dxa"/>
            <w:tcBorders>
              <w:top w:val="nil"/>
              <w:left w:val="single" w:sz="4" w:space="0" w:color="auto"/>
              <w:bottom w:val="single" w:sz="4" w:space="0" w:color="auto"/>
              <w:right w:val="single" w:sz="4" w:space="0" w:color="auto"/>
            </w:tcBorders>
            <w:noWrap/>
            <w:vAlign w:val="bottom"/>
            <w:hideMark/>
          </w:tcPr>
          <w:p>
            <w:pPr>
              <w:spacing w:before="0" w:after="0"/>
              <w:jc w:val="center"/>
              <w:rPr>
                <w:noProof/>
                <w:szCs w:val="24"/>
              </w:rPr>
            </w:pPr>
            <w:r>
              <w:rPr>
                <w:noProof/>
              </w:rPr>
              <w:t>3 452</w:t>
            </w:r>
          </w:p>
        </w:tc>
        <w:tc>
          <w:tcPr>
            <w:tcW w:w="1580" w:type="dxa"/>
            <w:tcBorders>
              <w:top w:val="nil"/>
              <w:left w:val="nil"/>
              <w:bottom w:val="single" w:sz="4" w:space="0" w:color="auto"/>
              <w:right w:val="single" w:sz="8" w:space="0" w:color="auto"/>
            </w:tcBorders>
            <w:noWrap/>
            <w:vAlign w:val="bottom"/>
            <w:hideMark/>
          </w:tcPr>
          <w:p>
            <w:pPr>
              <w:spacing w:before="0" w:after="0"/>
              <w:jc w:val="center"/>
              <w:rPr>
                <w:noProof/>
                <w:szCs w:val="24"/>
              </w:rPr>
            </w:pPr>
            <w:r>
              <w:rPr>
                <w:noProof/>
              </w:rPr>
              <w:t>3 960</w:t>
            </w:r>
          </w:p>
        </w:tc>
        <w:tc>
          <w:tcPr>
            <w:tcW w:w="1580" w:type="dxa"/>
            <w:tcBorders>
              <w:top w:val="nil"/>
              <w:left w:val="single" w:sz="4" w:space="0" w:color="auto"/>
              <w:bottom w:val="single" w:sz="4" w:space="0" w:color="auto"/>
              <w:right w:val="single" w:sz="4" w:space="0" w:color="auto"/>
            </w:tcBorders>
            <w:noWrap/>
            <w:vAlign w:val="bottom"/>
            <w:hideMark/>
          </w:tcPr>
          <w:p>
            <w:pPr>
              <w:spacing w:before="0" w:after="0"/>
              <w:jc w:val="center"/>
              <w:rPr>
                <w:noProof/>
                <w:szCs w:val="24"/>
              </w:rPr>
            </w:pPr>
            <w:r>
              <w:rPr>
                <w:noProof/>
              </w:rPr>
              <w:t>4 360</w:t>
            </w:r>
          </w:p>
        </w:tc>
      </w:tr>
      <w:tr>
        <w:trPr>
          <w:trHeight w:val="240"/>
        </w:trPr>
        <w:tc>
          <w:tcPr>
            <w:tcW w:w="1900" w:type="dxa"/>
            <w:tcBorders>
              <w:top w:val="single" w:sz="4" w:space="0" w:color="auto"/>
              <w:left w:val="single" w:sz="8" w:space="0" w:color="auto"/>
              <w:bottom w:val="nil"/>
              <w:right w:val="single" w:sz="4" w:space="0" w:color="auto"/>
            </w:tcBorders>
            <w:noWrap/>
            <w:vAlign w:val="bottom"/>
            <w:hideMark/>
          </w:tcPr>
          <w:p>
            <w:pPr>
              <w:spacing w:before="0" w:after="0"/>
              <w:jc w:val="left"/>
              <w:rPr>
                <w:noProof/>
                <w:color w:val="FF0000"/>
                <w:szCs w:val="24"/>
              </w:rPr>
            </w:pPr>
            <w:r>
              <w:rPr>
                <w:noProof/>
                <w:color w:val="FF0000"/>
              </w:rPr>
              <w:t>Contributions</w:t>
            </w:r>
          </w:p>
        </w:tc>
        <w:tc>
          <w:tcPr>
            <w:tcW w:w="1900" w:type="dxa"/>
            <w:tcBorders>
              <w:top w:val="single" w:sz="4" w:space="0" w:color="auto"/>
              <w:left w:val="nil"/>
              <w:bottom w:val="nil"/>
              <w:right w:val="nil"/>
            </w:tcBorders>
            <w:noWrap/>
            <w:vAlign w:val="bottom"/>
            <w:hideMark/>
          </w:tcPr>
          <w:p>
            <w:pPr>
              <w:spacing w:before="0" w:after="0"/>
              <w:jc w:val="left"/>
              <w:rPr>
                <w:noProof/>
                <w:szCs w:val="24"/>
              </w:rPr>
            </w:pPr>
            <w:r>
              <w:rPr>
                <w:noProof/>
              </w:rPr>
              <w:t>Commission</w:t>
            </w:r>
          </w:p>
        </w:tc>
        <w:tc>
          <w:tcPr>
            <w:tcW w:w="1580" w:type="dxa"/>
            <w:tcBorders>
              <w:top w:val="single" w:sz="4" w:space="0" w:color="auto"/>
              <w:left w:val="single" w:sz="4" w:space="0" w:color="auto"/>
              <w:bottom w:val="nil"/>
              <w:right w:val="single" w:sz="4" w:space="0" w:color="auto"/>
            </w:tcBorders>
            <w:noWrap/>
            <w:vAlign w:val="bottom"/>
            <w:hideMark/>
          </w:tcPr>
          <w:p>
            <w:pPr>
              <w:spacing w:before="0" w:after="0"/>
              <w:jc w:val="center"/>
              <w:rPr>
                <w:noProof/>
                <w:szCs w:val="24"/>
              </w:rPr>
            </w:pPr>
            <w:r>
              <w:rPr>
                <w:noProof/>
              </w:rPr>
              <w:t>3 200</w:t>
            </w:r>
          </w:p>
        </w:tc>
        <w:tc>
          <w:tcPr>
            <w:tcW w:w="1580" w:type="dxa"/>
            <w:tcBorders>
              <w:top w:val="single" w:sz="4" w:space="0" w:color="auto"/>
              <w:left w:val="nil"/>
              <w:bottom w:val="nil"/>
              <w:right w:val="single" w:sz="8" w:space="0" w:color="auto"/>
            </w:tcBorders>
            <w:noWrap/>
            <w:vAlign w:val="bottom"/>
            <w:hideMark/>
          </w:tcPr>
          <w:p>
            <w:pPr>
              <w:spacing w:before="0" w:after="0"/>
              <w:jc w:val="center"/>
              <w:rPr>
                <w:noProof/>
                <w:szCs w:val="24"/>
              </w:rPr>
            </w:pPr>
            <w:r>
              <w:rPr>
                <w:noProof/>
              </w:rPr>
              <w:t>3 450</w:t>
            </w:r>
          </w:p>
        </w:tc>
        <w:tc>
          <w:tcPr>
            <w:tcW w:w="1580" w:type="dxa"/>
            <w:tcBorders>
              <w:top w:val="single" w:sz="4" w:space="0" w:color="auto"/>
              <w:left w:val="single" w:sz="4" w:space="0" w:color="auto"/>
              <w:bottom w:val="nil"/>
              <w:right w:val="single" w:sz="8" w:space="0" w:color="auto"/>
            </w:tcBorders>
            <w:noWrap/>
            <w:vAlign w:val="bottom"/>
            <w:hideMark/>
          </w:tcPr>
          <w:p>
            <w:pPr>
              <w:spacing w:before="0" w:after="0"/>
              <w:jc w:val="center"/>
              <w:rPr>
                <w:noProof/>
                <w:szCs w:val="24"/>
              </w:rPr>
            </w:pPr>
            <w:r>
              <w:rPr>
                <w:noProof/>
              </w:rPr>
              <w:t>3 950</w:t>
            </w:r>
          </w:p>
        </w:tc>
      </w:tr>
      <w:tr>
        <w:trPr>
          <w:trHeight w:val="240"/>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rPr>
              <w:t> </w:t>
            </w:r>
          </w:p>
        </w:tc>
        <w:tc>
          <w:tcPr>
            <w:tcW w:w="1900" w:type="dxa"/>
            <w:noWrap/>
            <w:vAlign w:val="bottom"/>
            <w:hideMark/>
          </w:tcPr>
          <w:p>
            <w:pPr>
              <w:spacing w:before="0" w:after="0"/>
              <w:jc w:val="left"/>
              <w:rPr>
                <w:noProof/>
                <w:szCs w:val="24"/>
              </w:rPr>
            </w:pPr>
            <w:r>
              <w:rPr>
                <w:noProof/>
              </w:rPr>
              <w:t>BEI</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200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150</w:t>
            </w:r>
          </w:p>
        </w:tc>
        <w:tc>
          <w:tcPr>
            <w:tcW w:w="1580" w:type="dxa"/>
            <w:tcBorders>
              <w:top w:val="nil"/>
              <w:left w:val="single" w:sz="4" w:space="0" w:color="auto"/>
              <w:bottom w:val="nil"/>
              <w:right w:val="single" w:sz="8" w:space="0" w:color="auto"/>
            </w:tcBorders>
            <w:noWrap/>
            <w:vAlign w:val="bottom"/>
            <w:hideMark/>
          </w:tcPr>
          <w:p>
            <w:pPr>
              <w:spacing w:before="0" w:after="0"/>
              <w:jc w:val="center"/>
              <w:rPr>
                <w:noProof/>
                <w:szCs w:val="24"/>
              </w:rPr>
            </w:pPr>
            <w:r>
              <w:rPr>
                <w:noProof/>
              </w:rPr>
              <w:t>200</w:t>
            </w:r>
          </w:p>
        </w:tc>
      </w:tr>
      <w:tr>
        <w:trPr>
          <w:trHeight w:val="240"/>
        </w:trPr>
        <w:tc>
          <w:tcPr>
            <w:tcW w:w="1900" w:type="dxa"/>
            <w:tcBorders>
              <w:top w:val="nil"/>
              <w:left w:val="single" w:sz="8" w:space="0" w:color="auto"/>
              <w:bottom w:val="single" w:sz="8" w:space="0" w:color="auto"/>
              <w:right w:val="single" w:sz="4" w:space="0" w:color="auto"/>
            </w:tcBorders>
            <w:noWrap/>
            <w:vAlign w:val="bottom"/>
            <w:hideMark/>
          </w:tcPr>
          <w:p>
            <w:pPr>
              <w:spacing w:before="0" w:after="0"/>
              <w:jc w:val="left"/>
              <w:rPr>
                <w:noProof/>
                <w:szCs w:val="24"/>
              </w:rPr>
            </w:pPr>
            <w:r>
              <w:rPr>
                <w:noProof/>
              </w:rPr>
              <w:t> </w:t>
            </w:r>
          </w:p>
        </w:tc>
        <w:tc>
          <w:tcPr>
            <w:tcW w:w="1900" w:type="dxa"/>
            <w:tcBorders>
              <w:top w:val="nil"/>
              <w:left w:val="nil"/>
              <w:bottom w:val="single" w:sz="8" w:space="0" w:color="auto"/>
              <w:right w:val="nil"/>
            </w:tcBorders>
            <w:noWrap/>
            <w:vAlign w:val="bottom"/>
            <w:hideMark/>
          </w:tcPr>
          <w:p>
            <w:pPr>
              <w:spacing w:before="0" w:after="0"/>
              <w:jc w:val="left"/>
              <w:rPr>
                <w:noProof/>
                <w:color w:val="FF0000"/>
                <w:szCs w:val="24"/>
              </w:rPr>
            </w:pPr>
            <w:r>
              <w:rPr>
                <w:noProof/>
                <w:color w:val="FF0000"/>
              </w:rPr>
              <w:t>Total</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noProof/>
                <w:color w:val="FF0000"/>
                <w:szCs w:val="24"/>
              </w:rPr>
            </w:pPr>
            <w:r>
              <w:rPr>
                <w:noProof/>
                <w:color w:val="FF0000"/>
              </w:rPr>
              <w:t>3 400</w:t>
            </w:r>
          </w:p>
        </w:tc>
        <w:tc>
          <w:tcPr>
            <w:tcW w:w="1580" w:type="dxa"/>
            <w:tcBorders>
              <w:top w:val="nil"/>
              <w:left w:val="nil"/>
              <w:bottom w:val="single" w:sz="8" w:space="0" w:color="auto"/>
              <w:right w:val="single" w:sz="8" w:space="0" w:color="auto"/>
            </w:tcBorders>
            <w:noWrap/>
            <w:vAlign w:val="bottom"/>
            <w:hideMark/>
          </w:tcPr>
          <w:p>
            <w:pPr>
              <w:spacing w:before="0" w:after="0"/>
              <w:jc w:val="center"/>
              <w:rPr>
                <w:noProof/>
                <w:color w:val="FF0000"/>
                <w:szCs w:val="24"/>
              </w:rPr>
            </w:pPr>
            <w:r>
              <w:rPr>
                <w:noProof/>
                <w:color w:val="FF0000"/>
              </w:rPr>
              <w:t>3 600</w:t>
            </w:r>
          </w:p>
        </w:tc>
        <w:tc>
          <w:tcPr>
            <w:tcW w:w="1580" w:type="dxa"/>
            <w:tcBorders>
              <w:top w:val="nil"/>
              <w:left w:val="single" w:sz="4" w:space="0" w:color="auto"/>
              <w:bottom w:val="single" w:sz="8" w:space="0" w:color="auto"/>
              <w:right w:val="single" w:sz="8" w:space="0" w:color="auto"/>
            </w:tcBorders>
            <w:noWrap/>
            <w:vAlign w:val="bottom"/>
            <w:hideMark/>
          </w:tcPr>
          <w:p>
            <w:pPr>
              <w:spacing w:before="0" w:after="0"/>
              <w:jc w:val="center"/>
              <w:rPr>
                <w:noProof/>
                <w:color w:val="FF0000"/>
                <w:szCs w:val="24"/>
              </w:rPr>
            </w:pPr>
            <w:r>
              <w:rPr>
                <w:noProof/>
                <w:color w:val="FF0000"/>
              </w:rPr>
              <w:t>4 150</w:t>
            </w:r>
          </w:p>
        </w:tc>
      </w:tr>
    </w:tbl>
    <w:p>
      <w:pPr>
        <w:pStyle w:val="Text1"/>
        <w:ind w:left="0"/>
        <w:rPr>
          <w:noProof/>
          <w:sz w:val="20"/>
          <w:szCs w:val="20"/>
        </w:rPr>
      </w:pPr>
      <w:r>
        <w:rPr>
          <w:noProof/>
          <w:sz w:val="20"/>
        </w:rPr>
        <w:t>* Il s’agit de montants bruts, c’est-à-dire sans déduction des dégagements ni des recouvrements/remboursements. Cette approche correspond à celle utilisée pour le budget général de l’Union.</w:t>
      </w:r>
    </w:p>
    <w:p>
      <w:pPr>
        <w:pStyle w:val="ManualHeading1"/>
        <w:rPr>
          <w:noProof/>
        </w:rPr>
      </w:pPr>
      <w:r>
        <w:t>4.</w:t>
      </w:r>
      <w:r>
        <w:tab/>
      </w:r>
      <w:r>
        <w:rPr>
          <w:noProof/>
        </w:rPr>
        <w:t>Estimation non contraignante des contributions pour 2018 et 2019</w:t>
      </w:r>
    </w:p>
    <w:tbl>
      <w:tblPr>
        <w:tblW w:w="6960" w:type="dxa"/>
        <w:tblInd w:w="93" w:type="dxa"/>
        <w:tblLook w:val="04A0" w:firstRow="1" w:lastRow="0" w:firstColumn="1" w:lastColumn="0" w:noHBand="0" w:noVBand="1"/>
      </w:tblPr>
      <w:tblGrid>
        <w:gridCol w:w="1900"/>
        <w:gridCol w:w="1900"/>
        <w:gridCol w:w="1580"/>
        <w:gridCol w:w="1580"/>
      </w:tblGrid>
      <w:tr>
        <w:trPr>
          <w:trHeight w:val="315"/>
        </w:trPr>
        <w:tc>
          <w:tcPr>
            <w:tcW w:w="1900" w:type="dxa"/>
            <w:tcBorders>
              <w:top w:val="single" w:sz="8" w:space="0" w:color="auto"/>
              <w:left w:val="single" w:sz="8" w:space="0" w:color="auto"/>
              <w:bottom w:val="nil"/>
              <w:right w:val="nil"/>
            </w:tcBorders>
            <w:noWrap/>
            <w:vAlign w:val="bottom"/>
            <w:hideMark/>
          </w:tcPr>
          <w:p>
            <w:pPr>
              <w:spacing w:before="0" w:after="0"/>
              <w:jc w:val="left"/>
              <w:rPr>
                <w:b/>
                <w:bCs/>
                <w:noProof/>
                <w:szCs w:val="24"/>
              </w:rPr>
            </w:pPr>
            <w:r>
              <w:rPr>
                <w:b/>
                <w:noProof/>
              </w:rPr>
              <w:t> </w:t>
            </w:r>
          </w:p>
        </w:tc>
        <w:tc>
          <w:tcPr>
            <w:tcW w:w="1900" w:type="dxa"/>
            <w:tcBorders>
              <w:top w:val="single" w:sz="8" w:space="0" w:color="auto"/>
              <w:left w:val="nil"/>
              <w:bottom w:val="nil"/>
              <w:right w:val="nil"/>
            </w:tcBorders>
            <w:noWrap/>
            <w:vAlign w:val="bottom"/>
            <w:hideMark/>
          </w:tcPr>
          <w:p>
            <w:pPr>
              <w:spacing w:before="0" w:after="0"/>
              <w:jc w:val="left"/>
              <w:rPr>
                <w:b/>
                <w:bCs/>
                <w:noProof/>
                <w:szCs w:val="24"/>
              </w:rPr>
            </w:pPr>
            <w:r>
              <w:rPr>
                <w:b/>
                <w:noProof/>
              </w:rPr>
              <w:t> </w:t>
            </w:r>
          </w:p>
        </w:tc>
        <w:tc>
          <w:tcPr>
            <w:tcW w:w="1580" w:type="dxa"/>
            <w:tcBorders>
              <w:top w:val="single" w:sz="8" w:space="0" w:color="auto"/>
              <w:left w:val="single" w:sz="4" w:space="0" w:color="auto"/>
              <w:bottom w:val="nil"/>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single" w:sz="8" w:space="0" w:color="auto"/>
              <w:left w:val="nil"/>
              <w:bottom w:val="nil"/>
              <w:right w:val="single" w:sz="8" w:space="0" w:color="auto"/>
            </w:tcBorders>
            <w:noWrap/>
            <w:vAlign w:val="bottom"/>
            <w:hideMark/>
          </w:tcPr>
          <w:p>
            <w:pPr>
              <w:spacing w:before="0" w:after="0"/>
              <w:jc w:val="center"/>
              <w:rPr>
                <w:b/>
                <w:bCs/>
                <w:noProof/>
                <w:szCs w:val="24"/>
              </w:rPr>
            </w:pPr>
            <w:r>
              <w:rPr>
                <w:b/>
                <w:noProof/>
              </w:rPr>
              <w:t> </w:t>
            </w:r>
          </w:p>
        </w:tc>
      </w:tr>
      <w:tr>
        <w:trPr>
          <w:trHeight w:val="315"/>
        </w:trPr>
        <w:tc>
          <w:tcPr>
            <w:tcW w:w="3800" w:type="dxa"/>
            <w:gridSpan w:val="2"/>
            <w:tcBorders>
              <w:top w:val="nil"/>
              <w:left w:val="single" w:sz="8" w:space="0" w:color="auto"/>
              <w:bottom w:val="nil"/>
              <w:right w:val="single" w:sz="4" w:space="0" w:color="000000"/>
            </w:tcBorders>
            <w:noWrap/>
            <w:vAlign w:val="bottom"/>
            <w:hideMark/>
          </w:tcPr>
          <w:p>
            <w:pPr>
              <w:spacing w:before="0" w:after="0"/>
              <w:jc w:val="center"/>
              <w:rPr>
                <w:b/>
                <w:bCs/>
                <w:noProof/>
                <w:szCs w:val="24"/>
              </w:rPr>
            </w:pPr>
            <w:r>
              <w:rPr>
                <w:b/>
                <w:noProof/>
              </w:rPr>
              <w:t>Prévisions 2018-2019 (**)</w:t>
            </w:r>
          </w:p>
        </w:tc>
        <w:tc>
          <w:tcPr>
            <w:tcW w:w="1580" w:type="dxa"/>
            <w:tcBorders>
              <w:top w:val="nil"/>
              <w:left w:val="nil"/>
              <w:bottom w:val="nil"/>
              <w:right w:val="single" w:sz="4" w:space="0" w:color="auto"/>
            </w:tcBorders>
            <w:noWrap/>
            <w:vAlign w:val="bottom"/>
            <w:hideMark/>
          </w:tcPr>
          <w:p>
            <w:pPr>
              <w:spacing w:before="0" w:after="0"/>
              <w:jc w:val="center"/>
              <w:rPr>
                <w:b/>
                <w:bCs/>
                <w:noProof/>
                <w:szCs w:val="24"/>
              </w:rPr>
            </w:pPr>
            <w:r>
              <w:rPr>
                <w:b/>
                <w:noProof/>
              </w:rPr>
              <w:t>2018</w:t>
            </w:r>
          </w:p>
        </w:tc>
        <w:tc>
          <w:tcPr>
            <w:tcW w:w="1580" w:type="dxa"/>
            <w:tcBorders>
              <w:top w:val="nil"/>
              <w:left w:val="nil"/>
              <w:bottom w:val="nil"/>
              <w:right w:val="single" w:sz="8" w:space="0" w:color="auto"/>
            </w:tcBorders>
            <w:noWrap/>
            <w:vAlign w:val="bottom"/>
            <w:hideMark/>
          </w:tcPr>
          <w:p>
            <w:pPr>
              <w:spacing w:before="0" w:after="0"/>
              <w:jc w:val="center"/>
              <w:rPr>
                <w:b/>
                <w:bCs/>
                <w:noProof/>
                <w:szCs w:val="24"/>
              </w:rPr>
            </w:pPr>
            <w:r>
              <w:rPr>
                <w:b/>
                <w:noProof/>
              </w:rPr>
              <w:t>2019</w:t>
            </w:r>
          </w:p>
        </w:tc>
      </w:tr>
      <w:tr>
        <w:trPr>
          <w:trHeight w:val="330"/>
        </w:trPr>
        <w:tc>
          <w:tcPr>
            <w:tcW w:w="1900" w:type="dxa"/>
            <w:tcBorders>
              <w:top w:val="nil"/>
              <w:left w:val="single" w:sz="8" w:space="0" w:color="auto"/>
              <w:bottom w:val="single" w:sz="8" w:space="0" w:color="auto"/>
              <w:right w:val="nil"/>
            </w:tcBorders>
            <w:noWrap/>
            <w:vAlign w:val="bottom"/>
            <w:hideMark/>
          </w:tcPr>
          <w:p>
            <w:pPr>
              <w:spacing w:before="0" w:after="0"/>
              <w:jc w:val="left"/>
              <w:rPr>
                <w:b/>
                <w:bCs/>
                <w:noProof/>
                <w:szCs w:val="24"/>
              </w:rPr>
            </w:pPr>
            <w:r>
              <w:rPr>
                <w:b/>
                <w:noProof/>
              </w:rPr>
              <w:t> </w:t>
            </w:r>
          </w:p>
        </w:tc>
        <w:tc>
          <w:tcPr>
            <w:tcW w:w="1900" w:type="dxa"/>
            <w:tcBorders>
              <w:top w:val="nil"/>
              <w:left w:val="nil"/>
              <w:bottom w:val="single" w:sz="8" w:space="0" w:color="auto"/>
              <w:right w:val="nil"/>
            </w:tcBorders>
            <w:noWrap/>
            <w:vAlign w:val="bottom"/>
            <w:hideMark/>
          </w:tcPr>
          <w:p>
            <w:pPr>
              <w:spacing w:before="0" w:after="0"/>
              <w:jc w:val="left"/>
              <w:rPr>
                <w:b/>
                <w:bCs/>
                <w:noProof/>
                <w:szCs w:val="24"/>
              </w:rPr>
            </w:pPr>
            <w:r>
              <w:rPr>
                <w:b/>
                <w:noProof/>
              </w:rPr>
              <w:t> </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nil"/>
              <w:left w:val="nil"/>
              <w:bottom w:val="single" w:sz="8" w:space="0" w:color="auto"/>
              <w:right w:val="single" w:sz="8" w:space="0" w:color="auto"/>
            </w:tcBorders>
            <w:noWrap/>
            <w:vAlign w:val="bottom"/>
            <w:hideMark/>
          </w:tcPr>
          <w:p>
            <w:pPr>
              <w:spacing w:before="0" w:after="0"/>
              <w:jc w:val="center"/>
              <w:rPr>
                <w:b/>
                <w:bCs/>
                <w:noProof/>
                <w:szCs w:val="24"/>
              </w:rPr>
            </w:pPr>
            <w:r>
              <w:rPr>
                <w:b/>
                <w:noProof/>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rPr>
              <w:t> </w:t>
            </w:r>
          </w:p>
        </w:tc>
        <w:tc>
          <w:tcPr>
            <w:tcW w:w="1900" w:type="dxa"/>
            <w:noWrap/>
            <w:vAlign w:val="bottom"/>
            <w:hideMark/>
          </w:tcPr>
          <w:p>
            <w:pPr>
              <w:spacing w:before="0" w:after="0"/>
              <w:jc w:val="left"/>
              <w:rPr>
                <w:noProof/>
                <w:szCs w:val="24"/>
              </w:rPr>
            </w:pPr>
            <w:r>
              <w:rPr>
                <w:noProof/>
              </w:rPr>
              <w:t> </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 </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before="0" w:after="0"/>
              <w:jc w:val="left"/>
              <w:rPr>
                <w:noProof/>
                <w:color w:val="FF0000"/>
                <w:szCs w:val="24"/>
              </w:rPr>
            </w:pPr>
            <w:r>
              <w:rPr>
                <w:noProof/>
                <w:color w:val="FF0000"/>
              </w:rPr>
              <w:t>Contributions</w:t>
            </w:r>
          </w:p>
        </w:tc>
        <w:tc>
          <w:tcPr>
            <w:tcW w:w="1900" w:type="dxa"/>
            <w:noWrap/>
            <w:vAlign w:val="bottom"/>
            <w:hideMark/>
          </w:tcPr>
          <w:p>
            <w:pPr>
              <w:spacing w:before="0" w:after="0"/>
              <w:jc w:val="left"/>
              <w:rPr>
                <w:noProof/>
                <w:szCs w:val="24"/>
              </w:rPr>
            </w:pPr>
            <w:r>
              <w:rPr>
                <w:noProof/>
              </w:rPr>
              <w:t>Commission</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4 050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4 150</w:t>
            </w:r>
          </w:p>
        </w:tc>
      </w:tr>
      <w:tr>
        <w:trPr>
          <w:trHeight w:val="315"/>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rPr>
              <w:t> </w:t>
            </w:r>
          </w:p>
        </w:tc>
        <w:tc>
          <w:tcPr>
            <w:tcW w:w="1900" w:type="dxa"/>
            <w:noWrap/>
            <w:vAlign w:val="bottom"/>
            <w:hideMark/>
          </w:tcPr>
          <w:p>
            <w:pPr>
              <w:spacing w:before="0" w:after="0"/>
              <w:jc w:val="left"/>
              <w:rPr>
                <w:noProof/>
                <w:szCs w:val="24"/>
              </w:rPr>
            </w:pPr>
            <w:r>
              <w:rPr>
                <w:noProof/>
              </w:rPr>
              <w:t>BEI</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200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300</w:t>
            </w:r>
          </w:p>
        </w:tc>
      </w:tr>
      <w:tr>
        <w:trPr>
          <w:trHeight w:val="330"/>
        </w:trPr>
        <w:tc>
          <w:tcPr>
            <w:tcW w:w="1900" w:type="dxa"/>
            <w:tcBorders>
              <w:top w:val="nil"/>
              <w:left w:val="single" w:sz="8" w:space="0" w:color="auto"/>
              <w:bottom w:val="single" w:sz="8" w:space="0" w:color="auto"/>
              <w:right w:val="single" w:sz="4" w:space="0" w:color="auto"/>
            </w:tcBorders>
            <w:noWrap/>
            <w:vAlign w:val="bottom"/>
            <w:hideMark/>
          </w:tcPr>
          <w:p>
            <w:pPr>
              <w:spacing w:before="0" w:after="0"/>
              <w:jc w:val="left"/>
              <w:rPr>
                <w:noProof/>
                <w:szCs w:val="24"/>
              </w:rPr>
            </w:pPr>
            <w:r>
              <w:rPr>
                <w:noProof/>
              </w:rPr>
              <w:t> </w:t>
            </w:r>
          </w:p>
        </w:tc>
        <w:tc>
          <w:tcPr>
            <w:tcW w:w="1900" w:type="dxa"/>
            <w:tcBorders>
              <w:top w:val="nil"/>
              <w:left w:val="nil"/>
              <w:bottom w:val="single" w:sz="8" w:space="0" w:color="auto"/>
              <w:right w:val="nil"/>
            </w:tcBorders>
            <w:noWrap/>
            <w:vAlign w:val="bottom"/>
            <w:hideMark/>
          </w:tcPr>
          <w:p>
            <w:pPr>
              <w:spacing w:before="0" w:after="0"/>
              <w:jc w:val="left"/>
              <w:rPr>
                <w:noProof/>
                <w:color w:val="FF0000"/>
                <w:szCs w:val="24"/>
              </w:rPr>
            </w:pPr>
            <w:r>
              <w:rPr>
                <w:noProof/>
                <w:color w:val="FF0000"/>
              </w:rPr>
              <w:t>Total</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noProof/>
                <w:color w:val="FF0000"/>
                <w:szCs w:val="24"/>
              </w:rPr>
            </w:pPr>
            <w:r>
              <w:rPr>
                <w:noProof/>
                <w:color w:val="FF0000"/>
              </w:rPr>
              <w:t>4 250</w:t>
            </w:r>
          </w:p>
        </w:tc>
        <w:tc>
          <w:tcPr>
            <w:tcW w:w="1580" w:type="dxa"/>
            <w:tcBorders>
              <w:top w:val="nil"/>
              <w:left w:val="nil"/>
              <w:bottom w:val="single" w:sz="8" w:space="0" w:color="auto"/>
              <w:right w:val="single" w:sz="8" w:space="0" w:color="auto"/>
            </w:tcBorders>
            <w:noWrap/>
            <w:vAlign w:val="bottom"/>
            <w:hideMark/>
          </w:tcPr>
          <w:p>
            <w:pPr>
              <w:spacing w:before="0" w:after="0"/>
              <w:jc w:val="center"/>
              <w:rPr>
                <w:noProof/>
                <w:color w:val="FF0000"/>
                <w:szCs w:val="24"/>
              </w:rPr>
            </w:pPr>
            <w:r>
              <w:rPr>
                <w:noProof/>
                <w:color w:val="FF0000"/>
              </w:rPr>
              <w:t>4 450</w:t>
            </w:r>
          </w:p>
        </w:tc>
      </w:tr>
    </w:tbl>
    <w:p>
      <w:pPr>
        <w:pStyle w:val="Text1"/>
        <w:ind w:left="0"/>
        <w:rPr>
          <w:noProof/>
          <w:sz w:val="20"/>
          <w:szCs w:val="20"/>
        </w:rPr>
      </w:pPr>
      <w:r>
        <w:rPr>
          <w:noProof/>
          <w:sz w:val="20"/>
        </w:rPr>
        <w:t>* Article 21, paragraphe 2, point d), du règlement (UE) 2015/323 du Conseil: prévisions indicatives et non contraignantes, fondées sur une approche statistique, concernant le montant annuel des contributions escompté pour les exercices n + 3 et n + 4.</w:t>
      </w:r>
    </w:p>
    <w:p>
      <w:pPr>
        <w:pStyle w:val="ManualHeading1"/>
        <w:rPr>
          <w:noProof/>
        </w:rPr>
      </w:pPr>
      <w:r>
        <w:t>5.</w:t>
      </w:r>
      <w:r>
        <w:tab/>
      </w:r>
      <w:r>
        <w:rPr>
          <w:noProof/>
        </w:rPr>
        <w:t>Prévisions d’exécution financière pour les exercices 2015, 2016 et 2017</w:t>
      </w:r>
    </w:p>
    <w:p>
      <w:pPr>
        <w:pStyle w:val="Text1"/>
        <w:rPr>
          <w:noProof/>
        </w:rPr>
      </w:pPr>
      <w:r>
        <w:rPr>
          <w:noProof/>
        </w:rPr>
        <w:t>Les prévisions actualisées sont présentées aux annexes 1 à 3.</w:t>
      </w:r>
    </w:p>
    <w:p>
      <w:pPr>
        <w:pStyle w:val="Text1"/>
        <w:rPr>
          <w:noProof/>
        </w:rPr>
      </w:pPr>
      <w:r>
        <w:rPr>
          <w:noProof/>
        </w:rPr>
        <w:t>Les prévisions actualisées pour 2015 confirment les contributions des États membres au FED pour 2015 à 3 200 000 000 EUR, telles qu'elles ont été décidées et modifiées par le Conseil en novembre 2014</w:t>
      </w:r>
      <w:r>
        <w:rPr>
          <w:rStyle w:val="FootnoteReference"/>
          <w:noProof/>
        </w:rPr>
        <w:footnoteReference w:id="7"/>
      </w:r>
      <w:r>
        <w:rPr>
          <w:noProof/>
        </w:rPr>
        <w:t xml:space="preserve"> et juin 2015</w:t>
      </w:r>
      <w:r>
        <w:rPr>
          <w:rStyle w:val="FootnoteReference"/>
          <w:noProof/>
        </w:rPr>
        <w:footnoteReference w:id="8"/>
      </w:r>
      <w:r>
        <w:rPr>
          <w:noProof/>
        </w:rPr>
        <w:t xml:space="preserve"> respectivement.</w:t>
      </w:r>
    </w:p>
    <w:p>
      <w:pPr>
        <w:pStyle w:val="Text1"/>
        <w:rPr>
          <w:noProof/>
        </w:rPr>
      </w:pPr>
      <w:r>
        <w:rPr>
          <w:noProof/>
        </w:rPr>
        <w:t>Ces chiffres confirment la communication de la Commission de juin 2015 en ce qui concerne la consommation pour l'année courante.</w:t>
      </w:r>
    </w:p>
    <w:p>
      <w:pPr>
        <w:pStyle w:val="Text1"/>
        <w:rPr>
          <w:noProof/>
        </w:rPr>
      </w:pPr>
      <w:r>
        <w:rPr>
          <w:noProof/>
        </w:rPr>
        <w:t>Pour 2016, le montant annuel de la contribution est fixé à 3 600 000 000 EUR, conformément au plafond voté par le Conseil en novembre 2014. Toutefois, la part de la BEI s'élève à 150 000 000 EUR (soit 100 000 000 EUR de moins que le plafond fixé en novembre 2014), tandis que celle de la Commission s'élèvera à 3 450 000 000 EUR (soit 100 000 000 EUR de plus). Ce transfert permet d'alléger la contribution obligatoire des États membres pour 2016 (montant annuel).</w:t>
      </w:r>
    </w:p>
    <w:p>
      <w:pPr>
        <w:pStyle w:val="Text1"/>
        <w:rPr>
          <w:noProof/>
        </w:rPr>
      </w:pPr>
    </w:p>
    <w:p>
      <w:pPr>
        <w:spacing w:before="0" w:after="0"/>
        <w:jc w:val="left"/>
        <w:rPr>
          <w:b/>
          <w:bCs/>
          <w:noProof/>
          <w:szCs w:val="26"/>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sectPr>
      </w:pPr>
    </w:p>
    <w:p>
      <w:pPr>
        <w:pStyle w:val="ManualHeading2"/>
        <w:rPr>
          <w:noProof/>
        </w:rPr>
      </w:pPr>
      <w:bookmarkStart w:id="2" w:name="DQCNUMB_1"/>
      <w:bookmarkEnd w:id="2"/>
      <w:r>
        <w:t>5.1.</w:t>
      </w:r>
      <w:r>
        <w:tab/>
      </w:r>
      <w:r>
        <w:rPr>
          <w:noProof/>
        </w:rPr>
        <w:t>Annexe 1: prévisions d'engagements</w:t>
      </w:r>
      <w:r>
        <w:rPr>
          <w:rStyle w:val="FootnoteReference"/>
          <w:noProof/>
        </w:rPr>
        <w:footnoteReference w:id="9"/>
      </w:r>
      <w:r>
        <w:rPr>
          <w:noProof/>
        </w:rPr>
        <w:t xml:space="preserve"> pour 2015, 2016 et 2017 (en millions d'EUR)</w:t>
      </w:r>
    </w:p>
    <w:tbl>
      <w:tblPr>
        <w:tblW w:w="9968" w:type="dxa"/>
        <w:tblInd w:w="108" w:type="dxa"/>
        <w:tblLook w:val="04A0" w:firstRow="1" w:lastRow="0" w:firstColumn="1" w:lastColumn="0" w:noHBand="0" w:noVBand="1"/>
      </w:tblPr>
      <w:tblGrid>
        <w:gridCol w:w="2768"/>
        <w:gridCol w:w="1200"/>
        <w:gridCol w:w="1200"/>
        <w:gridCol w:w="1200"/>
        <w:gridCol w:w="1200"/>
        <w:gridCol w:w="1200"/>
        <w:gridCol w:w="1200"/>
      </w:tblGrid>
      <w:tr>
        <w:trPr>
          <w:trHeight w:val="255"/>
        </w:trPr>
        <w:tc>
          <w:tcPr>
            <w:tcW w:w="2768" w:type="dxa"/>
            <w:noWrap/>
            <w:vAlign w:val="bottom"/>
            <w:hideMark/>
          </w:tcPr>
          <w:p>
            <w:pPr>
              <w:spacing w:before="0" w:after="0"/>
              <w:jc w:val="left"/>
              <w:rPr>
                <w:noProof/>
                <w:sz w:val="20"/>
                <w:szCs w:val="20"/>
              </w:rPr>
            </w:pPr>
          </w:p>
        </w:tc>
        <w:tc>
          <w:tcPr>
            <w:tcW w:w="3600" w:type="dxa"/>
            <w:gridSpan w:val="3"/>
            <w:tcBorders>
              <w:top w:val="single" w:sz="4" w:space="0" w:color="auto"/>
              <w:left w:val="single" w:sz="4" w:space="0" w:color="auto"/>
              <w:bottom w:val="single" w:sz="4" w:space="0" w:color="auto"/>
              <w:right w:val="single" w:sz="4" w:space="0" w:color="000000"/>
            </w:tcBorders>
            <w:noWrap/>
            <w:vAlign w:val="center"/>
            <w:hideMark/>
          </w:tcPr>
          <w:p>
            <w:pPr>
              <w:spacing w:before="0" w:after="0"/>
              <w:jc w:val="center"/>
              <w:rPr>
                <w:b/>
                <w:bCs/>
                <w:noProof/>
                <w:sz w:val="20"/>
                <w:szCs w:val="20"/>
              </w:rPr>
            </w:pPr>
            <w:r>
              <w:rPr>
                <w:b/>
                <w:noProof/>
                <w:sz w:val="20"/>
              </w:rPr>
              <w:t>2015</w:t>
            </w:r>
          </w:p>
        </w:tc>
        <w:tc>
          <w:tcPr>
            <w:tcW w:w="2400" w:type="dxa"/>
            <w:gridSpan w:val="2"/>
            <w:tcBorders>
              <w:top w:val="single" w:sz="4" w:space="0" w:color="auto"/>
              <w:left w:val="nil"/>
              <w:bottom w:val="single" w:sz="4" w:space="0" w:color="auto"/>
              <w:right w:val="single" w:sz="4" w:space="0" w:color="000000"/>
            </w:tcBorders>
            <w:noWrap/>
            <w:vAlign w:val="center"/>
            <w:hideMark/>
          </w:tcPr>
          <w:p>
            <w:pPr>
              <w:spacing w:before="0" w:after="0"/>
              <w:jc w:val="center"/>
              <w:rPr>
                <w:b/>
                <w:bCs/>
                <w:noProof/>
                <w:sz w:val="20"/>
                <w:szCs w:val="20"/>
              </w:rPr>
            </w:pPr>
            <w:r>
              <w:rPr>
                <w:b/>
                <w:noProof/>
                <w:sz w:val="20"/>
              </w:rPr>
              <w:t>2016</w:t>
            </w:r>
          </w:p>
        </w:tc>
        <w:tc>
          <w:tcPr>
            <w:tcW w:w="1200" w:type="dxa"/>
            <w:tcBorders>
              <w:top w:val="single" w:sz="4" w:space="0" w:color="auto"/>
              <w:left w:val="nil"/>
              <w:bottom w:val="single" w:sz="4" w:space="0" w:color="auto"/>
              <w:right w:val="single" w:sz="4" w:space="0" w:color="auto"/>
            </w:tcBorders>
            <w:noWrap/>
            <w:vAlign w:val="center"/>
            <w:hideMark/>
          </w:tcPr>
          <w:p>
            <w:pPr>
              <w:spacing w:before="0" w:after="0"/>
              <w:jc w:val="center"/>
              <w:rPr>
                <w:b/>
                <w:bCs/>
                <w:noProof/>
                <w:sz w:val="20"/>
                <w:szCs w:val="20"/>
              </w:rPr>
            </w:pPr>
            <w:r>
              <w:rPr>
                <w:b/>
                <w:noProof/>
                <w:sz w:val="20"/>
              </w:rPr>
              <w:t>2017</w:t>
            </w:r>
          </w:p>
        </w:tc>
      </w:tr>
      <w:tr>
        <w:trPr>
          <w:trHeight w:val="510"/>
        </w:trPr>
        <w:tc>
          <w:tcPr>
            <w:tcW w:w="2768" w:type="dxa"/>
            <w:noWrap/>
            <w:hideMark/>
          </w:tcPr>
          <w:p>
            <w:pPr>
              <w:spacing w:before="0" w:after="0"/>
              <w:jc w:val="left"/>
              <w:rPr>
                <w:b/>
                <w:bCs/>
                <w:noProof/>
                <w:sz w:val="20"/>
                <w:szCs w:val="20"/>
              </w:rPr>
            </w:pPr>
          </w:p>
        </w:tc>
        <w:tc>
          <w:tcPr>
            <w:tcW w:w="1200" w:type="dxa"/>
            <w:tcBorders>
              <w:top w:val="nil"/>
              <w:left w:val="single" w:sz="4" w:space="0" w:color="auto"/>
              <w:bottom w:val="single" w:sz="4" w:space="0" w:color="auto"/>
              <w:right w:val="single" w:sz="4" w:space="0" w:color="auto"/>
            </w:tcBorders>
            <w:vAlign w:val="center"/>
            <w:hideMark/>
          </w:tcPr>
          <w:p>
            <w:pPr>
              <w:spacing w:before="0" w:after="0"/>
              <w:jc w:val="center"/>
              <w:rPr>
                <w:b/>
                <w:bCs/>
                <w:noProof/>
                <w:sz w:val="20"/>
                <w:szCs w:val="20"/>
              </w:rPr>
            </w:pPr>
            <w:r>
              <w:rPr>
                <w:b/>
                <w:noProof/>
                <w:sz w:val="20"/>
              </w:rPr>
              <w:t>COM octobre 2014</w:t>
            </w:r>
          </w:p>
        </w:tc>
        <w:tc>
          <w:tcPr>
            <w:tcW w:w="120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noProof/>
                <w:sz w:val="20"/>
              </w:rPr>
              <w:t>COM juin 2015</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COM octobre 2015</w:t>
            </w:r>
          </w:p>
        </w:tc>
        <w:tc>
          <w:tcPr>
            <w:tcW w:w="120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noProof/>
                <w:sz w:val="20"/>
              </w:rPr>
              <w:t>COM juin 2015</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COM octobre 2015</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COM octobre 2015</w:t>
            </w:r>
          </w:p>
        </w:tc>
      </w:tr>
      <w:tr>
        <w:trPr>
          <w:trHeight w:val="255"/>
        </w:trPr>
        <w:tc>
          <w:tcPr>
            <w:tcW w:w="2768" w:type="dxa"/>
            <w:tcBorders>
              <w:top w:val="single" w:sz="4" w:space="0" w:color="auto"/>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rPr>
              <w:t>Régions</w:t>
            </w:r>
          </w:p>
        </w:tc>
        <w:tc>
          <w:tcPr>
            <w:tcW w:w="120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Afrique de l’Est</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60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625</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625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Afrique de l'Ouest</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338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966</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966</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Afrique centrale</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330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692</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692</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Caraïbes</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Pacifique</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7</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Afrique australe</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238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368</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368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noProof/>
                <w:sz w:val="20"/>
              </w:rPr>
              <w:t>Sous-total</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b/>
                <w:bCs/>
                <w:noProof/>
                <w:sz w:val="20"/>
                <w:szCs w:val="20"/>
              </w:rPr>
            </w:pPr>
            <w:r>
              <w:rPr>
                <w:b/>
                <w:noProof/>
                <w:sz w:val="20"/>
              </w:rPr>
              <w:t>973</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b/>
                <w:bCs/>
                <w:noProof/>
                <w:sz w:val="20"/>
                <w:szCs w:val="20"/>
              </w:rPr>
            </w:pPr>
            <w:r>
              <w:rPr>
                <w:b/>
                <w:noProof/>
                <w:sz w:val="20"/>
              </w:rPr>
              <w:t>2 658</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noProof/>
                <w:sz w:val="20"/>
              </w:rPr>
              <w:t>2 658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b/>
                <w:bCs/>
                <w:noProof/>
                <w:sz w:val="20"/>
                <w:szCs w:val="20"/>
              </w:rPr>
            </w:pPr>
            <w:r>
              <w:rPr>
                <w:b/>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rPr>
              <w:t>Autres</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left="372"/>
              <w:jc w:val="left"/>
              <w:rPr>
                <w:noProof/>
                <w:sz w:val="20"/>
                <w:szCs w:val="20"/>
              </w:rPr>
            </w:pPr>
            <w:r>
              <w:rPr>
                <w:noProof/>
                <w:sz w:val="20"/>
              </w:rPr>
              <w:t>Facilité de soutien à la paix pour l'Afrique</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325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692</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692</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rPr>
              <w:t>Fonds fiduciaires (*)</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1 395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rPr>
              <w:t>Autres (**)</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315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201</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201</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noProof/>
                <w:sz w:val="20"/>
              </w:rPr>
              <w:t>Sous-total</w:t>
            </w:r>
          </w:p>
        </w:tc>
        <w:tc>
          <w:tcPr>
            <w:tcW w:w="120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noProof/>
                <w:sz w:val="20"/>
              </w:rPr>
              <w:t>640</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noProof/>
                <w:sz w:val="20"/>
              </w:rPr>
              <w:t>893</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2 288</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noProof/>
                <w:sz w:val="20"/>
              </w:rPr>
              <w:t> </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r>
      <w:tr>
        <w:trPr>
          <w:trHeight w:val="255"/>
        </w:trPr>
        <w:tc>
          <w:tcPr>
            <w:tcW w:w="2768"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noProof/>
                <w:sz w:val="20"/>
              </w:rPr>
              <w:t>Total Commission européenne</w:t>
            </w:r>
          </w:p>
        </w:tc>
        <w:tc>
          <w:tcPr>
            <w:tcW w:w="120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1 613</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3 552</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4 947</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4 663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4 663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4 963</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rPr>
              <w:t>Facilité d’investissement</w:t>
            </w:r>
          </w:p>
        </w:tc>
        <w:tc>
          <w:tcPr>
            <w:tcW w:w="120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rPr>
              <w:t>730</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750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750</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770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770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820</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rPr>
              <w:t>Bonifications d’intérêt (***)</w:t>
            </w:r>
          </w:p>
        </w:tc>
        <w:tc>
          <w:tcPr>
            <w:tcW w:w="120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80</w:t>
            </w:r>
          </w:p>
        </w:tc>
      </w:tr>
      <w:tr>
        <w:trPr>
          <w:trHeight w:val="255"/>
        </w:trPr>
        <w:tc>
          <w:tcPr>
            <w:tcW w:w="2768"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noProof/>
                <w:sz w:val="20"/>
              </w:rPr>
              <w:t>Total BEI</w:t>
            </w:r>
          </w:p>
        </w:tc>
        <w:tc>
          <w:tcPr>
            <w:tcW w:w="120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810</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830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830</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850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850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900</w:t>
            </w:r>
          </w:p>
        </w:tc>
      </w:tr>
      <w:tr>
        <w:trPr>
          <w:trHeight w:val="255"/>
        </w:trPr>
        <w:tc>
          <w:tcPr>
            <w:tcW w:w="2768" w:type="dxa"/>
            <w:tcBorders>
              <w:top w:val="nil"/>
              <w:left w:val="single" w:sz="4" w:space="0" w:color="auto"/>
              <w:bottom w:val="single" w:sz="4" w:space="0" w:color="auto"/>
              <w:right w:val="nil"/>
            </w:tcBorders>
            <w:noWrap/>
            <w:vAlign w:val="center"/>
            <w:hideMark/>
          </w:tcPr>
          <w:p>
            <w:pPr>
              <w:spacing w:before="0" w:after="0"/>
              <w:jc w:val="left"/>
              <w:rPr>
                <w:b/>
                <w:bCs/>
                <w:noProof/>
                <w:sz w:val="20"/>
                <w:szCs w:val="20"/>
              </w:rPr>
            </w:pPr>
            <w:r>
              <w:rPr>
                <w:b/>
                <w:noProof/>
                <w:sz w:val="20"/>
              </w:rPr>
              <w:t>Total Commission européenne + BEI</w:t>
            </w:r>
          </w:p>
        </w:tc>
        <w:tc>
          <w:tcPr>
            <w:tcW w:w="120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2 423</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4 382</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5 777</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5 513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5 513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5 863</w:t>
            </w:r>
          </w:p>
        </w:tc>
      </w:tr>
    </w:tbl>
    <w:p>
      <w:pPr>
        <w:pStyle w:val="Text1"/>
        <w:ind w:left="0"/>
        <w:jc w:val="left"/>
        <w:rPr>
          <w:noProof/>
          <w:sz w:val="20"/>
          <w:szCs w:val="20"/>
        </w:rPr>
      </w:pPr>
      <w:r>
        <w:rPr>
          <w:noProof/>
          <w:sz w:val="20"/>
        </w:rPr>
        <w:t>* Fonds fiduciaire d'urgence en faveur de la stabilité et de la lutte contre les causes profondes de la migration illégale en Afrique.</w:t>
      </w:r>
      <w:r>
        <w:rPr>
          <w:noProof/>
        </w:rPr>
        <w:br/>
      </w:r>
      <w:r>
        <w:rPr>
          <w:noProof/>
          <w:sz w:val="20"/>
        </w:rPr>
        <w:t>** Couvre les dépenses d’appui, notamment aux institutions conjointes et au secrétariat ACP.</w:t>
      </w:r>
      <w:r>
        <w:rPr>
          <w:noProof/>
        </w:rPr>
        <w:br/>
      </w:r>
      <w:r>
        <w:rPr>
          <w:noProof/>
          <w:sz w:val="20"/>
        </w:rPr>
        <w:t>*** Y compris les bonifications d’intérêt au titre des FED précédents.</w:t>
      </w:r>
    </w:p>
    <w:p>
      <w:pPr>
        <w:pStyle w:val="Text1"/>
        <w:ind w:left="0"/>
        <w:jc w:val="left"/>
        <w:rPr>
          <w:noProof/>
          <w:sz w:val="20"/>
          <w:szCs w:val="20"/>
        </w:rPr>
      </w:pPr>
    </w:p>
    <w:p>
      <w:pPr>
        <w:pStyle w:val="Text1"/>
        <w:ind w:left="0"/>
        <w:jc w:val="left"/>
        <w:rPr>
          <w:noProof/>
          <w:sz w:val="20"/>
          <w:szCs w:val="20"/>
        </w:rPr>
      </w:pPr>
    </w:p>
    <w:p>
      <w:pPr>
        <w:pStyle w:val="ManualHeading2"/>
        <w:rPr>
          <w:noProof/>
        </w:rPr>
      </w:pPr>
      <w:r>
        <w:t>5.2.</w:t>
      </w:r>
      <w:r>
        <w:tab/>
      </w:r>
      <w:r>
        <w:rPr>
          <w:noProof/>
        </w:rPr>
        <w:t>Annexe 2: prévisions d'engagements</w:t>
      </w:r>
      <w:r>
        <w:rPr>
          <w:rStyle w:val="FootnoteReference"/>
          <w:noProof/>
        </w:rPr>
        <w:footnoteReference w:id="10"/>
      </w:r>
      <w:r>
        <w:rPr>
          <w:noProof/>
        </w:rPr>
        <w:t xml:space="preserve"> pour 2015, 2016 et 2017 (en millions d'EUR)</w:t>
      </w:r>
    </w:p>
    <w:tbl>
      <w:tblPr>
        <w:tblW w:w="9820" w:type="dxa"/>
        <w:tblInd w:w="108" w:type="dxa"/>
        <w:tblLook w:val="04A0" w:firstRow="1" w:lastRow="0" w:firstColumn="1" w:lastColumn="0" w:noHBand="0" w:noVBand="1"/>
      </w:tblPr>
      <w:tblGrid>
        <w:gridCol w:w="2760"/>
        <w:gridCol w:w="1080"/>
        <w:gridCol w:w="1080"/>
        <w:gridCol w:w="1380"/>
        <w:gridCol w:w="1080"/>
        <w:gridCol w:w="1200"/>
        <w:gridCol w:w="1240"/>
      </w:tblGrid>
      <w:tr>
        <w:trPr>
          <w:trHeight w:val="255"/>
        </w:trPr>
        <w:tc>
          <w:tcPr>
            <w:tcW w:w="2760" w:type="dxa"/>
            <w:noWrap/>
            <w:vAlign w:val="bottom"/>
            <w:hideMark/>
          </w:tcPr>
          <w:p>
            <w:pPr>
              <w:spacing w:before="0" w:after="0"/>
              <w:jc w:val="left"/>
              <w:rPr>
                <w:noProof/>
                <w:sz w:val="20"/>
                <w:szCs w:val="20"/>
              </w:rPr>
            </w:pPr>
          </w:p>
        </w:tc>
        <w:tc>
          <w:tcPr>
            <w:tcW w:w="3540" w:type="dxa"/>
            <w:gridSpan w:val="3"/>
            <w:tcBorders>
              <w:top w:val="single" w:sz="4" w:space="0" w:color="auto"/>
              <w:left w:val="single" w:sz="4" w:space="0" w:color="auto"/>
              <w:bottom w:val="single" w:sz="4" w:space="0" w:color="auto"/>
              <w:right w:val="single" w:sz="4" w:space="0" w:color="000000"/>
            </w:tcBorders>
            <w:noWrap/>
            <w:vAlign w:val="center"/>
            <w:hideMark/>
          </w:tcPr>
          <w:p>
            <w:pPr>
              <w:spacing w:before="0" w:after="0"/>
              <w:jc w:val="center"/>
              <w:rPr>
                <w:b/>
                <w:bCs/>
                <w:noProof/>
                <w:sz w:val="20"/>
                <w:szCs w:val="20"/>
              </w:rPr>
            </w:pPr>
            <w:r>
              <w:rPr>
                <w:b/>
                <w:noProof/>
                <w:sz w:val="20"/>
              </w:rPr>
              <w:t>2015</w:t>
            </w:r>
          </w:p>
        </w:tc>
        <w:tc>
          <w:tcPr>
            <w:tcW w:w="2280" w:type="dxa"/>
            <w:gridSpan w:val="2"/>
            <w:tcBorders>
              <w:top w:val="single" w:sz="4" w:space="0" w:color="auto"/>
              <w:left w:val="nil"/>
              <w:bottom w:val="single" w:sz="4" w:space="0" w:color="auto"/>
              <w:right w:val="single" w:sz="4" w:space="0" w:color="000000"/>
            </w:tcBorders>
            <w:noWrap/>
            <w:vAlign w:val="center"/>
            <w:hideMark/>
          </w:tcPr>
          <w:p>
            <w:pPr>
              <w:spacing w:before="0" w:after="0"/>
              <w:jc w:val="center"/>
              <w:rPr>
                <w:b/>
                <w:bCs/>
                <w:noProof/>
                <w:sz w:val="20"/>
                <w:szCs w:val="20"/>
              </w:rPr>
            </w:pPr>
            <w:r>
              <w:rPr>
                <w:b/>
                <w:noProof/>
                <w:sz w:val="20"/>
              </w:rPr>
              <w:t>2016</w:t>
            </w:r>
          </w:p>
        </w:tc>
        <w:tc>
          <w:tcPr>
            <w:tcW w:w="1240" w:type="dxa"/>
            <w:tcBorders>
              <w:top w:val="single" w:sz="4" w:space="0" w:color="auto"/>
              <w:left w:val="nil"/>
              <w:bottom w:val="single" w:sz="4" w:space="0" w:color="auto"/>
              <w:right w:val="single" w:sz="4" w:space="0" w:color="auto"/>
            </w:tcBorders>
            <w:noWrap/>
            <w:vAlign w:val="center"/>
            <w:hideMark/>
          </w:tcPr>
          <w:p>
            <w:pPr>
              <w:spacing w:before="0" w:after="0"/>
              <w:jc w:val="center"/>
              <w:rPr>
                <w:b/>
                <w:bCs/>
                <w:noProof/>
                <w:sz w:val="20"/>
                <w:szCs w:val="20"/>
              </w:rPr>
            </w:pPr>
            <w:r>
              <w:rPr>
                <w:b/>
                <w:noProof/>
                <w:sz w:val="20"/>
              </w:rPr>
              <w:t>2017</w:t>
            </w:r>
          </w:p>
        </w:tc>
      </w:tr>
      <w:tr>
        <w:trPr>
          <w:trHeight w:val="510"/>
        </w:trPr>
        <w:tc>
          <w:tcPr>
            <w:tcW w:w="2760" w:type="dxa"/>
            <w:noWrap/>
            <w:hideMark/>
          </w:tcPr>
          <w:p>
            <w:pPr>
              <w:spacing w:before="0" w:after="0"/>
              <w:jc w:val="left"/>
              <w:rPr>
                <w:b/>
                <w:bCs/>
                <w:noProof/>
                <w:sz w:val="20"/>
                <w:szCs w:val="20"/>
              </w:rPr>
            </w:pPr>
          </w:p>
        </w:tc>
        <w:tc>
          <w:tcPr>
            <w:tcW w:w="1080" w:type="dxa"/>
            <w:tcBorders>
              <w:top w:val="nil"/>
              <w:left w:val="single" w:sz="4" w:space="0" w:color="auto"/>
              <w:bottom w:val="single" w:sz="4" w:space="0" w:color="auto"/>
              <w:right w:val="single" w:sz="4" w:space="0" w:color="auto"/>
            </w:tcBorders>
            <w:vAlign w:val="center"/>
            <w:hideMark/>
          </w:tcPr>
          <w:p>
            <w:pPr>
              <w:spacing w:before="0" w:after="0"/>
              <w:jc w:val="center"/>
              <w:rPr>
                <w:b/>
                <w:bCs/>
                <w:noProof/>
                <w:sz w:val="20"/>
                <w:szCs w:val="20"/>
              </w:rPr>
            </w:pPr>
            <w:r>
              <w:rPr>
                <w:b/>
                <w:noProof/>
                <w:sz w:val="20"/>
              </w:rPr>
              <w:t>COM octobre 2014</w:t>
            </w:r>
          </w:p>
        </w:tc>
        <w:tc>
          <w:tcPr>
            <w:tcW w:w="108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noProof/>
                <w:sz w:val="20"/>
              </w:rPr>
              <w:t>COM juin 2015</w:t>
            </w:r>
          </w:p>
        </w:tc>
        <w:tc>
          <w:tcPr>
            <w:tcW w:w="138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COM octobre 2015</w:t>
            </w:r>
          </w:p>
        </w:tc>
        <w:tc>
          <w:tcPr>
            <w:tcW w:w="108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noProof/>
                <w:sz w:val="20"/>
              </w:rPr>
              <w:t>COM juin 2015</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COM octobre 2015</w:t>
            </w:r>
          </w:p>
        </w:tc>
        <w:tc>
          <w:tcPr>
            <w:tcW w:w="124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COM octobre 2015</w:t>
            </w:r>
          </w:p>
        </w:tc>
      </w:tr>
      <w:tr>
        <w:trPr>
          <w:trHeight w:val="255"/>
        </w:trPr>
        <w:tc>
          <w:tcPr>
            <w:tcW w:w="2760" w:type="dxa"/>
            <w:tcBorders>
              <w:top w:val="single" w:sz="4" w:space="0" w:color="auto"/>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rPr>
              <w:t>Régions</w:t>
            </w:r>
          </w:p>
        </w:tc>
        <w:tc>
          <w:tcPr>
            <w:tcW w:w="108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rPr>
              <w:t> </w:t>
            </w: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 </w:t>
            </w:r>
          </w:p>
        </w:tc>
        <w:tc>
          <w:tcPr>
            <w:tcW w:w="1380" w:type="dxa"/>
            <w:tcBorders>
              <w:top w:val="nil"/>
              <w:left w:val="nil"/>
              <w:bottom w:val="nil"/>
              <w:right w:val="single" w:sz="4" w:space="0" w:color="auto"/>
            </w:tcBorders>
            <w:shd w:val="clear" w:color="auto" w:fill="B7DEE8"/>
            <w:noWrap/>
            <w:vAlign w:val="bottom"/>
            <w:hideMark/>
          </w:tcPr>
          <w:p>
            <w:pPr>
              <w:spacing w:before="0" w:after="0"/>
              <w:jc w:val="left"/>
              <w:rPr>
                <w:noProof/>
                <w:sz w:val="20"/>
                <w:szCs w:val="20"/>
              </w:rPr>
            </w:pP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Afrique de l’Est</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478</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426</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445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Afrique de l'Ouest</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894</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761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795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Afrique centrale</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425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334</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348</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Caraïbes</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205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209</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197</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Pacifique</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65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66</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Afrique australe</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391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389</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389</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noProof/>
                <w:sz w:val="20"/>
              </w:rPr>
              <w:t>Sous-total</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b/>
                <w:bCs/>
                <w:noProof/>
                <w:sz w:val="20"/>
                <w:szCs w:val="20"/>
              </w:rPr>
            </w:pPr>
            <w:r>
              <w:rPr>
                <w:b/>
                <w:noProof/>
                <w:sz w:val="20"/>
              </w:rPr>
              <w:t>2 458</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b/>
                <w:bCs/>
                <w:noProof/>
                <w:sz w:val="20"/>
                <w:szCs w:val="20"/>
              </w:rPr>
            </w:pPr>
            <w:r>
              <w:rPr>
                <w:b/>
                <w:noProof/>
                <w:sz w:val="20"/>
              </w:rPr>
              <w:t>2 191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noProof/>
                <w:sz w:val="20"/>
              </w:rPr>
              <w:t>2 241</w:t>
            </w:r>
          </w:p>
        </w:tc>
        <w:tc>
          <w:tcPr>
            <w:tcW w:w="1080" w:type="dxa"/>
            <w:tcBorders>
              <w:top w:val="nil"/>
              <w:left w:val="nil"/>
              <w:bottom w:val="nil"/>
              <w:right w:val="single" w:sz="4" w:space="0" w:color="auto"/>
            </w:tcBorders>
            <w:shd w:val="clear" w:color="auto" w:fill="FFFFFF"/>
            <w:noWrap/>
            <w:vAlign w:val="bottom"/>
            <w:hideMark/>
          </w:tcPr>
          <w:p>
            <w:pPr>
              <w:spacing w:before="0" w:after="0"/>
              <w:jc w:val="left"/>
              <w:rPr>
                <w:noProof/>
                <w:sz w:val="20"/>
                <w:szCs w:val="20"/>
              </w:rPr>
            </w:pPr>
          </w:p>
        </w:tc>
        <w:tc>
          <w:tcPr>
            <w:tcW w:w="1200" w:type="dxa"/>
            <w:tcBorders>
              <w:top w:val="nil"/>
              <w:left w:val="nil"/>
              <w:bottom w:val="nil"/>
              <w:right w:val="single" w:sz="4" w:space="0" w:color="auto"/>
            </w:tcBorders>
            <w:shd w:val="clear" w:color="auto" w:fill="B7DEE8"/>
            <w:noWrap/>
            <w:vAlign w:val="bottom"/>
            <w:hideMark/>
          </w:tcPr>
          <w:p>
            <w:pPr>
              <w:spacing w:before="0" w:after="0"/>
              <w:jc w:val="left"/>
              <w:rPr>
                <w:noProof/>
                <w:sz w:val="20"/>
                <w:szCs w:val="20"/>
              </w:rPr>
            </w:pP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rPr>
              <w:t>Autres</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left="372"/>
              <w:jc w:val="left"/>
              <w:rPr>
                <w:noProof/>
                <w:sz w:val="20"/>
                <w:szCs w:val="20"/>
              </w:rPr>
            </w:pPr>
            <w:r>
              <w:rPr>
                <w:noProof/>
                <w:sz w:val="20"/>
              </w:rPr>
              <w:t>Facilité de soutien à la paix pour l'Afrique</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363</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373</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371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bottom"/>
            <w:hideMark/>
          </w:tcPr>
          <w:p>
            <w:pPr>
              <w:spacing w:before="0" w:after="0"/>
              <w:ind w:left="372" w:firstLineChars="6" w:firstLine="12"/>
              <w:jc w:val="left"/>
              <w:rPr>
                <w:noProof/>
                <w:sz w:val="20"/>
                <w:szCs w:val="20"/>
              </w:rPr>
            </w:pPr>
            <w:r>
              <w:rPr>
                <w:noProof/>
                <w:sz w:val="20"/>
              </w:rPr>
              <w:t>Facilité pour l'eau et pour l'énergie</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71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rPr>
              <w:t>Autres (*)</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557</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468</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470</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noProof/>
                <w:sz w:val="20"/>
              </w:rPr>
              <w:t>Sous-total</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noProof/>
                <w:sz w:val="20"/>
              </w:rPr>
              <w:t>991</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noProof/>
                <w:sz w:val="20"/>
              </w:rPr>
              <w:t>912</w:t>
            </w:r>
          </w:p>
        </w:tc>
        <w:tc>
          <w:tcPr>
            <w:tcW w:w="138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912</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left"/>
              <w:rPr>
                <w:noProof/>
                <w:sz w:val="20"/>
                <w:szCs w:val="20"/>
              </w:rPr>
            </w:pP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left"/>
              <w:rPr>
                <w:noProof/>
                <w:sz w:val="20"/>
                <w:szCs w:val="20"/>
              </w:rPr>
            </w:pPr>
          </w:p>
        </w:tc>
        <w:tc>
          <w:tcPr>
            <w:tcW w:w="124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r>
      <w:tr>
        <w:trPr>
          <w:trHeight w:val="255"/>
        </w:trPr>
        <w:tc>
          <w:tcPr>
            <w:tcW w:w="2760"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noProof/>
                <w:sz w:val="20"/>
              </w:rPr>
              <w:t>Total Commission européenne</w:t>
            </w:r>
          </w:p>
        </w:tc>
        <w:tc>
          <w:tcPr>
            <w:tcW w:w="108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3 449</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3 103</w:t>
            </w:r>
          </w:p>
        </w:tc>
        <w:tc>
          <w:tcPr>
            <w:tcW w:w="138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3 152</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3 468</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3 550</w:t>
            </w:r>
          </w:p>
        </w:tc>
        <w:tc>
          <w:tcPr>
            <w:tcW w:w="124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3 900</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rPr>
              <w:t>Facilité d’investissement</w:t>
            </w:r>
          </w:p>
        </w:tc>
        <w:tc>
          <w:tcPr>
            <w:tcW w:w="108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rPr>
              <w:t>330</w:t>
            </w: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350</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275</w:t>
            </w: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370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370</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410</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rPr>
              <w:t>Bonifications d’intérêt (**)</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38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25</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40</w:t>
            </w:r>
          </w:p>
        </w:tc>
        <w:tc>
          <w:tcPr>
            <w:tcW w:w="124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50</w:t>
            </w:r>
          </w:p>
        </w:tc>
      </w:tr>
      <w:tr>
        <w:trPr>
          <w:trHeight w:val="255"/>
        </w:trPr>
        <w:tc>
          <w:tcPr>
            <w:tcW w:w="2760"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noProof/>
                <w:sz w:val="20"/>
              </w:rPr>
              <w:t>Total BEI</w:t>
            </w:r>
          </w:p>
        </w:tc>
        <w:tc>
          <w:tcPr>
            <w:tcW w:w="108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410</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430</w:t>
            </w:r>
          </w:p>
        </w:tc>
        <w:tc>
          <w:tcPr>
            <w:tcW w:w="138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300</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450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410</w:t>
            </w:r>
          </w:p>
        </w:tc>
        <w:tc>
          <w:tcPr>
            <w:tcW w:w="124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460</w:t>
            </w:r>
          </w:p>
        </w:tc>
      </w:tr>
      <w:tr>
        <w:trPr>
          <w:trHeight w:val="255"/>
        </w:trPr>
        <w:tc>
          <w:tcPr>
            <w:tcW w:w="2760" w:type="dxa"/>
            <w:tcBorders>
              <w:top w:val="nil"/>
              <w:left w:val="single" w:sz="4" w:space="0" w:color="auto"/>
              <w:bottom w:val="single" w:sz="4" w:space="0" w:color="auto"/>
              <w:right w:val="nil"/>
            </w:tcBorders>
            <w:noWrap/>
            <w:vAlign w:val="center"/>
            <w:hideMark/>
          </w:tcPr>
          <w:p>
            <w:pPr>
              <w:spacing w:before="0" w:after="0"/>
              <w:jc w:val="left"/>
              <w:rPr>
                <w:b/>
                <w:bCs/>
                <w:noProof/>
                <w:sz w:val="20"/>
                <w:szCs w:val="20"/>
              </w:rPr>
            </w:pPr>
            <w:r>
              <w:rPr>
                <w:b/>
                <w:noProof/>
                <w:sz w:val="20"/>
              </w:rPr>
              <w:t>Total Commission européenne + BEI</w:t>
            </w:r>
          </w:p>
        </w:tc>
        <w:tc>
          <w:tcPr>
            <w:tcW w:w="108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3 859</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3 533</w:t>
            </w:r>
          </w:p>
        </w:tc>
        <w:tc>
          <w:tcPr>
            <w:tcW w:w="138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3 452</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3 918</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3 960</w:t>
            </w:r>
          </w:p>
        </w:tc>
        <w:tc>
          <w:tcPr>
            <w:tcW w:w="124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4 360</w:t>
            </w:r>
          </w:p>
        </w:tc>
      </w:tr>
    </w:tbl>
    <w:p>
      <w:pPr>
        <w:pStyle w:val="Text1"/>
        <w:ind w:left="0"/>
        <w:jc w:val="left"/>
        <w:rPr>
          <w:noProof/>
          <w:sz w:val="20"/>
          <w:szCs w:val="20"/>
        </w:rPr>
      </w:pPr>
      <w:r>
        <w:rPr>
          <w:noProof/>
          <w:sz w:val="20"/>
        </w:rPr>
        <w:t>* Couvre les dépenses d’appui, notamment aux institutions conjointes et au secrétariat ACP.</w:t>
      </w:r>
      <w:r>
        <w:rPr>
          <w:noProof/>
        </w:rPr>
        <w:br/>
      </w:r>
      <w:r>
        <w:rPr>
          <w:noProof/>
          <w:sz w:val="20"/>
        </w:rPr>
        <w:t>** Y compris les bonifications d’intérêt au titre des FED précédents.</w:t>
      </w:r>
    </w:p>
    <w:p>
      <w:pPr>
        <w:pStyle w:val="Text1"/>
        <w:ind w:left="0"/>
        <w:jc w:val="left"/>
        <w:rPr>
          <w:noProof/>
          <w:sz w:val="20"/>
          <w:szCs w:val="20"/>
        </w:rPr>
      </w:pPr>
    </w:p>
    <w:p>
      <w:pPr>
        <w:pStyle w:val="Text1"/>
        <w:ind w:left="0"/>
        <w:jc w:val="left"/>
        <w:rPr>
          <w:noProof/>
          <w:sz w:val="20"/>
          <w:szCs w:val="20"/>
        </w:rPr>
      </w:pPr>
      <w:r>
        <w:rPr>
          <w:noProof/>
        </w:rPr>
        <w:br w:type="page"/>
      </w:r>
    </w:p>
    <w:p>
      <w:pPr>
        <w:pStyle w:val="ManualHeading2"/>
        <w:rPr>
          <w:noProof/>
        </w:rPr>
      </w:pPr>
      <w:r>
        <w:t>5.3.</w:t>
      </w:r>
      <w:r>
        <w:tab/>
      </w:r>
      <w:r>
        <w:rPr>
          <w:noProof/>
        </w:rPr>
        <w:t>Annexe 3: situation financière pour 2015, prévisions pour 2016 et 2017 et estimations non contraignantes pour 2018 et 2019 (en millions d’EUR):</w:t>
      </w:r>
    </w:p>
    <w:tbl>
      <w:tblPr>
        <w:tblW w:w="13080" w:type="dxa"/>
        <w:tblInd w:w="108" w:type="dxa"/>
        <w:tblLook w:val="04A0" w:firstRow="1" w:lastRow="0" w:firstColumn="1" w:lastColumn="0" w:noHBand="0" w:noVBand="1"/>
      </w:tblPr>
      <w:tblGrid>
        <w:gridCol w:w="661"/>
        <w:gridCol w:w="4000"/>
        <w:gridCol w:w="1417"/>
        <w:gridCol w:w="1120"/>
        <w:gridCol w:w="1395"/>
        <w:gridCol w:w="1120"/>
        <w:gridCol w:w="1460"/>
        <w:gridCol w:w="1120"/>
        <w:gridCol w:w="1120"/>
      </w:tblGrid>
      <w:tr>
        <w:trPr>
          <w:trHeight w:val="222"/>
        </w:trPr>
        <w:tc>
          <w:tcPr>
            <w:tcW w:w="640" w:type="dxa"/>
            <w:noWrap/>
            <w:vAlign w:val="bottom"/>
            <w:hideMark/>
          </w:tcPr>
          <w:p>
            <w:pPr>
              <w:spacing w:before="0" w:after="0"/>
              <w:jc w:val="left"/>
              <w:rPr>
                <w:noProof/>
                <w:sz w:val="20"/>
                <w:szCs w:val="20"/>
              </w:rPr>
            </w:pPr>
          </w:p>
        </w:tc>
        <w:tc>
          <w:tcPr>
            <w:tcW w:w="4000" w:type="dxa"/>
            <w:noWrap/>
            <w:vAlign w:val="bottom"/>
            <w:hideMark/>
          </w:tcPr>
          <w:p>
            <w:pPr>
              <w:spacing w:before="0" w:after="0"/>
              <w:jc w:val="left"/>
              <w:rPr>
                <w:noProof/>
                <w:sz w:val="20"/>
                <w:szCs w:val="20"/>
              </w:rPr>
            </w:pPr>
          </w:p>
        </w:tc>
        <w:tc>
          <w:tcPr>
            <w:tcW w:w="4740" w:type="dxa"/>
            <w:gridSpan w:val="4"/>
            <w:tcBorders>
              <w:top w:val="single" w:sz="4" w:space="0" w:color="auto"/>
              <w:left w:val="single" w:sz="4" w:space="0" w:color="auto"/>
              <w:bottom w:val="single" w:sz="4" w:space="0" w:color="auto"/>
              <w:right w:val="single" w:sz="4" w:space="0" w:color="000000"/>
            </w:tcBorders>
            <w:vAlign w:val="center"/>
            <w:hideMark/>
          </w:tcPr>
          <w:p>
            <w:pPr>
              <w:spacing w:before="0" w:after="0"/>
              <w:jc w:val="center"/>
              <w:rPr>
                <w:rFonts w:ascii="Arial" w:hAnsi="Arial" w:cs="Arial"/>
                <w:b/>
                <w:bCs/>
                <w:noProof/>
                <w:sz w:val="20"/>
                <w:szCs w:val="20"/>
              </w:rPr>
            </w:pPr>
            <w:r>
              <w:rPr>
                <w:rFonts w:ascii="Arial" w:hAnsi="Arial"/>
                <w:b/>
                <w:noProof/>
                <w:sz w:val="20"/>
              </w:rPr>
              <w:t>COM juin 2015</w:t>
            </w:r>
            <w:r>
              <w:rPr>
                <w:rFonts w:ascii="Arial" w:hAnsi="Arial"/>
                <w:b/>
                <w:noProof/>
                <w:sz w:val="20"/>
                <w:vertAlign w:val="superscript"/>
              </w:rPr>
              <w:t>1</w:t>
            </w:r>
          </w:p>
        </w:tc>
        <w:tc>
          <w:tcPr>
            <w:tcW w:w="3700" w:type="dxa"/>
            <w:gridSpan w:val="3"/>
            <w:tcBorders>
              <w:top w:val="single" w:sz="4" w:space="0" w:color="auto"/>
              <w:left w:val="nil"/>
              <w:bottom w:val="single" w:sz="4" w:space="0" w:color="auto"/>
              <w:right w:val="single" w:sz="4" w:space="0" w:color="000000"/>
            </w:tcBorders>
            <w:vAlign w:val="center"/>
            <w:hideMark/>
          </w:tcPr>
          <w:p>
            <w:pPr>
              <w:spacing w:before="0" w:after="0"/>
              <w:jc w:val="center"/>
              <w:rPr>
                <w:rFonts w:ascii="Arial" w:hAnsi="Arial" w:cs="Arial"/>
                <w:b/>
                <w:bCs/>
                <w:noProof/>
                <w:sz w:val="20"/>
                <w:szCs w:val="20"/>
              </w:rPr>
            </w:pPr>
            <w:r>
              <w:rPr>
                <w:rFonts w:ascii="Arial" w:hAnsi="Arial"/>
                <w:b/>
                <w:noProof/>
                <w:sz w:val="20"/>
              </w:rPr>
              <w:t>COM octobre 2015</w:t>
            </w:r>
          </w:p>
        </w:tc>
      </w:tr>
      <w:tr>
        <w:trPr>
          <w:trHeight w:val="222"/>
        </w:trPr>
        <w:tc>
          <w:tcPr>
            <w:tcW w:w="640" w:type="dxa"/>
            <w:noWrap/>
            <w:vAlign w:val="bottom"/>
            <w:hideMark/>
          </w:tcPr>
          <w:p>
            <w:pPr>
              <w:spacing w:before="0" w:after="0"/>
              <w:jc w:val="left"/>
              <w:rPr>
                <w:noProof/>
                <w:sz w:val="20"/>
                <w:szCs w:val="20"/>
              </w:rPr>
            </w:pPr>
          </w:p>
        </w:tc>
        <w:tc>
          <w:tcPr>
            <w:tcW w:w="4000" w:type="dxa"/>
            <w:noWrap/>
            <w:vAlign w:val="center"/>
            <w:hideMark/>
          </w:tcPr>
          <w:p>
            <w:pPr>
              <w:spacing w:before="0" w:after="0"/>
              <w:jc w:val="left"/>
              <w:rPr>
                <w:noProof/>
                <w:sz w:val="20"/>
                <w:szCs w:val="20"/>
              </w:rPr>
            </w:pPr>
          </w:p>
        </w:tc>
        <w:tc>
          <w:tcPr>
            <w:tcW w:w="1380" w:type="dxa"/>
            <w:tcBorders>
              <w:top w:val="nil"/>
              <w:left w:val="single" w:sz="4" w:space="0" w:color="auto"/>
              <w:bottom w:val="single" w:sz="4" w:space="0" w:color="auto"/>
              <w:right w:val="single" w:sz="4" w:space="0" w:color="auto"/>
            </w:tcBorders>
            <w:vAlign w:val="center"/>
            <w:hideMark/>
          </w:tcPr>
          <w:p>
            <w:pPr>
              <w:spacing w:before="0" w:after="0"/>
              <w:jc w:val="center"/>
              <w:rPr>
                <w:rFonts w:ascii="Arial" w:hAnsi="Arial" w:cs="Arial"/>
                <w:b/>
                <w:bCs/>
                <w:noProof/>
                <w:sz w:val="20"/>
                <w:szCs w:val="20"/>
              </w:rPr>
            </w:pPr>
            <w:r>
              <w:rPr>
                <w:rFonts w:ascii="Arial" w:hAnsi="Arial"/>
                <w:b/>
                <w:noProof/>
                <w:sz w:val="20"/>
              </w:rPr>
              <w:t>Commission</w:t>
            </w:r>
          </w:p>
        </w:tc>
        <w:tc>
          <w:tcPr>
            <w:tcW w:w="1120" w:type="dxa"/>
            <w:tcBorders>
              <w:top w:val="nil"/>
              <w:left w:val="nil"/>
              <w:bottom w:val="nil"/>
              <w:right w:val="single" w:sz="4" w:space="0" w:color="auto"/>
            </w:tcBorders>
            <w:vAlign w:val="center"/>
            <w:hideMark/>
          </w:tcPr>
          <w:p>
            <w:pPr>
              <w:spacing w:before="0" w:after="0"/>
              <w:jc w:val="center"/>
              <w:rPr>
                <w:rFonts w:ascii="Arial" w:hAnsi="Arial" w:cs="Arial"/>
                <w:b/>
                <w:bCs/>
                <w:noProof/>
                <w:sz w:val="20"/>
                <w:szCs w:val="20"/>
              </w:rPr>
            </w:pPr>
            <w:r>
              <w:rPr>
                <w:rFonts w:ascii="Arial" w:hAnsi="Arial"/>
                <w:b/>
                <w:noProof/>
                <w:sz w:val="20"/>
              </w:rPr>
              <w:t>BEI</w:t>
            </w:r>
          </w:p>
        </w:tc>
        <w:tc>
          <w:tcPr>
            <w:tcW w:w="1120" w:type="dxa"/>
            <w:tcBorders>
              <w:top w:val="nil"/>
              <w:left w:val="nil"/>
              <w:bottom w:val="single" w:sz="4" w:space="0" w:color="auto"/>
              <w:right w:val="single" w:sz="4" w:space="0" w:color="auto"/>
            </w:tcBorders>
            <w:vAlign w:val="center"/>
            <w:hideMark/>
          </w:tcPr>
          <w:p>
            <w:pPr>
              <w:spacing w:before="0" w:after="0"/>
              <w:jc w:val="center"/>
              <w:rPr>
                <w:rFonts w:ascii="Arial" w:hAnsi="Arial" w:cs="Arial"/>
                <w:b/>
                <w:bCs/>
                <w:noProof/>
                <w:sz w:val="20"/>
                <w:szCs w:val="20"/>
              </w:rPr>
            </w:pPr>
            <w:r>
              <w:rPr>
                <w:rFonts w:ascii="Arial" w:hAnsi="Arial"/>
                <w:b/>
                <w:noProof/>
                <w:sz w:val="20"/>
              </w:rPr>
              <w:t>Enveloppe de financement avec impact de la BEI</w:t>
            </w:r>
            <w:r>
              <w:rPr>
                <w:rFonts w:ascii="Arial" w:hAnsi="Arial"/>
                <w:b/>
                <w:noProof/>
                <w:sz w:val="20"/>
                <w:vertAlign w:val="superscript"/>
              </w:rPr>
              <w:t xml:space="preserve"> 6</w:t>
            </w:r>
          </w:p>
        </w:tc>
        <w:tc>
          <w:tcPr>
            <w:tcW w:w="1120" w:type="dxa"/>
            <w:tcBorders>
              <w:top w:val="nil"/>
              <w:left w:val="nil"/>
              <w:bottom w:val="nil"/>
              <w:right w:val="single" w:sz="4" w:space="0" w:color="auto"/>
            </w:tcBorders>
            <w:vAlign w:val="center"/>
            <w:hideMark/>
          </w:tcPr>
          <w:p>
            <w:pPr>
              <w:spacing w:before="0" w:after="0"/>
              <w:jc w:val="center"/>
              <w:rPr>
                <w:rFonts w:ascii="Arial" w:hAnsi="Arial" w:cs="Arial"/>
                <w:b/>
                <w:bCs/>
                <w:noProof/>
                <w:sz w:val="20"/>
                <w:szCs w:val="20"/>
              </w:rPr>
            </w:pPr>
            <w:r>
              <w:rPr>
                <w:rFonts w:ascii="Arial" w:hAnsi="Arial"/>
                <w:b/>
                <w:noProof/>
                <w:sz w:val="20"/>
              </w:rPr>
              <w:t>TOTAL</w:t>
            </w:r>
          </w:p>
        </w:tc>
        <w:tc>
          <w:tcPr>
            <w:tcW w:w="1460" w:type="dxa"/>
            <w:tcBorders>
              <w:top w:val="nil"/>
              <w:left w:val="nil"/>
              <w:bottom w:val="single" w:sz="4" w:space="0" w:color="auto"/>
              <w:right w:val="single" w:sz="4" w:space="0" w:color="auto"/>
            </w:tcBorders>
            <w:vAlign w:val="center"/>
            <w:hideMark/>
          </w:tcPr>
          <w:p>
            <w:pPr>
              <w:spacing w:before="0" w:after="0"/>
              <w:jc w:val="center"/>
              <w:rPr>
                <w:rFonts w:ascii="Arial" w:hAnsi="Arial" w:cs="Arial"/>
                <w:b/>
                <w:bCs/>
                <w:noProof/>
                <w:sz w:val="20"/>
                <w:szCs w:val="20"/>
              </w:rPr>
            </w:pPr>
            <w:r>
              <w:rPr>
                <w:rFonts w:ascii="Arial" w:hAnsi="Arial"/>
                <w:b/>
                <w:noProof/>
                <w:sz w:val="20"/>
              </w:rPr>
              <w:t>Commission</w:t>
            </w:r>
          </w:p>
        </w:tc>
        <w:tc>
          <w:tcPr>
            <w:tcW w:w="1120" w:type="dxa"/>
            <w:tcBorders>
              <w:top w:val="nil"/>
              <w:left w:val="nil"/>
              <w:bottom w:val="single" w:sz="4" w:space="0" w:color="auto"/>
              <w:right w:val="single" w:sz="4" w:space="0" w:color="auto"/>
            </w:tcBorders>
            <w:vAlign w:val="center"/>
            <w:hideMark/>
          </w:tcPr>
          <w:p>
            <w:pPr>
              <w:spacing w:before="0" w:after="0"/>
              <w:jc w:val="center"/>
              <w:rPr>
                <w:rFonts w:ascii="Arial" w:hAnsi="Arial" w:cs="Arial"/>
                <w:b/>
                <w:bCs/>
                <w:noProof/>
                <w:sz w:val="20"/>
                <w:szCs w:val="20"/>
              </w:rPr>
            </w:pPr>
            <w:r>
              <w:rPr>
                <w:rFonts w:ascii="Arial" w:hAnsi="Arial"/>
                <w:b/>
                <w:noProof/>
                <w:sz w:val="20"/>
              </w:rPr>
              <w:t>BEI</w:t>
            </w:r>
            <w:r>
              <w:rPr>
                <w:rFonts w:ascii="Arial" w:hAnsi="Arial"/>
                <w:b/>
                <w:noProof/>
                <w:sz w:val="20"/>
                <w:vertAlign w:val="superscript"/>
              </w:rPr>
              <w:t xml:space="preserve"> 6</w:t>
            </w:r>
          </w:p>
        </w:tc>
        <w:tc>
          <w:tcPr>
            <w:tcW w:w="1120" w:type="dxa"/>
            <w:tcBorders>
              <w:top w:val="nil"/>
              <w:left w:val="nil"/>
              <w:bottom w:val="nil"/>
              <w:right w:val="single" w:sz="4" w:space="0" w:color="auto"/>
            </w:tcBorders>
            <w:vAlign w:val="center"/>
            <w:hideMark/>
          </w:tcPr>
          <w:p>
            <w:pPr>
              <w:spacing w:before="0" w:after="0"/>
              <w:jc w:val="center"/>
              <w:rPr>
                <w:rFonts w:ascii="Arial" w:hAnsi="Arial" w:cs="Arial"/>
                <w:b/>
                <w:bCs/>
                <w:noProof/>
                <w:sz w:val="20"/>
                <w:szCs w:val="20"/>
              </w:rPr>
            </w:pPr>
            <w:r>
              <w:rPr>
                <w:rFonts w:ascii="Arial" w:hAnsi="Arial"/>
                <w:b/>
                <w:noProof/>
                <w:sz w:val="20"/>
              </w:rPr>
              <w:t>TOTAL</w:t>
            </w:r>
          </w:p>
        </w:tc>
      </w:tr>
      <w:tr>
        <w:trPr>
          <w:trHeight w:val="222"/>
        </w:trPr>
        <w:tc>
          <w:tcPr>
            <w:tcW w:w="640" w:type="dxa"/>
            <w:tcBorders>
              <w:top w:val="nil"/>
              <w:left w:val="nil"/>
              <w:bottom w:val="single" w:sz="4" w:space="0" w:color="auto"/>
              <w:right w:val="single" w:sz="4" w:space="0" w:color="auto"/>
            </w:tcBorders>
            <w:noWrap/>
            <w:textDirection w:val="btLr"/>
            <w:vAlign w:val="center"/>
            <w:hideMark/>
          </w:tcPr>
          <w:p>
            <w:pPr>
              <w:spacing w:before="0" w:after="0"/>
              <w:jc w:val="center"/>
              <w:rPr>
                <w:rFonts w:ascii="Arial" w:hAnsi="Arial" w:cs="Arial"/>
                <w:b/>
                <w:bCs/>
                <w:noProof/>
                <w:sz w:val="20"/>
                <w:szCs w:val="20"/>
              </w:rPr>
            </w:pPr>
            <w:r>
              <w:rPr>
                <w:rFonts w:ascii="Arial" w:hAnsi="Arial"/>
                <w:b/>
                <w:noProof/>
                <w:sz w:val="20"/>
              </w:rPr>
              <w:t> </w:t>
            </w:r>
          </w:p>
        </w:tc>
        <w:tc>
          <w:tcPr>
            <w:tcW w:w="4000" w:type="dxa"/>
            <w:tcBorders>
              <w:top w:val="single" w:sz="4" w:space="0" w:color="auto"/>
              <w:left w:val="nil"/>
              <w:bottom w:val="single" w:sz="4" w:space="0" w:color="auto"/>
              <w:right w:val="single" w:sz="4" w:space="0" w:color="auto"/>
            </w:tcBorders>
            <w:noWrap/>
            <w:vAlign w:val="center"/>
            <w:hideMark/>
          </w:tcPr>
          <w:p>
            <w:pPr>
              <w:spacing w:before="0" w:after="0"/>
              <w:jc w:val="left"/>
              <w:rPr>
                <w:rFonts w:ascii="Arial" w:hAnsi="Arial" w:cs="Arial"/>
                <w:b/>
                <w:bCs/>
                <w:noProof/>
                <w:sz w:val="20"/>
                <w:szCs w:val="20"/>
              </w:rPr>
            </w:pPr>
            <w:r>
              <w:rPr>
                <w:rFonts w:ascii="Arial" w:hAnsi="Arial"/>
                <w:b/>
                <w:noProof/>
                <w:sz w:val="20"/>
              </w:rPr>
              <w:t>Solde au 31.12.2014</w:t>
            </w:r>
            <w:r>
              <w:rPr>
                <w:rFonts w:ascii="Arial" w:hAnsi="Arial"/>
                <w:b/>
                <w:noProof/>
                <w:sz w:val="20"/>
                <w:vertAlign w:val="superscript"/>
              </w:rPr>
              <w:t xml:space="preserve"> 1</w:t>
            </w:r>
          </w:p>
        </w:tc>
        <w:tc>
          <w:tcPr>
            <w:tcW w:w="138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207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194</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401</w:t>
            </w:r>
          </w:p>
        </w:tc>
        <w:tc>
          <w:tcPr>
            <w:tcW w:w="146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207</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194</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401</w:t>
            </w:r>
          </w:p>
        </w:tc>
      </w:tr>
      <w:tr>
        <w:trPr>
          <w:trHeight w:val="222"/>
        </w:trPr>
        <w:tc>
          <w:tcPr>
            <w:tcW w:w="640" w:type="dxa"/>
            <w:vMerge w:val="restart"/>
            <w:tcBorders>
              <w:top w:val="nil"/>
              <w:left w:val="single" w:sz="4" w:space="0" w:color="auto"/>
              <w:bottom w:val="nil"/>
              <w:right w:val="nil"/>
            </w:tcBorders>
            <w:noWrap/>
            <w:textDirection w:val="btLr"/>
            <w:vAlign w:val="center"/>
            <w:hideMark/>
          </w:tcPr>
          <w:p>
            <w:pPr>
              <w:spacing w:before="0" w:after="0"/>
              <w:jc w:val="center"/>
              <w:rPr>
                <w:rFonts w:ascii="Arial" w:hAnsi="Arial" w:cs="Arial"/>
                <w:b/>
                <w:bCs/>
                <w:noProof/>
                <w:sz w:val="20"/>
                <w:szCs w:val="20"/>
              </w:rPr>
            </w:pPr>
            <w:r>
              <w:rPr>
                <w:rFonts w:ascii="Arial" w:hAnsi="Arial"/>
                <w:b/>
                <w:noProof/>
                <w:sz w:val="20"/>
              </w:rPr>
              <w:t>2015</w:t>
            </w:r>
          </w:p>
        </w:tc>
        <w:tc>
          <w:tcPr>
            <w:tcW w:w="4000" w:type="dxa"/>
            <w:tcBorders>
              <w:top w:val="nil"/>
              <w:left w:val="single" w:sz="4" w:space="0" w:color="auto"/>
              <w:bottom w:val="nil"/>
              <w:right w:val="nil"/>
            </w:tcBorders>
            <w:noWrap/>
            <w:vAlign w:val="bottom"/>
            <w:hideMark/>
          </w:tcPr>
          <w:p>
            <w:pPr>
              <w:spacing w:before="0" w:after="0"/>
              <w:jc w:val="left"/>
              <w:rPr>
                <w:rFonts w:ascii="Arial" w:hAnsi="Arial" w:cs="Arial"/>
                <w:noProof/>
                <w:color w:val="FF0000"/>
                <w:sz w:val="20"/>
                <w:szCs w:val="20"/>
              </w:rPr>
            </w:pPr>
            <w:r>
              <w:rPr>
                <w:rFonts w:ascii="Arial" w:hAnsi="Arial"/>
                <w:noProof/>
                <w:color w:val="FF0000"/>
                <w:sz w:val="20"/>
              </w:rPr>
              <w:t>Contributions des États membres pour 2015:</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3 400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3 400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i/>
                <w:noProof/>
                <w:sz w:val="20"/>
              </w:rPr>
              <w:t xml:space="preserve">     1</w:t>
            </w:r>
            <w:r>
              <w:rPr>
                <w:rFonts w:ascii="Arial" w:hAnsi="Arial"/>
                <w:i/>
                <w:noProof/>
                <w:sz w:val="20"/>
                <w:vertAlign w:val="superscript"/>
              </w:rPr>
              <w:t>re</w:t>
            </w:r>
            <w:r>
              <w:rPr>
                <w:rFonts w:ascii="Arial" w:hAnsi="Arial"/>
                <w:i/>
                <w:noProof/>
                <w:sz w:val="20"/>
              </w:rPr>
              <w:t xml:space="preserve"> tranche</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1 500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1 550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1 500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1 550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i/>
                <w:noProof/>
                <w:sz w:val="20"/>
              </w:rPr>
              <w:t xml:space="preserve">     2</w:t>
            </w:r>
            <w:r>
              <w:rPr>
                <w:rFonts w:ascii="Arial" w:hAnsi="Arial"/>
                <w:i/>
                <w:noProof/>
                <w:sz w:val="20"/>
                <w:vertAlign w:val="superscript"/>
              </w:rPr>
              <w:t>e</w:t>
            </w:r>
            <w:r>
              <w:rPr>
                <w:rFonts w:ascii="Arial" w:hAnsi="Arial"/>
                <w:i/>
                <w:noProof/>
                <w:sz w:val="20"/>
              </w:rPr>
              <w:t xml:space="preserve"> tranche</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950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950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i/>
                <w:noProof/>
                <w:sz w:val="20"/>
              </w:rPr>
              <w:t xml:space="preserve">     3</w:t>
            </w:r>
            <w:r>
              <w:rPr>
                <w:rFonts w:ascii="Arial" w:hAnsi="Arial"/>
                <w:i/>
                <w:noProof/>
                <w:sz w:val="20"/>
                <w:vertAlign w:val="superscript"/>
              </w:rPr>
              <w:t>e</w:t>
            </w:r>
            <w:r>
              <w:rPr>
                <w:rFonts w:ascii="Arial" w:hAnsi="Arial"/>
                <w:i/>
                <w:noProof/>
                <w:sz w:val="20"/>
              </w:rPr>
              <w:t xml:space="preserve"> tranche</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900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900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noWrap/>
            <w:vAlign w:val="bottom"/>
            <w:hideMark/>
          </w:tcPr>
          <w:p>
            <w:pPr>
              <w:spacing w:before="0" w:after="0"/>
              <w:jc w:val="left"/>
              <w:rPr>
                <w:rFonts w:ascii="Arial" w:hAnsi="Arial" w:cs="Arial"/>
                <w:noProof/>
                <w:sz w:val="20"/>
                <w:szCs w:val="20"/>
              </w:rPr>
            </w:pPr>
            <w:r>
              <w:rPr>
                <w:rFonts w:ascii="Arial" w:hAnsi="Arial"/>
                <w:noProof/>
                <w:sz w:val="20"/>
              </w:rPr>
              <w:t>Remboursements</w:t>
            </w:r>
            <w:r>
              <w:rPr>
                <w:rFonts w:ascii="Arial" w:hAnsi="Arial"/>
                <w:noProof/>
                <w:sz w:val="20"/>
                <w:vertAlign w:val="superscript"/>
              </w:rPr>
              <w:t xml:space="preserve"> 2</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196</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196</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noWrap/>
            <w:vAlign w:val="bottom"/>
            <w:hideMark/>
          </w:tcPr>
          <w:p>
            <w:pPr>
              <w:spacing w:before="0" w:after="0"/>
              <w:jc w:val="left"/>
              <w:rPr>
                <w:rFonts w:ascii="Arial" w:hAnsi="Arial" w:cs="Arial"/>
                <w:noProof/>
                <w:sz w:val="20"/>
                <w:szCs w:val="20"/>
              </w:rPr>
            </w:pPr>
            <w:r>
              <w:rPr>
                <w:rFonts w:ascii="Arial" w:hAnsi="Arial"/>
                <w:noProof/>
                <w:sz w:val="20"/>
              </w:rPr>
              <w:t>Contributions 2015 reçues en 2014</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-228</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-228</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-228</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-228</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nil"/>
            </w:tcBorders>
            <w:noWrap/>
            <w:vAlign w:val="bottom"/>
            <w:hideMark/>
          </w:tcPr>
          <w:p>
            <w:pPr>
              <w:spacing w:before="0" w:after="0"/>
              <w:jc w:val="left"/>
              <w:rPr>
                <w:rFonts w:ascii="Arial" w:hAnsi="Arial" w:cs="Arial"/>
                <w:noProof/>
                <w:sz w:val="20"/>
                <w:szCs w:val="20"/>
              </w:rPr>
            </w:pPr>
            <w:r>
              <w:rPr>
                <w:rFonts w:ascii="Arial" w:hAnsi="Arial"/>
                <w:noProof/>
                <w:sz w:val="20"/>
              </w:rPr>
              <w:t>Recouvrements, intérêts et autres</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80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80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noProof/>
                <w:sz w:val="20"/>
                <w:szCs w:val="20"/>
              </w:rPr>
            </w:pPr>
            <w:r>
              <w:rPr>
                <w:rFonts w:ascii="Arial" w:hAnsi="Arial"/>
                <w:noProof/>
                <w:sz w:val="20"/>
              </w:rPr>
              <w:t>Total des paiements</w:t>
            </w:r>
            <w:r>
              <w:rPr>
                <w:rFonts w:ascii="Arial" w:hAnsi="Arial"/>
                <w:noProof/>
                <w:sz w:val="20"/>
                <w:vertAlign w:val="superscript"/>
              </w:rPr>
              <w:t xml:space="preserve"> 3</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-3 103</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-385</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-45</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-3 533</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-3 152</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-3 452</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single" w:sz="4" w:space="0" w:color="auto"/>
              <w:left w:val="single" w:sz="4" w:space="0" w:color="auto"/>
              <w:bottom w:val="single" w:sz="4" w:space="0" w:color="auto"/>
              <w:right w:val="single" w:sz="4" w:space="0" w:color="auto"/>
            </w:tcBorders>
            <w:noWrap/>
            <w:vAlign w:val="bottom"/>
            <w:hideMark/>
          </w:tcPr>
          <w:p>
            <w:pPr>
              <w:spacing w:before="0" w:after="0"/>
              <w:jc w:val="left"/>
              <w:rPr>
                <w:rFonts w:ascii="Arial" w:hAnsi="Arial" w:cs="Arial"/>
                <w:b/>
                <w:bCs/>
                <w:noProof/>
                <w:sz w:val="20"/>
                <w:szCs w:val="20"/>
              </w:rPr>
            </w:pPr>
            <w:r>
              <w:rPr>
                <w:rFonts w:ascii="Arial" w:hAnsi="Arial"/>
                <w:b/>
                <w:noProof/>
                <w:sz w:val="20"/>
              </w:rPr>
              <w:t>Solde au 31.12.2015</w:t>
            </w:r>
            <w:r>
              <w:rPr>
                <w:rFonts w:ascii="Arial" w:hAnsi="Arial"/>
                <w:b/>
                <w:noProof/>
                <w:sz w:val="20"/>
                <w:vertAlign w:val="superscript"/>
              </w:rPr>
              <w:t xml:space="preserve"> 4</w:t>
            </w:r>
          </w:p>
        </w:tc>
        <w:tc>
          <w:tcPr>
            <w:tcW w:w="138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176</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259</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-45</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390</w:t>
            </w:r>
          </w:p>
        </w:tc>
        <w:tc>
          <w:tcPr>
            <w:tcW w:w="146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107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290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397</w:t>
            </w:r>
          </w:p>
        </w:tc>
      </w:tr>
      <w:tr>
        <w:trPr>
          <w:trHeight w:val="222"/>
        </w:trPr>
        <w:tc>
          <w:tcPr>
            <w:tcW w:w="640" w:type="dxa"/>
            <w:vMerge w:val="restart"/>
            <w:tcBorders>
              <w:top w:val="nil"/>
              <w:left w:val="single" w:sz="4" w:space="0" w:color="auto"/>
              <w:bottom w:val="nil"/>
              <w:right w:val="single" w:sz="4" w:space="0" w:color="auto"/>
            </w:tcBorders>
            <w:noWrap/>
            <w:textDirection w:val="btLr"/>
            <w:vAlign w:val="center"/>
            <w:hideMark/>
          </w:tcPr>
          <w:p>
            <w:pPr>
              <w:spacing w:before="0" w:after="0"/>
              <w:jc w:val="center"/>
              <w:rPr>
                <w:rFonts w:ascii="Arial" w:hAnsi="Arial" w:cs="Arial"/>
                <w:b/>
                <w:bCs/>
                <w:noProof/>
                <w:sz w:val="20"/>
                <w:szCs w:val="20"/>
              </w:rPr>
            </w:pPr>
            <w:r>
              <w:rPr>
                <w:rFonts w:ascii="Arial" w:hAnsi="Arial"/>
                <w:b/>
                <w:noProof/>
                <w:sz w:val="20"/>
              </w:rPr>
              <w:t>2016</w:t>
            </w:r>
          </w:p>
        </w:tc>
        <w:tc>
          <w:tcPr>
            <w:tcW w:w="4000" w:type="dxa"/>
            <w:noWrap/>
            <w:vAlign w:val="bottom"/>
            <w:hideMark/>
          </w:tcPr>
          <w:p>
            <w:pPr>
              <w:spacing w:before="0" w:after="0"/>
              <w:jc w:val="left"/>
              <w:rPr>
                <w:rFonts w:ascii="Arial" w:hAnsi="Arial" w:cs="Arial"/>
                <w:noProof/>
                <w:color w:val="FF0000"/>
                <w:sz w:val="20"/>
                <w:szCs w:val="20"/>
              </w:rPr>
            </w:pPr>
            <w:r>
              <w:rPr>
                <w:rFonts w:ascii="Arial" w:hAnsi="Arial"/>
                <w:noProof/>
                <w:color w:val="FF0000"/>
                <w:sz w:val="20"/>
              </w:rPr>
              <w:t>Contributions des États membres pour 2016:</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3 350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3 550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3 450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3 600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i/>
                <w:noProof/>
                <w:sz w:val="20"/>
              </w:rPr>
              <w:t xml:space="preserve">     1</w:t>
            </w:r>
            <w:r>
              <w:rPr>
                <w:rFonts w:ascii="Arial" w:hAnsi="Arial"/>
                <w:i/>
                <w:noProof/>
                <w:sz w:val="20"/>
                <w:vertAlign w:val="superscript"/>
              </w:rPr>
              <w:t>re</w:t>
            </w:r>
            <w:r>
              <w:rPr>
                <w:rFonts w:ascii="Arial" w:hAnsi="Arial"/>
                <w:i/>
                <w:noProof/>
                <w:sz w:val="20"/>
              </w:rPr>
              <w:t xml:space="preserve"> tranche</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1 750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1 750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i/>
                <w:noProof/>
                <w:sz w:val="20"/>
              </w:rPr>
              <w:t xml:space="preserve">     2</w:t>
            </w:r>
            <w:r>
              <w:rPr>
                <w:rFonts w:ascii="Arial" w:hAnsi="Arial"/>
                <w:i/>
                <w:noProof/>
                <w:sz w:val="20"/>
                <w:vertAlign w:val="superscript"/>
              </w:rPr>
              <w:t>e</w:t>
            </w:r>
            <w:r>
              <w:rPr>
                <w:rFonts w:ascii="Arial" w:hAnsi="Arial"/>
                <w:i/>
                <w:noProof/>
                <w:sz w:val="20"/>
              </w:rPr>
              <w:t xml:space="preserve"> tranche</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1 000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1 100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i/>
                <w:noProof/>
                <w:sz w:val="20"/>
              </w:rPr>
              <w:t xml:space="preserve">     3</w:t>
            </w:r>
            <w:r>
              <w:rPr>
                <w:rFonts w:ascii="Arial" w:hAnsi="Arial"/>
                <w:i/>
                <w:noProof/>
                <w:sz w:val="20"/>
                <w:vertAlign w:val="superscript"/>
              </w:rPr>
              <w:t>e</w:t>
            </w:r>
            <w:r>
              <w:rPr>
                <w:rFonts w:ascii="Arial" w:hAnsi="Arial"/>
                <w:i/>
                <w:noProof/>
                <w:sz w:val="20"/>
              </w:rPr>
              <w:t xml:space="preserve"> tranche</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700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750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noWrap/>
            <w:vAlign w:val="bottom"/>
            <w:hideMark/>
          </w:tcPr>
          <w:p>
            <w:pPr>
              <w:spacing w:before="0" w:after="0"/>
              <w:jc w:val="left"/>
              <w:rPr>
                <w:rFonts w:ascii="Arial" w:hAnsi="Arial" w:cs="Arial"/>
                <w:noProof/>
                <w:sz w:val="20"/>
                <w:szCs w:val="20"/>
              </w:rPr>
            </w:pPr>
            <w:r>
              <w:rPr>
                <w:rFonts w:ascii="Arial" w:hAnsi="Arial"/>
                <w:noProof/>
                <w:sz w:val="20"/>
              </w:rPr>
              <w:t>Remboursements</w:t>
            </w:r>
            <w:r>
              <w:rPr>
                <w:rFonts w:ascii="Arial" w:hAnsi="Arial"/>
                <w:noProof/>
                <w:sz w:val="20"/>
                <w:vertAlign w:val="superscript"/>
              </w:rPr>
              <w:t xml:space="preserve"> 2</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220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220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190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190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noWrap/>
            <w:vAlign w:val="bottom"/>
            <w:hideMark/>
          </w:tcPr>
          <w:p>
            <w:pPr>
              <w:spacing w:before="0" w:after="0"/>
              <w:jc w:val="left"/>
              <w:rPr>
                <w:rFonts w:ascii="Arial" w:hAnsi="Arial" w:cs="Arial"/>
                <w:noProof/>
                <w:sz w:val="20"/>
                <w:szCs w:val="20"/>
              </w:rPr>
            </w:pPr>
            <w:r>
              <w:rPr>
                <w:rFonts w:ascii="Arial" w:hAnsi="Arial"/>
                <w:noProof/>
                <w:sz w:val="20"/>
              </w:rPr>
              <w:t>Recouvrements, intérêts et autres</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80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80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noProof/>
                <w:sz w:val="20"/>
                <w:szCs w:val="20"/>
              </w:rPr>
            </w:pPr>
            <w:r>
              <w:rPr>
                <w:rFonts w:ascii="Arial" w:hAnsi="Arial"/>
                <w:noProof/>
                <w:sz w:val="20"/>
              </w:rPr>
              <w:t>Total des paiements</w:t>
            </w:r>
            <w:r>
              <w:rPr>
                <w:rFonts w:ascii="Arial" w:hAnsi="Arial"/>
                <w:noProof/>
                <w:sz w:val="20"/>
                <w:vertAlign w:val="superscript"/>
              </w:rPr>
              <w:t xml:space="preserve"> 3</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-3 468</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-400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-3 918</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-3 550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-410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-3 960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single" w:sz="4" w:space="0" w:color="auto"/>
              <w:left w:val="nil"/>
              <w:bottom w:val="single" w:sz="4" w:space="0" w:color="auto"/>
              <w:right w:val="nil"/>
            </w:tcBorders>
            <w:noWrap/>
            <w:vAlign w:val="bottom"/>
            <w:hideMark/>
          </w:tcPr>
          <w:p>
            <w:pPr>
              <w:spacing w:before="0" w:after="0"/>
              <w:jc w:val="left"/>
              <w:rPr>
                <w:rFonts w:ascii="Arial" w:hAnsi="Arial" w:cs="Arial"/>
                <w:b/>
                <w:bCs/>
                <w:noProof/>
                <w:sz w:val="20"/>
                <w:szCs w:val="20"/>
              </w:rPr>
            </w:pPr>
            <w:r>
              <w:rPr>
                <w:rFonts w:ascii="Arial" w:hAnsi="Arial"/>
                <w:b/>
                <w:noProof/>
                <w:sz w:val="20"/>
              </w:rPr>
              <w:t>Solde au 31.12.2016</w:t>
            </w:r>
          </w:p>
        </w:tc>
        <w:tc>
          <w:tcPr>
            <w:tcW w:w="1380" w:type="dxa"/>
            <w:tcBorders>
              <w:top w:val="single" w:sz="4" w:space="0" w:color="auto"/>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158</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179</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5</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342</w:t>
            </w:r>
          </w:p>
        </w:tc>
        <w:tc>
          <w:tcPr>
            <w:tcW w:w="146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87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220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307</w:t>
            </w:r>
          </w:p>
        </w:tc>
      </w:tr>
      <w:tr>
        <w:trPr>
          <w:trHeight w:val="222"/>
        </w:trPr>
        <w:tc>
          <w:tcPr>
            <w:tcW w:w="640" w:type="dxa"/>
            <w:vMerge w:val="restart"/>
            <w:tcBorders>
              <w:top w:val="nil"/>
              <w:left w:val="single" w:sz="4" w:space="0" w:color="auto"/>
              <w:bottom w:val="single" w:sz="4" w:space="0" w:color="000000"/>
              <w:right w:val="single" w:sz="4" w:space="0" w:color="auto"/>
            </w:tcBorders>
            <w:noWrap/>
            <w:textDirection w:val="btLr"/>
            <w:vAlign w:val="center"/>
            <w:hideMark/>
          </w:tcPr>
          <w:p>
            <w:pPr>
              <w:spacing w:before="0" w:after="0"/>
              <w:jc w:val="center"/>
              <w:rPr>
                <w:rFonts w:ascii="Arial" w:hAnsi="Arial" w:cs="Arial"/>
                <w:b/>
                <w:bCs/>
                <w:noProof/>
                <w:sz w:val="20"/>
                <w:szCs w:val="20"/>
              </w:rPr>
            </w:pPr>
            <w:r>
              <w:rPr>
                <w:rFonts w:ascii="Arial" w:hAnsi="Arial"/>
                <w:b/>
                <w:noProof/>
                <w:sz w:val="20"/>
              </w:rPr>
              <w:t>2017</w:t>
            </w:r>
          </w:p>
        </w:tc>
        <w:tc>
          <w:tcPr>
            <w:tcW w:w="4000" w:type="dxa"/>
            <w:noWrap/>
            <w:vAlign w:val="bottom"/>
            <w:hideMark/>
          </w:tcPr>
          <w:p>
            <w:pPr>
              <w:spacing w:before="0" w:after="0"/>
              <w:jc w:val="left"/>
              <w:rPr>
                <w:rFonts w:ascii="Arial" w:hAnsi="Arial" w:cs="Arial"/>
                <w:noProof/>
                <w:color w:val="FF0000"/>
                <w:sz w:val="20"/>
                <w:szCs w:val="20"/>
              </w:rPr>
            </w:pPr>
            <w:r>
              <w:rPr>
                <w:rFonts w:ascii="Arial" w:hAnsi="Arial"/>
                <w:noProof/>
                <w:color w:val="FF0000"/>
                <w:sz w:val="20"/>
              </w:rPr>
              <w:t>Contributions des États membres pour 2017:</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3 450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140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60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3 650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3 950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4 150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noWrap/>
            <w:vAlign w:val="bottom"/>
            <w:hideMark/>
          </w:tcPr>
          <w:p>
            <w:pPr>
              <w:spacing w:before="0" w:after="0"/>
              <w:jc w:val="left"/>
              <w:rPr>
                <w:rFonts w:ascii="Arial" w:hAnsi="Arial" w:cs="Arial"/>
                <w:noProof/>
                <w:sz w:val="20"/>
                <w:szCs w:val="20"/>
              </w:rPr>
            </w:pPr>
            <w:r>
              <w:rPr>
                <w:rFonts w:ascii="Arial" w:hAnsi="Arial"/>
                <w:noProof/>
                <w:sz w:val="20"/>
              </w:rPr>
              <w:t>Remboursements</w:t>
            </w:r>
            <w:r>
              <w:rPr>
                <w:rFonts w:ascii="Arial" w:hAnsi="Arial"/>
                <w:noProof/>
                <w:sz w:val="20"/>
                <w:vertAlign w:val="superscript"/>
              </w:rPr>
              <w:t xml:space="preserve"> 2</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left"/>
              <w:rPr>
                <w:noProof/>
                <w:sz w:val="20"/>
                <w:szCs w:val="20"/>
              </w:rPr>
            </w:pP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190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190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rPr>
            </w:pPr>
          </w:p>
        </w:tc>
        <w:tc>
          <w:tcPr>
            <w:tcW w:w="4000" w:type="dxa"/>
            <w:noWrap/>
            <w:vAlign w:val="bottom"/>
            <w:hideMark/>
          </w:tcPr>
          <w:p>
            <w:pPr>
              <w:spacing w:before="0" w:after="0"/>
              <w:jc w:val="left"/>
              <w:rPr>
                <w:rFonts w:ascii="Arial" w:hAnsi="Arial" w:cs="Arial"/>
                <w:noProof/>
                <w:sz w:val="20"/>
                <w:szCs w:val="20"/>
              </w:rPr>
            </w:pPr>
            <w:r>
              <w:rPr>
                <w:rFonts w:ascii="Arial" w:hAnsi="Arial"/>
                <w:noProof/>
                <w:sz w:val="20"/>
              </w:rPr>
              <w:t>Recouvrements, intérêts et autres</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left"/>
              <w:rPr>
                <w:noProof/>
                <w:sz w:val="20"/>
                <w:szCs w:val="20"/>
              </w:rPr>
            </w:pP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noProof/>
                <w:sz w:val="20"/>
                <w:szCs w:val="20"/>
              </w:rPr>
            </w:pPr>
            <w:r>
              <w:rPr>
                <w:rFonts w:ascii="Arial" w:hAnsi="Arial"/>
                <w:noProof/>
                <w:sz w:val="20"/>
              </w:rPr>
              <w:t>Total des paiements</w:t>
            </w:r>
            <w:r>
              <w:rPr>
                <w:rFonts w:ascii="Arial" w:hAnsi="Arial"/>
                <w:noProof/>
                <w:sz w:val="20"/>
                <w:vertAlign w:val="superscript"/>
              </w:rPr>
              <w:t xml:space="preserve"> 3</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noWrap/>
            <w:vAlign w:val="center"/>
            <w:hideMark/>
          </w:tcPr>
          <w:p>
            <w:pPr>
              <w:spacing w:before="0" w:after="0"/>
              <w:jc w:val="left"/>
              <w:rPr>
                <w:noProof/>
                <w:sz w:val="20"/>
                <w:szCs w:val="20"/>
              </w:rPr>
            </w:pP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-3 900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-460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noProof/>
                <w:sz w:val="20"/>
              </w:rPr>
              <w:t>-4 360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single" w:sz="4" w:space="0" w:color="auto"/>
              <w:left w:val="nil"/>
              <w:bottom w:val="single" w:sz="4" w:space="0" w:color="auto"/>
              <w:right w:val="nil"/>
            </w:tcBorders>
            <w:noWrap/>
            <w:vAlign w:val="bottom"/>
            <w:hideMark/>
          </w:tcPr>
          <w:p>
            <w:pPr>
              <w:spacing w:before="0" w:after="0"/>
              <w:jc w:val="left"/>
              <w:rPr>
                <w:rFonts w:ascii="Arial" w:hAnsi="Arial" w:cs="Arial"/>
                <w:b/>
                <w:bCs/>
                <w:noProof/>
                <w:sz w:val="20"/>
                <w:szCs w:val="20"/>
              </w:rPr>
            </w:pPr>
            <w:r>
              <w:rPr>
                <w:rFonts w:ascii="Arial" w:hAnsi="Arial"/>
                <w:b/>
                <w:noProof/>
                <w:sz w:val="20"/>
              </w:rPr>
              <w:t>Solde au 31.12.2017</w:t>
            </w:r>
          </w:p>
        </w:tc>
        <w:tc>
          <w:tcPr>
            <w:tcW w:w="1380" w:type="dxa"/>
            <w:tcBorders>
              <w:top w:val="single" w:sz="4" w:space="0" w:color="auto"/>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 </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 </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 </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 </w:t>
            </w:r>
          </w:p>
        </w:tc>
        <w:tc>
          <w:tcPr>
            <w:tcW w:w="146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187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150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337</w:t>
            </w:r>
          </w:p>
        </w:tc>
      </w:tr>
      <w:tr>
        <w:trPr>
          <w:trHeight w:val="222"/>
        </w:trPr>
        <w:tc>
          <w:tcPr>
            <w:tcW w:w="640" w:type="dxa"/>
            <w:tcBorders>
              <w:top w:val="nil"/>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2018</w:t>
            </w:r>
          </w:p>
        </w:tc>
        <w:tc>
          <w:tcPr>
            <w:tcW w:w="4000" w:type="dxa"/>
            <w:tcBorders>
              <w:top w:val="nil"/>
              <w:left w:val="nil"/>
              <w:bottom w:val="single" w:sz="4" w:space="0" w:color="auto"/>
              <w:right w:val="single" w:sz="4" w:space="0" w:color="auto"/>
            </w:tcBorders>
            <w:vAlign w:val="bottom"/>
            <w:hideMark/>
          </w:tcPr>
          <w:p>
            <w:pPr>
              <w:spacing w:before="0" w:after="0"/>
              <w:jc w:val="left"/>
              <w:rPr>
                <w:rFonts w:ascii="Arial" w:hAnsi="Arial" w:cs="Arial"/>
                <w:noProof/>
                <w:color w:val="FF0000"/>
                <w:sz w:val="20"/>
                <w:szCs w:val="20"/>
              </w:rPr>
            </w:pPr>
            <w:r>
              <w:rPr>
                <w:rFonts w:ascii="Arial" w:hAnsi="Arial"/>
                <w:noProof/>
                <w:color w:val="FF0000"/>
                <w:sz w:val="20"/>
              </w:rPr>
              <w:t>Contributions des États membres pour 2018</w:t>
            </w:r>
            <w:r>
              <w:rPr>
                <w:rFonts w:ascii="Arial" w:hAnsi="Arial"/>
                <w:noProof/>
                <w:color w:val="FF0000"/>
                <w:sz w:val="20"/>
                <w:vertAlign w:val="superscript"/>
              </w:rPr>
              <w:t xml:space="preserve"> 5</w:t>
            </w:r>
          </w:p>
        </w:tc>
        <w:tc>
          <w:tcPr>
            <w:tcW w:w="138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3 500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100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70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3 670</w:t>
            </w:r>
          </w:p>
        </w:tc>
        <w:tc>
          <w:tcPr>
            <w:tcW w:w="146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4 050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200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4 250</w:t>
            </w:r>
          </w:p>
        </w:tc>
      </w:tr>
      <w:tr>
        <w:trPr>
          <w:trHeight w:val="222"/>
        </w:trPr>
        <w:tc>
          <w:tcPr>
            <w:tcW w:w="640" w:type="dxa"/>
            <w:tcBorders>
              <w:top w:val="nil"/>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2019</w:t>
            </w:r>
          </w:p>
        </w:tc>
        <w:tc>
          <w:tcPr>
            <w:tcW w:w="4000" w:type="dxa"/>
            <w:tcBorders>
              <w:top w:val="nil"/>
              <w:left w:val="nil"/>
              <w:bottom w:val="single" w:sz="4" w:space="0" w:color="auto"/>
              <w:right w:val="single" w:sz="4" w:space="0" w:color="auto"/>
            </w:tcBorders>
            <w:vAlign w:val="bottom"/>
            <w:hideMark/>
          </w:tcPr>
          <w:p>
            <w:pPr>
              <w:spacing w:before="0" w:after="0"/>
              <w:jc w:val="left"/>
              <w:rPr>
                <w:rFonts w:ascii="Arial" w:hAnsi="Arial" w:cs="Arial"/>
                <w:noProof/>
                <w:color w:val="FF0000"/>
                <w:sz w:val="20"/>
                <w:szCs w:val="20"/>
              </w:rPr>
            </w:pPr>
            <w:r>
              <w:rPr>
                <w:rFonts w:ascii="Arial" w:hAnsi="Arial"/>
                <w:noProof/>
                <w:color w:val="FF0000"/>
                <w:sz w:val="20"/>
              </w:rPr>
              <w:t>Contributions des États membres pour 2019</w:t>
            </w:r>
            <w:r>
              <w:rPr>
                <w:rFonts w:ascii="Arial" w:hAnsi="Arial"/>
                <w:noProof/>
                <w:color w:val="FF0000"/>
                <w:sz w:val="20"/>
                <w:vertAlign w:val="superscript"/>
              </w:rPr>
              <w:t xml:space="preserve"> 5</w:t>
            </w:r>
          </w:p>
        </w:tc>
        <w:tc>
          <w:tcPr>
            <w:tcW w:w="138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 </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 </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 </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 </w:t>
            </w:r>
          </w:p>
        </w:tc>
        <w:tc>
          <w:tcPr>
            <w:tcW w:w="146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4 150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300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b/>
                <w:noProof/>
                <w:sz w:val="20"/>
              </w:rPr>
              <w:t>4 450</w:t>
            </w:r>
          </w:p>
        </w:tc>
      </w:tr>
    </w:tbl>
    <w:p>
      <w:pPr>
        <w:pStyle w:val="Text1"/>
        <w:jc w:val="left"/>
        <w:rPr>
          <w:noProof/>
          <w:sz w:val="20"/>
        </w:rPr>
      </w:pPr>
      <w:r>
        <w:rPr>
          <w:noProof/>
          <w:sz w:val="20"/>
        </w:rPr>
        <w:t>1</w:t>
      </w:r>
      <w:r>
        <w:rPr>
          <w:noProof/>
        </w:rPr>
        <w:tab/>
      </w:r>
      <w:r>
        <w:rPr>
          <w:noProof/>
          <w:sz w:val="20"/>
        </w:rPr>
        <w:t>Montants disponibles d’un point de vue opérationnel.</w:t>
      </w:r>
      <w:r>
        <w:rPr>
          <w:noProof/>
        </w:rPr>
        <w:br/>
      </w:r>
      <w:r>
        <w:rPr>
          <w:noProof/>
          <w:sz w:val="20"/>
        </w:rPr>
        <w:t>2</w:t>
      </w:r>
      <w:r>
        <w:rPr>
          <w:noProof/>
        </w:rPr>
        <w:tab/>
      </w:r>
      <w:r>
        <w:rPr>
          <w:noProof/>
          <w:sz w:val="20"/>
        </w:rPr>
        <w:t>Hors frais de gestion de la BEI.</w:t>
      </w:r>
      <w:r>
        <w:rPr>
          <w:noProof/>
        </w:rPr>
        <w:br/>
      </w:r>
      <w:r>
        <w:rPr>
          <w:noProof/>
          <w:sz w:val="20"/>
        </w:rPr>
        <w:t>3</w:t>
      </w:r>
      <w:r>
        <w:rPr>
          <w:noProof/>
        </w:rPr>
        <w:tab/>
      </w:r>
      <w:r>
        <w:rPr>
          <w:noProof/>
          <w:sz w:val="20"/>
        </w:rPr>
        <w:t>Y compris les bonifications d'intérêt liées aux FED antérieurs.</w:t>
      </w:r>
      <w:r>
        <w:rPr>
          <w:noProof/>
        </w:rPr>
        <w:br/>
      </w:r>
      <w:r>
        <w:rPr>
          <w:noProof/>
          <w:sz w:val="20"/>
        </w:rPr>
        <w:t>4</w:t>
      </w:r>
      <w:r>
        <w:rPr>
          <w:noProof/>
        </w:rPr>
        <w:tab/>
      </w:r>
      <w:r>
        <w:rPr>
          <w:noProof/>
          <w:sz w:val="20"/>
        </w:rPr>
        <w:t>Ces soldes ne comprennent pas: i) les cofinancements reçus au 31.12.2014, ii) les recettes bancaires qui n'ont pas encore été affectées à une ligne spécifique du FED, iii) le fonds spécial pour la RDC.</w:t>
      </w:r>
      <w:r>
        <w:rPr>
          <w:noProof/>
        </w:rPr>
        <w:t xml:space="preserve"> </w:t>
      </w:r>
      <w:r>
        <w:rPr>
          <w:noProof/>
        </w:rPr>
        <w:br/>
      </w:r>
      <w:r>
        <w:rPr>
          <w:noProof/>
          <w:sz w:val="20"/>
        </w:rPr>
        <w:t>5</w:t>
      </w:r>
      <w:r>
        <w:rPr>
          <w:noProof/>
        </w:rPr>
        <w:tab/>
      </w:r>
      <w:r>
        <w:rPr>
          <w:noProof/>
          <w:sz w:val="20"/>
        </w:rPr>
        <w:t>Article 21, paragraphe 2, point d), du règlement financier: prévisions non contraignantes, fondées sur une approche statistique, concernant le montant annuel des contributions escompté pour les exercices n + 3 et n + 4.</w:t>
      </w:r>
      <w:r>
        <w:rPr>
          <w:noProof/>
        </w:rPr>
        <w:br/>
      </w:r>
      <w:r>
        <w:rPr>
          <w:noProof/>
          <w:sz w:val="20"/>
        </w:rPr>
        <w:t xml:space="preserve">6 </w:t>
      </w:r>
      <w:r>
        <w:rPr>
          <w:noProof/>
        </w:rPr>
        <w:tab/>
      </w:r>
      <w:r>
        <w:rPr>
          <w:noProof/>
          <w:sz w:val="20"/>
        </w:rPr>
        <w:t>Article 21, paragraphe 1: les appels à contributions utilisent d'abord les montants prévus dans les FED antérieurs, les uns après les autres</w:t>
      </w:r>
      <w:r>
        <w:rPr>
          <w:noProof/>
        </w:rPr>
        <w:t xml:space="preserve">. </w:t>
      </w:r>
      <w:r>
        <w:rPr>
          <w:noProof/>
          <w:sz w:val="20"/>
        </w:rPr>
        <w:t>Par conséquent, les appels à contributions au titre du 11</w:t>
      </w:r>
      <w:r>
        <w:rPr>
          <w:noProof/>
          <w:sz w:val="20"/>
          <w:vertAlign w:val="superscript"/>
        </w:rPr>
        <w:t>e</w:t>
      </w:r>
      <w:r>
        <w:rPr>
          <w:noProof/>
          <w:sz w:val="20"/>
        </w:rPr>
        <w:t xml:space="preserve"> FED destinés à financer l’enveloppe de financement avec impact sont encore reportés.</w:t>
      </w:r>
    </w:p>
    <w:p>
      <w:pPr>
        <w:rPr>
          <w:noProof/>
        </w:rPr>
      </w:pPr>
      <w:r>
        <w:rPr>
          <w:noProof/>
        </w:rPr>
        <w:br w:type="page"/>
      </w:r>
    </w:p>
    <w:p>
      <w:pPr>
        <w:pStyle w:val="ManualHeading2"/>
        <w:rPr>
          <w:noProof/>
        </w:rPr>
      </w:pPr>
      <w:r>
        <w:t>5.4.</w:t>
      </w:r>
      <w:r>
        <w:tab/>
      </w:r>
      <w:r>
        <w:rPr>
          <w:noProof/>
        </w:rPr>
        <w:t>Annexe 4: contributions des États membres pour 2015 (en EUR)</w:t>
      </w:r>
    </w:p>
    <w:tbl>
      <w:tblPr>
        <w:tblW w:w="14340" w:type="dxa"/>
        <w:tblInd w:w="93" w:type="dxa"/>
        <w:tblLook w:val="04A0" w:firstRow="1" w:lastRow="0" w:firstColumn="1" w:lastColumn="0" w:noHBand="0" w:noVBand="1"/>
      </w:tblPr>
      <w:tblGrid>
        <w:gridCol w:w="1800"/>
        <w:gridCol w:w="840"/>
        <w:gridCol w:w="1150"/>
        <w:gridCol w:w="1390"/>
        <w:gridCol w:w="1300"/>
        <w:gridCol w:w="1300"/>
        <w:gridCol w:w="1171"/>
        <w:gridCol w:w="1269"/>
        <w:gridCol w:w="1260"/>
        <w:gridCol w:w="1380"/>
        <w:gridCol w:w="1480"/>
      </w:tblGrid>
      <w:tr>
        <w:trPr>
          <w:trHeight w:val="282"/>
        </w:trPr>
        <w:tc>
          <w:tcPr>
            <w:tcW w:w="180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r>
              <w:rPr>
                <w:b/>
                <w:noProof/>
                <w:sz w:val="16"/>
              </w:rPr>
              <w:t>ÉTATS MEMBRES</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before="0" w:after="0"/>
              <w:jc w:val="center"/>
              <w:rPr>
                <w:b/>
                <w:bCs/>
                <w:noProof/>
                <w:sz w:val="16"/>
                <w:szCs w:val="16"/>
              </w:rPr>
            </w:pPr>
            <w:r>
              <w:rPr>
                <w:b/>
                <w:noProof/>
                <w:sz w:val="16"/>
              </w:rPr>
              <w:t>Clé 10</w:t>
            </w:r>
            <w:r>
              <w:rPr>
                <w:b/>
                <w:noProof/>
                <w:sz w:val="16"/>
                <w:vertAlign w:val="superscript"/>
              </w:rPr>
              <w:t>e</w:t>
            </w:r>
            <w:r>
              <w:rPr>
                <w:b/>
                <w:noProof/>
                <w:sz w:val="16"/>
              </w:rPr>
              <w:t> FED %</w:t>
            </w:r>
          </w:p>
        </w:tc>
        <w:tc>
          <w:tcPr>
            <w:tcW w:w="2540" w:type="dxa"/>
            <w:gridSpan w:val="2"/>
            <w:tcBorders>
              <w:top w:val="single" w:sz="4" w:space="0" w:color="auto"/>
              <w:left w:val="nil"/>
              <w:bottom w:val="single" w:sz="4" w:space="0" w:color="000000"/>
              <w:right w:val="single" w:sz="4" w:space="0" w:color="auto"/>
            </w:tcBorders>
            <w:noWrap/>
            <w:vAlign w:val="center"/>
            <w:hideMark/>
          </w:tcPr>
          <w:p>
            <w:pPr>
              <w:spacing w:before="0" w:after="0"/>
              <w:jc w:val="center"/>
              <w:rPr>
                <w:b/>
                <w:bCs/>
                <w:noProof/>
                <w:sz w:val="16"/>
                <w:szCs w:val="16"/>
              </w:rPr>
            </w:pPr>
            <w:r>
              <w:rPr>
                <w:b/>
                <w:noProof/>
                <w:sz w:val="16"/>
              </w:rPr>
              <w:t>1</w:t>
            </w:r>
            <w:r>
              <w:rPr>
                <w:b/>
                <w:noProof/>
                <w:sz w:val="16"/>
                <w:vertAlign w:val="superscript"/>
              </w:rPr>
              <w:t>re</w:t>
            </w:r>
            <w:r>
              <w:rPr>
                <w:b/>
                <w:noProof/>
                <w:sz w:val="16"/>
              </w:rPr>
              <w:t xml:space="preserve"> tranche</w:t>
            </w:r>
          </w:p>
        </w:tc>
        <w:tc>
          <w:tcPr>
            <w:tcW w:w="2600" w:type="dxa"/>
            <w:gridSpan w:val="2"/>
            <w:tcBorders>
              <w:top w:val="single" w:sz="4" w:space="0" w:color="auto"/>
              <w:left w:val="nil"/>
              <w:bottom w:val="single" w:sz="4" w:space="0" w:color="auto"/>
              <w:right w:val="single" w:sz="4" w:space="0" w:color="auto"/>
            </w:tcBorders>
            <w:vAlign w:val="center"/>
            <w:hideMark/>
          </w:tcPr>
          <w:p>
            <w:pPr>
              <w:spacing w:before="0" w:after="0"/>
              <w:jc w:val="center"/>
              <w:rPr>
                <w:b/>
                <w:bCs/>
                <w:noProof/>
                <w:sz w:val="16"/>
                <w:szCs w:val="16"/>
              </w:rPr>
            </w:pPr>
            <w:r>
              <w:rPr>
                <w:b/>
                <w:noProof/>
                <w:sz w:val="16"/>
              </w:rPr>
              <w:t>2</w:t>
            </w:r>
            <w:r>
              <w:rPr>
                <w:b/>
                <w:noProof/>
                <w:sz w:val="16"/>
                <w:vertAlign w:val="superscript"/>
              </w:rPr>
              <w:t>e</w:t>
            </w:r>
            <w:r>
              <w:rPr>
                <w:b/>
                <w:noProof/>
                <w:sz w:val="16"/>
              </w:rPr>
              <w:t xml:space="preserve"> tranche</w:t>
            </w:r>
          </w:p>
        </w:tc>
        <w:tc>
          <w:tcPr>
            <w:tcW w:w="2440" w:type="dxa"/>
            <w:gridSpan w:val="2"/>
            <w:tcBorders>
              <w:top w:val="single" w:sz="4" w:space="0" w:color="auto"/>
              <w:left w:val="nil"/>
              <w:bottom w:val="single" w:sz="4" w:space="0" w:color="auto"/>
              <w:right w:val="single" w:sz="4" w:space="0" w:color="000000"/>
            </w:tcBorders>
            <w:vAlign w:val="center"/>
            <w:hideMark/>
          </w:tcPr>
          <w:p>
            <w:pPr>
              <w:spacing w:before="0" w:after="0"/>
              <w:jc w:val="center"/>
              <w:rPr>
                <w:b/>
                <w:bCs/>
                <w:noProof/>
                <w:sz w:val="16"/>
                <w:szCs w:val="16"/>
              </w:rPr>
            </w:pPr>
            <w:r>
              <w:rPr>
                <w:b/>
                <w:noProof/>
                <w:sz w:val="16"/>
              </w:rPr>
              <w:t>3</w:t>
            </w:r>
            <w:r>
              <w:rPr>
                <w:b/>
                <w:noProof/>
                <w:sz w:val="16"/>
                <w:vertAlign w:val="superscript"/>
              </w:rPr>
              <w:t>e</w:t>
            </w:r>
            <w:r>
              <w:rPr>
                <w:b/>
                <w:noProof/>
                <w:sz w:val="16"/>
              </w:rPr>
              <w:t xml:space="preserve"> tranche</w:t>
            </w:r>
          </w:p>
        </w:tc>
        <w:tc>
          <w:tcPr>
            <w:tcW w:w="1260" w:type="dxa"/>
            <w:vMerge w:val="restart"/>
            <w:tcBorders>
              <w:top w:val="single" w:sz="4" w:space="0" w:color="auto"/>
              <w:left w:val="nil"/>
              <w:bottom w:val="single" w:sz="4" w:space="0" w:color="auto"/>
              <w:right w:val="nil"/>
            </w:tcBorders>
            <w:vAlign w:val="center"/>
            <w:hideMark/>
          </w:tcPr>
          <w:p>
            <w:pPr>
              <w:spacing w:before="0" w:after="0"/>
              <w:jc w:val="center"/>
              <w:rPr>
                <w:b/>
                <w:bCs/>
                <w:noProof/>
                <w:sz w:val="16"/>
                <w:szCs w:val="16"/>
              </w:rPr>
            </w:pPr>
            <w:r>
              <w:rPr>
                <w:b/>
                <w:noProof/>
                <w:sz w:val="16"/>
              </w:rPr>
              <w:t>Total BEI</w:t>
            </w:r>
          </w:p>
        </w:tc>
        <w:tc>
          <w:tcPr>
            <w:tcW w:w="1380" w:type="dxa"/>
            <w:vMerge w:val="restart"/>
            <w:tcBorders>
              <w:top w:val="single" w:sz="4" w:space="0" w:color="auto"/>
              <w:left w:val="single" w:sz="4" w:space="0" w:color="auto"/>
              <w:bottom w:val="nil"/>
              <w:right w:val="single" w:sz="4" w:space="0" w:color="auto"/>
            </w:tcBorders>
            <w:vAlign w:val="center"/>
            <w:hideMark/>
          </w:tcPr>
          <w:p>
            <w:pPr>
              <w:spacing w:before="0" w:after="0"/>
              <w:jc w:val="center"/>
              <w:rPr>
                <w:b/>
                <w:bCs/>
                <w:noProof/>
                <w:sz w:val="16"/>
                <w:szCs w:val="16"/>
              </w:rPr>
            </w:pPr>
            <w:r>
              <w:rPr>
                <w:b/>
                <w:noProof/>
                <w:sz w:val="16"/>
              </w:rPr>
              <w:t>Total Commission</w:t>
            </w:r>
          </w:p>
        </w:tc>
        <w:tc>
          <w:tcPr>
            <w:tcW w:w="148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center"/>
              <w:rPr>
                <w:b/>
                <w:bCs/>
                <w:noProof/>
                <w:sz w:val="16"/>
                <w:szCs w:val="16"/>
              </w:rPr>
            </w:pPr>
            <w:r>
              <w:rPr>
                <w:b/>
                <w:noProof/>
                <w:sz w:val="16"/>
              </w:rPr>
              <w:t>Total 2015</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15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139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130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130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1171"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1269"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150"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BEI</w:t>
            </w:r>
          </w:p>
        </w:tc>
        <w:tc>
          <w:tcPr>
            <w:tcW w:w="1390"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Commission</w:t>
            </w:r>
          </w:p>
        </w:tc>
        <w:tc>
          <w:tcPr>
            <w:tcW w:w="1300"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BEI</w:t>
            </w:r>
          </w:p>
        </w:tc>
        <w:tc>
          <w:tcPr>
            <w:tcW w:w="1300"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Commission</w:t>
            </w:r>
          </w:p>
        </w:tc>
        <w:tc>
          <w:tcPr>
            <w:tcW w:w="1171"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BEI</w:t>
            </w:r>
          </w:p>
        </w:tc>
        <w:tc>
          <w:tcPr>
            <w:tcW w:w="1269"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Commission</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15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139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130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130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1171"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1269"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AUTRICHE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2,41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1 205 000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36 150 000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20 485 000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1 205 000</w:t>
            </w:r>
          </w:p>
        </w:tc>
        <w:tc>
          <w:tcPr>
            <w:tcW w:w="1269" w:type="dxa"/>
            <w:noWrap/>
            <w:vAlign w:val="bottom"/>
            <w:hideMark/>
          </w:tcPr>
          <w:p>
            <w:pPr>
              <w:spacing w:before="0" w:after="0"/>
              <w:jc w:val="right"/>
              <w:rPr>
                <w:noProof/>
                <w:sz w:val="14"/>
                <w:szCs w:val="14"/>
              </w:rPr>
            </w:pPr>
            <w:r>
              <w:rPr>
                <w:noProof/>
                <w:sz w:val="14"/>
              </w:rPr>
              <w:t>20 485 000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4 820 000</w:t>
            </w:r>
          </w:p>
        </w:tc>
        <w:tc>
          <w:tcPr>
            <w:tcW w:w="1380" w:type="dxa"/>
            <w:tcBorders>
              <w:top w:val="single" w:sz="4" w:space="0" w:color="auto"/>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77 120 000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81 940 000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BELGIQUE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3,53</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1 765 000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52 950 000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3 530 000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30 005 000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1 765 000</w:t>
            </w:r>
          </w:p>
        </w:tc>
        <w:tc>
          <w:tcPr>
            <w:tcW w:w="1269" w:type="dxa"/>
            <w:noWrap/>
            <w:vAlign w:val="bottom"/>
            <w:hideMark/>
          </w:tcPr>
          <w:p>
            <w:pPr>
              <w:spacing w:before="0" w:after="0"/>
              <w:jc w:val="right"/>
              <w:rPr>
                <w:noProof/>
                <w:sz w:val="14"/>
                <w:szCs w:val="14"/>
              </w:rPr>
            </w:pPr>
            <w:r>
              <w:rPr>
                <w:noProof/>
                <w:sz w:val="14"/>
              </w:rPr>
              <w:t>30 005 000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7 060 000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112 960 000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120 020 000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BULGARIE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0,14</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2 100 000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1 190 000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70 000</w:t>
            </w:r>
          </w:p>
        </w:tc>
        <w:tc>
          <w:tcPr>
            <w:tcW w:w="1269" w:type="dxa"/>
            <w:noWrap/>
            <w:vAlign w:val="bottom"/>
            <w:hideMark/>
          </w:tcPr>
          <w:p>
            <w:pPr>
              <w:spacing w:before="0" w:after="0"/>
              <w:jc w:val="right"/>
              <w:rPr>
                <w:noProof/>
                <w:sz w:val="14"/>
                <w:szCs w:val="14"/>
              </w:rPr>
            </w:pPr>
            <w:r>
              <w:rPr>
                <w:noProof/>
                <w:sz w:val="14"/>
              </w:rPr>
              <w:t>1 190 000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4 480 000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CHYPRE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0,09</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765 000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45 000</w:t>
            </w:r>
          </w:p>
        </w:tc>
        <w:tc>
          <w:tcPr>
            <w:tcW w:w="1269" w:type="dxa"/>
            <w:noWrap/>
            <w:vAlign w:val="bottom"/>
            <w:hideMark/>
          </w:tcPr>
          <w:p>
            <w:pPr>
              <w:spacing w:before="0" w:after="0"/>
              <w:jc w:val="right"/>
              <w:rPr>
                <w:noProof/>
                <w:sz w:val="14"/>
                <w:szCs w:val="14"/>
              </w:rPr>
            </w:pPr>
            <w:r>
              <w:rPr>
                <w:noProof/>
                <w:sz w:val="14"/>
              </w:rPr>
              <w:t>765 000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2 880 000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3 060 000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RÉPUBLIQUE TCHÈQUE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0,51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7 650 000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4 335 000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255 000</w:t>
            </w:r>
          </w:p>
        </w:tc>
        <w:tc>
          <w:tcPr>
            <w:tcW w:w="1269" w:type="dxa"/>
            <w:noWrap/>
            <w:vAlign w:val="bottom"/>
            <w:hideMark/>
          </w:tcPr>
          <w:p>
            <w:pPr>
              <w:spacing w:before="0" w:after="0"/>
              <w:jc w:val="right"/>
              <w:rPr>
                <w:noProof/>
                <w:sz w:val="14"/>
                <w:szCs w:val="14"/>
              </w:rPr>
            </w:pPr>
            <w:r>
              <w:rPr>
                <w:noProof/>
                <w:sz w:val="14"/>
              </w:rPr>
              <w:t>4 335 000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1 020 000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16 320 000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17 340 000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DANEMARK</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2,00</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1 000 000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30 000 000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2 000 000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17 000 000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1 000 000</w:t>
            </w:r>
          </w:p>
        </w:tc>
        <w:tc>
          <w:tcPr>
            <w:tcW w:w="1269" w:type="dxa"/>
            <w:noWrap/>
            <w:vAlign w:val="bottom"/>
            <w:hideMark/>
          </w:tcPr>
          <w:p>
            <w:pPr>
              <w:spacing w:before="0" w:after="0"/>
              <w:jc w:val="right"/>
              <w:rPr>
                <w:noProof/>
                <w:sz w:val="14"/>
                <w:szCs w:val="14"/>
              </w:rPr>
            </w:pPr>
            <w:r>
              <w:rPr>
                <w:noProof/>
                <w:sz w:val="14"/>
              </w:rPr>
              <w:t>17 000 000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4 000 000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64 000 000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68 000 000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ESTONIE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425 000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25 000</w:t>
            </w:r>
          </w:p>
        </w:tc>
        <w:tc>
          <w:tcPr>
            <w:tcW w:w="1269" w:type="dxa"/>
            <w:noWrap/>
            <w:vAlign w:val="bottom"/>
            <w:hideMark/>
          </w:tcPr>
          <w:p>
            <w:pPr>
              <w:spacing w:before="0" w:after="0"/>
              <w:jc w:val="right"/>
              <w:rPr>
                <w:noProof/>
                <w:sz w:val="14"/>
                <w:szCs w:val="14"/>
              </w:rPr>
            </w:pPr>
            <w:r>
              <w:rPr>
                <w:noProof/>
                <w:sz w:val="14"/>
              </w:rPr>
              <w:t>425 000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1 700 000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FINLANDE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22 050 000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1 470 000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12 495 000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269" w:type="dxa"/>
            <w:noWrap/>
            <w:vAlign w:val="bottom"/>
            <w:hideMark/>
          </w:tcPr>
          <w:p>
            <w:pPr>
              <w:spacing w:before="0" w:after="0"/>
              <w:jc w:val="right"/>
              <w:rPr>
                <w:noProof/>
                <w:sz w:val="14"/>
                <w:szCs w:val="14"/>
              </w:rPr>
            </w:pPr>
            <w:r>
              <w:rPr>
                <w:noProof/>
                <w:sz w:val="14"/>
              </w:rPr>
              <w:t>12 495 000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2 940 000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47 040 000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49 980 000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FRANCE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19,55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9 775 000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293 250 000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19 550 000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166 175 000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9 775 000</w:t>
            </w:r>
          </w:p>
        </w:tc>
        <w:tc>
          <w:tcPr>
            <w:tcW w:w="1269" w:type="dxa"/>
            <w:noWrap/>
            <w:vAlign w:val="bottom"/>
            <w:hideMark/>
          </w:tcPr>
          <w:p>
            <w:pPr>
              <w:spacing w:before="0" w:after="0"/>
              <w:jc w:val="right"/>
              <w:rPr>
                <w:noProof/>
                <w:sz w:val="14"/>
                <w:szCs w:val="14"/>
              </w:rPr>
            </w:pPr>
            <w:r>
              <w:rPr>
                <w:noProof/>
                <w:sz w:val="14"/>
              </w:rPr>
              <w:t>166 175 000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39 100 000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625 600 000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664 700 000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ALLEMAGNE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20,50</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10 250 000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307 500 000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20 500 000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174 250 000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10 250 000</w:t>
            </w:r>
          </w:p>
        </w:tc>
        <w:tc>
          <w:tcPr>
            <w:tcW w:w="1269" w:type="dxa"/>
            <w:noWrap/>
            <w:vAlign w:val="bottom"/>
            <w:hideMark/>
          </w:tcPr>
          <w:p>
            <w:pPr>
              <w:spacing w:before="0" w:after="0"/>
              <w:jc w:val="right"/>
              <w:rPr>
                <w:noProof/>
                <w:sz w:val="14"/>
                <w:szCs w:val="14"/>
              </w:rPr>
            </w:pPr>
            <w:r>
              <w:rPr>
                <w:noProof/>
                <w:sz w:val="14"/>
              </w:rPr>
              <w:t>174 250 000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41 000 000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656 000 000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697 000 000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GRÈCE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22 050 000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1 470 000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12 495 000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269" w:type="dxa"/>
            <w:noWrap/>
            <w:vAlign w:val="bottom"/>
            <w:hideMark/>
          </w:tcPr>
          <w:p>
            <w:pPr>
              <w:spacing w:before="0" w:after="0"/>
              <w:jc w:val="right"/>
              <w:rPr>
                <w:noProof/>
                <w:sz w:val="14"/>
                <w:szCs w:val="14"/>
              </w:rPr>
            </w:pPr>
            <w:r>
              <w:rPr>
                <w:noProof/>
                <w:sz w:val="14"/>
              </w:rPr>
              <w:t>12 495 000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2 940 000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47 040 000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49 980 000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HONGRIE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0,55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8 250 000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4 675 000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275 000</w:t>
            </w:r>
          </w:p>
        </w:tc>
        <w:tc>
          <w:tcPr>
            <w:tcW w:w="1269" w:type="dxa"/>
            <w:noWrap/>
            <w:vAlign w:val="bottom"/>
            <w:hideMark/>
          </w:tcPr>
          <w:p>
            <w:pPr>
              <w:spacing w:before="0" w:after="0"/>
              <w:jc w:val="right"/>
              <w:rPr>
                <w:noProof/>
                <w:sz w:val="14"/>
                <w:szCs w:val="14"/>
              </w:rPr>
            </w:pPr>
            <w:r>
              <w:rPr>
                <w:noProof/>
                <w:sz w:val="14"/>
              </w:rPr>
              <w:t>4 675 000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1 100 000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17 600 000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18 700 000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IRLANDE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0,91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13 650 000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7 735 000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455 000</w:t>
            </w:r>
          </w:p>
        </w:tc>
        <w:tc>
          <w:tcPr>
            <w:tcW w:w="1269" w:type="dxa"/>
            <w:noWrap/>
            <w:vAlign w:val="bottom"/>
            <w:hideMark/>
          </w:tcPr>
          <w:p>
            <w:pPr>
              <w:spacing w:before="0" w:after="0"/>
              <w:jc w:val="right"/>
              <w:rPr>
                <w:noProof/>
                <w:sz w:val="14"/>
                <w:szCs w:val="14"/>
              </w:rPr>
            </w:pPr>
            <w:r>
              <w:rPr>
                <w:noProof/>
                <w:sz w:val="14"/>
              </w:rPr>
              <w:t>7 735 000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1 820 000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29 120 000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30 940 000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ITALIE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12,86</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6 430 000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192 900 000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12 860 000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109 310 000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6 430 000</w:t>
            </w:r>
          </w:p>
        </w:tc>
        <w:tc>
          <w:tcPr>
            <w:tcW w:w="1269" w:type="dxa"/>
            <w:noWrap/>
            <w:vAlign w:val="bottom"/>
            <w:hideMark/>
          </w:tcPr>
          <w:p>
            <w:pPr>
              <w:spacing w:before="0" w:after="0"/>
              <w:jc w:val="right"/>
              <w:rPr>
                <w:noProof/>
                <w:sz w:val="14"/>
                <w:szCs w:val="14"/>
              </w:rPr>
            </w:pPr>
            <w:r>
              <w:rPr>
                <w:noProof/>
                <w:sz w:val="14"/>
              </w:rPr>
              <w:t>109 310 000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25 720 000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411 520 000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437 240 000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LETTONIE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35 000</w:t>
            </w:r>
          </w:p>
        </w:tc>
        <w:tc>
          <w:tcPr>
            <w:tcW w:w="1269" w:type="dxa"/>
            <w:noWrap/>
            <w:vAlign w:val="bottom"/>
            <w:hideMark/>
          </w:tcPr>
          <w:p>
            <w:pPr>
              <w:spacing w:before="0" w:after="0"/>
              <w:jc w:val="right"/>
              <w:rPr>
                <w:noProof/>
                <w:sz w:val="14"/>
                <w:szCs w:val="14"/>
              </w:rPr>
            </w:pPr>
            <w:r>
              <w:rPr>
                <w:noProof/>
                <w:sz w:val="14"/>
              </w:rPr>
              <w:t>595 000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2 240 000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2 380 000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LITUANIE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0,12</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1 800 000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1 020 000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60 000</w:t>
            </w:r>
          </w:p>
        </w:tc>
        <w:tc>
          <w:tcPr>
            <w:tcW w:w="1269" w:type="dxa"/>
            <w:noWrap/>
            <w:vAlign w:val="bottom"/>
            <w:hideMark/>
          </w:tcPr>
          <w:p>
            <w:pPr>
              <w:spacing w:before="0" w:after="0"/>
              <w:jc w:val="right"/>
              <w:rPr>
                <w:noProof/>
                <w:sz w:val="14"/>
                <w:szCs w:val="14"/>
              </w:rPr>
            </w:pPr>
            <w:r>
              <w:rPr>
                <w:noProof/>
                <w:sz w:val="14"/>
              </w:rPr>
              <w:t>1 020 000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3 840 000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LUXEMBOURG</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0,27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2 295 000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135 000</w:t>
            </w:r>
          </w:p>
        </w:tc>
        <w:tc>
          <w:tcPr>
            <w:tcW w:w="1269" w:type="dxa"/>
            <w:noWrap/>
            <w:vAlign w:val="bottom"/>
            <w:hideMark/>
          </w:tcPr>
          <w:p>
            <w:pPr>
              <w:spacing w:before="0" w:after="0"/>
              <w:jc w:val="right"/>
              <w:rPr>
                <w:noProof/>
                <w:sz w:val="14"/>
                <w:szCs w:val="14"/>
              </w:rPr>
            </w:pPr>
            <w:r>
              <w:rPr>
                <w:noProof/>
                <w:sz w:val="14"/>
              </w:rPr>
              <w:t>2 295 000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540 000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8 640 000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9 180 000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MALTE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0,03</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15 000</w:t>
            </w:r>
          </w:p>
        </w:tc>
        <w:tc>
          <w:tcPr>
            <w:tcW w:w="1269" w:type="dxa"/>
            <w:noWrap/>
            <w:vAlign w:val="bottom"/>
            <w:hideMark/>
          </w:tcPr>
          <w:p>
            <w:pPr>
              <w:spacing w:before="0" w:after="0"/>
              <w:jc w:val="right"/>
              <w:rPr>
                <w:noProof/>
                <w:sz w:val="14"/>
                <w:szCs w:val="14"/>
              </w:rPr>
            </w:pPr>
            <w:r>
              <w:rPr>
                <w:noProof/>
                <w:sz w:val="14"/>
              </w:rPr>
              <w:t>255 000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60 000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960 000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1 020 000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PAYS-BAS</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4,85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2 425 000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72 750 000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4 850 000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41 225 000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2 425 000</w:t>
            </w:r>
          </w:p>
        </w:tc>
        <w:tc>
          <w:tcPr>
            <w:tcW w:w="1269" w:type="dxa"/>
            <w:noWrap/>
            <w:vAlign w:val="bottom"/>
            <w:hideMark/>
          </w:tcPr>
          <w:p>
            <w:pPr>
              <w:spacing w:before="0" w:after="0"/>
              <w:jc w:val="right"/>
              <w:rPr>
                <w:noProof/>
                <w:sz w:val="14"/>
                <w:szCs w:val="14"/>
              </w:rPr>
            </w:pPr>
            <w:r>
              <w:rPr>
                <w:noProof/>
                <w:sz w:val="14"/>
              </w:rPr>
              <w:t>41 225 000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9 700 000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155 200 000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164 900 000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POLOGNE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1,30</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650 000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19 500 000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11 050 000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650 000</w:t>
            </w:r>
          </w:p>
        </w:tc>
        <w:tc>
          <w:tcPr>
            <w:tcW w:w="1269" w:type="dxa"/>
            <w:noWrap/>
            <w:vAlign w:val="bottom"/>
            <w:hideMark/>
          </w:tcPr>
          <w:p>
            <w:pPr>
              <w:spacing w:before="0" w:after="0"/>
              <w:jc w:val="right"/>
              <w:rPr>
                <w:noProof/>
                <w:sz w:val="14"/>
                <w:szCs w:val="14"/>
              </w:rPr>
            </w:pPr>
            <w:r>
              <w:rPr>
                <w:noProof/>
                <w:sz w:val="14"/>
              </w:rPr>
              <w:t>11 050 000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2 600 000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41 600 000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44 200 000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PORTUGAL</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1,15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575 000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17 250 000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1 150 000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9 775 000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575 000</w:t>
            </w:r>
          </w:p>
        </w:tc>
        <w:tc>
          <w:tcPr>
            <w:tcW w:w="1269" w:type="dxa"/>
            <w:noWrap/>
            <w:vAlign w:val="bottom"/>
            <w:hideMark/>
          </w:tcPr>
          <w:p>
            <w:pPr>
              <w:spacing w:before="0" w:after="0"/>
              <w:jc w:val="right"/>
              <w:rPr>
                <w:noProof/>
                <w:sz w:val="14"/>
                <w:szCs w:val="14"/>
              </w:rPr>
            </w:pPr>
            <w:r>
              <w:rPr>
                <w:noProof/>
                <w:sz w:val="14"/>
              </w:rPr>
              <w:t>9 775 000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2 300 000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36 800 000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39 100 000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ROUMANIE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0,37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185 000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5 550 000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3 145 000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185 000</w:t>
            </w:r>
          </w:p>
        </w:tc>
        <w:tc>
          <w:tcPr>
            <w:tcW w:w="1269" w:type="dxa"/>
            <w:noWrap/>
            <w:vAlign w:val="bottom"/>
            <w:hideMark/>
          </w:tcPr>
          <w:p>
            <w:pPr>
              <w:spacing w:before="0" w:after="0"/>
              <w:jc w:val="right"/>
              <w:rPr>
                <w:noProof/>
                <w:sz w:val="14"/>
                <w:szCs w:val="14"/>
              </w:rPr>
            </w:pPr>
            <w:r>
              <w:rPr>
                <w:noProof/>
                <w:sz w:val="14"/>
              </w:rPr>
              <w:t>3 145 000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740 000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11 840 000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12 580 000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SLOVAQUIE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0,21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3 150 000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1 785 000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105 000</w:t>
            </w:r>
          </w:p>
        </w:tc>
        <w:tc>
          <w:tcPr>
            <w:tcW w:w="1269" w:type="dxa"/>
            <w:noWrap/>
            <w:vAlign w:val="bottom"/>
            <w:hideMark/>
          </w:tcPr>
          <w:p>
            <w:pPr>
              <w:spacing w:before="0" w:after="0"/>
              <w:jc w:val="right"/>
              <w:rPr>
                <w:noProof/>
                <w:sz w:val="14"/>
                <w:szCs w:val="14"/>
              </w:rPr>
            </w:pPr>
            <w:r>
              <w:rPr>
                <w:noProof/>
                <w:sz w:val="14"/>
              </w:rPr>
              <w:t>1 785 000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6 720 000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7 140 000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SLOVÉNIE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0,18</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2 700 000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180 000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1 530 000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90 000</w:t>
            </w:r>
          </w:p>
        </w:tc>
        <w:tc>
          <w:tcPr>
            <w:tcW w:w="1269" w:type="dxa"/>
            <w:noWrap/>
            <w:vAlign w:val="bottom"/>
            <w:hideMark/>
          </w:tcPr>
          <w:p>
            <w:pPr>
              <w:spacing w:before="0" w:after="0"/>
              <w:jc w:val="right"/>
              <w:rPr>
                <w:noProof/>
                <w:sz w:val="14"/>
                <w:szCs w:val="14"/>
              </w:rPr>
            </w:pPr>
            <w:r>
              <w:rPr>
                <w:noProof/>
                <w:sz w:val="14"/>
              </w:rPr>
              <w:t>1 530 000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360 000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5 760 000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6 120 000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ESPAGNE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7,85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3 925 000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117 750 000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7 850 000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66 725 000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3 925 000</w:t>
            </w:r>
          </w:p>
        </w:tc>
        <w:tc>
          <w:tcPr>
            <w:tcW w:w="1269" w:type="dxa"/>
            <w:noWrap/>
            <w:vAlign w:val="bottom"/>
            <w:hideMark/>
          </w:tcPr>
          <w:p>
            <w:pPr>
              <w:spacing w:before="0" w:after="0"/>
              <w:jc w:val="right"/>
              <w:rPr>
                <w:noProof/>
                <w:sz w:val="14"/>
                <w:szCs w:val="14"/>
              </w:rPr>
            </w:pPr>
            <w:r>
              <w:rPr>
                <w:noProof/>
                <w:sz w:val="14"/>
              </w:rPr>
              <w:t>66 725 000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15 700 000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251 200 000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266 900 000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SUÈDE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2,74</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1 370 000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41 100 000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2 740 000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23 290 000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1 370 000</w:t>
            </w:r>
          </w:p>
        </w:tc>
        <w:tc>
          <w:tcPr>
            <w:tcW w:w="1269" w:type="dxa"/>
            <w:noWrap/>
            <w:vAlign w:val="bottom"/>
            <w:hideMark/>
          </w:tcPr>
          <w:p>
            <w:pPr>
              <w:spacing w:before="0" w:after="0"/>
              <w:jc w:val="right"/>
              <w:rPr>
                <w:noProof/>
                <w:sz w:val="14"/>
                <w:szCs w:val="14"/>
              </w:rPr>
            </w:pPr>
            <w:r>
              <w:rPr>
                <w:noProof/>
                <w:sz w:val="14"/>
              </w:rPr>
              <w:t>23 290 000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5 480 000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87 680 000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93 160 000</w:t>
            </w:r>
          </w:p>
        </w:tc>
      </w:tr>
      <w:tr>
        <w:trPr>
          <w:trHeight w:val="259"/>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noProof/>
                <w:sz w:val="16"/>
              </w:rPr>
              <w:t>ROYAUME-UNI</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14,82</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7 410 000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222 300 000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14 820 000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125 970 000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7 410 000</w:t>
            </w:r>
          </w:p>
        </w:tc>
        <w:tc>
          <w:tcPr>
            <w:tcW w:w="1269" w:type="dxa"/>
            <w:noWrap/>
            <w:vAlign w:val="bottom"/>
            <w:hideMark/>
          </w:tcPr>
          <w:p>
            <w:pPr>
              <w:spacing w:before="0" w:after="0"/>
              <w:jc w:val="right"/>
              <w:rPr>
                <w:noProof/>
                <w:sz w:val="14"/>
                <w:szCs w:val="14"/>
              </w:rPr>
            </w:pPr>
            <w:r>
              <w:rPr>
                <w:noProof/>
                <w:sz w:val="14"/>
              </w:rPr>
              <w:t>125 970 000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29 640 000</w:t>
            </w:r>
          </w:p>
        </w:tc>
        <w:tc>
          <w:tcPr>
            <w:tcW w:w="1380" w:type="dxa"/>
            <w:tcBorders>
              <w:top w:val="nil"/>
              <w:left w:val="single" w:sz="4" w:space="0" w:color="auto"/>
              <w:bottom w:val="single" w:sz="4" w:space="0" w:color="auto"/>
              <w:right w:val="single" w:sz="4" w:space="0" w:color="auto"/>
            </w:tcBorders>
            <w:noWrap/>
            <w:vAlign w:val="bottom"/>
            <w:hideMark/>
          </w:tcPr>
          <w:p>
            <w:pPr>
              <w:spacing w:before="0" w:after="0"/>
              <w:jc w:val="right"/>
              <w:rPr>
                <w:noProof/>
                <w:sz w:val="14"/>
                <w:szCs w:val="14"/>
              </w:rPr>
            </w:pPr>
            <w:r>
              <w:rPr>
                <w:noProof/>
                <w:sz w:val="14"/>
              </w:rPr>
              <w:t>474 240 000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503 880 000</w:t>
            </w:r>
          </w:p>
        </w:tc>
      </w:tr>
      <w:tr>
        <w:trPr>
          <w:trHeight w:val="282"/>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noProof/>
                <w:sz w:val="16"/>
              </w:rPr>
              <w:t>TOTAL UE-27</w:t>
            </w:r>
          </w:p>
        </w:tc>
        <w:tc>
          <w:tcPr>
            <w:tcW w:w="840" w:type="dxa"/>
            <w:tcBorders>
              <w:top w:val="single" w:sz="4" w:space="0" w:color="auto"/>
              <w:left w:val="nil"/>
              <w:bottom w:val="single" w:sz="4" w:space="0" w:color="auto"/>
              <w:right w:val="single" w:sz="4" w:space="0" w:color="auto"/>
            </w:tcBorders>
            <w:shd w:val="clear" w:color="auto" w:fill="C0C0C0"/>
            <w:noWrap/>
            <w:vAlign w:val="center"/>
            <w:hideMark/>
          </w:tcPr>
          <w:p>
            <w:pPr>
              <w:spacing w:before="0" w:after="0"/>
              <w:jc w:val="right"/>
              <w:rPr>
                <w:b/>
                <w:bCs/>
                <w:noProof/>
                <w:sz w:val="14"/>
                <w:szCs w:val="14"/>
              </w:rPr>
            </w:pPr>
            <w:r>
              <w:rPr>
                <w:b/>
                <w:noProof/>
                <w:sz w:val="14"/>
              </w:rPr>
              <w:t>100,00</w:t>
            </w:r>
          </w:p>
        </w:tc>
        <w:tc>
          <w:tcPr>
            <w:tcW w:w="115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50 000 000</w:t>
            </w:r>
          </w:p>
        </w:tc>
        <w:tc>
          <w:tcPr>
            <w:tcW w:w="139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1 500 000 000</w:t>
            </w:r>
          </w:p>
        </w:tc>
        <w:tc>
          <w:tcPr>
            <w:tcW w:w="130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100 000 000</w:t>
            </w:r>
          </w:p>
        </w:tc>
        <w:tc>
          <w:tcPr>
            <w:tcW w:w="130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850 000 000</w:t>
            </w:r>
          </w:p>
        </w:tc>
        <w:tc>
          <w:tcPr>
            <w:tcW w:w="1171"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50 000 000</w:t>
            </w:r>
          </w:p>
        </w:tc>
        <w:tc>
          <w:tcPr>
            <w:tcW w:w="1269"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850 000 000</w:t>
            </w:r>
          </w:p>
        </w:tc>
        <w:tc>
          <w:tcPr>
            <w:tcW w:w="1260" w:type="dxa"/>
            <w:tcBorders>
              <w:top w:val="single" w:sz="4" w:space="0" w:color="auto"/>
              <w:left w:val="nil"/>
              <w:bottom w:val="single" w:sz="4" w:space="0" w:color="auto"/>
              <w:right w:val="nil"/>
            </w:tcBorders>
            <w:noWrap/>
            <w:vAlign w:val="center"/>
            <w:hideMark/>
          </w:tcPr>
          <w:p>
            <w:pPr>
              <w:spacing w:before="0" w:after="0"/>
              <w:jc w:val="right"/>
              <w:rPr>
                <w:b/>
                <w:bCs/>
                <w:noProof/>
                <w:sz w:val="14"/>
                <w:szCs w:val="14"/>
              </w:rPr>
            </w:pPr>
            <w:r>
              <w:rPr>
                <w:b/>
                <w:noProof/>
                <w:sz w:val="14"/>
              </w:rPr>
              <w:t>200 000 000</w:t>
            </w:r>
          </w:p>
        </w:tc>
        <w:tc>
          <w:tcPr>
            <w:tcW w:w="1380" w:type="dxa"/>
            <w:tcBorders>
              <w:top w:val="nil"/>
              <w:left w:val="single" w:sz="4" w:space="0" w:color="auto"/>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3 200 000 000</w:t>
            </w:r>
          </w:p>
        </w:tc>
        <w:tc>
          <w:tcPr>
            <w:tcW w:w="148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3 400 000 000</w:t>
            </w:r>
          </w:p>
        </w:tc>
      </w:tr>
    </w:tbl>
    <w:p>
      <w:pPr>
        <w:pStyle w:val="ManualHeading2"/>
        <w:rPr>
          <w:noProof/>
        </w:rPr>
      </w:pPr>
      <w:r>
        <w:rPr>
          <w:noProof/>
        </w:rPr>
        <w:br w:type="page"/>
      </w:r>
      <w:r>
        <w:t>5.5.</w:t>
      </w:r>
      <w:r>
        <w:tab/>
      </w:r>
      <w:r>
        <w:rPr>
          <w:noProof/>
        </w:rPr>
        <w:t>Annexe 5: contributions des États membres pour 2016 (en EUR)</w:t>
      </w:r>
    </w:p>
    <w:tbl>
      <w:tblPr>
        <w:tblW w:w="14340" w:type="dxa"/>
        <w:tblInd w:w="93" w:type="dxa"/>
        <w:tblLook w:val="04A0" w:firstRow="1" w:lastRow="0" w:firstColumn="1" w:lastColumn="0" w:noHBand="0" w:noVBand="1"/>
      </w:tblPr>
      <w:tblGrid>
        <w:gridCol w:w="1800"/>
        <w:gridCol w:w="840"/>
        <w:gridCol w:w="1034"/>
        <w:gridCol w:w="1506"/>
        <w:gridCol w:w="1229"/>
        <w:gridCol w:w="1371"/>
        <w:gridCol w:w="1171"/>
        <w:gridCol w:w="1269"/>
        <w:gridCol w:w="1260"/>
        <w:gridCol w:w="1380"/>
        <w:gridCol w:w="1480"/>
      </w:tblGrid>
      <w:tr>
        <w:trPr>
          <w:trHeight w:val="282"/>
        </w:trPr>
        <w:tc>
          <w:tcPr>
            <w:tcW w:w="180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r>
              <w:rPr>
                <w:b/>
                <w:noProof/>
                <w:sz w:val="16"/>
              </w:rPr>
              <w:t>ÉTATS MEMBRES</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before="0" w:after="0"/>
              <w:jc w:val="center"/>
              <w:rPr>
                <w:b/>
                <w:bCs/>
                <w:noProof/>
                <w:sz w:val="16"/>
                <w:szCs w:val="16"/>
              </w:rPr>
            </w:pPr>
            <w:r>
              <w:rPr>
                <w:b/>
                <w:noProof/>
                <w:sz w:val="16"/>
              </w:rPr>
              <w:t>Clé 10</w:t>
            </w:r>
            <w:r>
              <w:rPr>
                <w:b/>
                <w:noProof/>
                <w:sz w:val="16"/>
                <w:vertAlign w:val="superscript"/>
              </w:rPr>
              <w:t>e</w:t>
            </w:r>
            <w:r>
              <w:rPr>
                <w:b/>
                <w:noProof/>
                <w:sz w:val="16"/>
              </w:rPr>
              <w:t> FED %</w:t>
            </w:r>
          </w:p>
        </w:tc>
        <w:tc>
          <w:tcPr>
            <w:tcW w:w="2540" w:type="dxa"/>
            <w:gridSpan w:val="2"/>
            <w:tcBorders>
              <w:top w:val="single" w:sz="4" w:space="0" w:color="auto"/>
              <w:left w:val="nil"/>
              <w:bottom w:val="single" w:sz="4" w:space="0" w:color="000000"/>
              <w:right w:val="single" w:sz="4" w:space="0" w:color="auto"/>
            </w:tcBorders>
            <w:noWrap/>
            <w:vAlign w:val="center"/>
            <w:hideMark/>
          </w:tcPr>
          <w:p>
            <w:pPr>
              <w:spacing w:before="0" w:after="0"/>
              <w:jc w:val="center"/>
              <w:rPr>
                <w:b/>
                <w:bCs/>
                <w:noProof/>
                <w:sz w:val="16"/>
                <w:szCs w:val="16"/>
              </w:rPr>
            </w:pPr>
            <w:r>
              <w:rPr>
                <w:b/>
                <w:noProof/>
                <w:sz w:val="16"/>
              </w:rPr>
              <w:t>1</w:t>
            </w:r>
            <w:r>
              <w:rPr>
                <w:b/>
                <w:noProof/>
                <w:sz w:val="16"/>
                <w:vertAlign w:val="superscript"/>
              </w:rPr>
              <w:t>re</w:t>
            </w:r>
            <w:r>
              <w:rPr>
                <w:b/>
                <w:noProof/>
                <w:sz w:val="16"/>
              </w:rPr>
              <w:t xml:space="preserve"> tranche</w:t>
            </w:r>
          </w:p>
        </w:tc>
        <w:tc>
          <w:tcPr>
            <w:tcW w:w="2600" w:type="dxa"/>
            <w:gridSpan w:val="2"/>
            <w:tcBorders>
              <w:top w:val="single" w:sz="4" w:space="0" w:color="auto"/>
              <w:left w:val="nil"/>
              <w:bottom w:val="single" w:sz="4" w:space="0" w:color="auto"/>
              <w:right w:val="single" w:sz="4" w:space="0" w:color="auto"/>
            </w:tcBorders>
            <w:vAlign w:val="center"/>
            <w:hideMark/>
          </w:tcPr>
          <w:p>
            <w:pPr>
              <w:spacing w:before="0" w:after="0"/>
              <w:jc w:val="center"/>
              <w:rPr>
                <w:b/>
                <w:bCs/>
                <w:noProof/>
                <w:sz w:val="16"/>
                <w:szCs w:val="16"/>
              </w:rPr>
            </w:pPr>
            <w:r>
              <w:rPr>
                <w:b/>
                <w:noProof/>
                <w:sz w:val="16"/>
              </w:rPr>
              <w:t>2</w:t>
            </w:r>
            <w:r>
              <w:rPr>
                <w:b/>
                <w:noProof/>
                <w:sz w:val="16"/>
                <w:vertAlign w:val="superscript"/>
              </w:rPr>
              <w:t>e</w:t>
            </w:r>
            <w:r>
              <w:rPr>
                <w:b/>
                <w:noProof/>
                <w:sz w:val="16"/>
              </w:rPr>
              <w:t xml:space="preserve"> tranche</w:t>
            </w:r>
          </w:p>
        </w:tc>
        <w:tc>
          <w:tcPr>
            <w:tcW w:w="2440" w:type="dxa"/>
            <w:gridSpan w:val="2"/>
            <w:tcBorders>
              <w:top w:val="single" w:sz="4" w:space="0" w:color="auto"/>
              <w:left w:val="nil"/>
              <w:bottom w:val="single" w:sz="4" w:space="0" w:color="auto"/>
              <w:right w:val="single" w:sz="4" w:space="0" w:color="000000"/>
            </w:tcBorders>
            <w:vAlign w:val="center"/>
            <w:hideMark/>
          </w:tcPr>
          <w:p>
            <w:pPr>
              <w:spacing w:before="0" w:after="0"/>
              <w:jc w:val="center"/>
              <w:rPr>
                <w:b/>
                <w:bCs/>
                <w:noProof/>
                <w:sz w:val="16"/>
                <w:szCs w:val="16"/>
              </w:rPr>
            </w:pPr>
            <w:r>
              <w:rPr>
                <w:b/>
                <w:noProof/>
                <w:sz w:val="16"/>
              </w:rPr>
              <w:t>3</w:t>
            </w:r>
            <w:r>
              <w:rPr>
                <w:b/>
                <w:noProof/>
                <w:sz w:val="16"/>
                <w:vertAlign w:val="superscript"/>
              </w:rPr>
              <w:t>e</w:t>
            </w:r>
            <w:r>
              <w:rPr>
                <w:b/>
                <w:noProof/>
                <w:sz w:val="16"/>
              </w:rPr>
              <w:t xml:space="preserve"> tranche</w:t>
            </w:r>
          </w:p>
        </w:tc>
        <w:tc>
          <w:tcPr>
            <w:tcW w:w="1260" w:type="dxa"/>
            <w:vMerge w:val="restart"/>
            <w:tcBorders>
              <w:top w:val="single" w:sz="4" w:space="0" w:color="auto"/>
              <w:left w:val="nil"/>
              <w:bottom w:val="single" w:sz="4" w:space="0" w:color="auto"/>
              <w:right w:val="nil"/>
            </w:tcBorders>
            <w:vAlign w:val="center"/>
            <w:hideMark/>
          </w:tcPr>
          <w:p>
            <w:pPr>
              <w:spacing w:before="0" w:after="0"/>
              <w:jc w:val="center"/>
              <w:rPr>
                <w:b/>
                <w:bCs/>
                <w:noProof/>
                <w:sz w:val="16"/>
                <w:szCs w:val="16"/>
              </w:rPr>
            </w:pPr>
            <w:r>
              <w:rPr>
                <w:b/>
                <w:noProof/>
                <w:sz w:val="16"/>
              </w:rPr>
              <w:t>Total BEI</w:t>
            </w:r>
          </w:p>
        </w:tc>
        <w:tc>
          <w:tcPr>
            <w:tcW w:w="1380" w:type="dxa"/>
            <w:vMerge w:val="restart"/>
            <w:tcBorders>
              <w:top w:val="single" w:sz="4" w:space="0" w:color="auto"/>
              <w:left w:val="single" w:sz="4" w:space="0" w:color="auto"/>
              <w:bottom w:val="nil"/>
              <w:right w:val="single" w:sz="4" w:space="0" w:color="auto"/>
            </w:tcBorders>
            <w:vAlign w:val="center"/>
            <w:hideMark/>
          </w:tcPr>
          <w:p>
            <w:pPr>
              <w:spacing w:before="0" w:after="0"/>
              <w:jc w:val="center"/>
              <w:rPr>
                <w:b/>
                <w:bCs/>
                <w:noProof/>
                <w:sz w:val="16"/>
                <w:szCs w:val="16"/>
              </w:rPr>
            </w:pPr>
            <w:r>
              <w:rPr>
                <w:b/>
                <w:noProof/>
                <w:sz w:val="16"/>
              </w:rPr>
              <w:t>Total Commission</w:t>
            </w:r>
          </w:p>
        </w:tc>
        <w:tc>
          <w:tcPr>
            <w:tcW w:w="148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center"/>
              <w:rPr>
                <w:b/>
                <w:bCs/>
                <w:noProof/>
                <w:sz w:val="16"/>
                <w:szCs w:val="16"/>
              </w:rPr>
            </w:pPr>
            <w:r>
              <w:rPr>
                <w:b/>
                <w:noProof/>
                <w:sz w:val="16"/>
              </w:rPr>
              <w:t>Total 2016</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034"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1506"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1229"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1371"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1171"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1269"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versée à la</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034"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BEI</w:t>
            </w:r>
          </w:p>
        </w:tc>
        <w:tc>
          <w:tcPr>
            <w:tcW w:w="1506"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Commission</w:t>
            </w:r>
          </w:p>
        </w:tc>
        <w:tc>
          <w:tcPr>
            <w:tcW w:w="1229"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BEI</w:t>
            </w:r>
          </w:p>
        </w:tc>
        <w:tc>
          <w:tcPr>
            <w:tcW w:w="1371"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Commission</w:t>
            </w:r>
          </w:p>
        </w:tc>
        <w:tc>
          <w:tcPr>
            <w:tcW w:w="1171"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BEI</w:t>
            </w:r>
          </w:p>
        </w:tc>
        <w:tc>
          <w:tcPr>
            <w:tcW w:w="1269"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Commission</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034"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1506"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1229"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1371"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1171"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1269"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w:t>
            </w:r>
            <w:r>
              <w:rPr>
                <w:b/>
                <w:noProof/>
                <w:sz w:val="16"/>
                <w:vertAlign w:val="superscript"/>
              </w:rPr>
              <w:t>e</w:t>
            </w:r>
            <w:r>
              <w:rPr>
                <w:b/>
                <w:noProof/>
                <w:sz w:val="16"/>
              </w:rPr>
              <w:t> FED</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AUTRICHE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2,41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42 175 000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24 100 000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1 205 000</w:t>
            </w:r>
          </w:p>
        </w:tc>
        <w:tc>
          <w:tcPr>
            <w:tcW w:w="1269" w:type="dxa"/>
            <w:noWrap/>
            <w:vAlign w:val="bottom"/>
            <w:hideMark/>
          </w:tcPr>
          <w:p>
            <w:pPr>
              <w:spacing w:before="0" w:after="0"/>
              <w:jc w:val="right"/>
              <w:rPr>
                <w:noProof/>
                <w:sz w:val="14"/>
                <w:szCs w:val="14"/>
              </w:rPr>
            </w:pPr>
            <w:r>
              <w:rPr>
                <w:noProof/>
                <w:sz w:val="14"/>
              </w:rPr>
              <w:t>16 870 000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3 615 000</w:t>
            </w:r>
          </w:p>
        </w:tc>
        <w:tc>
          <w:tcPr>
            <w:tcW w:w="1380" w:type="dxa"/>
            <w:tcBorders>
              <w:top w:val="single" w:sz="4" w:space="0" w:color="auto"/>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83 145 000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86 760 000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BELGIQUE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3,53</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61 775 000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3 530 000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35 300 000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1 765 000</w:t>
            </w:r>
          </w:p>
        </w:tc>
        <w:tc>
          <w:tcPr>
            <w:tcW w:w="1269" w:type="dxa"/>
            <w:noWrap/>
            <w:vAlign w:val="bottom"/>
            <w:hideMark/>
          </w:tcPr>
          <w:p>
            <w:pPr>
              <w:spacing w:before="0" w:after="0"/>
              <w:jc w:val="right"/>
              <w:rPr>
                <w:noProof/>
                <w:sz w:val="14"/>
                <w:szCs w:val="14"/>
              </w:rPr>
            </w:pPr>
            <w:r>
              <w:rPr>
                <w:noProof/>
                <w:sz w:val="14"/>
              </w:rPr>
              <w:t>24 710 000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5 295 000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121 785 000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127 080 000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BULGARIE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0,14</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1 400 000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70 000</w:t>
            </w:r>
          </w:p>
        </w:tc>
        <w:tc>
          <w:tcPr>
            <w:tcW w:w="1269" w:type="dxa"/>
            <w:noWrap/>
            <w:vAlign w:val="bottom"/>
            <w:hideMark/>
          </w:tcPr>
          <w:p>
            <w:pPr>
              <w:spacing w:before="0" w:after="0"/>
              <w:jc w:val="right"/>
              <w:rPr>
                <w:noProof/>
                <w:sz w:val="14"/>
                <w:szCs w:val="14"/>
              </w:rPr>
            </w:pPr>
            <w:r>
              <w:rPr>
                <w:noProof/>
                <w:sz w:val="14"/>
              </w:rPr>
              <w:t>980 000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210 000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4 830 000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5 040 000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CHYPRE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0,09</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1 575 000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45 000</w:t>
            </w:r>
          </w:p>
        </w:tc>
        <w:tc>
          <w:tcPr>
            <w:tcW w:w="1269" w:type="dxa"/>
            <w:noWrap/>
            <w:vAlign w:val="bottom"/>
            <w:hideMark/>
          </w:tcPr>
          <w:p>
            <w:pPr>
              <w:spacing w:before="0" w:after="0"/>
              <w:jc w:val="right"/>
              <w:rPr>
                <w:noProof/>
                <w:sz w:val="14"/>
                <w:szCs w:val="14"/>
              </w:rPr>
            </w:pPr>
            <w:r>
              <w:rPr>
                <w:noProof/>
                <w:sz w:val="14"/>
              </w:rPr>
              <w:t>630 000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135 000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3 105 000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3 240 000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RÉPUBLIQUE TCHÈQUE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0,51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8 925 000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255 000</w:t>
            </w:r>
          </w:p>
        </w:tc>
        <w:tc>
          <w:tcPr>
            <w:tcW w:w="1269" w:type="dxa"/>
            <w:noWrap/>
            <w:vAlign w:val="bottom"/>
            <w:hideMark/>
          </w:tcPr>
          <w:p>
            <w:pPr>
              <w:spacing w:before="0" w:after="0"/>
              <w:jc w:val="right"/>
              <w:rPr>
                <w:noProof/>
                <w:sz w:val="14"/>
                <w:szCs w:val="14"/>
              </w:rPr>
            </w:pPr>
            <w:r>
              <w:rPr>
                <w:noProof/>
                <w:sz w:val="14"/>
              </w:rPr>
              <w:t>3 570 000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765 000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17 595 000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18 360 000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DANEMARK</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2,00</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35 000 000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2 000 000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1 000 000</w:t>
            </w:r>
          </w:p>
        </w:tc>
        <w:tc>
          <w:tcPr>
            <w:tcW w:w="1269" w:type="dxa"/>
            <w:noWrap/>
            <w:vAlign w:val="bottom"/>
            <w:hideMark/>
          </w:tcPr>
          <w:p>
            <w:pPr>
              <w:spacing w:before="0" w:after="0"/>
              <w:jc w:val="right"/>
              <w:rPr>
                <w:noProof/>
                <w:sz w:val="14"/>
                <w:szCs w:val="14"/>
              </w:rPr>
            </w:pPr>
            <w:r>
              <w:rPr>
                <w:noProof/>
                <w:sz w:val="14"/>
              </w:rPr>
              <w:t>14 000 000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3 000 000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69 000 000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72 000 000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ESTONIE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875 000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25 000</w:t>
            </w:r>
          </w:p>
        </w:tc>
        <w:tc>
          <w:tcPr>
            <w:tcW w:w="1269" w:type="dxa"/>
            <w:noWrap/>
            <w:vAlign w:val="bottom"/>
            <w:hideMark/>
          </w:tcPr>
          <w:p>
            <w:pPr>
              <w:spacing w:before="0" w:after="0"/>
              <w:jc w:val="right"/>
              <w:rPr>
                <w:noProof/>
                <w:sz w:val="14"/>
                <w:szCs w:val="14"/>
              </w:rPr>
            </w:pPr>
            <w:r>
              <w:rPr>
                <w:noProof/>
                <w:sz w:val="14"/>
              </w:rPr>
              <w:t>350 000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75 000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1 725 000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FINLANDE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25 725 000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1 470 000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269" w:type="dxa"/>
            <w:noWrap/>
            <w:vAlign w:val="bottom"/>
            <w:hideMark/>
          </w:tcPr>
          <w:p>
            <w:pPr>
              <w:spacing w:before="0" w:after="0"/>
              <w:jc w:val="right"/>
              <w:rPr>
                <w:noProof/>
                <w:sz w:val="14"/>
                <w:szCs w:val="14"/>
              </w:rPr>
            </w:pPr>
            <w:r>
              <w:rPr>
                <w:noProof/>
                <w:sz w:val="14"/>
              </w:rPr>
              <w:t>10 290 000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2 205 000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50 715 000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52 920 000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FRANCE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19,55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342 125 000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19 550 000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195 500 000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9 775 000</w:t>
            </w:r>
          </w:p>
        </w:tc>
        <w:tc>
          <w:tcPr>
            <w:tcW w:w="1269" w:type="dxa"/>
            <w:noWrap/>
            <w:vAlign w:val="bottom"/>
            <w:hideMark/>
          </w:tcPr>
          <w:p>
            <w:pPr>
              <w:spacing w:before="0" w:after="0"/>
              <w:jc w:val="right"/>
              <w:rPr>
                <w:noProof/>
                <w:sz w:val="14"/>
                <w:szCs w:val="14"/>
              </w:rPr>
            </w:pPr>
            <w:r>
              <w:rPr>
                <w:noProof/>
                <w:sz w:val="14"/>
              </w:rPr>
              <w:t>136 850 000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29 325 000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674 475 000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703 800 000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ALLEMAGNE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20,50</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358 750 000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20 500 000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205 000 000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10 250 000</w:t>
            </w:r>
          </w:p>
        </w:tc>
        <w:tc>
          <w:tcPr>
            <w:tcW w:w="1269" w:type="dxa"/>
            <w:noWrap/>
            <w:vAlign w:val="bottom"/>
            <w:hideMark/>
          </w:tcPr>
          <w:p>
            <w:pPr>
              <w:spacing w:before="0" w:after="0"/>
              <w:jc w:val="right"/>
              <w:rPr>
                <w:noProof/>
                <w:sz w:val="14"/>
                <w:szCs w:val="14"/>
              </w:rPr>
            </w:pPr>
            <w:r>
              <w:rPr>
                <w:noProof/>
                <w:sz w:val="14"/>
              </w:rPr>
              <w:t>143 500 000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30 750 000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707 250 000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738 000 000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GRÈCE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25 725 000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1 470 000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269" w:type="dxa"/>
            <w:noWrap/>
            <w:vAlign w:val="bottom"/>
            <w:hideMark/>
          </w:tcPr>
          <w:p>
            <w:pPr>
              <w:spacing w:before="0" w:after="0"/>
              <w:jc w:val="right"/>
              <w:rPr>
                <w:noProof/>
                <w:sz w:val="14"/>
                <w:szCs w:val="14"/>
              </w:rPr>
            </w:pPr>
            <w:r>
              <w:rPr>
                <w:noProof/>
                <w:sz w:val="14"/>
              </w:rPr>
              <w:t>10 290 000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2 205 000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50 715 000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52 920 000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HONGRIE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0,55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9 625 000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275 000</w:t>
            </w:r>
          </w:p>
        </w:tc>
        <w:tc>
          <w:tcPr>
            <w:tcW w:w="1269" w:type="dxa"/>
            <w:noWrap/>
            <w:vAlign w:val="bottom"/>
            <w:hideMark/>
          </w:tcPr>
          <w:p>
            <w:pPr>
              <w:spacing w:before="0" w:after="0"/>
              <w:jc w:val="right"/>
              <w:rPr>
                <w:noProof/>
                <w:sz w:val="14"/>
                <w:szCs w:val="14"/>
              </w:rPr>
            </w:pPr>
            <w:r>
              <w:rPr>
                <w:noProof/>
                <w:sz w:val="14"/>
              </w:rPr>
              <w:t>3 850 000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825 000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18 975 000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19 800 000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IRLANDE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0,91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15 925 000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455 000</w:t>
            </w:r>
          </w:p>
        </w:tc>
        <w:tc>
          <w:tcPr>
            <w:tcW w:w="1269" w:type="dxa"/>
            <w:noWrap/>
            <w:vAlign w:val="bottom"/>
            <w:hideMark/>
          </w:tcPr>
          <w:p>
            <w:pPr>
              <w:spacing w:before="0" w:after="0"/>
              <w:jc w:val="right"/>
              <w:rPr>
                <w:noProof/>
                <w:sz w:val="14"/>
                <w:szCs w:val="14"/>
              </w:rPr>
            </w:pPr>
            <w:r>
              <w:rPr>
                <w:noProof/>
                <w:sz w:val="14"/>
              </w:rPr>
              <w:t>6 370 000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1 365 000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31 395 000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32 760 000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ITALIE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12,86</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225 050 000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12 860 000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128 600 000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6 430 000</w:t>
            </w:r>
          </w:p>
        </w:tc>
        <w:tc>
          <w:tcPr>
            <w:tcW w:w="1269" w:type="dxa"/>
            <w:noWrap/>
            <w:vAlign w:val="bottom"/>
            <w:hideMark/>
          </w:tcPr>
          <w:p>
            <w:pPr>
              <w:spacing w:before="0" w:after="0"/>
              <w:jc w:val="right"/>
              <w:rPr>
                <w:noProof/>
                <w:sz w:val="14"/>
                <w:szCs w:val="14"/>
              </w:rPr>
            </w:pPr>
            <w:r>
              <w:rPr>
                <w:noProof/>
                <w:sz w:val="14"/>
              </w:rPr>
              <w:t>90 020 000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19 290 000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443 670 000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462 960 000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LETTONIE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1 225 000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35 000</w:t>
            </w:r>
          </w:p>
        </w:tc>
        <w:tc>
          <w:tcPr>
            <w:tcW w:w="1269" w:type="dxa"/>
            <w:noWrap/>
            <w:vAlign w:val="bottom"/>
            <w:hideMark/>
          </w:tcPr>
          <w:p>
            <w:pPr>
              <w:spacing w:before="0" w:after="0"/>
              <w:jc w:val="right"/>
              <w:rPr>
                <w:noProof/>
                <w:sz w:val="14"/>
                <w:szCs w:val="14"/>
              </w:rPr>
            </w:pPr>
            <w:r>
              <w:rPr>
                <w:noProof/>
                <w:sz w:val="14"/>
              </w:rPr>
              <w:t>490 000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2 415 000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2 520 000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LITUANIE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0,12</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2 100 000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1 200 000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60 000</w:t>
            </w:r>
          </w:p>
        </w:tc>
        <w:tc>
          <w:tcPr>
            <w:tcW w:w="1269" w:type="dxa"/>
            <w:noWrap/>
            <w:vAlign w:val="bottom"/>
            <w:hideMark/>
          </w:tcPr>
          <w:p>
            <w:pPr>
              <w:spacing w:before="0" w:after="0"/>
              <w:jc w:val="right"/>
              <w:rPr>
                <w:noProof/>
                <w:sz w:val="14"/>
                <w:szCs w:val="14"/>
              </w:rPr>
            </w:pPr>
            <w:r>
              <w:rPr>
                <w:noProof/>
                <w:sz w:val="14"/>
              </w:rPr>
              <w:t>840 000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4 140 000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4 320 000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LUXEMBOURG</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0,27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4 725 000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135 000</w:t>
            </w:r>
          </w:p>
        </w:tc>
        <w:tc>
          <w:tcPr>
            <w:tcW w:w="1269" w:type="dxa"/>
            <w:noWrap/>
            <w:vAlign w:val="bottom"/>
            <w:hideMark/>
          </w:tcPr>
          <w:p>
            <w:pPr>
              <w:spacing w:before="0" w:after="0"/>
              <w:jc w:val="right"/>
              <w:rPr>
                <w:noProof/>
                <w:sz w:val="14"/>
                <w:szCs w:val="14"/>
              </w:rPr>
            </w:pPr>
            <w:r>
              <w:rPr>
                <w:noProof/>
                <w:sz w:val="14"/>
              </w:rPr>
              <w:t>1 890 000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9 315 000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9 720 000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MALTE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0,03</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15 000</w:t>
            </w:r>
          </w:p>
        </w:tc>
        <w:tc>
          <w:tcPr>
            <w:tcW w:w="1269" w:type="dxa"/>
            <w:noWrap/>
            <w:vAlign w:val="bottom"/>
            <w:hideMark/>
          </w:tcPr>
          <w:p>
            <w:pPr>
              <w:spacing w:before="0" w:after="0"/>
              <w:jc w:val="right"/>
              <w:rPr>
                <w:noProof/>
                <w:sz w:val="14"/>
                <w:szCs w:val="14"/>
              </w:rPr>
            </w:pPr>
            <w:r>
              <w:rPr>
                <w:noProof/>
                <w:sz w:val="14"/>
              </w:rPr>
              <w:t>210 000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1 035 000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PAYS-BAS</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4,85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84 875 000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4 850 000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48 500 000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2 425 000</w:t>
            </w:r>
          </w:p>
        </w:tc>
        <w:tc>
          <w:tcPr>
            <w:tcW w:w="1269" w:type="dxa"/>
            <w:noWrap/>
            <w:vAlign w:val="bottom"/>
            <w:hideMark/>
          </w:tcPr>
          <w:p>
            <w:pPr>
              <w:spacing w:before="0" w:after="0"/>
              <w:jc w:val="right"/>
              <w:rPr>
                <w:noProof/>
                <w:sz w:val="14"/>
                <w:szCs w:val="14"/>
              </w:rPr>
            </w:pPr>
            <w:r>
              <w:rPr>
                <w:noProof/>
                <w:sz w:val="14"/>
              </w:rPr>
              <w:t>33 950 000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7 275 000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167 325 000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174 600 000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POLOGNE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1,30</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22 750 000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1 300 000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650 000</w:t>
            </w:r>
          </w:p>
        </w:tc>
        <w:tc>
          <w:tcPr>
            <w:tcW w:w="1269" w:type="dxa"/>
            <w:noWrap/>
            <w:vAlign w:val="bottom"/>
            <w:hideMark/>
          </w:tcPr>
          <w:p>
            <w:pPr>
              <w:spacing w:before="0" w:after="0"/>
              <w:jc w:val="right"/>
              <w:rPr>
                <w:noProof/>
                <w:sz w:val="14"/>
                <w:szCs w:val="14"/>
              </w:rPr>
            </w:pPr>
            <w:r>
              <w:rPr>
                <w:noProof/>
                <w:sz w:val="14"/>
              </w:rPr>
              <w:t>9 100 000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1 950 000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44 850 000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46 800 000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PORTUGAL</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1,15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20 125 000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1 150 000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11 500 000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575 000</w:t>
            </w:r>
          </w:p>
        </w:tc>
        <w:tc>
          <w:tcPr>
            <w:tcW w:w="1269" w:type="dxa"/>
            <w:noWrap/>
            <w:vAlign w:val="bottom"/>
            <w:hideMark/>
          </w:tcPr>
          <w:p>
            <w:pPr>
              <w:spacing w:before="0" w:after="0"/>
              <w:jc w:val="right"/>
              <w:rPr>
                <w:noProof/>
                <w:sz w:val="14"/>
                <w:szCs w:val="14"/>
              </w:rPr>
            </w:pPr>
            <w:r>
              <w:rPr>
                <w:noProof/>
                <w:sz w:val="14"/>
              </w:rPr>
              <w:t>8 050 000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1 725 000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39 675 000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41 400 000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ROUMANIE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0,37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6 475 000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185 000</w:t>
            </w:r>
          </w:p>
        </w:tc>
        <w:tc>
          <w:tcPr>
            <w:tcW w:w="1269" w:type="dxa"/>
            <w:noWrap/>
            <w:vAlign w:val="bottom"/>
            <w:hideMark/>
          </w:tcPr>
          <w:p>
            <w:pPr>
              <w:spacing w:before="0" w:after="0"/>
              <w:jc w:val="right"/>
              <w:rPr>
                <w:noProof/>
                <w:sz w:val="14"/>
                <w:szCs w:val="14"/>
              </w:rPr>
            </w:pPr>
            <w:r>
              <w:rPr>
                <w:noProof/>
                <w:sz w:val="14"/>
              </w:rPr>
              <w:t>2 590 000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555 000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12 765 000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13 320 000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SLOVAQUIE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0,21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3 675 000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105 000</w:t>
            </w:r>
          </w:p>
        </w:tc>
        <w:tc>
          <w:tcPr>
            <w:tcW w:w="1269" w:type="dxa"/>
            <w:noWrap/>
            <w:vAlign w:val="bottom"/>
            <w:hideMark/>
          </w:tcPr>
          <w:p>
            <w:pPr>
              <w:spacing w:before="0" w:after="0"/>
              <w:jc w:val="right"/>
              <w:rPr>
                <w:noProof/>
                <w:sz w:val="14"/>
                <w:szCs w:val="14"/>
              </w:rPr>
            </w:pPr>
            <w:r>
              <w:rPr>
                <w:noProof/>
                <w:sz w:val="14"/>
              </w:rPr>
              <w:t>1 470 000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315 000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7 245 000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7 560 000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SLOVÉNIE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0,18</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3 150 000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180 000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1 800 000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90 000</w:t>
            </w:r>
          </w:p>
        </w:tc>
        <w:tc>
          <w:tcPr>
            <w:tcW w:w="1269" w:type="dxa"/>
            <w:noWrap/>
            <w:vAlign w:val="bottom"/>
            <w:hideMark/>
          </w:tcPr>
          <w:p>
            <w:pPr>
              <w:spacing w:before="0" w:after="0"/>
              <w:jc w:val="right"/>
              <w:rPr>
                <w:noProof/>
                <w:sz w:val="14"/>
                <w:szCs w:val="14"/>
              </w:rPr>
            </w:pPr>
            <w:r>
              <w:rPr>
                <w:noProof/>
                <w:sz w:val="14"/>
              </w:rPr>
              <w:t>1 260 000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270 000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6 210 000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6 480 000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ESPAGNE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7,85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137 375 000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7 850 000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78 500 000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3 925 000</w:t>
            </w:r>
          </w:p>
        </w:tc>
        <w:tc>
          <w:tcPr>
            <w:tcW w:w="1269" w:type="dxa"/>
            <w:noWrap/>
            <w:vAlign w:val="bottom"/>
            <w:hideMark/>
          </w:tcPr>
          <w:p>
            <w:pPr>
              <w:spacing w:before="0" w:after="0"/>
              <w:jc w:val="right"/>
              <w:rPr>
                <w:noProof/>
                <w:sz w:val="14"/>
                <w:szCs w:val="14"/>
              </w:rPr>
            </w:pPr>
            <w:r>
              <w:rPr>
                <w:noProof/>
                <w:sz w:val="14"/>
              </w:rPr>
              <w:t>54 950 000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11 775 000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270 825 000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282 600 000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SUÈDE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2,74</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47 950 000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2 740 000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27 400 000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1 370 000</w:t>
            </w:r>
          </w:p>
        </w:tc>
        <w:tc>
          <w:tcPr>
            <w:tcW w:w="1269" w:type="dxa"/>
            <w:noWrap/>
            <w:vAlign w:val="bottom"/>
            <w:hideMark/>
          </w:tcPr>
          <w:p>
            <w:pPr>
              <w:spacing w:before="0" w:after="0"/>
              <w:jc w:val="right"/>
              <w:rPr>
                <w:noProof/>
                <w:sz w:val="14"/>
                <w:szCs w:val="14"/>
              </w:rPr>
            </w:pPr>
            <w:r>
              <w:rPr>
                <w:noProof/>
                <w:sz w:val="14"/>
              </w:rPr>
              <w:t>19 180 000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4 110 000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94 530 000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98 640 000</w:t>
            </w:r>
          </w:p>
        </w:tc>
      </w:tr>
      <w:tr>
        <w:trPr>
          <w:trHeight w:val="259"/>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noProof/>
                <w:sz w:val="16"/>
              </w:rPr>
              <w:t>ROYAUME-UNI</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14,82</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259 350 000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14 820 000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148 200 000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7 410 000</w:t>
            </w:r>
          </w:p>
        </w:tc>
        <w:tc>
          <w:tcPr>
            <w:tcW w:w="1269" w:type="dxa"/>
            <w:noWrap/>
            <w:vAlign w:val="bottom"/>
            <w:hideMark/>
          </w:tcPr>
          <w:p>
            <w:pPr>
              <w:spacing w:before="0" w:after="0"/>
              <w:jc w:val="right"/>
              <w:rPr>
                <w:noProof/>
                <w:sz w:val="14"/>
                <w:szCs w:val="14"/>
              </w:rPr>
            </w:pPr>
            <w:r>
              <w:rPr>
                <w:noProof/>
                <w:sz w:val="14"/>
              </w:rPr>
              <w:t>103 740 000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22 230 000</w:t>
            </w:r>
          </w:p>
        </w:tc>
        <w:tc>
          <w:tcPr>
            <w:tcW w:w="1380" w:type="dxa"/>
            <w:tcBorders>
              <w:top w:val="nil"/>
              <w:left w:val="single" w:sz="4" w:space="0" w:color="auto"/>
              <w:bottom w:val="single" w:sz="4" w:space="0" w:color="auto"/>
              <w:right w:val="single" w:sz="4" w:space="0" w:color="auto"/>
            </w:tcBorders>
            <w:noWrap/>
            <w:vAlign w:val="bottom"/>
            <w:hideMark/>
          </w:tcPr>
          <w:p>
            <w:pPr>
              <w:spacing w:before="0" w:after="0"/>
              <w:jc w:val="right"/>
              <w:rPr>
                <w:noProof/>
                <w:sz w:val="14"/>
                <w:szCs w:val="14"/>
              </w:rPr>
            </w:pPr>
            <w:r>
              <w:rPr>
                <w:noProof/>
                <w:sz w:val="14"/>
              </w:rPr>
              <w:t>511 290 000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533 520 000</w:t>
            </w:r>
          </w:p>
        </w:tc>
      </w:tr>
      <w:tr>
        <w:trPr>
          <w:trHeight w:val="282"/>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noProof/>
                <w:sz w:val="16"/>
              </w:rPr>
              <w:t>TOTAL UE-27</w:t>
            </w:r>
          </w:p>
        </w:tc>
        <w:tc>
          <w:tcPr>
            <w:tcW w:w="840" w:type="dxa"/>
            <w:tcBorders>
              <w:top w:val="single" w:sz="4" w:space="0" w:color="auto"/>
              <w:left w:val="nil"/>
              <w:bottom w:val="single" w:sz="4" w:space="0" w:color="auto"/>
              <w:right w:val="single" w:sz="4" w:space="0" w:color="auto"/>
            </w:tcBorders>
            <w:shd w:val="clear" w:color="auto" w:fill="C0C0C0"/>
            <w:noWrap/>
            <w:vAlign w:val="center"/>
            <w:hideMark/>
          </w:tcPr>
          <w:p>
            <w:pPr>
              <w:spacing w:before="0" w:after="0"/>
              <w:jc w:val="right"/>
              <w:rPr>
                <w:b/>
                <w:bCs/>
                <w:noProof/>
                <w:sz w:val="14"/>
                <w:szCs w:val="14"/>
              </w:rPr>
            </w:pPr>
            <w:r>
              <w:rPr>
                <w:b/>
                <w:noProof/>
                <w:sz w:val="14"/>
              </w:rPr>
              <w:t>100,00</w:t>
            </w:r>
          </w:p>
        </w:tc>
        <w:tc>
          <w:tcPr>
            <w:tcW w:w="1034"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0</w:t>
            </w:r>
          </w:p>
        </w:tc>
        <w:tc>
          <w:tcPr>
            <w:tcW w:w="1506"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1 750 000 000</w:t>
            </w:r>
          </w:p>
        </w:tc>
        <w:tc>
          <w:tcPr>
            <w:tcW w:w="1229"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100 000 000</w:t>
            </w:r>
          </w:p>
        </w:tc>
        <w:tc>
          <w:tcPr>
            <w:tcW w:w="1371"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1 000 000 000</w:t>
            </w:r>
          </w:p>
        </w:tc>
        <w:tc>
          <w:tcPr>
            <w:tcW w:w="1171"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50 000 000</w:t>
            </w:r>
          </w:p>
        </w:tc>
        <w:tc>
          <w:tcPr>
            <w:tcW w:w="1269"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700 000 000</w:t>
            </w:r>
          </w:p>
        </w:tc>
        <w:tc>
          <w:tcPr>
            <w:tcW w:w="1260" w:type="dxa"/>
            <w:tcBorders>
              <w:top w:val="single" w:sz="4" w:space="0" w:color="auto"/>
              <w:left w:val="nil"/>
              <w:bottom w:val="single" w:sz="4" w:space="0" w:color="auto"/>
              <w:right w:val="nil"/>
            </w:tcBorders>
            <w:noWrap/>
            <w:vAlign w:val="center"/>
            <w:hideMark/>
          </w:tcPr>
          <w:p>
            <w:pPr>
              <w:spacing w:before="0" w:after="0"/>
              <w:jc w:val="right"/>
              <w:rPr>
                <w:b/>
                <w:bCs/>
                <w:noProof/>
                <w:sz w:val="14"/>
                <w:szCs w:val="14"/>
              </w:rPr>
            </w:pPr>
            <w:r>
              <w:rPr>
                <w:b/>
                <w:noProof/>
                <w:sz w:val="14"/>
              </w:rPr>
              <w:t>150 000 000</w:t>
            </w:r>
          </w:p>
        </w:tc>
        <w:tc>
          <w:tcPr>
            <w:tcW w:w="1380" w:type="dxa"/>
            <w:tcBorders>
              <w:top w:val="nil"/>
              <w:left w:val="single" w:sz="4" w:space="0" w:color="auto"/>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3 450 000 000</w:t>
            </w:r>
          </w:p>
        </w:tc>
        <w:tc>
          <w:tcPr>
            <w:tcW w:w="148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3 600 000 000</w:t>
            </w:r>
          </w:p>
        </w:tc>
      </w:tr>
    </w:tbl>
    <w:p>
      <w:pPr>
        <w:pStyle w:val="ManualHeading2"/>
        <w:rPr>
          <w:noProof/>
        </w:rPr>
      </w:pPr>
      <w:r>
        <w:t>5.6.</w:t>
      </w:r>
      <w:r>
        <w:tab/>
      </w:r>
      <w:r>
        <w:rPr>
          <w:noProof/>
        </w:rPr>
        <w:t>Annexe 6: contributions des États membres pour la période 2016-2019 (en EUR)</w:t>
      </w:r>
    </w:p>
    <w:tbl>
      <w:tblPr>
        <w:tblW w:w="14860" w:type="dxa"/>
        <w:tblInd w:w="98" w:type="dxa"/>
        <w:tblLook w:val="04A0" w:firstRow="1" w:lastRow="0" w:firstColumn="1" w:lastColumn="0" w:noHBand="0" w:noVBand="1"/>
      </w:tblPr>
      <w:tblGrid>
        <w:gridCol w:w="1860"/>
        <w:gridCol w:w="880"/>
        <w:gridCol w:w="940"/>
        <w:gridCol w:w="1113"/>
        <w:gridCol w:w="1047"/>
        <w:gridCol w:w="1120"/>
        <w:gridCol w:w="1065"/>
        <w:gridCol w:w="1256"/>
        <w:gridCol w:w="1139"/>
        <w:gridCol w:w="1072"/>
        <w:gridCol w:w="1148"/>
        <w:gridCol w:w="1072"/>
        <w:gridCol w:w="1148"/>
      </w:tblGrid>
      <w:tr>
        <w:trPr>
          <w:trHeight w:val="270"/>
        </w:trPr>
        <w:tc>
          <w:tcPr>
            <w:tcW w:w="1860" w:type="dxa"/>
            <w:tcBorders>
              <w:top w:val="single" w:sz="8" w:space="0" w:color="auto"/>
              <w:left w:val="single" w:sz="8" w:space="0" w:color="auto"/>
              <w:bottom w:val="nil"/>
              <w:right w:val="single" w:sz="8" w:space="0" w:color="auto"/>
            </w:tcBorders>
            <w:shd w:val="clear" w:color="auto" w:fill="FFFFFF"/>
            <w:vAlign w:val="center"/>
            <w:hideMark/>
          </w:tcPr>
          <w:p>
            <w:pPr>
              <w:spacing w:before="0" w:after="0"/>
              <w:jc w:val="center"/>
              <w:rPr>
                <w:b/>
                <w:bCs/>
                <w:noProof/>
                <w:sz w:val="16"/>
                <w:szCs w:val="16"/>
              </w:rPr>
            </w:pPr>
            <w:r>
              <w:rPr>
                <w:b/>
                <w:noProof/>
                <w:sz w:val="16"/>
              </w:rPr>
              <w:t>ÉTATS MEMBRES</w:t>
            </w:r>
          </w:p>
        </w:tc>
        <w:tc>
          <w:tcPr>
            <w:tcW w:w="880" w:type="dxa"/>
            <w:tcBorders>
              <w:top w:val="single" w:sz="8" w:space="0" w:color="auto"/>
              <w:left w:val="nil"/>
              <w:bottom w:val="nil"/>
              <w:right w:val="single" w:sz="8" w:space="0" w:color="auto"/>
            </w:tcBorders>
            <w:shd w:val="clear" w:color="auto" w:fill="FFFFFF"/>
            <w:vAlign w:val="center"/>
            <w:hideMark/>
          </w:tcPr>
          <w:p>
            <w:pPr>
              <w:spacing w:before="0" w:after="0"/>
              <w:jc w:val="center"/>
              <w:rPr>
                <w:b/>
                <w:bCs/>
                <w:noProof/>
                <w:sz w:val="16"/>
                <w:szCs w:val="16"/>
              </w:rPr>
            </w:pPr>
            <w:r>
              <w:rPr>
                <w:b/>
                <w:noProof/>
                <w:sz w:val="16"/>
              </w:rPr>
              <w:t>Clé 10</w:t>
            </w:r>
            <w:r>
              <w:rPr>
                <w:b/>
                <w:noProof/>
                <w:sz w:val="16"/>
                <w:vertAlign w:val="superscript"/>
              </w:rPr>
              <w:t>e</w:t>
            </w:r>
            <w:r>
              <w:rPr>
                <w:b/>
                <w:noProof/>
                <w:sz w:val="16"/>
              </w:rPr>
              <w:t xml:space="preserve"> FED </w:t>
            </w:r>
          </w:p>
        </w:tc>
        <w:tc>
          <w:tcPr>
            <w:tcW w:w="940" w:type="dxa"/>
            <w:tcBorders>
              <w:top w:val="single" w:sz="8" w:space="0" w:color="auto"/>
              <w:left w:val="nil"/>
              <w:bottom w:val="nil"/>
              <w:right w:val="single" w:sz="8" w:space="0" w:color="auto"/>
            </w:tcBorders>
            <w:shd w:val="clear" w:color="auto" w:fill="FFFFFF"/>
            <w:vAlign w:val="center"/>
            <w:hideMark/>
          </w:tcPr>
          <w:p>
            <w:pPr>
              <w:spacing w:before="0" w:after="0"/>
              <w:jc w:val="center"/>
              <w:rPr>
                <w:b/>
                <w:bCs/>
                <w:noProof/>
                <w:sz w:val="16"/>
                <w:szCs w:val="16"/>
              </w:rPr>
            </w:pPr>
            <w:r>
              <w:rPr>
                <w:b/>
                <w:noProof/>
                <w:sz w:val="16"/>
              </w:rPr>
              <w:t>Clé 11</w:t>
            </w:r>
            <w:r>
              <w:rPr>
                <w:b/>
                <w:noProof/>
                <w:sz w:val="16"/>
                <w:vertAlign w:val="superscript"/>
              </w:rPr>
              <w:t>e</w:t>
            </w:r>
            <w:r>
              <w:rPr>
                <w:b/>
                <w:noProof/>
                <w:sz w:val="16"/>
              </w:rPr>
              <w:t xml:space="preserve"> FED  </w:t>
            </w:r>
          </w:p>
        </w:tc>
        <w:tc>
          <w:tcPr>
            <w:tcW w:w="3280" w:type="dxa"/>
            <w:gridSpan w:val="3"/>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noProof/>
                <w:sz w:val="16"/>
              </w:rPr>
              <w:t>2016</w:t>
            </w:r>
          </w:p>
        </w:tc>
        <w:tc>
          <w:tcPr>
            <w:tcW w:w="3460" w:type="dxa"/>
            <w:gridSpan w:val="3"/>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noProof/>
                <w:sz w:val="16"/>
              </w:rPr>
              <w:t>2017</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noProof/>
                <w:sz w:val="16"/>
              </w:rPr>
              <w:t>2018</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noProof/>
                <w:sz w:val="16"/>
              </w:rPr>
              <w:t>2019</w:t>
            </w:r>
          </w:p>
        </w:tc>
      </w:tr>
      <w:tr>
        <w:trPr>
          <w:trHeight w:val="270"/>
        </w:trPr>
        <w:tc>
          <w:tcPr>
            <w:tcW w:w="1860" w:type="dxa"/>
            <w:tcBorders>
              <w:top w:val="nil"/>
              <w:left w:val="single" w:sz="8" w:space="0" w:color="auto"/>
              <w:bottom w:val="nil"/>
              <w:right w:val="single" w:sz="8" w:space="0" w:color="auto"/>
            </w:tcBorders>
            <w:shd w:val="clear" w:color="auto" w:fill="FFFFFF"/>
            <w:vAlign w:val="center"/>
            <w:hideMark/>
          </w:tcPr>
          <w:p>
            <w:pPr>
              <w:spacing w:before="0" w:after="0"/>
              <w:jc w:val="center"/>
              <w:rPr>
                <w:b/>
                <w:bCs/>
                <w:noProof/>
                <w:sz w:val="16"/>
                <w:szCs w:val="16"/>
              </w:rPr>
            </w:pPr>
            <w:r>
              <w:rPr>
                <w:b/>
                <w:noProof/>
                <w:sz w:val="16"/>
              </w:rPr>
              <w:t> </w:t>
            </w:r>
          </w:p>
        </w:tc>
        <w:tc>
          <w:tcPr>
            <w:tcW w:w="880" w:type="dxa"/>
            <w:tcBorders>
              <w:top w:val="dashed" w:sz="4" w:space="0" w:color="auto"/>
              <w:left w:val="nil"/>
              <w:bottom w:val="single" w:sz="4"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w:t>
            </w:r>
          </w:p>
        </w:tc>
        <w:tc>
          <w:tcPr>
            <w:tcW w:w="940" w:type="dxa"/>
            <w:tcBorders>
              <w:top w:val="dashed" w:sz="4" w:space="0" w:color="auto"/>
              <w:left w:val="nil"/>
              <w:bottom w:val="single" w:sz="4"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w:t>
            </w:r>
          </w:p>
        </w:tc>
        <w:tc>
          <w:tcPr>
            <w:tcW w:w="1113" w:type="dxa"/>
            <w:tcBorders>
              <w:top w:val="nil"/>
              <w:left w:val="nil"/>
              <w:bottom w:val="single" w:sz="8" w:space="0" w:color="auto"/>
              <w:right w:val="nil"/>
            </w:tcBorders>
            <w:shd w:val="clear" w:color="auto" w:fill="FFFFFF"/>
            <w:noWrap/>
            <w:vAlign w:val="center"/>
            <w:hideMark/>
          </w:tcPr>
          <w:p>
            <w:pPr>
              <w:spacing w:before="0" w:after="0"/>
              <w:jc w:val="center"/>
              <w:rPr>
                <w:b/>
                <w:bCs/>
                <w:noProof/>
                <w:sz w:val="16"/>
                <w:szCs w:val="16"/>
              </w:rPr>
            </w:pPr>
            <w:r>
              <w:rPr>
                <w:b/>
                <w:noProof/>
                <w:sz w:val="16"/>
              </w:rPr>
              <w:t>Mécanisme de transition</w:t>
            </w:r>
          </w:p>
        </w:tc>
        <w:tc>
          <w:tcPr>
            <w:tcW w:w="1047" w:type="dxa"/>
            <w:tcBorders>
              <w:top w:val="nil"/>
              <w:left w:val="single" w:sz="8" w:space="0" w:color="auto"/>
              <w:bottom w:val="single" w:sz="8" w:space="0" w:color="auto"/>
              <w:right w:val="single" w:sz="4" w:space="0" w:color="auto"/>
            </w:tcBorders>
            <w:shd w:val="clear" w:color="auto" w:fill="FFFFFF"/>
            <w:noWrap/>
            <w:vAlign w:val="center"/>
            <w:hideMark/>
          </w:tcPr>
          <w:p>
            <w:pPr>
              <w:spacing w:before="0" w:after="0"/>
              <w:jc w:val="center"/>
              <w:rPr>
                <w:b/>
                <w:bCs/>
                <w:noProof/>
                <w:sz w:val="16"/>
                <w:szCs w:val="16"/>
              </w:rPr>
            </w:pPr>
            <w:r>
              <w:rPr>
                <w:b/>
                <w:noProof/>
                <w:sz w:val="16"/>
              </w:rPr>
              <w:t>COM 10</w:t>
            </w:r>
            <w:r>
              <w:rPr>
                <w:b/>
                <w:noProof/>
                <w:sz w:val="16"/>
                <w:vertAlign w:val="superscript"/>
              </w:rPr>
              <w:t>e</w:t>
            </w:r>
          </w:p>
        </w:tc>
        <w:tc>
          <w:tcPr>
            <w:tcW w:w="1120"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BEI 10</w:t>
            </w:r>
            <w:r>
              <w:rPr>
                <w:b/>
                <w:noProof/>
                <w:sz w:val="16"/>
                <w:vertAlign w:val="superscript"/>
              </w:rPr>
              <w:t>e</w:t>
            </w:r>
          </w:p>
        </w:tc>
        <w:tc>
          <w:tcPr>
            <w:tcW w:w="1065" w:type="dxa"/>
            <w:tcBorders>
              <w:top w:val="nil"/>
              <w:left w:val="nil"/>
              <w:bottom w:val="single" w:sz="8" w:space="0" w:color="auto"/>
              <w:right w:val="nil"/>
            </w:tcBorders>
            <w:shd w:val="clear" w:color="auto" w:fill="FFFFFF"/>
            <w:noWrap/>
            <w:vAlign w:val="center"/>
            <w:hideMark/>
          </w:tcPr>
          <w:p>
            <w:pPr>
              <w:spacing w:before="0" w:after="0"/>
              <w:jc w:val="center"/>
              <w:rPr>
                <w:b/>
                <w:bCs/>
                <w:noProof/>
                <w:sz w:val="16"/>
                <w:szCs w:val="16"/>
              </w:rPr>
            </w:pPr>
            <w:r>
              <w:rPr>
                <w:b/>
                <w:noProof/>
                <w:sz w:val="16"/>
              </w:rPr>
              <w:t>COM 10</w:t>
            </w:r>
            <w:r>
              <w:rPr>
                <w:b/>
                <w:noProof/>
                <w:sz w:val="16"/>
                <w:vertAlign w:val="superscript"/>
              </w:rPr>
              <w:t>e</w:t>
            </w:r>
          </w:p>
        </w:tc>
        <w:tc>
          <w:tcPr>
            <w:tcW w:w="1256" w:type="dxa"/>
            <w:tcBorders>
              <w:top w:val="nil"/>
              <w:left w:val="single" w:sz="4" w:space="0" w:color="auto"/>
              <w:bottom w:val="single" w:sz="8" w:space="0" w:color="auto"/>
              <w:right w:val="single" w:sz="4" w:space="0" w:color="auto"/>
            </w:tcBorders>
            <w:shd w:val="clear" w:color="auto" w:fill="FFFFFF"/>
            <w:vAlign w:val="center"/>
            <w:hideMark/>
          </w:tcPr>
          <w:p>
            <w:pPr>
              <w:spacing w:before="0" w:after="0"/>
              <w:jc w:val="center"/>
              <w:rPr>
                <w:b/>
                <w:bCs/>
                <w:noProof/>
                <w:sz w:val="16"/>
                <w:szCs w:val="16"/>
              </w:rPr>
            </w:pPr>
            <w:r>
              <w:rPr>
                <w:b/>
                <w:noProof/>
                <w:sz w:val="16"/>
              </w:rPr>
              <w:t>COM 11</w:t>
            </w:r>
            <w:r>
              <w:rPr>
                <w:b/>
                <w:noProof/>
                <w:sz w:val="16"/>
                <w:vertAlign w:val="superscript"/>
              </w:rPr>
              <w:t>e</w:t>
            </w:r>
          </w:p>
        </w:tc>
        <w:tc>
          <w:tcPr>
            <w:tcW w:w="1139"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BEI 10</w:t>
            </w:r>
            <w:r>
              <w:rPr>
                <w:b/>
                <w:noProof/>
                <w:sz w:val="16"/>
                <w:vertAlign w:val="superscript"/>
              </w:rPr>
              <w:t>e</w:t>
            </w:r>
          </w:p>
        </w:tc>
        <w:tc>
          <w:tcPr>
            <w:tcW w:w="1072" w:type="dxa"/>
            <w:tcBorders>
              <w:top w:val="nil"/>
              <w:left w:val="nil"/>
              <w:bottom w:val="single" w:sz="8" w:space="0" w:color="auto"/>
              <w:right w:val="single" w:sz="4" w:space="0" w:color="auto"/>
            </w:tcBorders>
            <w:shd w:val="clear" w:color="auto" w:fill="FFFFFF"/>
            <w:noWrap/>
            <w:vAlign w:val="center"/>
            <w:hideMark/>
          </w:tcPr>
          <w:p>
            <w:pPr>
              <w:spacing w:before="0" w:after="0"/>
              <w:jc w:val="center"/>
              <w:rPr>
                <w:b/>
                <w:bCs/>
                <w:noProof/>
                <w:sz w:val="16"/>
                <w:szCs w:val="16"/>
              </w:rPr>
            </w:pPr>
            <w:r>
              <w:rPr>
                <w:b/>
                <w:noProof/>
                <w:sz w:val="16"/>
              </w:rPr>
              <w:t>COM 11</w:t>
            </w:r>
            <w:r>
              <w:rPr>
                <w:b/>
                <w:noProof/>
                <w:sz w:val="16"/>
                <w:vertAlign w:val="superscript"/>
              </w:rPr>
              <w:t>e</w:t>
            </w:r>
          </w:p>
        </w:tc>
        <w:tc>
          <w:tcPr>
            <w:tcW w:w="1148"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BEI 10</w:t>
            </w:r>
            <w:r>
              <w:rPr>
                <w:b/>
                <w:noProof/>
                <w:sz w:val="16"/>
                <w:vertAlign w:val="superscript"/>
              </w:rPr>
              <w:t>e</w:t>
            </w:r>
          </w:p>
        </w:tc>
        <w:tc>
          <w:tcPr>
            <w:tcW w:w="1072" w:type="dxa"/>
            <w:tcBorders>
              <w:top w:val="nil"/>
              <w:left w:val="nil"/>
              <w:bottom w:val="single" w:sz="8" w:space="0" w:color="auto"/>
              <w:right w:val="single" w:sz="4" w:space="0" w:color="auto"/>
            </w:tcBorders>
            <w:shd w:val="clear" w:color="auto" w:fill="FFFFFF"/>
            <w:noWrap/>
            <w:vAlign w:val="center"/>
            <w:hideMark/>
          </w:tcPr>
          <w:p>
            <w:pPr>
              <w:spacing w:before="0" w:after="0"/>
              <w:jc w:val="center"/>
              <w:rPr>
                <w:b/>
                <w:bCs/>
                <w:noProof/>
                <w:sz w:val="16"/>
                <w:szCs w:val="16"/>
              </w:rPr>
            </w:pPr>
            <w:r>
              <w:rPr>
                <w:b/>
                <w:noProof/>
                <w:sz w:val="16"/>
              </w:rPr>
              <w:t>COM 11</w:t>
            </w:r>
            <w:r>
              <w:rPr>
                <w:b/>
                <w:noProof/>
                <w:sz w:val="16"/>
                <w:vertAlign w:val="superscript"/>
              </w:rPr>
              <w:t>e</w:t>
            </w:r>
          </w:p>
        </w:tc>
        <w:tc>
          <w:tcPr>
            <w:tcW w:w="1148"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BEI 10</w:t>
            </w:r>
            <w:r>
              <w:rPr>
                <w:b/>
                <w:noProof/>
                <w:sz w:val="16"/>
                <w:vertAlign w:val="superscript"/>
              </w:rPr>
              <w:t>e</w:t>
            </w:r>
          </w:p>
        </w:tc>
      </w:tr>
      <w:tr>
        <w:trPr>
          <w:trHeight w:val="255"/>
        </w:trPr>
        <w:tc>
          <w:tcPr>
            <w:tcW w:w="1860" w:type="dxa"/>
            <w:tcBorders>
              <w:top w:val="single" w:sz="4" w:space="0" w:color="auto"/>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AUTRICHE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2,41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2,39757</w:t>
            </w:r>
          </w:p>
        </w:tc>
        <w:tc>
          <w:tcPr>
            <w:tcW w:w="1113" w:type="dxa"/>
            <w:shd w:val="clear" w:color="auto" w:fill="FFFFFF"/>
            <w:noWrap/>
            <w:vAlign w:val="bottom"/>
            <w:hideMark/>
          </w:tcPr>
          <w:p>
            <w:pPr>
              <w:spacing w:before="0" w:after="0"/>
              <w:jc w:val="right"/>
              <w:rPr>
                <w:noProof/>
                <w:sz w:val="14"/>
                <w:szCs w:val="14"/>
              </w:rPr>
            </w:pPr>
            <w:r>
              <w:rPr>
                <w:noProof/>
                <w:sz w:val="14"/>
              </w:rPr>
              <w:t>-3 366 234,92</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83 145 000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3 615 000</w:t>
            </w:r>
          </w:p>
        </w:tc>
        <w:tc>
          <w:tcPr>
            <w:tcW w:w="1065" w:type="dxa"/>
            <w:shd w:val="clear" w:color="auto" w:fill="FFFFFF"/>
            <w:noWrap/>
            <w:vAlign w:val="bottom"/>
            <w:hideMark/>
          </w:tcPr>
          <w:p>
            <w:pPr>
              <w:spacing w:before="0" w:after="0"/>
              <w:jc w:val="right"/>
              <w:rPr>
                <w:noProof/>
                <w:sz w:val="14"/>
                <w:szCs w:val="14"/>
              </w:rPr>
            </w:pPr>
            <w:r>
              <w:rPr>
                <w:noProof/>
                <w:sz w:val="14"/>
              </w:rPr>
              <w:t>43 940 782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50 989 865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97 101 585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99 499 155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7 230 000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BELGIQUE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3,53</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3,24927</w:t>
            </w:r>
          </w:p>
        </w:tc>
        <w:tc>
          <w:tcPr>
            <w:tcW w:w="1113" w:type="dxa"/>
            <w:shd w:val="clear" w:color="auto" w:fill="FFFFFF"/>
            <w:noWrap/>
            <w:vAlign w:val="bottom"/>
            <w:hideMark/>
          </w:tcPr>
          <w:p>
            <w:pPr>
              <w:spacing w:before="0" w:after="0"/>
              <w:jc w:val="right"/>
              <w:rPr>
                <w:noProof/>
                <w:sz w:val="14"/>
                <w:szCs w:val="14"/>
              </w:rPr>
            </w:pPr>
            <w:r>
              <w:rPr>
                <w:noProof/>
                <w:sz w:val="14"/>
              </w:rPr>
              <w:t>-5 470 131,74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121 785 000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5 295 000</w:t>
            </w:r>
          </w:p>
        </w:tc>
        <w:tc>
          <w:tcPr>
            <w:tcW w:w="1065" w:type="dxa"/>
            <w:shd w:val="clear" w:color="auto" w:fill="FFFFFF"/>
            <w:noWrap/>
            <w:vAlign w:val="bottom"/>
            <w:hideMark/>
          </w:tcPr>
          <w:p>
            <w:pPr>
              <w:spacing w:before="0" w:after="0"/>
              <w:jc w:val="right"/>
              <w:rPr>
                <w:noProof/>
                <w:sz w:val="14"/>
                <w:szCs w:val="14"/>
              </w:rPr>
            </w:pPr>
            <w:r>
              <w:rPr>
                <w:noProof/>
                <w:sz w:val="14"/>
              </w:rPr>
              <w:t>64 361 394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69 103 234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7 060 000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131 595 435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7 060 000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134 844 705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10 590 000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BULGARIE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0,14</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0,21853</w:t>
            </w:r>
          </w:p>
        </w:tc>
        <w:tc>
          <w:tcPr>
            <w:tcW w:w="1113" w:type="dxa"/>
            <w:shd w:val="clear" w:color="auto" w:fill="FFFFFF"/>
            <w:noWrap/>
            <w:vAlign w:val="bottom"/>
            <w:hideMark/>
          </w:tcPr>
          <w:p>
            <w:pPr>
              <w:spacing w:before="0" w:after="0"/>
              <w:jc w:val="right"/>
              <w:rPr>
                <w:noProof/>
                <w:sz w:val="14"/>
                <w:szCs w:val="14"/>
              </w:rPr>
            </w:pPr>
            <w:r>
              <w:rPr>
                <w:noProof/>
                <w:sz w:val="14"/>
              </w:rPr>
              <w:t>1 963 637,04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4 830 000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210 000</w:t>
            </w:r>
          </w:p>
        </w:tc>
        <w:tc>
          <w:tcPr>
            <w:tcW w:w="1065" w:type="dxa"/>
            <w:shd w:val="clear" w:color="auto" w:fill="FFFFFF"/>
            <w:noWrap/>
            <w:vAlign w:val="bottom"/>
            <w:hideMark/>
          </w:tcPr>
          <w:p>
            <w:pPr>
              <w:spacing w:before="0" w:after="0"/>
              <w:jc w:val="right"/>
              <w:rPr>
                <w:noProof/>
                <w:sz w:val="14"/>
                <w:szCs w:val="14"/>
              </w:rPr>
            </w:pPr>
            <w:r>
              <w:rPr>
                <w:noProof/>
                <w:sz w:val="14"/>
              </w:rPr>
              <w:t>2 552 577</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4 647 545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8 850 465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9 068 995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420 000</w:t>
            </w:r>
          </w:p>
        </w:tc>
      </w:tr>
      <w:tr>
        <w:trPr>
          <w:trHeight w:val="323"/>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CHYPRE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0,09</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0,11162</w:t>
            </w:r>
          </w:p>
        </w:tc>
        <w:tc>
          <w:tcPr>
            <w:tcW w:w="1113" w:type="dxa"/>
            <w:shd w:val="clear" w:color="auto" w:fill="FFFFFF"/>
            <w:noWrap/>
            <w:vAlign w:val="bottom"/>
            <w:hideMark/>
          </w:tcPr>
          <w:p>
            <w:pPr>
              <w:spacing w:before="0" w:after="0"/>
              <w:jc w:val="right"/>
              <w:rPr>
                <w:noProof/>
                <w:sz w:val="14"/>
                <w:szCs w:val="14"/>
              </w:rPr>
            </w:pPr>
            <w:r>
              <w:rPr>
                <w:noProof/>
                <w:sz w:val="14"/>
              </w:rPr>
              <w:t>1 262 338,09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3 105 000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135 000</w:t>
            </w:r>
          </w:p>
        </w:tc>
        <w:tc>
          <w:tcPr>
            <w:tcW w:w="1065" w:type="dxa"/>
            <w:shd w:val="clear" w:color="auto" w:fill="FFFFFF"/>
            <w:noWrap/>
            <w:vAlign w:val="bottom"/>
            <w:hideMark/>
          </w:tcPr>
          <w:p>
            <w:pPr>
              <w:spacing w:before="0" w:after="0"/>
              <w:jc w:val="right"/>
              <w:rPr>
                <w:noProof/>
                <w:sz w:val="14"/>
                <w:szCs w:val="14"/>
              </w:rPr>
            </w:pPr>
            <w:r>
              <w:rPr>
                <w:noProof/>
                <w:sz w:val="14"/>
              </w:rPr>
              <w:t>1 640 942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2 373 857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4 520 610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4 632 230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270 000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left="142" w:firstLineChars="11" w:firstLine="18"/>
              <w:jc w:val="left"/>
              <w:rPr>
                <w:noProof/>
                <w:sz w:val="16"/>
                <w:szCs w:val="16"/>
              </w:rPr>
            </w:pPr>
            <w:r>
              <w:rPr>
                <w:noProof/>
                <w:sz w:val="16"/>
              </w:rPr>
              <w:t>RÉPUBLIQUE TCHÈQUE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0,51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0,79745</w:t>
            </w:r>
          </w:p>
        </w:tc>
        <w:tc>
          <w:tcPr>
            <w:tcW w:w="1113" w:type="dxa"/>
            <w:shd w:val="clear" w:color="auto" w:fill="FFFFFF"/>
            <w:noWrap/>
            <w:vAlign w:val="bottom"/>
            <w:hideMark/>
          </w:tcPr>
          <w:p>
            <w:pPr>
              <w:spacing w:before="0" w:after="0"/>
              <w:jc w:val="right"/>
              <w:rPr>
                <w:noProof/>
                <w:sz w:val="14"/>
                <w:szCs w:val="14"/>
              </w:rPr>
            </w:pPr>
            <w:r>
              <w:rPr>
                <w:noProof/>
                <w:sz w:val="14"/>
              </w:rPr>
              <w:t>7 153 249,20</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17 595 000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765 000</w:t>
            </w:r>
          </w:p>
        </w:tc>
        <w:tc>
          <w:tcPr>
            <w:tcW w:w="1065" w:type="dxa"/>
            <w:shd w:val="clear" w:color="auto" w:fill="FFFFFF"/>
            <w:noWrap/>
            <w:vAlign w:val="bottom"/>
            <w:hideMark/>
          </w:tcPr>
          <w:p>
            <w:pPr>
              <w:spacing w:before="0" w:after="0"/>
              <w:jc w:val="right"/>
              <w:rPr>
                <w:noProof/>
                <w:sz w:val="14"/>
                <w:szCs w:val="14"/>
              </w:rPr>
            </w:pPr>
            <w:r>
              <w:rPr>
                <w:noProof/>
                <w:sz w:val="14"/>
              </w:rPr>
              <w:t>9 298 672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16 959 617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1 020 000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32 296 725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1 020 000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33 094 175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1 530 000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DANEMARK</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2,00</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1,98045</w:t>
            </w:r>
          </w:p>
        </w:tc>
        <w:tc>
          <w:tcPr>
            <w:tcW w:w="1113" w:type="dxa"/>
            <w:shd w:val="clear" w:color="auto" w:fill="FFFFFF"/>
            <w:noWrap/>
            <w:vAlign w:val="bottom"/>
            <w:hideMark/>
          </w:tcPr>
          <w:p>
            <w:pPr>
              <w:spacing w:before="0" w:after="0"/>
              <w:jc w:val="right"/>
              <w:rPr>
                <w:noProof/>
                <w:sz w:val="14"/>
                <w:szCs w:val="14"/>
              </w:rPr>
            </w:pPr>
            <w:r>
              <w:rPr>
                <w:noProof/>
                <w:sz w:val="14"/>
              </w:rPr>
              <w:t>-1 963 637,04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69 000 000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3 000 000</w:t>
            </w:r>
          </w:p>
        </w:tc>
        <w:tc>
          <w:tcPr>
            <w:tcW w:w="1065" w:type="dxa"/>
            <w:shd w:val="clear" w:color="auto" w:fill="FFFFFF"/>
            <w:noWrap/>
            <w:vAlign w:val="bottom"/>
            <w:hideMark/>
          </w:tcPr>
          <w:p>
            <w:pPr>
              <w:spacing w:before="0" w:after="0"/>
              <w:jc w:val="right"/>
              <w:rPr>
                <w:noProof/>
                <w:sz w:val="14"/>
                <w:szCs w:val="14"/>
              </w:rPr>
            </w:pPr>
            <w:r>
              <w:rPr>
                <w:noProof/>
                <w:sz w:val="14"/>
              </w:rPr>
              <w:t>36 465 379</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42 118 845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80 208 225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82 188 675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6 000 000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ESTONIE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0,08635</w:t>
            </w:r>
          </w:p>
        </w:tc>
        <w:tc>
          <w:tcPr>
            <w:tcW w:w="1113" w:type="dxa"/>
            <w:shd w:val="clear" w:color="auto" w:fill="FFFFFF"/>
            <w:noWrap/>
            <w:vAlign w:val="bottom"/>
            <w:hideMark/>
          </w:tcPr>
          <w:p>
            <w:pPr>
              <w:spacing w:before="0" w:after="0"/>
              <w:jc w:val="right"/>
              <w:rPr>
                <w:noProof/>
                <w:sz w:val="14"/>
                <w:szCs w:val="14"/>
              </w:rPr>
            </w:pPr>
            <w:r>
              <w:rPr>
                <w:noProof/>
                <w:sz w:val="14"/>
              </w:rPr>
              <w:t>701 298,94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1 725 000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75 000</w:t>
            </w:r>
          </w:p>
        </w:tc>
        <w:tc>
          <w:tcPr>
            <w:tcW w:w="1065" w:type="dxa"/>
            <w:shd w:val="clear" w:color="auto" w:fill="FFFFFF"/>
            <w:noWrap/>
            <w:vAlign w:val="bottom"/>
            <w:hideMark/>
          </w:tcPr>
          <w:p>
            <w:pPr>
              <w:spacing w:before="0" w:after="0"/>
              <w:jc w:val="right"/>
              <w:rPr>
                <w:noProof/>
                <w:sz w:val="14"/>
                <w:szCs w:val="14"/>
              </w:rPr>
            </w:pPr>
            <w:r>
              <w:rPr>
                <w:noProof/>
                <w:sz w:val="14"/>
              </w:rPr>
              <w:t>911 634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1 836 432</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3 497 175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3 583 525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FINLANDE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1,47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1,50909</w:t>
            </w:r>
          </w:p>
        </w:tc>
        <w:tc>
          <w:tcPr>
            <w:tcW w:w="1113" w:type="dxa"/>
            <w:shd w:val="clear" w:color="auto" w:fill="FFFFFF"/>
            <w:noWrap/>
            <w:vAlign w:val="bottom"/>
            <w:hideMark/>
          </w:tcPr>
          <w:p>
            <w:pPr>
              <w:spacing w:before="0" w:after="0"/>
              <w:jc w:val="right"/>
              <w:rPr>
                <w:noProof/>
                <w:sz w:val="14"/>
                <w:szCs w:val="14"/>
              </w:rPr>
            </w:pPr>
            <w:r>
              <w:rPr>
                <w:noProof/>
                <w:sz w:val="14"/>
              </w:rPr>
              <w:t>-140 259,79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50 715 000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2 205 000</w:t>
            </w:r>
          </w:p>
        </w:tc>
        <w:tc>
          <w:tcPr>
            <w:tcW w:w="1065" w:type="dxa"/>
            <w:shd w:val="clear" w:color="auto" w:fill="FFFFFF"/>
            <w:noWrap/>
            <w:vAlign w:val="bottom"/>
            <w:hideMark/>
          </w:tcPr>
          <w:p>
            <w:pPr>
              <w:spacing w:before="0" w:after="0"/>
              <w:jc w:val="right"/>
              <w:rPr>
                <w:noProof/>
                <w:sz w:val="14"/>
                <w:szCs w:val="14"/>
              </w:rPr>
            </w:pPr>
            <w:r>
              <w:rPr>
                <w:noProof/>
                <w:sz w:val="14"/>
              </w:rPr>
              <w:t>26 802 054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32 094 285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61 118 145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62 627 235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4 410 000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FRANCE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19,55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17,81269</w:t>
            </w:r>
          </w:p>
        </w:tc>
        <w:tc>
          <w:tcPr>
            <w:tcW w:w="1113" w:type="dxa"/>
            <w:shd w:val="clear" w:color="auto" w:fill="FFFFFF"/>
            <w:noWrap/>
            <w:vAlign w:val="bottom"/>
            <w:hideMark/>
          </w:tcPr>
          <w:p>
            <w:pPr>
              <w:spacing w:before="0" w:after="0"/>
              <w:jc w:val="right"/>
              <w:rPr>
                <w:noProof/>
                <w:sz w:val="14"/>
                <w:szCs w:val="14"/>
              </w:rPr>
            </w:pPr>
            <w:r>
              <w:rPr>
                <w:noProof/>
                <w:sz w:val="14"/>
              </w:rPr>
              <w:t>-66 623 399,41</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674 475 000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29 325 000</w:t>
            </w:r>
          </w:p>
        </w:tc>
        <w:tc>
          <w:tcPr>
            <w:tcW w:w="1065" w:type="dxa"/>
            <w:shd w:val="clear" w:color="auto" w:fill="FFFFFF"/>
            <w:noWrap/>
            <w:vAlign w:val="bottom"/>
            <w:hideMark/>
          </w:tcPr>
          <w:p>
            <w:pPr>
              <w:spacing w:before="0" w:after="0"/>
              <w:jc w:val="right"/>
              <w:rPr>
                <w:noProof/>
                <w:sz w:val="14"/>
                <w:szCs w:val="14"/>
              </w:rPr>
            </w:pPr>
            <w:r>
              <w:rPr>
                <w:noProof/>
                <w:sz w:val="14"/>
              </w:rPr>
              <w:t>356 449 082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378 828 007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39 100 000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721 413 945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39 100 000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739 226 635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58 650 000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ALLEMAGNE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20,50</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20,57980</w:t>
            </w:r>
          </w:p>
        </w:tc>
        <w:tc>
          <w:tcPr>
            <w:tcW w:w="1113" w:type="dxa"/>
            <w:shd w:val="clear" w:color="auto" w:fill="FFFFFF"/>
            <w:noWrap/>
            <w:vAlign w:val="bottom"/>
            <w:hideMark/>
          </w:tcPr>
          <w:p>
            <w:pPr>
              <w:spacing w:before="0" w:after="0"/>
              <w:jc w:val="right"/>
              <w:rPr>
                <w:noProof/>
                <w:sz w:val="14"/>
                <w:szCs w:val="14"/>
              </w:rPr>
            </w:pPr>
            <w:r>
              <w:rPr>
                <w:noProof/>
                <w:sz w:val="14"/>
              </w:rPr>
              <w:t>-40 114 299,44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707 250 000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30 750 000</w:t>
            </w:r>
          </w:p>
        </w:tc>
        <w:tc>
          <w:tcPr>
            <w:tcW w:w="1065" w:type="dxa"/>
            <w:shd w:val="clear" w:color="auto" w:fill="FFFFFF"/>
            <w:noWrap/>
            <w:vAlign w:val="bottom"/>
            <w:hideMark/>
          </w:tcPr>
          <w:p>
            <w:pPr>
              <w:spacing w:before="0" w:after="0"/>
              <w:jc w:val="right"/>
              <w:rPr>
                <w:noProof/>
                <w:sz w:val="14"/>
                <w:szCs w:val="14"/>
              </w:rPr>
            </w:pPr>
            <w:r>
              <w:rPr>
                <w:noProof/>
                <w:sz w:val="14"/>
              </w:rPr>
              <w:t>373 770 137</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437 676 994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41 000 000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833 481 900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41 000 000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854 061 700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61 500 000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GRÈCE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1,47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1,50735</w:t>
            </w:r>
          </w:p>
        </w:tc>
        <w:tc>
          <w:tcPr>
            <w:tcW w:w="1113" w:type="dxa"/>
            <w:shd w:val="clear" w:color="auto" w:fill="FFFFFF"/>
            <w:noWrap/>
            <w:vAlign w:val="bottom"/>
            <w:hideMark/>
          </w:tcPr>
          <w:p>
            <w:pPr>
              <w:spacing w:before="0" w:after="0"/>
              <w:jc w:val="right"/>
              <w:rPr>
                <w:noProof/>
                <w:sz w:val="14"/>
                <w:szCs w:val="14"/>
              </w:rPr>
            </w:pPr>
            <w:r>
              <w:rPr>
                <w:noProof/>
                <w:sz w:val="14"/>
              </w:rPr>
              <w:t>3 085 715,34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50 715 000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2 205 000</w:t>
            </w:r>
          </w:p>
        </w:tc>
        <w:tc>
          <w:tcPr>
            <w:tcW w:w="1065" w:type="dxa"/>
            <w:shd w:val="clear" w:color="auto" w:fill="FFFFFF"/>
            <w:noWrap/>
            <w:vAlign w:val="bottom"/>
            <w:hideMark/>
          </w:tcPr>
          <w:p>
            <w:pPr>
              <w:spacing w:before="0" w:after="0"/>
              <w:jc w:val="right"/>
              <w:rPr>
                <w:noProof/>
                <w:sz w:val="14"/>
                <w:szCs w:val="14"/>
              </w:rPr>
            </w:pPr>
            <w:r>
              <w:rPr>
                <w:noProof/>
                <w:sz w:val="14"/>
              </w:rPr>
              <w:t>26 802 054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32 057 280</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61 047 675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62 555 025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4 410 000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HONGRIE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0,55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0,61456</w:t>
            </w:r>
          </w:p>
        </w:tc>
        <w:tc>
          <w:tcPr>
            <w:tcW w:w="1113" w:type="dxa"/>
            <w:shd w:val="clear" w:color="auto" w:fill="FFFFFF"/>
            <w:noWrap/>
            <w:vAlign w:val="bottom"/>
            <w:hideMark/>
          </w:tcPr>
          <w:p>
            <w:pPr>
              <w:spacing w:before="0" w:after="0"/>
              <w:jc w:val="right"/>
              <w:rPr>
                <w:noProof/>
                <w:sz w:val="14"/>
                <w:szCs w:val="14"/>
              </w:rPr>
            </w:pPr>
            <w:r>
              <w:rPr>
                <w:noProof/>
                <w:sz w:val="14"/>
              </w:rPr>
              <w:t>7 714 288,35</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18 975 000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825 000</w:t>
            </w:r>
          </w:p>
        </w:tc>
        <w:tc>
          <w:tcPr>
            <w:tcW w:w="1065" w:type="dxa"/>
            <w:shd w:val="clear" w:color="auto" w:fill="FFFFFF"/>
            <w:noWrap/>
            <w:vAlign w:val="bottom"/>
            <w:hideMark/>
          </w:tcPr>
          <w:p>
            <w:pPr>
              <w:spacing w:before="0" w:after="0"/>
              <w:jc w:val="right"/>
              <w:rPr>
                <w:noProof/>
                <w:sz w:val="14"/>
                <w:szCs w:val="14"/>
              </w:rPr>
            </w:pPr>
            <w:r>
              <w:rPr>
                <w:noProof/>
                <w:sz w:val="14"/>
              </w:rPr>
              <w:t>10 027 979</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13 070 038</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24 889 680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25 504 240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1 650 000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IRLANDE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0,91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0,94006</w:t>
            </w:r>
          </w:p>
        </w:tc>
        <w:tc>
          <w:tcPr>
            <w:tcW w:w="1113" w:type="dxa"/>
            <w:shd w:val="clear" w:color="auto" w:fill="FFFFFF"/>
            <w:noWrap/>
            <w:vAlign w:val="bottom"/>
            <w:hideMark/>
          </w:tcPr>
          <w:p>
            <w:pPr>
              <w:spacing w:before="0" w:after="0"/>
              <w:jc w:val="right"/>
              <w:rPr>
                <w:noProof/>
                <w:sz w:val="14"/>
                <w:szCs w:val="14"/>
              </w:rPr>
            </w:pPr>
            <w:r>
              <w:rPr>
                <w:noProof/>
                <w:sz w:val="14"/>
              </w:rPr>
              <w:t>4 067 533,86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31 395 000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1 365 000</w:t>
            </w:r>
          </w:p>
        </w:tc>
        <w:tc>
          <w:tcPr>
            <w:tcW w:w="1065" w:type="dxa"/>
            <w:shd w:val="clear" w:color="auto" w:fill="FFFFFF"/>
            <w:noWrap/>
            <w:vAlign w:val="bottom"/>
            <w:hideMark/>
          </w:tcPr>
          <w:p>
            <w:pPr>
              <w:spacing w:before="0" w:after="0"/>
              <w:jc w:val="right"/>
              <w:rPr>
                <w:noProof/>
                <w:sz w:val="14"/>
                <w:szCs w:val="14"/>
              </w:rPr>
            </w:pPr>
            <w:r>
              <w:rPr>
                <w:noProof/>
                <w:sz w:val="14"/>
              </w:rPr>
              <w:t>16 591 748</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19 992 548</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38 072 430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39 012 490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2 730 000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ITALIE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12,86</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12,53009</w:t>
            </w:r>
          </w:p>
        </w:tc>
        <w:tc>
          <w:tcPr>
            <w:tcW w:w="1113" w:type="dxa"/>
            <w:shd w:val="clear" w:color="auto" w:fill="FFFFFF"/>
            <w:noWrap/>
            <w:vAlign w:val="bottom"/>
            <w:hideMark/>
          </w:tcPr>
          <w:p>
            <w:pPr>
              <w:spacing w:before="0" w:after="0"/>
              <w:jc w:val="right"/>
              <w:rPr>
                <w:noProof/>
                <w:sz w:val="14"/>
                <w:szCs w:val="14"/>
              </w:rPr>
            </w:pPr>
            <w:r>
              <w:rPr>
                <w:noProof/>
                <w:sz w:val="14"/>
              </w:rPr>
              <w:t>4 488 313,22</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443 670 000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19 290 000</w:t>
            </w:r>
          </w:p>
        </w:tc>
        <w:tc>
          <w:tcPr>
            <w:tcW w:w="1065" w:type="dxa"/>
            <w:shd w:val="clear" w:color="auto" w:fill="FFFFFF"/>
            <w:noWrap/>
            <w:vAlign w:val="bottom"/>
            <w:hideMark/>
          </w:tcPr>
          <w:p>
            <w:pPr>
              <w:spacing w:before="0" w:after="0"/>
              <w:jc w:val="right"/>
              <w:rPr>
                <w:noProof/>
                <w:sz w:val="14"/>
                <w:szCs w:val="14"/>
              </w:rPr>
            </w:pPr>
            <w:r>
              <w:rPr>
                <w:noProof/>
                <w:sz w:val="14"/>
              </w:rPr>
              <w:t>234 472 389</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266 481 313</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25 720 000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507 468 645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25 720 000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519 998 735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38 580 000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LETTONIE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0,11612</w:t>
            </w:r>
          </w:p>
        </w:tc>
        <w:tc>
          <w:tcPr>
            <w:tcW w:w="1113" w:type="dxa"/>
            <w:shd w:val="clear" w:color="auto" w:fill="FFFFFF"/>
            <w:noWrap/>
            <w:vAlign w:val="bottom"/>
            <w:hideMark/>
          </w:tcPr>
          <w:p>
            <w:pPr>
              <w:spacing w:before="0" w:after="0"/>
              <w:jc w:val="right"/>
              <w:rPr>
                <w:noProof/>
                <w:sz w:val="14"/>
                <w:szCs w:val="14"/>
              </w:rPr>
            </w:pPr>
            <w:r>
              <w:rPr>
                <w:noProof/>
                <w:sz w:val="14"/>
              </w:rPr>
              <w:t>981 818,52</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2 415 000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105 000</w:t>
            </w:r>
          </w:p>
        </w:tc>
        <w:tc>
          <w:tcPr>
            <w:tcW w:w="1065" w:type="dxa"/>
            <w:shd w:val="clear" w:color="auto" w:fill="FFFFFF"/>
            <w:noWrap/>
            <w:vAlign w:val="bottom"/>
            <w:hideMark/>
          </w:tcPr>
          <w:p>
            <w:pPr>
              <w:spacing w:before="0" w:after="0"/>
              <w:jc w:val="right"/>
              <w:rPr>
                <w:noProof/>
                <w:sz w:val="14"/>
                <w:szCs w:val="14"/>
              </w:rPr>
            </w:pPr>
            <w:r>
              <w:rPr>
                <w:noProof/>
                <w:sz w:val="14"/>
              </w:rPr>
              <w:t>1 276 288</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2 469 560</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4 702 860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4 818 980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LITUANIE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0,12</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0,18077</w:t>
            </w:r>
          </w:p>
        </w:tc>
        <w:tc>
          <w:tcPr>
            <w:tcW w:w="1113" w:type="dxa"/>
            <w:shd w:val="clear" w:color="auto" w:fill="FFFFFF"/>
            <w:noWrap/>
            <w:vAlign w:val="bottom"/>
            <w:hideMark/>
          </w:tcPr>
          <w:p>
            <w:pPr>
              <w:spacing w:before="0" w:after="0"/>
              <w:jc w:val="right"/>
              <w:rPr>
                <w:noProof/>
                <w:sz w:val="14"/>
                <w:szCs w:val="14"/>
              </w:rPr>
            </w:pPr>
            <w:r>
              <w:rPr>
                <w:noProof/>
                <w:sz w:val="14"/>
              </w:rPr>
              <w:t>1 683 117,46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4 140 000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180 000</w:t>
            </w:r>
          </w:p>
        </w:tc>
        <w:tc>
          <w:tcPr>
            <w:tcW w:w="1065" w:type="dxa"/>
            <w:shd w:val="clear" w:color="auto" w:fill="FFFFFF"/>
            <w:noWrap/>
            <w:vAlign w:val="bottom"/>
            <w:hideMark/>
          </w:tcPr>
          <w:p>
            <w:pPr>
              <w:spacing w:before="0" w:after="0"/>
              <w:jc w:val="right"/>
              <w:rPr>
                <w:noProof/>
                <w:sz w:val="14"/>
                <w:szCs w:val="14"/>
              </w:rPr>
            </w:pPr>
            <w:r>
              <w:rPr>
                <w:noProof/>
                <w:sz w:val="14"/>
              </w:rPr>
              <w:t>2 187 923</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3 844 492</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7 321 185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7 501 955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360 000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LUXEMBOURG</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0,25509</w:t>
            </w:r>
          </w:p>
        </w:tc>
        <w:tc>
          <w:tcPr>
            <w:tcW w:w="1113" w:type="dxa"/>
            <w:shd w:val="clear" w:color="auto" w:fill="FFFFFF"/>
            <w:noWrap/>
            <w:vAlign w:val="bottom"/>
            <w:hideMark/>
          </w:tcPr>
          <w:p>
            <w:pPr>
              <w:spacing w:before="0" w:after="0"/>
              <w:jc w:val="right"/>
              <w:rPr>
                <w:noProof/>
                <w:sz w:val="14"/>
                <w:szCs w:val="14"/>
              </w:rPr>
            </w:pPr>
            <w:r>
              <w:rPr>
                <w:noProof/>
                <w:sz w:val="14"/>
              </w:rPr>
              <w:t>-280 519,58</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9 315 000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405 000</w:t>
            </w:r>
          </w:p>
        </w:tc>
        <w:tc>
          <w:tcPr>
            <w:tcW w:w="1065" w:type="dxa"/>
            <w:shd w:val="clear" w:color="auto" w:fill="FFFFFF"/>
            <w:noWrap/>
            <w:vAlign w:val="bottom"/>
            <w:hideMark/>
          </w:tcPr>
          <w:p>
            <w:pPr>
              <w:spacing w:before="0" w:after="0"/>
              <w:jc w:val="right"/>
              <w:rPr>
                <w:noProof/>
                <w:sz w:val="14"/>
                <w:szCs w:val="14"/>
              </w:rPr>
            </w:pPr>
            <w:r>
              <w:rPr>
                <w:noProof/>
                <w:sz w:val="14"/>
              </w:rPr>
              <w:t>4 922 826</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5 425 078</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10 331 145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10 586 235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810 000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MALTE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0,03</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0,03801</w:t>
            </w:r>
          </w:p>
        </w:tc>
        <w:tc>
          <w:tcPr>
            <w:tcW w:w="1113" w:type="dxa"/>
            <w:shd w:val="clear" w:color="auto" w:fill="FFFFFF"/>
            <w:noWrap/>
            <w:vAlign w:val="bottom"/>
            <w:hideMark/>
          </w:tcPr>
          <w:p>
            <w:pPr>
              <w:spacing w:before="0" w:after="0"/>
              <w:jc w:val="right"/>
              <w:rPr>
                <w:noProof/>
                <w:sz w:val="14"/>
                <w:szCs w:val="14"/>
              </w:rPr>
            </w:pPr>
            <w:r>
              <w:rPr>
                <w:noProof/>
                <w:sz w:val="14"/>
              </w:rPr>
              <w:t>420 779,36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1 035 000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45 000</w:t>
            </w:r>
          </w:p>
        </w:tc>
        <w:tc>
          <w:tcPr>
            <w:tcW w:w="1065" w:type="dxa"/>
            <w:shd w:val="clear" w:color="auto" w:fill="FFFFFF"/>
            <w:noWrap/>
            <w:vAlign w:val="bottom"/>
            <w:hideMark/>
          </w:tcPr>
          <w:p>
            <w:pPr>
              <w:spacing w:before="0" w:after="0"/>
              <w:jc w:val="right"/>
              <w:rPr>
                <w:noProof/>
                <w:sz w:val="14"/>
                <w:szCs w:val="14"/>
              </w:rPr>
            </w:pPr>
            <w:r>
              <w:rPr>
                <w:noProof/>
                <w:sz w:val="14"/>
              </w:rPr>
              <w:t>546 981</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808 370</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1 539 405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1 577 415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90 000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PAYS-BAS</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4,85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4,77678</w:t>
            </w:r>
          </w:p>
        </w:tc>
        <w:tc>
          <w:tcPr>
            <w:tcW w:w="1113" w:type="dxa"/>
            <w:shd w:val="clear" w:color="auto" w:fill="FFFFFF"/>
            <w:noWrap/>
            <w:vAlign w:val="bottom"/>
            <w:hideMark/>
          </w:tcPr>
          <w:p>
            <w:pPr>
              <w:spacing w:before="0" w:after="0"/>
              <w:jc w:val="right"/>
              <w:rPr>
                <w:noProof/>
                <w:sz w:val="14"/>
                <w:szCs w:val="14"/>
              </w:rPr>
            </w:pPr>
            <w:r>
              <w:rPr>
                <w:noProof/>
                <w:sz w:val="14"/>
              </w:rPr>
              <w:t>-5 189 612,16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167 325 000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7 275 000</w:t>
            </w:r>
          </w:p>
        </w:tc>
        <w:tc>
          <w:tcPr>
            <w:tcW w:w="1065" w:type="dxa"/>
            <w:shd w:val="clear" w:color="auto" w:fill="FFFFFF"/>
            <w:noWrap/>
            <w:vAlign w:val="bottom"/>
            <w:hideMark/>
          </w:tcPr>
          <w:p>
            <w:pPr>
              <w:spacing w:before="0" w:after="0"/>
              <w:jc w:val="right"/>
              <w:rPr>
                <w:noProof/>
                <w:sz w:val="14"/>
                <w:szCs w:val="14"/>
              </w:rPr>
            </w:pPr>
            <w:r>
              <w:rPr>
                <w:noProof/>
                <w:sz w:val="14"/>
              </w:rPr>
              <w:t>88 428 545</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101 589 263</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9 700 000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193 459 590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9 700 000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198 236 370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14 550 000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POLOGNE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1,30</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2,00734</w:t>
            </w:r>
          </w:p>
        </w:tc>
        <w:tc>
          <w:tcPr>
            <w:tcW w:w="1113" w:type="dxa"/>
            <w:shd w:val="clear" w:color="auto" w:fill="FFFFFF"/>
            <w:noWrap/>
            <w:vAlign w:val="bottom"/>
            <w:hideMark/>
          </w:tcPr>
          <w:p>
            <w:pPr>
              <w:spacing w:before="0" w:after="0"/>
              <w:jc w:val="right"/>
              <w:rPr>
                <w:noProof/>
                <w:sz w:val="14"/>
                <w:szCs w:val="14"/>
              </w:rPr>
            </w:pPr>
            <w:r>
              <w:rPr>
                <w:noProof/>
                <w:sz w:val="14"/>
              </w:rPr>
              <w:t>18 233 772,47</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44 850 000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1 950 000</w:t>
            </w:r>
          </w:p>
        </w:tc>
        <w:tc>
          <w:tcPr>
            <w:tcW w:w="1065" w:type="dxa"/>
            <w:shd w:val="clear" w:color="auto" w:fill="FFFFFF"/>
            <w:noWrap/>
            <w:vAlign w:val="bottom"/>
            <w:hideMark/>
          </w:tcPr>
          <w:p>
            <w:pPr>
              <w:spacing w:before="0" w:after="0"/>
              <w:jc w:val="right"/>
              <w:rPr>
                <w:noProof/>
                <w:sz w:val="14"/>
                <w:szCs w:val="14"/>
              </w:rPr>
            </w:pPr>
            <w:r>
              <w:rPr>
                <w:noProof/>
                <w:sz w:val="14"/>
              </w:rPr>
              <w:t>23 702 497</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42 690 723</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2 600 000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81 297 270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2 600 000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83 304 610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3 900 000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PORTUGAL</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1,15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1,19679</w:t>
            </w:r>
          </w:p>
        </w:tc>
        <w:tc>
          <w:tcPr>
            <w:tcW w:w="1113" w:type="dxa"/>
            <w:shd w:val="clear" w:color="auto" w:fill="FFFFFF"/>
            <w:noWrap/>
            <w:vAlign w:val="bottom"/>
            <w:hideMark/>
          </w:tcPr>
          <w:p>
            <w:pPr>
              <w:spacing w:before="0" w:after="0"/>
              <w:jc w:val="right"/>
              <w:rPr>
                <w:noProof/>
                <w:sz w:val="14"/>
                <w:szCs w:val="14"/>
              </w:rPr>
            </w:pPr>
            <w:r>
              <w:rPr>
                <w:noProof/>
                <w:sz w:val="14"/>
              </w:rPr>
              <w:t>2 524 676,19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39 675 000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1 725 000</w:t>
            </w:r>
          </w:p>
        </w:tc>
        <w:tc>
          <w:tcPr>
            <w:tcW w:w="1065" w:type="dxa"/>
            <w:shd w:val="clear" w:color="auto" w:fill="FFFFFF"/>
            <w:noWrap/>
            <w:vAlign w:val="bottom"/>
            <w:hideMark/>
          </w:tcPr>
          <w:p>
            <w:pPr>
              <w:spacing w:before="0" w:after="0"/>
              <w:jc w:val="right"/>
              <w:rPr>
                <w:noProof/>
                <w:sz w:val="14"/>
                <w:szCs w:val="14"/>
              </w:rPr>
            </w:pPr>
            <w:r>
              <w:rPr>
                <w:noProof/>
                <w:sz w:val="14"/>
              </w:rPr>
              <w:t>20 967 593</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25 452 504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2 300 000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48 469 995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2 300 000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49 666 785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3 450 000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ROUMANIE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0,37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0,71815</w:t>
            </w:r>
          </w:p>
        </w:tc>
        <w:tc>
          <w:tcPr>
            <w:tcW w:w="1113" w:type="dxa"/>
            <w:shd w:val="clear" w:color="auto" w:fill="FFFFFF"/>
            <w:noWrap/>
            <w:vAlign w:val="bottom"/>
            <w:hideMark/>
          </w:tcPr>
          <w:p>
            <w:pPr>
              <w:spacing w:before="0" w:after="0"/>
              <w:jc w:val="right"/>
              <w:rPr>
                <w:noProof/>
                <w:sz w:val="14"/>
                <w:szCs w:val="14"/>
              </w:rPr>
            </w:pPr>
            <w:r>
              <w:rPr>
                <w:noProof/>
                <w:sz w:val="14"/>
              </w:rPr>
              <w:t>5 189 612,16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12 765 000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555 000</w:t>
            </w:r>
          </w:p>
        </w:tc>
        <w:tc>
          <w:tcPr>
            <w:tcW w:w="1065" w:type="dxa"/>
            <w:shd w:val="clear" w:color="auto" w:fill="FFFFFF"/>
            <w:noWrap/>
            <w:vAlign w:val="bottom"/>
            <w:hideMark/>
          </w:tcPr>
          <w:p>
            <w:pPr>
              <w:spacing w:before="0" w:after="0"/>
              <w:jc w:val="right"/>
              <w:rPr>
                <w:noProof/>
                <w:sz w:val="14"/>
                <w:szCs w:val="14"/>
              </w:rPr>
            </w:pPr>
            <w:r>
              <w:rPr>
                <w:noProof/>
                <w:sz w:val="14"/>
              </w:rPr>
              <w:t>6 746 095</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15 273 119</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29 085 075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29 803 225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1 110 000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SLOVAQUIE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0,37616</w:t>
            </w:r>
          </w:p>
        </w:tc>
        <w:tc>
          <w:tcPr>
            <w:tcW w:w="1113" w:type="dxa"/>
            <w:shd w:val="clear" w:color="auto" w:fill="FFFFFF"/>
            <w:noWrap/>
            <w:vAlign w:val="bottom"/>
            <w:hideMark/>
          </w:tcPr>
          <w:p>
            <w:pPr>
              <w:spacing w:before="0" w:after="0"/>
              <w:jc w:val="right"/>
              <w:rPr>
                <w:noProof/>
                <w:sz w:val="14"/>
                <w:szCs w:val="14"/>
              </w:rPr>
            </w:pPr>
            <w:r>
              <w:rPr>
                <w:noProof/>
                <w:sz w:val="14"/>
              </w:rPr>
              <w:t>2 945 455,55</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7 245 000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315 000</w:t>
            </w:r>
          </w:p>
        </w:tc>
        <w:tc>
          <w:tcPr>
            <w:tcW w:w="1065" w:type="dxa"/>
            <w:shd w:val="clear" w:color="auto" w:fill="FFFFFF"/>
            <w:noWrap/>
            <w:vAlign w:val="bottom"/>
            <w:hideMark/>
          </w:tcPr>
          <w:p>
            <w:pPr>
              <w:spacing w:before="0" w:after="0"/>
              <w:jc w:val="right"/>
              <w:rPr>
                <w:noProof/>
                <w:sz w:val="14"/>
                <w:szCs w:val="14"/>
              </w:rPr>
            </w:pPr>
            <w:r>
              <w:rPr>
                <w:noProof/>
                <w:sz w:val="14"/>
              </w:rPr>
              <w:t>3 828 865</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7 999 911</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15 234 480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15 610 640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630 000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SLOVÉNIE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0,18</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0,22452</w:t>
            </w:r>
          </w:p>
        </w:tc>
        <w:tc>
          <w:tcPr>
            <w:tcW w:w="1113" w:type="dxa"/>
            <w:shd w:val="clear" w:color="auto" w:fill="FFFFFF"/>
            <w:noWrap/>
            <w:vAlign w:val="bottom"/>
            <w:hideMark/>
          </w:tcPr>
          <w:p>
            <w:pPr>
              <w:spacing w:before="0" w:after="0"/>
              <w:jc w:val="right"/>
              <w:rPr>
                <w:noProof/>
                <w:sz w:val="14"/>
                <w:szCs w:val="14"/>
              </w:rPr>
            </w:pPr>
            <w:r>
              <w:rPr>
                <w:noProof/>
                <w:sz w:val="14"/>
              </w:rPr>
              <w:t>2 524 676,19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6 210 000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270 000</w:t>
            </w:r>
          </w:p>
        </w:tc>
        <w:tc>
          <w:tcPr>
            <w:tcW w:w="1065" w:type="dxa"/>
            <w:shd w:val="clear" w:color="auto" w:fill="FFFFFF"/>
            <w:noWrap/>
            <w:vAlign w:val="bottom"/>
            <w:hideMark/>
          </w:tcPr>
          <w:p>
            <w:pPr>
              <w:spacing w:before="0" w:after="0"/>
              <w:jc w:val="right"/>
              <w:rPr>
                <w:noProof/>
                <w:sz w:val="14"/>
                <w:szCs w:val="14"/>
              </w:rPr>
            </w:pPr>
            <w:r>
              <w:rPr>
                <w:noProof/>
                <w:sz w:val="14"/>
              </w:rPr>
              <w:t>3 281 884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4 774 937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9 093 060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9 317 580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540 000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ESPAGNE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7,85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7,93248</w:t>
            </w:r>
          </w:p>
        </w:tc>
        <w:tc>
          <w:tcPr>
            <w:tcW w:w="1113" w:type="dxa"/>
            <w:shd w:val="clear" w:color="auto" w:fill="FFFFFF"/>
            <w:noWrap/>
            <w:vAlign w:val="bottom"/>
            <w:hideMark/>
          </w:tcPr>
          <w:p>
            <w:pPr>
              <w:spacing w:before="0" w:after="0"/>
              <w:jc w:val="right"/>
              <w:rPr>
                <w:noProof/>
                <w:sz w:val="14"/>
                <w:szCs w:val="14"/>
              </w:rPr>
            </w:pPr>
            <w:r>
              <w:rPr>
                <w:noProof/>
                <w:sz w:val="14"/>
              </w:rPr>
              <w:t>28 192 217,44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270 825 000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11 775 000</w:t>
            </w:r>
          </w:p>
        </w:tc>
        <w:tc>
          <w:tcPr>
            <w:tcW w:w="1065" w:type="dxa"/>
            <w:shd w:val="clear" w:color="auto" w:fill="FFFFFF"/>
            <w:noWrap/>
            <w:vAlign w:val="bottom"/>
            <w:hideMark/>
          </w:tcPr>
          <w:p>
            <w:pPr>
              <w:spacing w:before="0" w:after="0"/>
              <w:jc w:val="right"/>
              <w:rPr>
                <w:noProof/>
                <w:sz w:val="14"/>
                <w:szCs w:val="14"/>
              </w:rPr>
            </w:pPr>
            <w:r>
              <w:rPr>
                <w:noProof/>
                <w:sz w:val="14"/>
              </w:rPr>
              <w:t>143 126 614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168 702 514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15 700 000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321 265 440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15 700 000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329 197 920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23 550 000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SUÈDE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2,74</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2,93911</w:t>
            </w:r>
          </w:p>
        </w:tc>
        <w:tc>
          <w:tcPr>
            <w:tcW w:w="1113" w:type="dxa"/>
            <w:shd w:val="clear" w:color="auto" w:fill="FFFFFF"/>
            <w:noWrap/>
            <w:vAlign w:val="bottom"/>
            <w:hideMark/>
          </w:tcPr>
          <w:p>
            <w:pPr>
              <w:spacing w:before="0" w:after="0"/>
              <w:jc w:val="right"/>
              <w:rPr>
                <w:noProof/>
                <w:sz w:val="14"/>
                <w:szCs w:val="14"/>
              </w:rPr>
            </w:pPr>
            <w:r>
              <w:rPr>
                <w:noProof/>
                <w:sz w:val="14"/>
              </w:rPr>
              <w:t>140 259,79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94 530 000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4 110 000</w:t>
            </w:r>
          </w:p>
        </w:tc>
        <w:tc>
          <w:tcPr>
            <w:tcW w:w="1065" w:type="dxa"/>
            <w:shd w:val="clear" w:color="auto" w:fill="FFFFFF"/>
            <w:noWrap/>
            <w:vAlign w:val="bottom"/>
            <w:hideMark/>
          </w:tcPr>
          <w:p>
            <w:pPr>
              <w:spacing w:before="0" w:after="0"/>
              <w:jc w:val="right"/>
              <w:rPr>
                <w:noProof/>
                <w:sz w:val="14"/>
                <w:szCs w:val="14"/>
              </w:rPr>
            </w:pPr>
            <w:r>
              <w:rPr>
                <w:noProof/>
                <w:sz w:val="14"/>
              </w:rPr>
              <w:t>49 957 570</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62 506 965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5 480 000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119 033 955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5 480 000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121 973 065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8 220 000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ROYAUME-UNI</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14,82</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14,67862</w:t>
            </w:r>
          </w:p>
        </w:tc>
        <w:tc>
          <w:tcPr>
            <w:tcW w:w="1113" w:type="dxa"/>
            <w:shd w:val="clear" w:color="auto" w:fill="FFFFFF"/>
            <w:noWrap/>
            <w:vAlign w:val="bottom"/>
            <w:hideMark/>
          </w:tcPr>
          <w:p>
            <w:pPr>
              <w:spacing w:before="0" w:after="0"/>
              <w:jc w:val="right"/>
              <w:rPr>
                <w:noProof/>
                <w:sz w:val="14"/>
                <w:szCs w:val="14"/>
              </w:rPr>
            </w:pPr>
            <w:r>
              <w:rPr>
                <w:noProof/>
                <w:sz w:val="14"/>
              </w:rPr>
              <w:t>29 875 334,89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511 290 000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22 230 000</w:t>
            </w:r>
          </w:p>
        </w:tc>
        <w:tc>
          <w:tcPr>
            <w:tcW w:w="1065" w:type="dxa"/>
            <w:shd w:val="clear" w:color="auto" w:fill="FFFFFF"/>
            <w:noWrap/>
            <w:vAlign w:val="bottom"/>
            <w:hideMark/>
          </w:tcPr>
          <w:p>
            <w:pPr>
              <w:spacing w:before="0" w:after="0"/>
              <w:jc w:val="right"/>
              <w:rPr>
                <w:noProof/>
                <w:sz w:val="14"/>
                <w:szCs w:val="14"/>
              </w:rPr>
            </w:pPr>
            <w:r>
              <w:rPr>
                <w:noProof/>
                <w:sz w:val="14"/>
              </w:rPr>
              <w:t>270 208 460</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312 174 767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29 640 000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594 484 110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29 640 000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609 162 730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44 460 000</w:t>
            </w:r>
          </w:p>
        </w:tc>
      </w:tr>
      <w:tr>
        <w:trPr>
          <w:trHeight w:val="270"/>
        </w:trPr>
        <w:tc>
          <w:tcPr>
            <w:tcW w:w="1860" w:type="dxa"/>
            <w:tcBorders>
              <w:top w:val="single" w:sz="4" w:space="0" w:color="auto"/>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CROATIE</w:t>
            </w:r>
          </w:p>
        </w:tc>
        <w:tc>
          <w:tcPr>
            <w:tcW w:w="880" w:type="dxa"/>
            <w:tcBorders>
              <w:top w:val="single" w:sz="4" w:space="0" w:color="auto"/>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0,00</w:t>
            </w:r>
          </w:p>
        </w:tc>
        <w:tc>
          <w:tcPr>
            <w:tcW w:w="940" w:type="dxa"/>
            <w:tcBorders>
              <w:top w:val="single" w:sz="4" w:space="0" w:color="auto"/>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0,22518</w:t>
            </w:r>
          </w:p>
        </w:tc>
        <w:tc>
          <w:tcPr>
            <w:tcW w:w="1113" w:type="dxa"/>
            <w:tcBorders>
              <w:top w:val="single" w:sz="4" w:space="0" w:color="auto"/>
              <w:left w:val="nil"/>
              <w:bottom w:val="nil"/>
              <w:right w:val="nil"/>
            </w:tcBorders>
            <w:shd w:val="clear" w:color="auto" w:fill="FFFFFF"/>
            <w:noWrap/>
            <w:vAlign w:val="bottom"/>
            <w:hideMark/>
          </w:tcPr>
          <w:p>
            <w:pPr>
              <w:spacing w:before="0" w:after="0"/>
              <w:jc w:val="right"/>
              <w:rPr>
                <w:noProof/>
                <w:sz w:val="14"/>
                <w:szCs w:val="14"/>
              </w:rPr>
            </w:pPr>
            <w:r>
              <w:rPr>
                <w:noProof/>
                <w:sz w:val="14"/>
              </w:rPr>
              <w:t>0</w:t>
            </w:r>
          </w:p>
        </w:tc>
        <w:tc>
          <w:tcPr>
            <w:tcW w:w="1047" w:type="dxa"/>
            <w:tcBorders>
              <w:top w:val="single" w:sz="4" w:space="0" w:color="auto"/>
              <w:left w:val="single" w:sz="8" w:space="0" w:color="auto"/>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rPr>
              <w:t>0</w:t>
            </w:r>
          </w:p>
        </w:tc>
        <w:tc>
          <w:tcPr>
            <w:tcW w:w="1120"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0</w:t>
            </w:r>
          </w:p>
        </w:tc>
        <w:tc>
          <w:tcPr>
            <w:tcW w:w="1065" w:type="dxa"/>
            <w:tcBorders>
              <w:top w:val="single" w:sz="4" w:space="0" w:color="auto"/>
              <w:left w:val="nil"/>
              <w:bottom w:val="nil"/>
              <w:right w:val="nil"/>
            </w:tcBorders>
            <w:shd w:val="clear" w:color="auto" w:fill="FFFFFF"/>
            <w:noWrap/>
            <w:vAlign w:val="bottom"/>
            <w:hideMark/>
          </w:tcPr>
          <w:p>
            <w:pPr>
              <w:spacing w:before="0" w:after="0"/>
              <w:jc w:val="right"/>
              <w:rPr>
                <w:noProof/>
                <w:sz w:val="14"/>
                <w:szCs w:val="14"/>
              </w:rPr>
            </w:pPr>
            <w:r>
              <w:rPr>
                <w:noProof/>
                <w:sz w:val="14"/>
              </w:rPr>
              <w:t>0</w:t>
            </w:r>
          </w:p>
        </w:tc>
        <w:tc>
          <w:tcPr>
            <w:tcW w:w="1256"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rPr>
              <w:t>4 788 973</w:t>
            </w:r>
          </w:p>
        </w:tc>
        <w:tc>
          <w:tcPr>
            <w:tcW w:w="1139"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rPr>
              <w:t>9 119 790</w:t>
            </w:r>
          </w:p>
        </w:tc>
        <w:tc>
          <w:tcPr>
            <w:tcW w:w="1148"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rPr>
              <w:t>9 344 970</w:t>
            </w:r>
          </w:p>
        </w:tc>
        <w:tc>
          <w:tcPr>
            <w:tcW w:w="1148"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0</w:t>
            </w:r>
          </w:p>
        </w:tc>
      </w:tr>
      <w:tr>
        <w:trPr>
          <w:trHeight w:val="270"/>
        </w:trPr>
        <w:tc>
          <w:tcPr>
            <w:tcW w:w="1860" w:type="dxa"/>
            <w:tcBorders>
              <w:top w:val="single" w:sz="8" w:space="0" w:color="auto"/>
              <w:left w:val="single" w:sz="8" w:space="0" w:color="auto"/>
              <w:bottom w:val="single" w:sz="8" w:space="0" w:color="auto"/>
              <w:right w:val="single" w:sz="8" w:space="0" w:color="auto"/>
            </w:tcBorders>
            <w:shd w:val="clear" w:color="auto" w:fill="A6A6A6"/>
            <w:noWrap/>
            <w:vAlign w:val="center"/>
            <w:hideMark/>
          </w:tcPr>
          <w:p>
            <w:pPr>
              <w:spacing w:before="0" w:after="0"/>
              <w:jc w:val="left"/>
              <w:rPr>
                <w:b/>
                <w:bCs/>
                <w:noProof/>
                <w:sz w:val="16"/>
                <w:szCs w:val="16"/>
              </w:rPr>
            </w:pPr>
            <w:r>
              <w:rPr>
                <w:b/>
                <w:noProof/>
                <w:sz w:val="16"/>
              </w:rPr>
              <w:t>Total UE-28</w:t>
            </w:r>
          </w:p>
        </w:tc>
        <w:tc>
          <w:tcPr>
            <w:tcW w:w="880"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center"/>
              <w:rPr>
                <w:b/>
                <w:bCs/>
                <w:noProof/>
                <w:sz w:val="14"/>
                <w:szCs w:val="14"/>
              </w:rPr>
            </w:pPr>
            <w:r>
              <w:rPr>
                <w:b/>
                <w:noProof/>
                <w:sz w:val="14"/>
              </w:rPr>
              <w:t>100,00</w:t>
            </w:r>
          </w:p>
        </w:tc>
        <w:tc>
          <w:tcPr>
            <w:tcW w:w="940"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center"/>
              <w:rPr>
                <w:b/>
                <w:bCs/>
                <w:noProof/>
                <w:sz w:val="14"/>
                <w:szCs w:val="14"/>
              </w:rPr>
            </w:pPr>
            <w:r>
              <w:rPr>
                <w:b/>
                <w:noProof/>
                <w:sz w:val="14"/>
              </w:rPr>
              <w:t>100,00</w:t>
            </w:r>
          </w:p>
        </w:tc>
        <w:tc>
          <w:tcPr>
            <w:tcW w:w="1113" w:type="dxa"/>
            <w:tcBorders>
              <w:top w:val="single" w:sz="8" w:space="0" w:color="auto"/>
              <w:left w:val="nil"/>
              <w:bottom w:val="single" w:sz="8" w:space="0" w:color="auto"/>
              <w:right w:val="nil"/>
            </w:tcBorders>
            <w:shd w:val="clear" w:color="auto" w:fill="A6A6A6"/>
            <w:noWrap/>
            <w:vAlign w:val="center"/>
            <w:hideMark/>
          </w:tcPr>
          <w:p>
            <w:pPr>
              <w:spacing w:before="0" w:after="0"/>
              <w:jc w:val="right"/>
              <w:rPr>
                <w:b/>
                <w:bCs/>
                <w:noProof/>
                <w:sz w:val="14"/>
                <w:szCs w:val="14"/>
              </w:rPr>
            </w:pPr>
            <w:r>
              <w:rPr>
                <w:b/>
                <w:noProof/>
                <w:sz w:val="14"/>
              </w:rPr>
              <w:t>0</w:t>
            </w:r>
          </w:p>
        </w:tc>
        <w:tc>
          <w:tcPr>
            <w:tcW w:w="1047" w:type="dxa"/>
            <w:tcBorders>
              <w:top w:val="nil"/>
              <w:left w:val="single" w:sz="8" w:space="0" w:color="auto"/>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noProof/>
                <w:sz w:val="14"/>
              </w:rPr>
              <w:t>3 450 000 000</w:t>
            </w:r>
          </w:p>
        </w:tc>
        <w:tc>
          <w:tcPr>
            <w:tcW w:w="1120"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noProof/>
                <w:sz w:val="14"/>
              </w:rPr>
              <w:t>150 000 000</w:t>
            </w:r>
          </w:p>
        </w:tc>
        <w:tc>
          <w:tcPr>
            <w:tcW w:w="1065" w:type="dxa"/>
            <w:tcBorders>
              <w:top w:val="single" w:sz="8" w:space="0" w:color="auto"/>
              <w:left w:val="nil"/>
              <w:bottom w:val="single" w:sz="8" w:space="0" w:color="auto"/>
              <w:right w:val="nil"/>
            </w:tcBorders>
            <w:shd w:val="clear" w:color="auto" w:fill="A6A6A6"/>
            <w:noWrap/>
            <w:vAlign w:val="center"/>
            <w:hideMark/>
          </w:tcPr>
          <w:p>
            <w:pPr>
              <w:spacing w:before="0" w:after="0"/>
              <w:jc w:val="right"/>
              <w:rPr>
                <w:b/>
                <w:bCs/>
                <w:noProof/>
                <w:sz w:val="14"/>
                <w:szCs w:val="14"/>
              </w:rPr>
            </w:pPr>
            <w:r>
              <w:rPr>
                <w:b/>
                <w:noProof/>
                <w:sz w:val="14"/>
              </w:rPr>
              <w:t>1 823 268 963</w:t>
            </w:r>
          </w:p>
        </w:tc>
        <w:tc>
          <w:tcPr>
            <w:tcW w:w="1256" w:type="dxa"/>
            <w:tcBorders>
              <w:top w:val="nil"/>
              <w:left w:val="single" w:sz="4" w:space="0" w:color="auto"/>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noProof/>
                <w:sz w:val="14"/>
              </w:rPr>
              <w:t>2 126 731 037</w:t>
            </w:r>
          </w:p>
        </w:tc>
        <w:tc>
          <w:tcPr>
            <w:tcW w:w="1139"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noProof/>
                <w:sz w:val="14"/>
              </w:rPr>
              <w:t>200 000 000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noProof/>
                <w:sz w:val="14"/>
              </w:rPr>
              <w:t>4 050 000 000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noProof/>
                <w:sz w:val="14"/>
              </w:rPr>
              <w:t>200 000 000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noProof/>
                <w:sz w:val="14"/>
              </w:rPr>
              <w:t>4 150 000 000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noProof/>
                <w:sz w:val="14"/>
              </w:rPr>
              <w:t>300 000 000</w:t>
            </w:r>
          </w:p>
        </w:tc>
      </w:tr>
      <w:tr>
        <w:trPr>
          <w:trHeight w:val="270"/>
        </w:trPr>
        <w:tc>
          <w:tcPr>
            <w:tcW w:w="1860" w:type="dxa"/>
            <w:shd w:val="clear" w:color="auto" w:fill="FFFFFF"/>
            <w:noWrap/>
            <w:vAlign w:val="center"/>
            <w:hideMark/>
          </w:tcPr>
          <w:p>
            <w:pPr>
              <w:spacing w:before="0" w:after="0"/>
              <w:jc w:val="left"/>
              <w:rPr>
                <w:b/>
                <w:bCs/>
                <w:noProof/>
                <w:sz w:val="16"/>
                <w:szCs w:val="16"/>
              </w:rPr>
            </w:pPr>
            <w:r>
              <w:rPr>
                <w:b/>
                <w:noProof/>
                <w:sz w:val="16"/>
              </w:rPr>
              <w:t> </w:t>
            </w:r>
          </w:p>
        </w:tc>
        <w:tc>
          <w:tcPr>
            <w:tcW w:w="880" w:type="dxa"/>
            <w:shd w:val="clear" w:color="auto" w:fill="FFFFFF"/>
            <w:noWrap/>
            <w:vAlign w:val="center"/>
            <w:hideMark/>
          </w:tcPr>
          <w:p>
            <w:pPr>
              <w:spacing w:before="0" w:after="0"/>
              <w:jc w:val="center"/>
              <w:rPr>
                <w:b/>
                <w:bCs/>
                <w:noProof/>
                <w:sz w:val="14"/>
                <w:szCs w:val="14"/>
              </w:rPr>
            </w:pPr>
            <w:r>
              <w:rPr>
                <w:b/>
                <w:noProof/>
                <w:sz w:val="14"/>
              </w:rPr>
              <w:t> </w:t>
            </w:r>
          </w:p>
        </w:tc>
        <w:tc>
          <w:tcPr>
            <w:tcW w:w="940" w:type="dxa"/>
            <w:shd w:val="clear" w:color="auto" w:fill="FFFFFF"/>
            <w:noWrap/>
            <w:vAlign w:val="center"/>
            <w:hideMark/>
          </w:tcPr>
          <w:p>
            <w:pPr>
              <w:spacing w:before="0" w:after="0"/>
              <w:jc w:val="center"/>
              <w:rPr>
                <w:b/>
                <w:bCs/>
                <w:noProof/>
                <w:sz w:val="14"/>
                <w:szCs w:val="14"/>
              </w:rPr>
            </w:pPr>
            <w:r>
              <w:rPr>
                <w:b/>
                <w:noProof/>
                <w:sz w:val="14"/>
              </w:rPr>
              <w:t> </w:t>
            </w:r>
          </w:p>
        </w:tc>
        <w:tc>
          <w:tcPr>
            <w:tcW w:w="3280" w:type="dxa"/>
            <w:gridSpan w:val="3"/>
            <w:tcBorders>
              <w:top w:val="single" w:sz="8" w:space="0" w:color="auto"/>
              <w:left w:val="single" w:sz="8" w:space="0" w:color="auto"/>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noProof/>
                <w:sz w:val="14"/>
              </w:rPr>
              <w:t>3 600 000 000</w:t>
            </w:r>
          </w:p>
        </w:tc>
        <w:tc>
          <w:tcPr>
            <w:tcW w:w="3460" w:type="dxa"/>
            <w:gridSpan w:val="3"/>
            <w:tcBorders>
              <w:top w:val="single" w:sz="8" w:space="0" w:color="auto"/>
              <w:left w:val="nil"/>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noProof/>
                <w:sz w:val="14"/>
              </w:rPr>
              <w:t>4 150 000 000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noProof/>
                <w:sz w:val="14"/>
              </w:rPr>
              <w:t>4 250 000 000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noProof/>
                <w:sz w:val="14"/>
              </w:rPr>
              <w:t>4 450 000 000</w:t>
            </w:r>
          </w:p>
        </w:tc>
      </w:tr>
    </w:tbl>
    <w:p>
      <w:pPr>
        <w:rPr>
          <w:noProof/>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952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647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2">
    <w:p>
      <w:pPr>
        <w:pStyle w:val="FootnoteText"/>
      </w:pPr>
      <w:r>
        <w:rPr>
          <w:rStyle w:val="FootnoteReference"/>
        </w:rPr>
        <w:footnoteRef/>
      </w:r>
      <w:r>
        <w:tab/>
        <w:t>JO L 58 du 3.3.2015, p. 17.</w:t>
      </w:r>
    </w:p>
  </w:footnote>
  <w:footnote w:id="3">
    <w:p>
      <w:pPr>
        <w:pStyle w:val="FootnoteText"/>
      </w:pPr>
      <w:r>
        <w:rPr>
          <w:rStyle w:val="FootnoteReference"/>
        </w:rPr>
        <w:footnoteRef/>
      </w:r>
      <w:r>
        <w:tab/>
        <w:t>États d'Afrique, des Caraïbes et du Pacifique.</w:t>
      </w:r>
    </w:p>
  </w:footnote>
  <w:footnote w:id="4">
    <w:p>
      <w:pPr>
        <w:pStyle w:val="FootnoteText"/>
      </w:pPr>
      <w:r>
        <w:rPr>
          <w:rStyle w:val="FootnoteReference"/>
        </w:rPr>
        <w:footnoteRef/>
      </w:r>
      <w:r>
        <w:tab/>
        <w:t>Pays et territoires d’outre-mer.</w:t>
      </w:r>
    </w:p>
  </w:footnote>
  <w:footnote w:id="5">
    <w:p>
      <w:pPr>
        <w:pStyle w:val="FootnoteText"/>
      </w:pPr>
      <w:r>
        <w:rPr>
          <w:rStyle w:val="FootnoteReference"/>
        </w:rPr>
        <w:footnoteRef/>
      </w:r>
      <w:r>
        <w:tab/>
        <w:t>JO L 210 du 6.8.2013.</w:t>
      </w:r>
    </w:p>
  </w:footnote>
  <w:footnote w:id="6">
    <w:p>
      <w:pPr>
        <w:pStyle w:val="FootnoteText"/>
      </w:pPr>
      <w:r>
        <w:rPr>
          <w:rStyle w:val="FootnoteReference"/>
        </w:rPr>
        <w:footnoteRef/>
      </w:r>
      <w:r>
        <w:tab/>
        <w:t>JO L 58 du 3.3.2015. Règlement (UE) 2015/323 du Conseil du 2 mars 2015 portant règlement financier applicable au 11</w:t>
      </w:r>
      <w:r>
        <w:rPr>
          <w:vertAlign w:val="superscript"/>
        </w:rPr>
        <w:t>e</w:t>
      </w:r>
      <w:r>
        <w:t> Fonds européen de développement.</w:t>
      </w:r>
    </w:p>
  </w:footnote>
  <w:footnote w:id="7">
    <w:p>
      <w:pPr>
        <w:pStyle w:val="FootnoteText"/>
      </w:pPr>
      <w:r>
        <w:rPr>
          <w:rStyle w:val="FootnoteReference"/>
        </w:rPr>
        <w:footnoteRef/>
      </w:r>
      <w:r>
        <w:tab/>
        <w:t>Décision du Conseil du 10 novembre 2014 – document 14563/14 du Conseil.</w:t>
      </w:r>
    </w:p>
  </w:footnote>
  <w:footnote w:id="8">
    <w:p>
      <w:pPr>
        <w:pStyle w:val="FootnoteText"/>
      </w:pPr>
      <w:r>
        <w:rPr>
          <w:rStyle w:val="FootnoteReference"/>
        </w:rPr>
        <w:footnoteRef/>
      </w:r>
      <w:r>
        <w:tab/>
        <w:t>Décision du Conseil du 26 juin 2015 – document 10257/15 du Conseil.</w:t>
      </w:r>
    </w:p>
  </w:footnote>
  <w:footnote w:id="9">
    <w:p>
      <w:pPr>
        <w:pStyle w:val="FootnoteText"/>
      </w:pPr>
      <w:r>
        <w:rPr>
          <w:rStyle w:val="FootnoteReference"/>
        </w:rPr>
        <w:footnoteRef/>
      </w:r>
      <w:r>
        <w:tab/>
        <w:t>Engagements bruts, à savoir sans déduction des dégagements.</w:t>
      </w:r>
    </w:p>
  </w:footnote>
  <w:footnote w:id="10">
    <w:p>
      <w:pPr>
        <w:pStyle w:val="FootnoteText"/>
      </w:pPr>
      <w:r>
        <w:rPr>
          <w:rStyle w:val="FootnoteReference"/>
        </w:rPr>
        <w:footnoteRef/>
      </w:r>
      <w:r>
        <w:tab/>
        <w:t>Paiements bruts, à savoir sans déduction des recouvrements.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0623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8AE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18D2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1"/>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215A62252714AB696F28BF0AAF9ED4F"/>
    <w:docVar w:name="LW_CROSSREFERENCE" w:val="&lt;UNUSED&gt;"/>
    <w:docVar w:name="LW_DocType" w:val="NORMAL"/>
    <w:docVar w:name="LW_EMISSION" w:val="23.10.2015"/>
    <w:docVar w:name="LW_EMISSION_ISODATE" w:val="2015-10-23"/>
    <w:docVar w:name="LW_EMISSION_LOCATION" w:val="BRX"/>
    <w:docVar w:name="LW_EMISSION_PREFIX" w:val="Bruxelles, le "/>
    <w:docVar w:name="LW_EMISSION_SUFFIX" w:val=" "/>
    <w:docVar w:name="LW_ID_DOCTYPE_NONLW" w:val="CP-010"/>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23"/>
    <w:docVar w:name="LW_REF.INTERNE" w:val="&lt;UNUSED&gt;"/>
    <w:docVar w:name="LW_SOUS.TITRE.OBJ.CP" w:val="&lt;UNUSED&gt;"/>
    <w:docVar w:name="LW_SUPERTITRE" w:val="&lt;UNUSED&gt;"/>
    <w:docVar w:name="LW_TITRE.OBJ.CP" w:val="Fonds européen de développement (FED): prévisions d'engagements, de paiements et de contributions des États membres pour 2015, 2016, 2017, 2018 et 2019"/>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1"/>
      </w:numPr>
      <w:outlineLvl w:val="2"/>
    </w:pPr>
    <w:rPr>
      <w:bCs/>
      <w:i/>
    </w:rPr>
  </w:style>
  <w:style w:type="paragraph" w:styleId="Heading4">
    <w:name w:val="heading 4"/>
    <w:basedOn w:val="Normal"/>
    <w:next w:val="Text1"/>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character" w:styleId="Hyperlink">
    <w:name w:val="Hyperlink"/>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ind w:left="850"/>
    </w:pPr>
  </w:style>
  <w:style w:type="paragraph" w:styleId="TOC1">
    <w:name w:val="toc 1"/>
    <w:basedOn w:val="Normal"/>
    <w:next w:val="Normal"/>
    <w:autoRedefine/>
    <w:uiPriority w:val="39"/>
    <w:semiHidden/>
    <w:unhideWhenUsed/>
    <w:pPr>
      <w:tabs>
        <w:tab w:val="right" w:leader="dot" w:pos="9071"/>
      </w:tabs>
      <w:spacing w:before="60"/>
      <w:ind w:left="850" w:hanging="850"/>
      <w:jc w:val="left"/>
    </w:pPr>
  </w:style>
  <w:style w:type="paragraph" w:styleId="TOC2">
    <w:name w:val="toc 2"/>
    <w:basedOn w:val="Normal"/>
    <w:next w:val="Normal"/>
    <w:autoRedefine/>
    <w:uiPriority w:val="39"/>
    <w:semiHidden/>
    <w:unhideWhenUsed/>
    <w:pPr>
      <w:tabs>
        <w:tab w:val="right" w:leader="dot" w:pos="9071"/>
      </w:tabs>
      <w:spacing w:before="60"/>
      <w:ind w:left="850" w:hanging="850"/>
      <w:jc w:val="left"/>
    </w:pPr>
  </w:style>
  <w:style w:type="paragraph" w:styleId="TOC3">
    <w:name w:val="toc 3"/>
    <w:basedOn w:val="Normal"/>
    <w:next w:val="Normal"/>
    <w:autoRedefine/>
    <w:uiPriority w:val="39"/>
    <w:semiHidden/>
    <w:unhideWhenUsed/>
    <w:pPr>
      <w:tabs>
        <w:tab w:val="right" w:leader="dot" w:pos="9071"/>
      </w:tabs>
      <w:spacing w:before="60"/>
      <w:ind w:left="850" w:hanging="850"/>
      <w:jc w:val="left"/>
    </w:pPr>
  </w:style>
  <w:style w:type="paragraph" w:styleId="TOC4">
    <w:name w:val="toc 4"/>
    <w:basedOn w:val="Normal"/>
    <w:next w:val="Normal"/>
    <w:autoRedefine/>
    <w:uiPriority w:val="39"/>
    <w:semiHidden/>
    <w:unhideWhenUsed/>
    <w:pPr>
      <w:tabs>
        <w:tab w:val="right" w:leader="dot" w:pos="9071"/>
      </w:tabs>
      <w:spacing w:before="60"/>
      <w:ind w:left="850" w:hanging="850"/>
      <w:jc w:val="left"/>
    </w:pPr>
  </w:style>
  <w:style w:type="paragraph" w:styleId="TOC5">
    <w:name w:val="toc 5"/>
    <w:basedOn w:val="Normal"/>
    <w:next w:val="Normal"/>
    <w:autoRedefine/>
    <w:uiPriority w:val="39"/>
    <w:semiHidden/>
    <w:unhideWhenUsed/>
    <w:pPr>
      <w:tabs>
        <w:tab w:val="right" w:leader="dot" w:pos="9071"/>
      </w:tabs>
      <w:spacing w:before="300"/>
      <w:jc w:val="left"/>
    </w:pPr>
  </w:style>
  <w:style w:type="paragraph" w:styleId="TOC6">
    <w:name w:val="toc 6"/>
    <w:basedOn w:val="Normal"/>
    <w:next w:val="Normal"/>
    <w:autoRedefine/>
    <w:uiPriority w:val="39"/>
    <w:semiHidden/>
    <w:unhideWhenUsed/>
    <w:pPr>
      <w:tabs>
        <w:tab w:val="right" w:leader="dot" w:pos="9071"/>
      </w:tabs>
      <w:spacing w:before="240"/>
      <w:jc w:val="left"/>
    </w:pPr>
  </w:style>
  <w:style w:type="paragraph" w:styleId="TOC7">
    <w:name w:val="toc 7"/>
    <w:basedOn w:val="Normal"/>
    <w:next w:val="Normal"/>
    <w:autoRedefine/>
    <w:uiPriority w:val="39"/>
    <w:semiHidden/>
    <w:unhideWhenUsed/>
    <w:pPr>
      <w:tabs>
        <w:tab w:val="right" w:leader="dot" w:pos="9071"/>
      </w:tabs>
      <w:spacing w:before="180"/>
      <w:jc w:val="left"/>
    </w:pPr>
  </w:style>
  <w:style w:type="paragraph" w:styleId="TOC8">
    <w:name w:val="toc 8"/>
    <w:basedOn w:val="Normal"/>
    <w:next w:val="Normal"/>
    <w:autoRedefine/>
    <w:uiPriority w:val="39"/>
    <w:semiHidden/>
    <w:unhideWhenUsed/>
    <w:pPr>
      <w:tabs>
        <w:tab w:val="right" w:leader="dot" w:pos="9071"/>
      </w:tabs>
      <w:jc w:val="left"/>
    </w:pPr>
  </w:style>
  <w:style w:type="paragraph" w:styleId="TOC9">
    <w:name w:val="toc 9"/>
    <w:basedOn w:val="Normal"/>
    <w:next w:val="Normal"/>
    <w:autoRedefine/>
    <w:uiPriority w:val="39"/>
    <w:semiHidden/>
    <w:unhideWhenUsed/>
    <w:pPr>
      <w:tabs>
        <w:tab w:val="right" w:leader="dot" w:pos="9071"/>
      </w:tabs>
    </w:p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emiHidden/>
    <w:unhideWhenUsed/>
  </w:style>
  <w:style w:type="paragraph" w:styleId="ListBullet">
    <w:name w:val="List Bullet"/>
    <w:basedOn w:val="Normal"/>
    <w:semiHidden/>
    <w:unhideWhenUsed/>
    <w:pPr>
      <w:numPr>
        <w:numId w:val="2"/>
      </w:numPr>
      <w:contextualSpacing/>
    </w:pPr>
  </w:style>
  <w:style w:type="paragraph" w:styleId="ListNumber">
    <w:name w:val="List Number"/>
    <w:basedOn w:val="Normal"/>
    <w:semiHidden/>
    <w:unhideWhenUsed/>
    <w:pPr>
      <w:numPr>
        <w:numId w:val="3"/>
      </w:numPr>
      <w:contextualSpacing/>
    </w:pPr>
  </w:style>
  <w:style w:type="paragraph" w:styleId="ListBullet2">
    <w:name w:val="List Bullet 2"/>
    <w:basedOn w:val="Normal"/>
    <w:semiHidden/>
    <w:unhideWhenUsed/>
    <w:pPr>
      <w:numPr>
        <w:numId w:val="4"/>
      </w:numPr>
      <w:contextualSpacing/>
    </w:pPr>
  </w:style>
  <w:style w:type="paragraph" w:styleId="ListBullet3">
    <w:name w:val="List Bullet 3"/>
    <w:basedOn w:val="Normal"/>
    <w:semiHidden/>
    <w:unhideWhenUsed/>
    <w:pPr>
      <w:numPr>
        <w:numId w:val="5"/>
      </w:numPr>
      <w:contextualSpacing/>
    </w:pPr>
  </w:style>
  <w:style w:type="paragraph" w:styleId="ListBullet4">
    <w:name w:val="List Bullet 4"/>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fr-FR"/>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FR"/>
    </w:rPr>
  </w:style>
  <w:style w:type="paragraph" w:styleId="Revision">
    <w:name w:val="Revision"/>
    <w:uiPriority w:val="99"/>
    <w:semiHidden/>
    <w:rPr>
      <w:rFonts w:ascii="Times New Roman" w:eastAsia="Times New Roman" w:hAnsi="Times New Roman" w:cs="Times New Roman"/>
      <w:sz w:val="24"/>
      <w:szCs w:val="24"/>
    </w:r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TypedudocumentPagedecouverture">
    <w:name w:val="Type du document (Page de couverture)"/>
    <w:basedOn w:val="Typedudocument"/>
    <w:next w:val="TitreobjetPagedecouverture"/>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Titreobjet">
    <w:name w:val="Titre objet"/>
    <w:basedOn w:val="Normal"/>
    <w:next w:val="Sous-titreobjet"/>
    <w:pPr>
      <w:spacing w:before="360" w:after="360"/>
      <w:jc w:val="center"/>
    </w:pPr>
    <w:rPr>
      <w:b/>
    </w:rPr>
  </w:style>
  <w:style w:type="paragraph" w:customStyle="1" w:styleId="Datedadoption">
    <w:name w:val="Date d'adoption"/>
    <w:basedOn w:val="Normal"/>
    <w:next w:val="Titreobjet"/>
    <w:pPr>
      <w:spacing w:before="360" w:after="0"/>
      <w:jc w:val="center"/>
    </w:pPr>
    <w:rPr>
      <w:b/>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Titrearticle">
    <w:name w:val="Titre article"/>
    <w:basedOn w:val="Normal"/>
    <w:next w:val="Normal"/>
    <w:pPr>
      <w:keepNext/>
      <w:spacing w:before="360"/>
      <w:jc w:val="center"/>
    </w:pPr>
    <w:rPr>
      <w:i/>
    </w:r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ne">
    <w:name w:val="Référence interne"/>
    <w:basedOn w:val="Normal"/>
    <w:next w:val="Rfrenceinterinstitutionnelle"/>
    <w:pPr>
      <w:spacing w:before="0" w:after="0"/>
      <w:ind w:left="5103"/>
      <w:jc w:val="left"/>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Statut">
    <w:name w:val="Statut"/>
    <w:basedOn w:val="Normal"/>
    <w:next w:val="Typedudocument"/>
    <w:pPr>
      <w:spacing w:before="360" w:after="0"/>
      <w:jc w:val="center"/>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TitreobjetPagedecouverture">
    <w:name w:val="Titre objet (Page de couverture)"/>
    <w:basedOn w:val="Titreobjet"/>
    <w:next w:val="Sous-titreobjetPagedecouverture"/>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before="0" w:after="240"/>
      <w:jc w:val="center"/>
    </w:pPr>
    <w:rPr>
      <w:b/>
    </w:rPr>
  </w:style>
  <w:style w:type="paragraph" w:customStyle="1" w:styleId="Accompagnant">
    <w:name w:val="Accompagnant"/>
    <w:basedOn w:val="Normal"/>
    <w:next w:val="Typeacteprincipal"/>
    <w:pPr>
      <w:spacing w:before="0" w:after="240"/>
      <w:jc w:val="center"/>
    </w:pPr>
    <w:rPr>
      <w:b/>
      <w:i/>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1"/>
      </w:numPr>
      <w:outlineLvl w:val="2"/>
    </w:pPr>
    <w:rPr>
      <w:bCs/>
      <w:i/>
    </w:rPr>
  </w:style>
  <w:style w:type="paragraph" w:styleId="Heading4">
    <w:name w:val="heading 4"/>
    <w:basedOn w:val="Normal"/>
    <w:next w:val="Text1"/>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character" w:styleId="Hyperlink">
    <w:name w:val="Hyperlink"/>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ind w:left="850"/>
    </w:pPr>
  </w:style>
  <w:style w:type="paragraph" w:styleId="TOC1">
    <w:name w:val="toc 1"/>
    <w:basedOn w:val="Normal"/>
    <w:next w:val="Normal"/>
    <w:autoRedefine/>
    <w:uiPriority w:val="39"/>
    <w:semiHidden/>
    <w:unhideWhenUsed/>
    <w:pPr>
      <w:tabs>
        <w:tab w:val="right" w:leader="dot" w:pos="9071"/>
      </w:tabs>
      <w:spacing w:before="60"/>
      <w:ind w:left="850" w:hanging="850"/>
      <w:jc w:val="left"/>
    </w:pPr>
  </w:style>
  <w:style w:type="paragraph" w:styleId="TOC2">
    <w:name w:val="toc 2"/>
    <w:basedOn w:val="Normal"/>
    <w:next w:val="Normal"/>
    <w:autoRedefine/>
    <w:uiPriority w:val="39"/>
    <w:semiHidden/>
    <w:unhideWhenUsed/>
    <w:pPr>
      <w:tabs>
        <w:tab w:val="right" w:leader="dot" w:pos="9071"/>
      </w:tabs>
      <w:spacing w:before="60"/>
      <w:ind w:left="850" w:hanging="850"/>
      <w:jc w:val="left"/>
    </w:pPr>
  </w:style>
  <w:style w:type="paragraph" w:styleId="TOC3">
    <w:name w:val="toc 3"/>
    <w:basedOn w:val="Normal"/>
    <w:next w:val="Normal"/>
    <w:autoRedefine/>
    <w:uiPriority w:val="39"/>
    <w:semiHidden/>
    <w:unhideWhenUsed/>
    <w:pPr>
      <w:tabs>
        <w:tab w:val="right" w:leader="dot" w:pos="9071"/>
      </w:tabs>
      <w:spacing w:before="60"/>
      <w:ind w:left="850" w:hanging="850"/>
      <w:jc w:val="left"/>
    </w:pPr>
  </w:style>
  <w:style w:type="paragraph" w:styleId="TOC4">
    <w:name w:val="toc 4"/>
    <w:basedOn w:val="Normal"/>
    <w:next w:val="Normal"/>
    <w:autoRedefine/>
    <w:uiPriority w:val="39"/>
    <w:semiHidden/>
    <w:unhideWhenUsed/>
    <w:pPr>
      <w:tabs>
        <w:tab w:val="right" w:leader="dot" w:pos="9071"/>
      </w:tabs>
      <w:spacing w:before="60"/>
      <w:ind w:left="850" w:hanging="850"/>
      <w:jc w:val="left"/>
    </w:pPr>
  </w:style>
  <w:style w:type="paragraph" w:styleId="TOC5">
    <w:name w:val="toc 5"/>
    <w:basedOn w:val="Normal"/>
    <w:next w:val="Normal"/>
    <w:autoRedefine/>
    <w:uiPriority w:val="39"/>
    <w:semiHidden/>
    <w:unhideWhenUsed/>
    <w:pPr>
      <w:tabs>
        <w:tab w:val="right" w:leader="dot" w:pos="9071"/>
      </w:tabs>
      <w:spacing w:before="300"/>
      <w:jc w:val="left"/>
    </w:pPr>
  </w:style>
  <w:style w:type="paragraph" w:styleId="TOC6">
    <w:name w:val="toc 6"/>
    <w:basedOn w:val="Normal"/>
    <w:next w:val="Normal"/>
    <w:autoRedefine/>
    <w:uiPriority w:val="39"/>
    <w:semiHidden/>
    <w:unhideWhenUsed/>
    <w:pPr>
      <w:tabs>
        <w:tab w:val="right" w:leader="dot" w:pos="9071"/>
      </w:tabs>
      <w:spacing w:before="240"/>
      <w:jc w:val="left"/>
    </w:pPr>
  </w:style>
  <w:style w:type="paragraph" w:styleId="TOC7">
    <w:name w:val="toc 7"/>
    <w:basedOn w:val="Normal"/>
    <w:next w:val="Normal"/>
    <w:autoRedefine/>
    <w:uiPriority w:val="39"/>
    <w:semiHidden/>
    <w:unhideWhenUsed/>
    <w:pPr>
      <w:tabs>
        <w:tab w:val="right" w:leader="dot" w:pos="9071"/>
      </w:tabs>
      <w:spacing w:before="180"/>
      <w:jc w:val="left"/>
    </w:pPr>
  </w:style>
  <w:style w:type="paragraph" w:styleId="TOC8">
    <w:name w:val="toc 8"/>
    <w:basedOn w:val="Normal"/>
    <w:next w:val="Normal"/>
    <w:autoRedefine/>
    <w:uiPriority w:val="39"/>
    <w:semiHidden/>
    <w:unhideWhenUsed/>
    <w:pPr>
      <w:tabs>
        <w:tab w:val="right" w:leader="dot" w:pos="9071"/>
      </w:tabs>
      <w:jc w:val="left"/>
    </w:pPr>
  </w:style>
  <w:style w:type="paragraph" w:styleId="TOC9">
    <w:name w:val="toc 9"/>
    <w:basedOn w:val="Normal"/>
    <w:next w:val="Normal"/>
    <w:autoRedefine/>
    <w:uiPriority w:val="39"/>
    <w:semiHidden/>
    <w:unhideWhenUsed/>
    <w:pPr>
      <w:tabs>
        <w:tab w:val="right" w:leader="dot" w:pos="9071"/>
      </w:tabs>
    </w:p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emiHidden/>
    <w:unhideWhenUsed/>
  </w:style>
  <w:style w:type="paragraph" w:styleId="ListBullet">
    <w:name w:val="List Bullet"/>
    <w:basedOn w:val="Normal"/>
    <w:semiHidden/>
    <w:unhideWhenUsed/>
    <w:pPr>
      <w:numPr>
        <w:numId w:val="2"/>
      </w:numPr>
      <w:contextualSpacing/>
    </w:pPr>
  </w:style>
  <w:style w:type="paragraph" w:styleId="ListNumber">
    <w:name w:val="List Number"/>
    <w:basedOn w:val="Normal"/>
    <w:semiHidden/>
    <w:unhideWhenUsed/>
    <w:pPr>
      <w:numPr>
        <w:numId w:val="3"/>
      </w:numPr>
      <w:contextualSpacing/>
    </w:pPr>
  </w:style>
  <w:style w:type="paragraph" w:styleId="ListBullet2">
    <w:name w:val="List Bullet 2"/>
    <w:basedOn w:val="Normal"/>
    <w:semiHidden/>
    <w:unhideWhenUsed/>
    <w:pPr>
      <w:numPr>
        <w:numId w:val="4"/>
      </w:numPr>
      <w:contextualSpacing/>
    </w:pPr>
  </w:style>
  <w:style w:type="paragraph" w:styleId="ListBullet3">
    <w:name w:val="List Bullet 3"/>
    <w:basedOn w:val="Normal"/>
    <w:semiHidden/>
    <w:unhideWhenUsed/>
    <w:pPr>
      <w:numPr>
        <w:numId w:val="5"/>
      </w:numPr>
      <w:contextualSpacing/>
    </w:pPr>
  </w:style>
  <w:style w:type="paragraph" w:styleId="ListBullet4">
    <w:name w:val="List Bullet 4"/>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fr-FR"/>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FR"/>
    </w:rPr>
  </w:style>
  <w:style w:type="paragraph" w:styleId="Revision">
    <w:name w:val="Revision"/>
    <w:uiPriority w:val="99"/>
    <w:semiHidden/>
    <w:rPr>
      <w:rFonts w:ascii="Times New Roman" w:eastAsia="Times New Roman" w:hAnsi="Times New Roman" w:cs="Times New Roman"/>
      <w:sz w:val="24"/>
      <w:szCs w:val="24"/>
    </w:r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TypedudocumentPagedecouverture">
    <w:name w:val="Type du document (Page de couverture)"/>
    <w:basedOn w:val="Typedudocument"/>
    <w:next w:val="TitreobjetPagedecouverture"/>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Titreobjet">
    <w:name w:val="Titre objet"/>
    <w:basedOn w:val="Normal"/>
    <w:next w:val="Sous-titreobjet"/>
    <w:pPr>
      <w:spacing w:before="360" w:after="360"/>
      <w:jc w:val="center"/>
    </w:pPr>
    <w:rPr>
      <w:b/>
    </w:rPr>
  </w:style>
  <w:style w:type="paragraph" w:customStyle="1" w:styleId="Datedadoption">
    <w:name w:val="Date d'adoption"/>
    <w:basedOn w:val="Normal"/>
    <w:next w:val="Titreobjet"/>
    <w:pPr>
      <w:spacing w:before="360" w:after="0"/>
      <w:jc w:val="center"/>
    </w:pPr>
    <w:rPr>
      <w:b/>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Titrearticle">
    <w:name w:val="Titre article"/>
    <w:basedOn w:val="Normal"/>
    <w:next w:val="Normal"/>
    <w:pPr>
      <w:keepNext/>
      <w:spacing w:before="360"/>
      <w:jc w:val="center"/>
    </w:pPr>
    <w:rPr>
      <w:i/>
    </w:r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ne">
    <w:name w:val="Référence interne"/>
    <w:basedOn w:val="Normal"/>
    <w:next w:val="Rfrenceinterinstitutionnelle"/>
    <w:pPr>
      <w:spacing w:before="0" w:after="0"/>
      <w:ind w:left="5103"/>
      <w:jc w:val="left"/>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Statut">
    <w:name w:val="Statut"/>
    <w:basedOn w:val="Normal"/>
    <w:next w:val="Typedudocument"/>
    <w:pPr>
      <w:spacing w:before="360" w:after="0"/>
      <w:jc w:val="center"/>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TitreobjetPagedecouverture">
    <w:name w:val="Titre objet (Page de couverture)"/>
    <w:basedOn w:val="Titreobjet"/>
    <w:next w:val="Sous-titreobjetPagedecouverture"/>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before="0" w:after="240"/>
      <w:jc w:val="center"/>
    </w:pPr>
    <w:rPr>
      <w:b/>
    </w:rPr>
  </w:style>
  <w:style w:type="paragraph" w:customStyle="1" w:styleId="Accompagnant">
    <w:name w:val="Accompagnant"/>
    <w:basedOn w:val="Normal"/>
    <w:next w:val="Typeacteprincipal"/>
    <w:pPr>
      <w:spacing w:before="0" w:after="240"/>
      <w:jc w:val="center"/>
    </w:pPr>
    <w:rPr>
      <w:b/>
      <w:i/>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4258</Words>
  <Characters>15588</Characters>
  <Application>Microsoft Office Word</Application>
  <DocSecurity>0</DocSecurity>
  <Lines>1948</Lines>
  <Paragraphs>1804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2015-09-25T13:07:00Z</dcterms:created>
  <dcterms:modified xsi:type="dcterms:W3CDTF">2015-10-23T06:49:00Z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