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E0C00A793924E09814220F414FC7D73" style="width:450.2pt;height:366.0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Calibri"/>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Членовете на Световната търговска организация (СТО) и Република Либерия навлязоха в заключителната фаза на преговорния процес по споразумение относно условията за присъединяване на Република Либерия към организацията. Това е резултат от продължилите 8 години преговори, започнали с подаването на заявление от страна на Република Либерия за присъединяване към СТО през 2007 г. Условията за присъединяване са изложени в обобщен вид в точка 5 по-долу.</w:t>
      </w:r>
    </w:p>
    <w:p>
      <w:pPr>
        <w:rPr>
          <w:noProof/>
          <w:szCs w:val="24"/>
        </w:rPr>
      </w:pPr>
      <w:r>
        <w:rPr>
          <w:noProof/>
        </w:rPr>
        <w:t>Като представя за одобрение от Съвета условията за присъединяването на Република Либерия към СТО, Комисията счита, че те представляват балансиран и амбициозен пакет от поети ангажименти за отваряне на пазара, който ще донесе съществени ползи както за Република Либерия, така и за нейните търговски партньори от СТО. Искането на Либерия за присъединяване бе разгледано в съответствие с насоките на Общия съвет на СТО относно присъединяването на най-слабо развитите държави и при отчитане в тяхната цялост на двустранните търговски връзки с Либерия в контекста на партньорството ЕС-АКТБ.</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Многостранното сътрудничество е в основата на търговската политика на ЕС и ЕС подкрепя присъединяването на трети държави към СТО, при условие че е поставено на правилна основа. </w:t>
      </w:r>
    </w:p>
    <w:p>
      <w:pPr>
        <w:pStyle w:val="ManualHeading2"/>
        <w:rPr>
          <w:rFonts w:eastAsia="Arial Unicode MS"/>
          <w:noProof/>
        </w:rPr>
      </w:pPr>
      <w:r>
        <w:rPr>
          <w:noProof/>
        </w:rPr>
        <w:t>•</w:t>
      </w:r>
      <w:r>
        <w:rPr>
          <w:noProof/>
        </w:rPr>
        <w:tab/>
        <w:t>Съгласуваност с другите политики на Съюза</w:t>
      </w:r>
    </w:p>
    <w:p>
      <w:pPr>
        <w:rPr>
          <w:rFonts w:eastAsia="Arial Unicode MS"/>
          <w:noProof/>
          <w:szCs w:val="24"/>
        </w:rPr>
      </w:pPr>
      <w:r>
        <w:rPr>
          <w:noProof/>
        </w:rPr>
        <w:t xml:space="preserve">В духа на външната дейност на ЕС и на политиката на развитие, с настоящото предложение трайно ще се затвърди мястото, което Либерия заема в многостранната търговска система, в съответствие с насоките на Общия съвет на СТО относно присъединяването на най-слабо развитите държави и при отчитане в тяхната цялост на двустранните търговски връзки с Либерия в контекста на партньорството ЕС-АКТБ. </w:t>
      </w:r>
    </w:p>
    <w:p>
      <w:pPr>
        <w:pStyle w:val="ManualHeading1"/>
        <w:rPr>
          <w:rFonts w:eastAsia="Calibri"/>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По силата на член 218, параграф 9 от Договора за функционирането на Европейския съюз се изисква решение на Съвета за одобряване на условията за присъединяване на Република Либерия към СТО, преди ЕС да може официално да подкрепи тяхното одобряване в рамките на СТО.</w:t>
      </w:r>
    </w:p>
    <w:p>
      <w:pPr>
        <w:pStyle w:val="ManualHeading2"/>
        <w:rPr>
          <w:rFonts w:eastAsia="Arial Unicode MS"/>
          <w:noProof/>
        </w:rPr>
      </w:pPr>
      <w:r>
        <w:rPr>
          <w:noProof/>
        </w:rPr>
        <w:t>•</w:t>
      </w:r>
      <w:r>
        <w:rPr>
          <w:noProof/>
        </w:rPr>
        <w:tab/>
        <w:t xml:space="preserve">Субсидиарност (при неизключителна компетентност) </w:t>
      </w:r>
    </w:p>
    <w:p>
      <w:pPr>
        <w:keepNext/>
        <w:tabs>
          <w:tab w:val="left" w:pos="850"/>
        </w:tabs>
        <w:outlineLvl w:val="1"/>
        <w:rPr>
          <w:rFonts w:eastAsia="Arial Unicode MS"/>
          <w:noProof/>
          <w:u w:color="000000"/>
          <w:bdr w:val="nil"/>
        </w:rPr>
      </w:pPr>
      <w:r>
        <w:rPr>
          <w:noProof/>
        </w:rPr>
        <w:t>Не е приложимо. Изключителна компетентност на ЕС по отношение на търговията.</w:t>
      </w:r>
    </w:p>
    <w:p>
      <w:pPr>
        <w:pStyle w:val="ManualHeading2"/>
        <w:rPr>
          <w:rFonts w:eastAsia="Arial Unicode MS"/>
          <w:noProof/>
        </w:rPr>
      </w:pPr>
      <w:r>
        <w:rPr>
          <w:noProof/>
        </w:rPr>
        <w:t>•</w:t>
      </w:r>
      <w:r>
        <w:rPr>
          <w:noProof/>
        </w:rPr>
        <w:tab/>
        <w:t>Пропорционалност</w:t>
      </w:r>
    </w:p>
    <w:p>
      <w:pPr>
        <w:rPr>
          <w:rFonts w:eastAsia="Arial Unicode MS"/>
          <w:noProof/>
        </w:rPr>
      </w:pPr>
      <w:r>
        <w:rPr>
          <w:noProof/>
        </w:rPr>
        <w:t>Не е приложимо. Необходимо е решение на Съвета по член 218, параграф 9.</w:t>
      </w:r>
    </w:p>
    <w:p>
      <w:pPr>
        <w:pStyle w:val="ManualHeading2"/>
        <w:rPr>
          <w:rFonts w:eastAsia="Arial Unicode MS"/>
          <w:noProof/>
        </w:rPr>
      </w:pPr>
      <w:r>
        <w:rPr>
          <w:noProof/>
        </w:rPr>
        <w:lastRenderedPageBreak/>
        <w:t>•</w:t>
      </w:r>
      <w:r>
        <w:rPr>
          <w:noProof/>
        </w:rPr>
        <w:tab/>
        <w:t>Избор на инструмент</w:t>
      </w:r>
    </w:p>
    <w:p>
      <w:pPr>
        <w:rPr>
          <w:rFonts w:eastAsia="Arial Unicode MS"/>
          <w:noProof/>
        </w:rPr>
      </w:pPr>
      <w:r>
        <w:rPr>
          <w:noProof/>
        </w:rPr>
        <w:t>Не е приложимо. Необходимо е решение на Съвета по член 218, параграф 9.</w:t>
      </w:r>
    </w:p>
    <w:p>
      <w:pPr>
        <w:pStyle w:val="ManualHeading1"/>
        <w:rPr>
          <w:rFonts w:eastAsia="Calibri"/>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е необходима. Необходимо е решение на Съвета по член 218, параграф 9.</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Предложението не е свързано с Програмата за пригодност и резултатност на регулаторната рамка (REFIT).</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последствия за защитата на основните права.</w:t>
      </w:r>
    </w:p>
    <w:p>
      <w:pPr>
        <w:pStyle w:val="ManualHeading1"/>
        <w:rPr>
          <w:rFonts w:eastAsia="Calibri"/>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w:t>
      </w:r>
    </w:p>
    <w:p>
      <w:pPr>
        <w:pStyle w:val="ManualHeading1"/>
        <w:rPr>
          <w:rFonts w:eastAsia="Calibri"/>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rPr>
          <w:b/>
          <w:i/>
          <w:noProof/>
        </w:rPr>
      </w:pPr>
      <w:r>
        <w:rPr>
          <w:b/>
          <w:i/>
          <w:noProof/>
        </w:rPr>
        <w:t>Обобщение на условията за присъединяване</w:t>
      </w:r>
    </w:p>
    <w:p>
      <w:pPr>
        <w:outlineLvl w:val="0"/>
        <w:rPr>
          <w:b/>
          <w:bCs/>
          <w:i/>
          <w:iCs/>
          <w:noProof/>
          <w:u w:val="single"/>
        </w:rPr>
      </w:pPr>
      <w:r>
        <w:rPr>
          <w:b/>
          <w:i/>
          <w:noProof/>
          <w:u w:val="single"/>
        </w:rPr>
        <w:t>Списъци на поетите ангажименти</w:t>
      </w:r>
    </w:p>
    <w:p>
      <w:pPr>
        <w:outlineLvl w:val="0"/>
        <w:rPr>
          <w:bCs/>
          <w:iCs/>
          <w:noProof/>
        </w:rPr>
      </w:pPr>
      <w:r>
        <w:rPr>
          <w:b/>
          <w:i/>
          <w:noProof/>
        </w:rPr>
        <w:t>Стоки (общи условия)</w:t>
      </w:r>
    </w:p>
    <w:p>
      <w:pPr>
        <w:rPr>
          <w:bCs/>
          <w:iCs/>
          <w:noProof/>
        </w:rPr>
      </w:pPr>
      <w:r>
        <w:rPr>
          <w:noProof/>
        </w:rPr>
        <w:t>Средната окончателна пределна ставка (ОПС) за присъединяването на Либерия е 26,6 %.</w:t>
      </w:r>
    </w:p>
    <w:p>
      <w:pPr>
        <w:rPr>
          <w:bCs/>
          <w:iCs/>
          <w:noProof/>
        </w:rPr>
      </w:pPr>
      <w:r>
        <w:rPr>
          <w:noProof/>
        </w:rPr>
        <w:t xml:space="preserve">При селскостопанските продукти средната ОПС е 23,6 %, т.е. по-ниска от средната ОПС при промишлените продукти, която е 27,2 %. </w:t>
      </w:r>
    </w:p>
    <w:p>
      <w:pPr>
        <w:rPr>
          <w:bCs/>
          <w:iCs/>
          <w:noProof/>
        </w:rPr>
      </w:pPr>
      <w:r>
        <w:rPr>
          <w:noProof/>
        </w:rPr>
        <w:lastRenderedPageBreak/>
        <w:t>Либерия ще прилага повечето ОПС от датата на присъединяването. По отношение на 249 тарифни позиции, т.е. 4 % от списъка с поетите от нея ангажименти, ОПС на Либерия ще се прилага едва от 2019 г.</w:t>
      </w:r>
    </w:p>
    <w:p>
      <w:pPr>
        <w:rPr>
          <w:bCs/>
          <w:iCs/>
          <w:noProof/>
        </w:rPr>
      </w:pPr>
      <w:r>
        <w:rPr>
          <w:noProof/>
        </w:rPr>
        <w:t xml:space="preserve">Тези средни равнища на митническите ставки са твърде високи с оглед на статута на Либерия на най-слабо развита държава, особено предвид малкия мащаб и уязвимостта на нейната икономика. </w:t>
      </w:r>
    </w:p>
    <w:p>
      <w:pPr>
        <w:rPr>
          <w:bCs/>
          <w:iCs/>
          <w:noProof/>
        </w:rPr>
      </w:pPr>
      <w:r>
        <w:rPr>
          <w:b/>
          <w:i/>
          <w:noProof/>
        </w:rPr>
        <w:t xml:space="preserve">Промишлени стоки </w:t>
      </w:r>
    </w:p>
    <w:p>
      <w:pPr>
        <w:tabs>
          <w:tab w:val="num" w:pos="1417"/>
        </w:tabs>
        <w:rPr>
          <w:noProof/>
        </w:rPr>
      </w:pPr>
      <w:r>
        <w:rPr>
          <w:noProof/>
        </w:rPr>
        <w:t>Средната ОПС за неселскостопански продукти е 27,2 %.</w:t>
      </w:r>
    </w:p>
    <w:p>
      <w:pPr>
        <w:pStyle w:val="Bullet0"/>
        <w:numPr>
          <w:ilvl w:val="0"/>
          <w:numId w:val="10"/>
        </w:numPr>
        <w:rPr>
          <w:bCs/>
          <w:iCs/>
          <w:noProof/>
        </w:rPr>
      </w:pPr>
      <w:r>
        <w:rPr>
          <w:noProof/>
        </w:rPr>
        <w:t>100 % от списъка с поетите от Либерия ангажименти има обвързващ характер, като тя е поела обвързващи тарифни ангажименти за всички промишлени стоки.</w:t>
      </w:r>
    </w:p>
    <w:p>
      <w:pPr>
        <w:pStyle w:val="Bullet0"/>
        <w:rPr>
          <w:bCs/>
          <w:iCs/>
          <w:noProof/>
        </w:rPr>
      </w:pPr>
      <w:r>
        <w:rPr>
          <w:noProof/>
        </w:rPr>
        <w:t>Най-високите тарифни ставки са в размер на 50 % за боите, домакинските изделия от пластмаса, тоалетната хартия и мебелите от дървесина.</w:t>
      </w:r>
    </w:p>
    <w:p>
      <w:pPr>
        <w:rPr>
          <w:bCs/>
          <w:iCs/>
          <w:noProof/>
        </w:rPr>
      </w:pPr>
      <w:r>
        <w:rPr>
          <w:b/>
          <w:i/>
          <w:noProof/>
        </w:rPr>
        <w:t xml:space="preserve">Селскостопански стоки </w:t>
      </w:r>
    </w:p>
    <w:p>
      <w:pPr>
        <w:pStyle w:val="Bullet0"/>
        <w:rPr>
          <w:noProof/>
        </w:rPr>
      </w:pPr>
      <w:r>
        <w:rPr>
          <w:noProof/>
        </w:rPr>
        <w:t>Средната ОПС за селскостопански продукти е 23,6 %.</w:t>
      </w:r>
    </w:p>
    <w:p>
      <w:pPr>
        <w:pStyle w:val="Bullet0"/>
        <w:rPr>
          <w:noProof/>
        </w:rPr>
      </w:pPr>
      <w:r>
        <w:rPr>
          <w:noProof/>
        </w:rPr>
        <w:t>Най-високите тарифни ставки в селското стопанство са в размер на 50 % за какао на зърна, доматен кетчуп и минерална вода.</w:t>
      </w:r>
    </w:p>
    <w:p>
      <w:pPr>
        <w:outlineLvl w:val="0"/>
        <w:rPr>
          <w:b/>
          <w:bCs/>
          <w:i/>
          <w:iCs/>
          <w:noProof/>
          <w:szCs w:val="20"/>
        </w:rPr>
      </w:pPr>
      <w:r>
        <w:rPr>
          <w:b/>
          <w:i/>
          <w:noProof/>
        </w:rPr>
        <w:t xml:space="preserve">Услуги </w:t>
      </w:r>
    </w:p>
    <w:p>
      <w:pPr>
        <w:rPr>
          <w:noProof/>
          <w:szCs w:val="20"/>
        </w:rPr>
      </w:pPr>
      <w:r>
        <w:rPr>
          <w:noProof/>
        </w:rPr>
        <w:t>Списъкът с конкретните ангажименти, поети от Либерия в областта на услугите, е доста всеобхватен и амбициозен с оглед на нейната принадлежност към групата на най-слабо развитите държави. Либерия ще поеме ангажименти във връзка с достъпа до пазара и националното третиране в редица сектори на услугите, в това число професионалните, компютърните и други бизнес услуги, съобщителните услуги, строителните услуги, дистрибуторските услуги, частните образователни услуги, услугите в областта на околната среда, финансовите (застрахователни и банкови) услуги, частно финансираните здравни и социални услуги, туристическите услуги, развлекателните, културните и спортните услуги и транспортните услуги (свързани с превози по море, такива по вътрешните водни пътища и автомобилни превози, и спомагателните услуги, свързани с всички видове превози).</w:t>
      </w:r>
    </w:p>
    <w:p>
      <w:pPr>
        <w:outlineLvl w:val="0"/>
        <w:rPr>
          <w:b/>
          <w:bCs/>
          <w:i/>
          <w:iCs/>
          <w:noProof/>
          <w:szCs w:val="20"/>
          <w:u w:val="single"/>
        </w:rPr>
      </w:pPr>
      <w:r>
        <w:rPr>
          <w:b/>
          <w:i/>
          <w:noProof/>
          <w:u w:val="single"/>
        </w:rPr>
        <w:t>Поети ангажименти по силата на протокола</w:t>
      </w:r>
    </w:p>
    <w:p>
      <w:pPr>
        <w:rPr>
          <w:noProof/>
          <w:szCs w:val="20"/>
        </w:rPr>
      </w:pPr>
      <w:r>
        <w:rPr>
          <w:noProof/>
        </w:rPr>
        <w:t xml:space="preserve">През последния, многостранен етап от процеса на присъединяване членовете на СТО с общи усилия се постараха да осигурят принципната съвместимост на търговското законодателство и институциите на Либерия с правилата и споразуменията на СТО, като разпоредби за тази цел бяха включени в доклада на работната група. </w:t>
      </w:r>
    </w:p>
    <w:p>
      <w:pPr>
        <w:spacing w:before="0" w:after="240"/>
        <w:rPr>
          <w:noProof/>
          <w:szCs w:val="20"/>
        </w:rPr>
      </w:pPr>
      <w:r>
        <w:rPr>
          <w:noProof/>
        </w:rPr>
        <w:t>Поискани са техническа помощ и/или преходни периоди във връзка с изпълнението на някои ангажименти в рамките на СТО. По отношение на преходните периоди, Либерия ще трябва до 1 август 2017 г. да осигури цялостното спазване на задълженията в рамките на СТО относно таксите и налозите във връзка с вноса и износа, техническите пречки пред търговията и санитарните и фитосанитарните мерки. Либерия ще може също така да запази в сила някои несъвместими със Споразумението за свързаните с търговията инвестиционни мерки (TRIMS) инвестиционни стимули до 1 август 2019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2015/0230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определяне на позицията, която да заеме Европейският съюз в рамките на Министерската конференция на Световната търговска организация по отношение на присъединяването на Република Либерия към СТО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член 100, параграф 2 и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На 13 юни 2007 г. правителството на Република Либерия подаде заявление за присъединяване към Споразумението от Маракеш за създаване на Световната търговска организация (СТО) в съответствие с член XII от посоченото споразумение.</w:t>
      </w:r>
    </w:p>
    <w:p>
      <w:pPr>
        <w:pStyle w:val="ManualConsidrant"/>
        <w:rPr>
          <w:noProof/>
        </w:rPr>
      </w:pPr>
      <w:r>
        <w:rPr>
          <w:noProof/>
        </w:rPr>
        <w:t>(2)</w:t>
      </w:r>
      <w:r>
        <w:rPr>
          <w:noProof/>
        </w:rPr>
        <w:tab/>
        <w:t>На 18 декември 2007 г. беше създадена работна група по присъединяването на Република Либерия с цел постигането на съгласие по условия за присъединяване, които да са приемливи за Република Либерия и за всички членове на СТО.</w:t>
      </w:r>
    </w:p>
    <w:p>
      <w:pPr>
        <w:pStyle w:val="ManualConsidrant"/>
        <w:rPr>
          <w:noProof/>
        </w:rPr>
      </w:pPr>
      <w:r>
        <w:rPr>
          <w:noProof/>
        </w:rPr>
        <w:t>(3)</w:t>
      </w:r>
      <w:r>
        <w:rPr>
          <w:noProof/>
        </w:rPr>
        <w:tab/>
        <w:t>Комисията, от името на Съюза, договори изчерпателен набор от ангажименти за отваряне на пазара от страна на Република Либерия, които са в съответствие с насоките на Общия съвет на СТО относно присъединяването на най-слабо развитите държави и които удовлетворяват исканията на Съюза при едновременно отчитане на двустранните търговски връзки с Република Либерия в контекста на партньорството ЕС-АКТБ.</w:t>
      </w:r>
    </w:p>
    <w:p>
      <w:pPr>
        <w:pStyle w:val="ManualConsidrant"/>
        <w:rPr>
          <w:noProof/>
        </w:rPr>
      </w:pPr>
      <w:r>
        <w:rPr>
          <w:noProof/>
        </w:rPr>
        <w:t>(4)</w:t>
      </w:r>
      <w:r>
        <w:rPr>
          <w:noProof/>
        </w:rPr>
        <w:tab/>
        <w:t>Тези ангажименти вече представляват неразделна част от протокола за присъединяване на Република Либерия към СТО.</w:t>
      </w:r>
    </w:p>
    <w:p>
      <w:pPr>
        <w:pStyle w:val="ManualConsidrant"/>
        <w:rPr>
          <w:noProof/>
        </w:rPr>
      </w:pPr>
      <w:r>
        <w:rPr>
          <w:noProof/>
        </w:rPr>
        <w:t>(5)</w:t>
      </w:r>
      <w:r>
        <w:rPr>
          <w:noProof/>
        </w:rPr>
        <w:tab/>
        <w:t>Очаква се присъединяването към СТО да даде траен положителен принос за процеса на реформиране на икономиката и устойчивото развитие на Република Либерия.</w:t>
      </w:r>
    </w:p>
    <w:p>
      <w:pPr>
        <w:pStyle w:val="ManualConsidrant"/>
        <w:rPr>
          <w:noProof/>
        </w:rPr>
      </w:pPr>
      <w:r>
        <w:rPr>
          <w:noProof/>
        </w:rPr>
        <w:t>(6)</w:t>
      </w:r>
      <w:r>
        <w:rPr>
          <w:noProof/>
        </w:rPr>
        <w:tab/>
        <w:t>Поради това протоколът за присъединяване следва да бъде одобрен.</w:t>
      </w:r>
    </w:p>
    <w:p>
      <w:pPr>
        <w:pStyle w:val="ManualConsidrant"/>
        <w:rPr>
          <w:noProof/>
        </w:rPr>
      </w:pPr>
      <w:r>
        <w:rPr>
          <w:noProof/>
        </w:rPr>
        <w:t>(7)</w:t>
      </w:r>
      <w:r>
        <w:rPr>
          <w:noProof/>
        </w:rPr>
        <w:tab/>
        <w:t>Член XII от Споразумението за създаване на СТО предвижда, че условията за присъединяване подлежат на договаряне между присъединяващия се член и СТО и че Министерската конференция на СТО одобрява условията за присъединяване от страна на СТО. Член IV, параграф 2 от Споразумението за създаване на СТО предвижда, че в периодите между заседанията на Министерската конференция нейните функции се изпълняват от Общия съвет.</w:t>
      </w:r>
    </w:p>
    <w:p>
      <w:pPr>
        <w:pStyle w:val="ManualConsidrant"/>
        <w:rPr>
          <w:noProof/>
        </w:rPr>
      </w:pPr>
      <w:r>
        <w:rPr>
          <w:noProof/>
        </w:rPr>
        <w:lastRenderedPageBreak/>
        <w:t>(8)</w:t>
      </w:r>
      <w:r>
        <w:rPr>
          <w:noProof/>
        </w:rPr>
        <w:tab/>
        <w:t>В съответствие с това е необходимо да бъде определена позицията, която да заеме Съюзът в рамките на Министерската конференция на СТО по въпроса за присъединяването на Република Либерия към СТО,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Европейският съюз следва да заеме в рамките на Министерската конференция на Световната търговска организация по въпроса за присъединяването на Република Либерия към СТО, е да одобри присъединяването.</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6668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2626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02D8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BC15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9E4A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029A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6E995A"/>
    <w:lvl w:ilvl="0">
      <w:start w:val="1"/>
      <w:numFmt w:val="decimal"/>
      <w:pStyle w:val="ListNumber"/>
      <w:lvlText w:val="%1."/>
      <w:lvlJc w:val="left"/>
      <w:pPr>
        <w:tabs>
          <w:tab w:val="num" w:pos="360"/>
        </w:tabs>
        <w:ind w:left="360" w:hanging="360"/>
      </w:pPr>
    </w:lvl>
  </w:abstractNum>
  <w:abstractNum w:abstractNumId="7">
    <w:nsid w:val="FFFFFF89"/>
    <w:multiLevelType w:val="singleLevel"/>
    <w:tmpl w:val="4D2E4D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 w:numId="25">
    <w:abstractNumId w:val="18"/>
  </w:num>
  <w:num w:numId="26">
    <w:abstractNumId w:val="12"/>
  </w:num>
  <w:num w:numId="27">
    <w:abstractNumId w:val="21"/>
  </w:num>
  <w:num w:numId="28">
    <w:abstractNumId w:val="11"/>
  </w:num>
  <w:num w:numId="29">
    <w:abstractNumId w:val="13"/>
  </w:num>
  <w:num w:numId="30">
    <w:abstractNumId w:val="9"/>
  </w:num>
  <w:num w:numId="31">
    <w:abstractNumId w:val="20"/>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01 10:08: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E0C00A793924E09814220F414FC7D73"/>
    <w:docVar w:name="LW_CROSSREFERENCE" w:val="&lt;UNUSED&gt;"/>
    <w:docVar w:name="LW_DocType" w:val="COM"/>
    <w:docVar w:name="LW_EMISSION" w:val="1.10.2015"/>
    <w:docVar w:name="LW_EMISSION_ISODATE" w:val="2015-10-0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0"/>
    <w:docVar w:name="LW_REF.II.NEW.CP_YEAR" w:val="2015"/>
    <w:docVar w:name="LW_REF.INST.NEW" w:val="COM"/>
    <w:docVar w:name="LW_REF.INST.NEW_ADOPTED" w:val="final"/>
    <w:docVar w:name="LW_REF.INST.NEW_TEXT" w:val="(2015) 469"/>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7?\u1086?\u1079?\u1080?\u1094?\u1080?\u1103?\u1090?\u1072?, \u1082?\u1086?\u1103?\u1090?\u1086? \u1076?\u1072? \u1079?\u1072?\u1077?\u1084?\u1077? \u1045?\u1074?\u1088?\u1086?\u1087?\u1077?\u1081?\u1089?\u1082?\u1080?\u1103?\u1090? \u1089?\u1098?\u1102?\u1079? \u1074? \u1088?\u1072?\u1084?\u1082?\u1080?\u1090?\u1077? \u1085?\u1072? \u1052?\u1080?\u1085?\u1080?\u1089?\u1090?\u1077?\u1088?\u1089?\u1082?\u1072?\u1090?\u1072? \u1082?\u1086?\u1085?\u1092?\u1077?\u1088?\u1077?\u1085?\u1094?\u1080?\u1103? \u1085?\u1072? \u1057?\u1074?\u1077?\u1090?\u1086?\u1074?\u1085?\u1072?\u1090?\u1072? \u1090?\u1098?\u1088?\u1075?\u1086?\u1074?\u1089?\u1082?\u1072? \u1086?\u1088?\u1075?\u1072?\u1085?\u1080?\u1079?\u1072?\u1094?\u1080?\u1103? \u1087?\u1086? \u1086?\u1090?\u1085?\u1086?\u1096?\u1077?\u1085?\u1080?\u1077? \u1085?\u1072? \u1087?\u1088?\u1080?\u1089?\u1098?\u1077?\u1076?\u1080?\u1085?\u1103?\u1074?\u1072?\u1085?\u1077?\u1090?\u1086? \u1085?\u1072? \u1056?\u1077?\u1087?\u1091?\u1073?\u1083?\u1080?\u1082?\u1072? \u1051?\u1080?\u1073?\u1077?\u1088?\u1080?\u1103? \u1082?\u1098?\u1084? \u1057?\u1058?\u1054?"/>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pPr>
      <w:numPr>
        <w:numId w:val="1"/>
      </w:numPr>
    </w:pPr>
  </w:style>
  <w:style w:type="character" w:customStyle="1" w:styleId="yiv1929598160apple-converted-space">
    <w:name w:val="yiv1929598160apple-converted-space"/>
  </w:style>
  <w:style w:type="paragraph" w:styleId="ListBullet">
    <w:name w:val="List Bullet"/>
    <w:basedOn w:val="Normal"/>
    <w:uiPriority w:val="99"/>
    <w:pPr>
      <w:numPr>
        <w:numId w:val="2"/>
      </w:numPr>
      <w:contextualSpacing/>
    </w:pPr>
  </w:style>
  <w:style w:type="paragraph" w:styleId="ListBullet2">
    <w:name w:val="List Bullet 2"/>
    <w:basedOn w:val="Normal"/>
    <w:uiPriority w:val="99"/>
    <w:pPr>
      <w:numPr>
        <w:numId w:val="3"/>
      </w:numPr>
      <w:contextualSpacing/>
    </w:pPr>
  </w:style>
  <w:style w:type="paragraph" w:styleId="ListBullet3">
    <w:name w:val="List Bullet 3"/>
    <w:basedOn w:val="Normal"/>
    <w:uiPriority w:val="99"/>
    <w:pPr>
      <w:numPr>
        <w:numId w:val="4"/>
      </w:numPr>
      <w:contextualSpacing/>
    </w:pPr>
  </w:style>
  <w:style w:type="paragraph" w:styleId="ListBullet4">
    <w:name w:val="List Bullet 4"/>
    <w:basedOn w:val="Normal"/>
    <w:uiPriority w:val="99"/>
    <w:pPr>
      <w:numPr>
        <w:numId w:val="5"/>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rPr>
  </w:style>
  <w:style w:type="character" w:customStyle="1" w:styleId="HeaderChar">
    <w:name w:val="Header Char"/>
    <w:link w:val="Header"/>
    <w:uiPriority w:val="99"/>
    <w:rPr>
      <w:rFonts w:eastAsia="Calibri"/>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8136-5E98-4427-B204-197F24E5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1327</Words>
  <Characters>7765</Characters>
  <Application>Microsoft Office Word</Application>
  <DocSecurity>0</DocSecurity>
  <Lines>165</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2015-08-03T15:41:00Z</cp:lastPrinted>
  <dcterms:created xsi:type="dcterms:W3CDTF">2015-09-21T12:52:00Z</dcterms:created>
  <dcterms:modified xsi:type="dcterms:W3CDTF">2015-10-01T08:08:00Z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_NewReviewCycle">
    <vt:lpwstr/>
  </property>
  <property fmtid="{D5CDD505-2E9C-101B-9397-08002B2CF9AE}" pid="9" name="Part">
    <vt:lpwstr>1</vt:lpwstr>
  </property>
  <property fmtid="{D5CDD505-2E9C-101B-9397-08002B2CF9AE}" pid="10" name="Total parts">
    <vt:lpwstr>1</vt:lpwstr>
  </property>
  <property fmtid="{D5CDD505-2E9C-101B-9397-08002B2CF9AE}" pid="11" name="DQCStatus">
    <vt:lpwstr>Green (DQC version 03)</vt:lpwstr>
  </property>
</Properties>
</file>