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6AA7AE17A34DCB966F512CC42629D4"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rFonts w:eastAsia="Arial Unicode MS"/>
          <w:noProof/>
        </w:rPr>
      </w:pPr>
      <w:r>
        <w:rPr>
          <w:noProof/>
        </w:rPr>
        <w:t>Sur la base des directives de négociation pertinentes</w:t>
      </w:r>
      <w:r>
        <w:rPr>
          <w:rStyle w:val="FootnoteReference"/>
          <w:noProof/>
        </w:rPr>
        <w:footnoteReference w:id="1"/>
      </w:r>
      <w:r>
        <w:rPr>
          <w:noProof/>
        </w:rPr>
        <w:t>, la Commission a mené des négociations avec le gouvernement du Liberia en vue de la conclusion d’un nouvel accord de partenariat dans le domaine de la pêche durable entre l’Union européenne et la République du Liberia et de son protocole de mise en œuvre. À l’issue de ces négociations, un nouvel accord et un nouveau protocole ont été paraphés le 5 juin 2015. Ils couvrent une période de cinq ans à compter de la date de leur mise en application provisoire, c’est-à-dire à partir de la date de leur signature, conformément à l'article 15 de l’accord et à l’article 12 du protocole.</w:t>
      </w:r>
    </w:p>
    <w:p>
      <w:pPr>
        <w:pBdr>
          <w:top w:val="nil"/>
          <w:left w:val="nil"/>
          <w:bottom w:val="nil"/>
          <w:right w:val="nil"/>
          <w:between w:val="nil"/>
          <w:bar w:val="nil"/>
        </w:pBdr>
        <w:spacing w:before="0" w:after="240"/>
        <w:rPr>
          <w:rFonts w:eastAsia="Arial Unicode MS"/>
          <w:noProof/>
        </w:rPr>
      </w:pPr>
      <w:r>
        <w:rPr>
          <w:noProof/>
        </w:rPr>
        <w:t>Le nouvel accord fournira un cadre tenant compte les priorités de la politique commune de la pêche réformée et de sa dimension externe, en vue d’un partenariat stratégique entre l’Union européenne et la République du Liberia.</w:t>
      </w:r>
    </w:p>
    <w:p>
      <w:pPr>
        <w:pBdr>
          <w:top w:val="nil"/>
          <w:left w:val="nil"/>
          <w:bottom w:val="nil"/>
          <w:right w:val="nil"/>
          <w:between w:val="nil"/>
          <w:bar w:val="nil"/>
        </w:pBdr>
        <w:spacing w:before="0" w:after="240"/>
        <w:rPr>
          <w:rFonts w:eastAsia="Arial Unicode MS"/>
          <w:noProof/>
        </w:rPr>
      </w:pPr>
      <w:r>
        <w:rPr>
          <w:noProof/>
        </w:rPr>
        <w:t xml:space="preserve">L’objectif principal du nouveau protocole est d’offrir des possibilités de pêche pour les navires de l’Union dans la zone de pêche libérienne, sur la base des meilleurs avis scientifiques et dans le respect des recommandations de la Commission internationale pour la conservation des thonidés de l’Atlantique (CICTA), le cas échéant dans les limites du surplus disponible. La Commission a fondé sa position, entre autres, sur les résultats d’une évaluation prospective, réalisée par des experts extérieurs, de l’opportunité de conclure un nouvel accord et un nouveau protocole. L’objectif est également de renforcer la coopération entre l’Union européenne et la République du Liberia pour favoriser une politique de pêche durable et l’exploitation responsable des ressources halieutiques dans la zone de pêche libérienne, dans l’intérêt des deux parties. </w:t>
      </w:r>
    </w:p>
    <w:p>
      <w:pPr>
        <w:pBdr>
          <w:top w:val="nil"/>
          <w:left w:val="nil"/>
          <w:bottom w:val="nil"/>
          <w:right w:val="nil"/>
          <w:between w:val="nil"/>
          <w:bar w:val="nil"/>
        </w:pBdr>
        <w:spacing w:before="0" w:after="240"/>
        <w:rPr>
          <w:rFonts w:eastAsia="Arial Unicode MS"/>
          <w:noProof/>
        </w:rPr>
      </w:pPr>
      <w:r>
        <w:rPr>
          <w:noProof/>
        </w:rPr>
        <w:t>Le protocole prévoit des possibilités de pêche dans les catégories suivantes:</w:t>
      </w:r>
    </w:p>
    <w:p>
      <w:pPr>
        <w:pBdr>
          <w:top w:val="nil"/>
          <w:left w:val="nil"/>
          <w:bottom w:val="nil"/>
          <w:right w:val="nil"/>
          <w:between w:val="nil"/>
          <w:bar w:val="nil"/>
        </w:pBdr>
        <w:spacing w:before="0" w:after="240"/>
        <w:rPr>
          <w:rFonts w:eastAsia="Arial Unicode MS"/>
          <w:noProof/>
        </w:rPr>
      </w:pPr>
      <w:r>
        <w:rPr>
          <w:noProof/>
        </w:rPr>
        <w:t>–</w:t>
      </w:r>
      <w:r>
        <w:rPr>
          <w:noProof/>
        </w:rPr>
        <w:tab/>
        <w:t>28 thoniers senneurs;</w:t>
      </w:r>
    </w:p>
    <w:p>
      <w:pPr>
        <w:pBdr>
          <w:top w:val="nil"/>
          <w:left w:val="nil"/>
          <w:bottom w:val="nil"/>
          <w:right w:val="nil"/>
          <w:between w:val="nil"/>
          <w:bar w:val="nil"/>
        </w:pBdr>
        <w:spacing w:before="0" w:after="240"/>
        <w:rPr>
          <w:rFonts w:eastAsia="Arial Unicode MS"/>
          <w:noProof/>
        </w:rPr>
      </w:pPr>
      <w:r>
        <w:rPr>
          <w:noProof/>
        </w:rPr>
        <w:t>–</w:t>
      </w:r>
      <w:r>
        <w:rPr>
          <w:noProof/>
        </w:rPr>
        <w:tab/>
        <w:t>6 palangriers de surface.</w:t>
      </w:r>
    </w:p>
    <w:p>
      <w:pPr>
        <w:pBdr>
          <w:top w:val="nil"/>
          <w:left w:val="nil"/>
          <w:bottom w:val="nil"/>
          <w:right w:val="nil"/>
          <w:between w:val="nil"/>
          <w:bar w:val="nil"/>
        </w:pBdr>
        <w:spacing w:before="0" w:after="240"/>
        <w:rPr>
          <w:rFonts w:eastAsia="Arial Unicode MS"/>
          <w:noProof/>
        </w:rPr>
      </w:pPr>
      <w:r>
        <w:rPr>
          <w:noProof/>
        </w:rPr>
        <w:t>La Commission propose en conséquence que le Conseil autorise la signature et l’application provisoire de ce nouvel accord ainsi que de son protocole de mise en œuvre.</w:t>
      </w:r>
    </w:p>
    <w:p>
      <w:pPr>
        <w:pStyle w:val="ManualHeading1"/>
        <w:rPr>
          <w:noProof/>
        </w:rPr>
      </w:pPr>
      <w:r>
        <w:rPr>
          <w:noProof/>
        </w:rPr>
        <w:t>2.</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Les parties intéressées ont été consultées dans le cadre de l’évaluation ex ante d’un accord de partenariat éventuel dans le domaine de la pêche durable entre l’Union européenne et la République du Liberia et de son protocole. Les experts des États membres et du secteur ont aussi été consultés lors de réunions techniques. En outre, les autorités chargées de la pêche et les parties intéressées libériennes ont été consultées lors d’une réunion technique. Ces consultations ont mené à la conclusion qu’il est dans l’intérêt de l’UE et de la République du Liberia de conclure un nouvel accord de partenariat dans le domaine de la pêche durable, ainsi qu'un protocole.</w:t>
      </w:r>
    </w:p>
    <w:p>
      <w:pPr>
        <w:pStyle w:val="ManualHeading1"/>
        <w:rPr>
          <w:noProof/>
        </w:rPr>
      </w:pPr>
      <w:r>
        <w:rPr>
          <w:noProof/>
        </w:rPr>
        <w:lastRenderedPageBreak/>
        <w:t>3.</w:t>
      </w:r>
      <w:r>
        <w:rPr>
          <w:noProof/>
        </w:rPr>
        <w:tab/>
        <w:t>ÉLÉMENTS JURIDIQUES DE LA PROPOSITION</w:t>
      </w:r>
    </w:p>
    <w:p>
      <w:pPr>
        <w:pBdr>
          <w:top w:val="nil"/>
          <w:left w:val="nil"/>
          <w:bottom w:val="nil"/>
          <w:right w:val="nil"/>
          <w:between w:val="nil"/>
          <w:bar w:val="nil"/>
        </w:pBdr>
        <w:spacing w:before="0" w:after="240"/>
        <w:rPr>
          <w:rFonts w:eastAsia="Arial Unicode MS"/>
          <w:noProof/>
        </w:rPr>
      </w:pPr>
      <w:r>
        <w:rPr>
          <w:noProof/>
        </w:rPr>
        <w:t>La présente procédure est menée en parallèle aux procédures relatives à la décision du Conseil relative à la conclusion, avec l’approbation du Parlement européen, de l’accord de partenariat dans le domaine de la pêche durable entre l’Union européenne et la République du Liberia et de son protocole de mise en œuvre, ainsi qu’au règlement du Conseil relatif à la répartition des possibilités de pêche entre les États membres de l’UE.</w:t>
      </w:r>
    </w:p>
    <w:p>
      <w:pPr>
        <w:pStyle w:val="ManualHeading1"/>
        <w:rPr>
          <w:noProof/>
        </w:rPr>
      </w:pPr>
      <w:r>
        <w:rPr>
          <w:noProof/>
        </w:rPr>
        <w:t>4.</w:t>
      </w:r>
      <w:r>
        <w:rPr>
          <w:noProof/>
        </w:rPr>
        <w:tab/>
        <w:t>INCIDENCES BUDGÉTAIRES</w:t>
      </w:r>
    </w:p>
    <w:p>
      <w:pPr>
        <w:pBdr>
          <w:top w:val="nil"/>
          <w:left w:val="nil"/>
          <w:bottom w:val="nil"/>
          <w:right w:val="nil"/>
          <w:between w:val="nil"/>
          <w:bar w:val="nil"/>
        </w:pBdr>
        <w:spacing w:before="0" w:after="240"/>
        <w:rPr>
          <w:rFonts w:eastAsia="Arial Unicode MS"/>
          <w:noProof/>
        </w:rPr>
      </w:pPr>
      <w:r>
        <w:rPr>
          <w:noProof/>
        </w:rPr>
        <w:t>La contrepartie financière annuelle est de 715 000 EUR pour la première année, de 650 000 EUR pour les deuxième, troisième et quatrième années et de 585 000 EUR pour la cinquième année, sur la base:</w:t>
      </w:r>
    </w:p>
    <w:p>
      <w:pPr>
        <w:pBdr>
          <w:top w:val="nil"/>
          <w:left w:val="nil"/>
          <w:bottom w:val="nil"/>
          <w:right w:val="nil"/>
          <w:between w:val="nil"/>
          <w:bar w:val="nil"/>
        </w:pBdr>
        <w:spacing w:before="0" w:after="240"/>
        <w:rPr>
          <w:rFonts w:eastAsia="Arial Unicode MS"/>
          <w:noProof/>
        </w:rPr>
      </w:pPr>
      <w:r>
        <w:rPr>
          <w:noProof/>
        </w:rPr>
        <w:t>a) d'un tonnage de référence de 6 500 tonnes, pour un montant lié à l’accès de 357 500 EUR pour la première année, de 325 000 EUR pour les deuxième, troisième et quatrième années, et de 292 500 EUR pour la cinquième année; et</w:t>
      </w:r>
    </w:p>
    <w:p>
      <w:pPr>
        <w:pBdr>
          <w:top w:val="nil"/>
          <w:left w:val="nil"/>
          <w:bottom w:val="nil"/>
          <w:right w:val="nil"/>
          <w:between w:val="nil"/>
          <w:bar w:val="nil"/>
        </w:pBdr>
        <w:spacing w:before="0" w:after="240"/>
        <w:rPr>
          <w:noProof/>
        </w:rPr>
      </w:pPr>
      <w:r>
        <w:rPr>
          <w:noProof/>
        </w:rPr>
        <w:t>b) d'un appui au développement de la politique sectorielle des pêches de la République du Liberia, s’élevant à 357 500 EUR pour la première année, à 325 000 EUR pour les deuxième, troisième et quatrième années, et à 292 500 EUR pour la cinquième année. Cet appui répond aux objectifs de la politique nationale en matière de pêche et notamment aux besoins de la République du Liberia liés à la recherche scientifique, à la pêche artisanale et aux activités de contrôle, de surveillance et de lutte contre la pêche illégale.</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de partenariat dans le domaine de la pêche durable entre l’Union européenne et la République du Liberia et de son protocole de mise en œuvre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L’Union européenne et la République du Liberia ont négocié un accord de partenariat dans le domaine de la pêche durable (ci-après dénommé l'«accord»), ainsi qu’un protocole de mise en œuvre de cet accord, accordant aux navires de l’Union des possibilités de pêche dans les eaux sur lesquelles la République du Liberia exerce sa souveraineté ou sa juridiction en matière de pêche. </w:t>
      </w:r>
    </w:p>
    <w:p>
      <w:pPr>
        <w:pStyle w:val="ManualConsidrant"/>
        <w:rPr>
          <w:noProof/>
        </w:rPr>
      </w:pPr>
      <w:r>
        <w:t>(2)</w:t>
      </w:r>
      <w:r>
        <w:tab/>
      </w:r>
      <w:r>
        <w:rPr>
          <w:noProof/>
        </w:rPr>
        <w:t>À l’issue des négociations, l’accord et le protocole de mise en œuvre ont été paraphés le 5 juin 2015.</w:t>
      </w:r>
    </w:p>
    <w:p>
      <w:pPr>
        <w:pStyle w:val="ManualConsidrant"/>
        <w:rPr>
          <w:noProof/>
        </w:rPr>
      </w:pPr>
      <w:r>
        <w:t>(3)</w:t>
      </w:r>
      <w:r>
        <w:tab/>
      </w:r>
      <w:r>
        <w:rPr>
          <w:noProof/>
        </w:rPr>
        <w:t>L’article 15 de l’accord et l’article 12 du protocole de mise en œuvre, respectivement, prévoient leur application provisoire à partir de la date de leur signature.</w:t>
      </w:r>
    </w:p>
    <w:p>
      <w:pPr>
        <w:pStyle w:val="ManualConsidrant"/>
        <w:rPr>
          <w:noProof/>
        </w:rPr>
      </w:pPr>
      <w:r>
        <w:t>(4)</w:t>
      </w:r>
      <w:r>
        <w:tab/>
      </w:r>
      <w:r>
        <w:rPr>
          <w:noProof/>
        </w:rPr>
        <w:t>Par conséquent, il y a lieu de signer l’accord et son protocole de mise en œuvre, sous réserve de leur conclusion.</w:t>
      </w:r>
    </w:p>
    <w:p>
      <w:pPr>
        <w:pStyle w:val="ManualConsidrant"/>
        <w:rPr>
          <w:noProof/>
        </w:rPr>
      </w:pPr>
      <w:r>
        <w:t>(5)</w:t>
      </w:r>
      <w:r>
        <w:tab/>
      </w:r>
      <w:r>
        <w:rPr>
          <w:noProof/>
        </w:rPr>
        <w:t>Afin d’assurer le début rapide des activités de pêche des navires de l’Union, il y a lieu d’appliquer à titre provisoire l’accord et son protocole de mise en œuvre, dans l’attente de l’achèvement des procédures nécessaires à leur entrée en vigueur.</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de l’accord de partenariat dans le domaine de la pêche durable entre l’Union européenne et la République du Liberia et de son protocole de mise en œuvre est autorisée, sous réserve de leur conclusion.</w:t>
      </w:r>
    </w:p>
    <w:p>
      <w:pPr>
        <w:rPr>
          <w:noProof/>
        </w:rPr>
      </w:pPr>
      <w:r>
        <w:rPr>
          <w:noProof/>
        </w:rPr>
        <w:t>Les textes de l’accord et du protocole sont joints à la présente décision en annexes I et II.</w:t>
      </w:r>
    </w:p>
    <w:p>
      <w:pPr>
        <w:pStyle w:val="Titrearticle"/>
        <w:rPr>
          <w:noProof/>
        </w:rPr>
      </w:pPr>
      <w:r>
        <w:rPr>
          <w:noProof/>
        </w:rPr>
        <w:t>Article 2</w:t>
      </w:r>
    </w:p>
    <w:p>
      <w:pPr>
        <w:rPr>
          <w:noProof/>
        </w:rPr>
      </w:pPr>
      <w:r>
        <w:rPr>
          <w:noProof/>
        </w:rPr>
        <w:t>Le Secrétariat Général du Conseil établit les instruments de plein pouvoir autorisant la ou les personnes indiquées par le négociateur de l’accord et du protocole à signer l’accord et le protocole de mise en œuvre, sous réserve de leur conclusion.</w:t>
      </w:r>
    </w:p>
    <w:p>
      <w:pPr>
        <w:pStyle w:val="Titrearticle"/>
        <w:keepNext w:val="0"/>
        <w:rPr>
          <w:noProof/>
        </w:rPr>
      </w:pPr>
      <w:r>
        <w:rPr>
          <w:noProof/>
        </w:rPr>
        <w:lastRenderedPageBreak/>
        <w:t>Article 3</w:t>
      </w:r>
    </w:p>
    <w:p>
      <w:pPr>
        <w:rPr>
          <w:noProof/>
        </w:rPr>
      </w:pPr>
      <w:r>
        <w:rPr>
          <w:noProof/>
        </w:rPr>
        <w:t>L’accord est appliqué à titre provisoire conformément à son article 15, à partir de la date de sa signature, en attendant l’achèvement des procédures nécessaires à son entrée en vigueur.</w:t>
      </w:r>
    </w:p>
    <w:p>
      <w:pPr>
        <w:pStyle w:val="Titrearticle"/>
        <w:keepNext w:val="0"/>
        <w:rPr>
          <w:noProof/>
        </w:rPr>
      </w:pPr>
      <w:r>
        <w:rPr>
          <w:noProof/>
        </w:rPr>
        <w:t>Article 4</w:t>
      </w:r>
    </w:p>
    <w:p>
      <w:pPr>
        <w:rPr>
          <w:noProof/>
        </w:rPr>
      </w:pPr>
      <w:r>
        <w:rPr>
          <w:noProof/>
        </w:rPr>
        <w:t>Le protocole de mise en œuvre est appliqué à titre provisoire conformément à son article 12, à partir de la date de sa signature, en attendant l’achèvement des procédures nécessaires à son entrée en vigueur.</w:t>
      </w:r>
    </w:p>
    <w:p>
      <w:pPr>
        <w:pStyle w:val="Titrearticle"/>
        <w:rPr>
          <w:noProof/>
        </w:rPr>
      </w:pPr>
      <w:r>
        <w:rPr>
          <w:noProof/>
        </w:rPr>
        <w:t>Article 5</w:t>
      </w:r>
    </w:p>
    <w:p>
      <w:pPr>
        <w:rPr>
          <w:noProof/>
        </w:rPr>
      </w:pPr>
      <w:r>
        <w:rPr>
          <w:noProof/>
        </w:rPr>
        <w:t>La présente décision entre en vigueur le troisième jour suivant celui de la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shd w:val="clear" w:color="auto" w:fill="BFBFBF"/>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rPr>
          <w:b w:val="0"/>
          <w:noProof/>
        </w:rPr>
      </w:pPr>
      <w:r>
        <w:rPr>
          <w:noProof/>
        </w:rPr>
        <w:tab/>
      </w:r>
      <w:r>
        <w:rPr>
          <w:b w:val="0"/>
          <w:noProof/>
        </w:rPr>
        <w:t>3.3.</w:t>
      </w:r>
      <w:r>
        <w:rPr>
          <w:noProof/>
        </w:rPr>
        <w:tab/>
      </w:r>
      <w:r>
        <w:rPr>
          <w:b w:val="0"/>
          <w:noProof/>
        </w:rPr>
        <w:t>Incidence estimée sur les recettes</w:t>
      </w: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lastRenderedPageBreak/>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européenne, et à l’application provisoire de l’accord de partenariat dans le domaine de la pêche durable entre l’Union européenne et la République du Liberia et de son protocole de mise en œuvre</w:t>
      </w:r>
    </w:p>
    <w:p>
      <w:pPr>
        <w:pStyle w:val="ManualHeading2"/>
        <w:rPr>
          <w:noProof/>
          <w:szCs w:val="24"/>
        </w:rPr>
      </w:pPr>
      <w:r>
        <w:t>1.2.</w:t>
      </w:r>
      <w:r>
        <w:tab/>
      </w:r>
      <w:r>
        <w:rPr>
          <w:noProof/>
        </w:rPr>
        <w:t>Domaine(s) politique(s) concerné(s) dans la structure ABM/ABB</w:t>
      </w:r>
      <w:r>
        <w:rPr>
          <w:rStyle w:val="FootnoteReference"/>
          <w:noProof/>
        </w:rPr>
        <w:footnoteReference w:id="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rPr>
        <w:t>X</w:t>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noProof/>
        </w:rPr>
        <w:t xml:space="preserve"> La proposition/l’initiative porte sur </w:t>
      </w:r>
      <w:r>
        <w:rPr>
          <w:b/>
          <w:noProof/>
        </w:rPr>
        <w:t>une action nouvelle suite à un projet pilote/une action préparatoire</w:t>
      </w:r>
      <w:r>
        <w:rPr>
          <w:rStyle w:val="FootnoteReference"/>
          <w:b/>
          <w:noProof/>
        </w:rPr>
        <w:footnoteReference w:id="3"/>
      </w:r>
      <w:r>
        <w:rPr>
          <w:noProof/>
          <w:sz w:val="22"/>
        </w:rPr>
        <w:t xml:space="preserve"> </w:t>
      </w:r>
    </w:p>
    <w:p>
      <w:pPr>
        <w:pStyle w:val="Text1"/>
        <w:rPr>
          <w:noProof/>
          <w:sz w:val="22"/>
        </w:rPr>
      </w:pPr>
      <w:r>
        <w:rPr>
          <w:noProof/>
          <w:sz w:val="22"/>
        </w:rPr>
        <w:sym w:font="Wingdings" w:char="F0A8"/>
      </w:r>
      <w:r>
        <w:rPr>
          <w:noProof/>
        </w:rPr>
        <w:t xml:space="preserve"> 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 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Contribuer à la pêche durable dans les eaux en dehors de l’Union, maintenir la présence européenne dans les pêcheries lointaines et protéger les intérêts du secteur </w:t>
      </w:r>
      <w:r>
        <w:rPr>
          <w:noProof/>
        </w:rPr>
        <w:lastRenderedPageBreak/>
        <w:t>européen de la pêche et des consommateurs, à travers la négociation et la conclusion d’APPD avec des États côtiers, en cohérence avec d’autres politiques européennes.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 pour établir un cadre de gouvernance pour les activités de pêche menées par les navires de pêche de l’Union européenne dans les eaux des pays tiers (APD) (ligne budgétaire 11.0301).</w:t>
      </w:r>
    </w:p>
    <w:p>
      <w:pPr>
        <w:pStyle w:val="ManualHeading3"/>
        <w:rPr>
          <w:bCs/>
          <w:noProof/>
          <w:szCs w:val="24"/>
        </w:rPr>
      </w:pPr>
      <w:r>
        <w:rPr>
          <w:noProof/>
        </w:rPr>
        <w:br w:type="page"/>
      </w:r>
      <w:r>
        <w:lastRenderedPageBreak/>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conclusion de l’accord permet d’établir un cadre de partenariat stratégique dans le domaine de la pêche entre l’Union européenne et la République du Liberia. La conclusion du protocole crée des possibilités de pêche pour les navires de l'Union dans la zone de pêche libérienne.</w:t>
      </w:r>
    </w:p>
    <w:p>
      <w:pPr>
        <w:pStyle w:val="Text1"/>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support financier (appui sectoriel) à la mise en œuvre des programmes adoptés au niveau national par le pays partenaire, notamment en matière de contrôle et de lutte contre la pêche illégale.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l’UE et à la stabilisation du marché de l’UE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Nombre de réunions techniques et de réunions de la commission mixte.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Aucun APPD ou protocole n’a jamais été conclu entre l’Union européenne et la République du Liberia. Une évaluation prospective, menée par des experts externes, a conclu qu’un nouvel APPD et un nouveau protocole entre l’UE et la République du Liberia seraient profitables pour les deux parties.</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nouvel accord et le nouveau protocole s’appliquent de manière provisoire à partir de la date de leur signature afin de ne pas retarder le début des opérations de pêche.</w:t>
      </w:r>
    </w:p>
    <w:p>
      <w:pPr>
        <w:pStyle w:val="Text1"/>
        <w:pBdr>
          <w:top w:val="single" w:sz="4" w:space="1" w:color="auto"/>
          <w:left w:val="single" w:sz="4" w:space="4" w:color="auto"/>
          <w:bottom w:val="single" w:sz="4" w:space="1" w:color="auto"/>
          <w:right w:val="single" w:sz="4" w:space="4" w:color="auto"/>
        </w:pBdr>
        <w:rPr>
          <w:noProof/>
        </w:rPr>
      </w:pPr>
      <w:r>
        <w:rPr>
          <w:noProof/>
        </w:rPr>
        <w:t>Le nouveau protocole permettra d’encadrer l’activité de pêche de la flotte européenne dans la zone de pêche libérienne, et autorisera les armateurs européens à demander des licences de pêche leur permettant de pêcher dans cette zone. En outre, le nouveau protocole renforce la coopération entre l’UE et la République du Liberia en vue de promouvoir le développement d’une politique de pêche durable. Il prévoit notamment le suivi des navires par VMS et la communication des données de captures par voie électronique. L’appui sectoriel disponible en vertu du protocole aidera la République du Liberia dans le cadre de sa stratégie nationale en matière de pêche, y compris la lutte contre la pêche INN.</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ce nouvel accord et ce nouveau protocole, la non-intervention de l’UE permettrait l'apparition d'accords privés, qui ne garantiraient pas une pêcherie durable. L’Union européenne espère aussi qu’avec ce protocole, la République du </w:t>
      </w:r>
      <w:r>
        <w:rPr>
          <w:noProof/>
        </w:rPr>
        <w:lastRenderedPageBreak/>
        <w:t>Liberia continuera à coopérer efficacement avec l’UE notamment en matière de lutte contre la pêche illégale.</w:t>
      </w:r>
    </w:p>
    <w:p>
      <w:pPr>
        <w:pStyle w:val="ManualHeading3"/>
        <w:rPr>
          <w:bCs/>
          <w:noProof/>
          <w:szCs w:val="24"/>
        </w:rPr>
      </w:pPr>
      <w:r>
        <w:t>1.5.3.</w:t>
      </w:r>
      <w:r>
        <w:tab/>
      </w:r>
      <w:r>
        <w:rPr>
          <w:noProof/>
        </w:rPr>
        <w:t>Enseignements tirés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L’analyse des captures historiques dans la zone de pêche libérienne et des captures récentes dans le cadre de protocoles similaires dans la région, ainsi que les évaluations et avis scientifiques disponibles, ont conduit les parties à fixer le tonnage de référence pour les thonidés et espèces apparentées à 6500 tonnes par an avec des possibilités de pêche pour 28 senneurs à senne coulissante et 6 palangriers de surface. L’appui sectoriel est relativement important afin de tenir compte des exigences en termes de renforcement des capacités de l’administration des pêches libérienne et des priorités de la stratégie nationale en matière de pêche.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Les fonds versés au titre des APPD constituent des recettes fongibles dans les budgets des pays tiers partenaires. Toutefois la destination d’une partie de ces fonds à la mise en œuvre d’actions dans le cadre de la politique sectorielle du pays est une condition pour la conclusion et le suivi des APPD. Ces ressources financières sont compatibles avec d’autres sources de financement en provenance d’autres bailleurs de fonds internationaux pour la réalisation de projets et/ou des programmes réalisés au niveau national dans le secteur de la pêche.</w:t>
      </w:r>
    </w:p>
    <w:p>
      <w:pPr>
        <w:pStyle w:val="ManualHeading2"/>
        <w:rPr>
          <w:bCs/>
          <w:noProof/>
          <w:szCs w:val="24"/>
        </w:rPr>
      </w:pPr>
      <w:r>
        <w:rPr>
          <w:noProof/>
        </w:rPr>
        <w:br w:type="page"/>
      </w:r>
      <w:r>
        <w:lastRenderedPageBreak/>
        <w:t>1.6.</w:t>
      </w:r>
      <w:r>
        <w:tab/>
      </w:r>
      <w:r>
        <w:rPr>
          <w:noProof/>
        </w:rPr>
        <w:t xml:space="preserve">Durée et incidence financière </w:t>
      </w:r>
    </w:p>
    <w:p>
      <w:pPr>
        <w:pStyle w:val="Text1"/>
        <w:rPr>
          <w:noProof/>
        </w:rPr>
      </w:pPr>
      <w:r>
        <w:rPr>
          <w:noProof/>
        </w:rPr>
        <w:t xml:space="preserve">X Proposition/initiative à </w:t>
      </w:r>
      <w:r>
        <w:rPr>
          <w:b/>
          <w:noProof/>
        </w:rPr>
        <w:t xml:space="preserve">durée limitée </w:t>
      </w:r>
    </w:p>
    <w:p>
      <w:pPr>
        <w:pStyle w:val="ListDash2"/>
        <w:rPr>
          <w:noProof/>
        </w:rPr>
      </w:pPr>
      <w:r>
        <w:rPr>
          <w:noProof/>
        </w:rPr>
        <w:t>X</w:t>
      </w:r>
      <w:r>
        <w:rPr>
          <w:noProof/>
        </w:rPr>
        <w:tab/>
        <w:t>Proposition/initiative en vigueur à partir de 2015 jusqu’en 2020</w:t>
      </w:r>
    </w:p>
    <w:p>
      <w:pPr>
        <w:pStyle w:val="ListDash2"/>
        <w:rPr>
          <w:noProof/>
        </w:rPr>
      </w:pPr>
      <w:r>
        <w:rPr>
          <w:noProof/>
        </w:rPr>
        <w:sym w:font="Wingdings" w:char="F0A8"/>
      </w:r>
      <w:r>
        <w:rPr>
          <w:noProof/>
        </w:rPr>
        <w:tab/>
        <w:t>Incidence financière de 2015 à 2019</w:t>
      </w:r>
    </w:p>
    <w:p>
      <w:pPr>
        <w:pStyle w:val="Text1"/>
        <w:rPr>
          <w:noProof/>
        </w:rPr>
      </w:pPr>
      <w:r>
        <w:rPr>
          <w:noProof/>
        </w:rPr>
        <w:sym w:font="Wingdings" w:char="F0A8"/>
      </w:r>
      <w:r>
        <w:rPr>
          <w:noProof/>
        </w:rPr>
        <w:t xml:space="preserve"> 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4"/>
      </w:r>
      <w:r>
        <w:rPr>
          <w:rStyle w:val="FootnoteReference"/>
          <w:noProof/>
        </w:rPr>
        <w:t xml:space="preserve"> </w:t>
      </w:r>
    </w:p>
    <w:p>
      <w:pPr>
        <w:pStyle w:val="Text1"/>
        <w:rPr>
          <w:noProof/>
        </w:rPr>
      </w:pPr>
      <w:r>
        <w:rPr>
          <w:noProof/>
        </w:rPr>
        <w:t xml:space="preserve">X </w:t>
      </w:r>
      <w:r>
        <w:rPr>
          <w:b/>
          <w:noProof/>
        </w:rPr>
        <w:t>Gestion directe</w:t>
      </w:r>
      <w:r>
        <w:rPr>
          <w:noProof/>
        </w:rPr>
        <w:t xml:space="preserve"> par la Commission</w:t>
      </w:r>
    </w:p>
    <w:p>
      <w:pPr>
        <w:pStyle w:val="ListDash2"/>
        <w:rPr>
          <w:rFonts w:cs="EUAlbertina"/>
          <w:noProof/>
        </w:rPr>
      </w:pPr>
      <w:r>
        <w:rPr>
          <w:noProof/>
        </w:rPr>
        <w:t xml:space="preserve">X par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basé dans la région) assurera un suivi régulier de la mise en œuvre du protocole, notamment en termes d’utilisation par les opérateurs des possibilités de pêche et en termes de données de captures. </w:t>
      </w:r>
    </w:p>
    <w:p>
      <w:pPr>
        <w:pStyle w:val="Text1"/>
        <w:pBdr>
          <w:top w:val="single" w:sz="4" w:space="1" w:color="auto"/>
          <w:left w:val="single" w:sz="4" w:space="4" w:color="auto"/>
          <w:bottom w:val="single" w:sz="4" w:space="1" w:color="auto"/>
          <w:right w:val="single" w:sz="4" w:space="4" w:color="auto"/>
        </w:pBdr>
        <w:rPr>
          <w:noProof/>
        </w:rPr>
      </w:pPr>
      <w:r>
        <w:rPr>
          <w:noProof/>
        </w:rPr>
        <w:t>En outre, l’APPD prévoit au moins une réunion annuelle de la commission mixte pendant laquelle la Commission et la République du Liberia font le point sur la mise en œuvre de l’accord et de son protocole et apportent, si nécessaire, des ajustements à la programmation et, le cas échéant, à la contrepartie financière.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d’un nouvel accord et d'un nouveau protocole de pêche s’accompagne d’un certain nombre de risques, notamment concernant les montants destinés au financement de la politique sectorielle de la pêche (sous-programmation).</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Il est prévu un dialogue soutenu sur la programmation et la mise en œuvre de la politique sectorielle prévue par l’accord et le protocole. L’analyse conjointe des résultats indiquée à l’article 4 du protocole fait également partie de ces moyens de contrôle.</w:t>
      </w:r>
    </w:p>
    <w:p>
      <w:pPr>
        <w:pStyle w:val="Text1"/>
        <w:pBdr>
          <w:top w:val="single" w:sz="4" w:space="1" w:color="auto"/>
          <w:left w:val="single" w:sz="4" w:space="4" w:color="auto"/>
          <w:bottom w:val="single" w:sz="4" w:space="1" w:color="auto"/>
          <w:right w:val="single" w:sz="4" w:space="4" w:color="auto"/>
        </w:pBdr>
        <w:rPr>
          <w:noProof/>
        </w:rPr>
      </w:pPr>
      <w:r>
        <w:rPr>
          <w:noProof/>
        </w:rPr>
        <w:t>Par ailleurs l’accord et le protocole prévoient des clauses spécifiques pour leur suspension, à certaines conditions et dans des circonstances déterminées.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la République du Liberia afin de pouvoir améliorer la gestion de l’accord et du protocole et de renforcer la contribution de l’UE à la gestion durable des ressources. Dans tous les cas, tout paiement effectué par la Commission dans le cadre d’un APPD est soumis aux règles et aux procédures budgétaires et financières normales de la Commission. Ceci permet, notamment, d’identifier de manière complète les comptes bancaires des pays tiers sur lesquels sont versés les montants de la contrepartie financière. Pour le protocole en objet, l’article 3 paragraphe 8, établit que la contrepartie financière doit être versée dans son intégralité sur un compte en banque du Trésor public ouvert auprès de la Banque Centrale du Liberia.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lastRenderedPageBreak/>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rPr>
              <w:t xml:space="preserve">Nature </w:t>
            </w:r>
            <w:r>
              <w:rPr>
                <w:noProof/>
              </w:rPr>
              <w:br/>
            </w:r>
            <w:r>
              <w:rPr>
                <w:noProof/>
                <w:sz w:val="18"/>
              </w:rPr>
              <w:t>de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w:t>
            </w:r>
            <w:r>
              <w:rPr>
                <w:noProof/>
              </w:rPr>
              <w:br/>
              <w:t>[Libellé………………………...………]</w:t>
            </w:r>
          </w:p>
        </w:tc>
        <w:tc>
          <w:tcPr>
            <w:tcW w:w="1080" w:type="dxa"/>
            <w:vAlign w:val="center"/>
          </w:tcPr>
          <w:p>
            <w:pPr>
              <w:jc w:val="center"/>
              <w:rPr>
                <w:noProof/>
              </w:rPr>
            </w:pPr>
            <w:r>
              <w:rPr>
                <w:noProof/>
              </w:rPr>
              <w:t>CD/CND</w:t>
            </w:r>
            <w:r>
              <w:rPr>
                <w:rStyle w:val="FootnoteReference"/>
                <w:noProof/>
              </w:rPr>
              <w:footnoteReference w:id="5"/>
            </w:r>
          </w:p>
        </w:tc>
        <w:tc>
          <w:tcPr>
            <w:tcW w:w="956" w:type="dxa"/>
            <w:vAlign w:val="center"/>
          </w:tcPr>
          <w:p>
            <w:pPr>
              <w:jc w:val="center"/>
              <w:rPr>
                <w:noProof/>
              </w:rPr>
            </w:pPr>
            <w:r>
              <w:rPr>
                <w:noProof/>
                <w:sz w:val="18"/>
              </w:rPr>
              <w:t>de pays AELE</w:t>
            </w:r>
            <w:r>
              <w:rPr>
                <w:rStyle w:val="FootnoteReference"/>
                <w:noProof/>
                <w:sz w:val="18"/>
              </w:rPr>
              <w:footnoteReference w:id="6"/>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rPr>
                <w:noProof/>
              </w:rPr>
            </w:pPr>
            <w:r>
              <w:rPr>
                <w:noProof/>
              </w:rPr>
              <w:t>11.010401</w:t>
            </w:r>
          </w:p>
          <w:p>
            <w:pPr>
              <w:spacing w:before="60"/>
              <w:rPr>
                <w:noProof/>
              </w:rPr>
            </w:pPr>
            <w:r>
              <w:rPr>
                <w:noProof/>
              </w:rPr>
              <w:t>Dépenses d’appui pour les affaires maritimes et la pêche — Assistance technique et administrative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r>
    </w:tbl>
    <w:p>
      <w:pPr>
        <w:pStyle w:val="ListBullet1"/>
        <w:rPr>
          <w:noProof/>
        </w:rPr>
      </w:pPr>
      <w:r>
        <w:rPr>
          <w:noProof/>
        </w:rPr>
        <w:t>Nouvelles lignes budgétaires, dont la création est demandée</w:t>
      </w:r>
    </w:p>
    <w:p>
      <w:pPr>
        <w:pStyle w:val="Text1"/>
        <w:rPr>
          <w:i/>
          <w:noProof/>
          <w:sz w:val="20"/>
        </w:rPr>
      </w:pPr>
      <w:r>
        <w:rPr>
          <w:i/>
          <w:noProof/>
          <w:u w:val="single"/>
        </w:rPr>
        <w:t>Dans l’ordre</w:t>
      </w:r>
      <w:r>
        <w:rPr>
          <w:i/>
          <w:noProof/>
        </w:rPr>
        <w:t xml:space="preserve"> des rubriques du cadre financier pluriannuel et des lignes budgétaires</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rPr>
              <w:t>Nature</w:t>
            </w:r>
            <w:r>
              <w:rPr>
                <w:noProof/>
              </w:rPr>
              <w:br/>
            </w:r>
            <w:r>
              <w:rPr>
                <w:noProof/>
                <w:sz w:val="18"/>
              </w:rPr>
              <w:t>de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w:t>
            </w:r>
            <w:r>
              <w:rPr>
                <w:noProof/>
              </w:rPr>
              <w:b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lastRenderedPageBreak/>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 2</w:t>
            </w:r>
          </w:p>
        </w:tc>
        <w:tc>
          <w:tcPr>
            <w:tcW w:w="7817" w:type="dxa"/>
            <w:vAlign w:val="center"/>
          </w:tcPr>
          <w:p>
            <w:pPr>
              <w:spacing w:before="60" w:after="60"/>
              <w:rPr>
                <w:noProof/>
              </w:rPr>
            </w:pPr>
            <w:r>
              <w:rPr>
                <w:noProof/>
              </w:rPr>
              <w:t>Croissance durable: ressources naturelles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tc>
          <w:tcPr>
            <w:tcW w:w="3960" w:type="dxa"/>
            <w:vAlign w:val="center"/>
          </w:tcPr>
          <w:p>
            <w:pPr>
              <w:jc w:val="center"/>
              <w:rPr>
                <w:noProof/>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b/>
                <w:noProof/>
                <w:sz w:val="20"/>
              </w:rPr>
            </w:pPr>
            <w:r>
              <w:rPr>
                <w:noProof/>
              </w:rPr>
              <w:t>Année</w:t>
            </w:r>
            <w:r>
              <w:rPr>
                <w:noProof/>
              </w:rPr>
              <w:br/>
            </w:r>
            <w:r>
              <w:rPr>
                <w:b/>
                <w:noProof/>
                <w:sz w:val="20"/>
              </w:rPr>
              <w:t>N</w:t>
            </w:r>
            <w:r>
              <w:rPr>
                <w:rStyle w:val="FootnoteReference"/>
                <w:b/>
                <w:noProof/>
                <w:sz w:val="20"/>
              </w:rPr>
              <w:footnoteReference w:id="8"/>
            </w:r>
          </w:p>
          <w:p>
            <w:pPr>
              <w:jc w:val="center"/>
              <w:rPr>
                <w:noProof/>
                <w:sz w:val="20"/>
              </w:rPr>
            </w:pPr>
            <w:r>
              <w:rPr>
                <w:b/>
                <w:noProof/>
                <w:sz w:val="20"/>
              </w:rPr>
              <w:t>2015</w:t>
            </w:r>
          </w:p>
        </w:tc>
        <w:tc>
          <w:tcPr>
            <w:tcW w:w="868" w:type="dxa"/>
            <w:vAlign w:val="center"/>
          </w:tcPr>
          <w:p>
            <w:pPr>
              <w:jc w:val="center"/>
              <w:rPr>
                <w:b/>
                <w:noProof/>
                <w:sz w:val="20"/>
              </w:rPr>
            </w:pPr>
            <w:r>
              <w:rPr>
                <w:noProof/>
              </w:rPr>
              <w:t>Année</w:t>
            </w:r>
            <w:r>
              <w:rPr>
                <w:noProof/>
              </w:rPr>
              <w:br/>
            </w:r>
            <w:r>
              <w:rPr>
                <w:b/>
                <w:noProof/>
                <w:sz w:val="20"/>
              </w:rPr>
              <w:t>N+1</w:t>
            </w:r>
          </w:p>
          <w:p>
            <w:pPr>
              <w:jc w:val="center"/>
              <w:rPr>
                <w:noProof/>
                <w:sz w:val="20"/>
              </w:rPr>
            </w:pPr>
            <w:r>
              <w:rPr>
                <w:b/>
                <w:noProof/>
                <w:sz w:val="20"/>
              </w:rPr>
              <w:t>2016</w:t>
            </w:r>
          </w:p>
        </w:tc>
        <w:tc>
          <w:tcPr>
            <w:tcW w:w="868" w:type="dxa"/>
            <w:vAlign w:val="center"/>
          </w:tcPr>
          <w:p>
            <w:pPr>
              <w:jc w:val="center"/>
              <w:rPr>
                <w:b/>
                <w:noProof/>
                <w:sz w:val="20"/>
              </w:rPr>
            </w:pPr>
            <w:r>
              <w:rPr>
                <w:noProof/>
              </w:rPr>
              <w:t>Année</w:t>
            </w:r>
            <w:r>
              <w:rPr>
                <w:noProof/>
              </w:rPr>
              <w:br/>
            </w:r>
            <w:r>
              <w:rPr>
                <w:b/>
                <w:noProof/>
                <w:sz w:val="20"/>
              </w:rPr>
              <w:t>N+2</w:t>
            </w:r>
          </w:p>
          <w:p>
            <w:pPr>
              <w:jc w:val="center"/>
              <w:rPr>
                <w:noProof/>
                <w:sz w:val="20"/>
              </w:rPr>
            </w:pPr>
            <w:r>
              <w:rPr>
                <w:b/>
                <w:noProof/>
                <w:sz w:val="20"/>
              </w:rPr>
              <w:t>2017</w:t>
            </w:r>
          </w:p>
        </w:tc>
        <w:tc>
          <w:tcPr>
            <w:tcW w:w="868" w:type="dxa"/>
            <w:vAlign w:val="center"/>
          </w:tcPr>
          <w:p>
            <w:pPr>
              <w:jc w:val="center"/>
              <w:rPr>
                <w:b/>
                <w:noProof/>
                <w:sz w:val="20"/>
              </w:rPr>
            </w:pPr>
            <w:r>
              <w:rPr>
                <w:noProof/>
              </w:rPr>
              <w:t>Année</w:t>
            </w:r>
            <w:r>
              <w:rPr>
                <w:noProof/>
              </w:rPr>
              <w:br/>
            </w:r>
            <w:r>
              <w:rPr>
                <w:b/>
                <w:noProof/>
                <w:sz w:val="20"/>
              </w:rPr>
              <w:t>N+3</w:t>
            </w:r>
          </w:p>
          <w:p>
            <w:pPr>
              <w:jc w:val="center"/>
              <w:rPr>
                <w:noProof/>
                <w:sz w:val="20"/>
              </w:rPr>
            </w:pPr>
            <w:r>
              <w:rPr>
                <w:b/>
                <w:noProof/>
                <w:sz w:val="20"/>
              </w:rPr>
              <w:t>2018</w:t>
            </w:r>
          </w:p>
        </w:tc>
        <w:tc>
          <w:tcPr>
            <w:tcW w:w="868" w:type="dxa"/>
            <w:vAlign w:val="center"/>
          </w:tcPr>
          <w:p>
            <w:pPr>
              <w:jc w:val="center"/>
              <w:rPr>
                <w:b/>
                <w:noProof/>
                <w:sz w:val="20"/>
              </w:rPr>
            </w:pPr>
            <w:r>
              <w:rPr>
                <w:noProof/>
              </w:rPr>
              <w:t>Année</w:t>
            </w:r>
            <w:r>
              <w:rPr>
                <w:noProof/>
              </w:rPr>
              <w:br/>
            </w:r>
            <w:r>
              <w:rPr>
                <w:b/>
                <w:noProof/>
                <w:sz w:val="20"/>
              </w:rPr>
              <w:t>N+4</w:t>
            </w:r>
          </w:p>
          <w:p>
            <w:pPr>
              <w:jc w:val="center"/>
              <w:rPr>
                <w:b/>
                <w:noProof/>
                <w:sz w:val="18"/>
              </w:rPr>
            </w:pPr>
            <w:r>
              <w:rPr>
                <w:b/>
                <w:noProof/>
                <w:sz w:val="20"/>
              </w:rPr>
              <w:t>2019</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 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9"/>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Numéro de ligne budgétaire 11.010401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0,097</w:t>
            </w:r>
          </w:p>
        </w:tc>
        <w:tc>
          <w:tcPr>
            <w:tcW w:w="1777" w:type="dxa"/>
            <w:vAlign w:val="center"/>
          </w:tcPr>
          <w:p>
            <w:pPr>
              <w:spacing w:before="40" w:after="40"/>
              <w:jc w:val="right"/>
              <w:rPr>
                <w:b/>
                <w:noProof/>
                <w:sz w:val="20"/>
              </w:rPr>
            </w:pPr>
            <w:r>
              <w:rPr>
                <w:b/>
                <w:noProof/>
                <w:sz w:val="20"/>
              </w:rPr>
              <w:t>0,245</w:t>
            </w: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 xml:space="preserve">pour la DG </w:t>
            </w:r>
            <w:r>
              <w:rPr>
                <w:noProof/>
                <w:sz w:val="22"/>
              </w:rPr>
              <w:t>&lt;…….&gt;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0,715</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0,650</w:t>
            </w:r>
          </w:p>
        </w:tc>
        <w:tc>
          <w:tcPr>
            <w:tcW w:w="868" w:type="dxa"/>
            <w:vAlign w:val="center"/>
          </w:tcPr>
          <w:p>
            <w:pPr>
              <w:spacing w:before="20" w:after="20"/>
              <w:jc w:val="right"/>
              <w:rPr>
                <w:noProof/>
                <w:sz w:val="20"/>
              </w:rPr>
            </w:pPr>
            <w:r>
              <w:rPr>
                <w:noProof/>
                <w:sz w:val="20"/>
              </w:rPr>
              <w:t>0,585</w:t>
            </w:r>
          </w:p>
        </w:tc>
        <w:tc>
          <w:tcPr>
            <w:tcW w:w="1777" w:type="dxa"/>
            <w:vAlign w:val="center"/>
          </w:tcPr>
          <w:p>
            <w:pPr>
              <w:spacing w:before="20" w:after="20"/>
              <w:jc w:val="right"/>
              <w:rPr>
                <w:b/>
                <w:noProof/>
                <w:sz w:val="20"/>
              </w:rPr>
            </w:pPr>
            <w:r>
              <w:rPr>
                <w:b/>
                <w:noProof/>
                <w:sz w:val="20"/>
              </w:rPr>
              <w:t>3,250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0,037</w:t>
            </w:r>
          </w:p>
        </w:tc>
        <w:tc>
          <w:tcPr>
            <w:tcW w:w="868" w:type="dxa"/>
            <w:vAlign w:val="center"/>
          </w:tcPr>
          <w:p>
            <w:pPr>
              <w:spacing w:before="40" w:after="40"/>
              <w:jc w:val="right"/>
              <w:rPr>
                <w:b/>
                <w:noProof/>
                <w:sz w:val="20"/>
              </w:rPr>
            </w:pPr>
            <w:r>
              <w:rPr>
                <w:b/>
                <w:noProof/>
                <w:sz w:val="20"/>
              </w:rPr>
              <w:t>0,097</w:t>
            </w:r>
          </w:p>
        </w:tc>
        <w:tc>
          <w:tcPr>
            <w:tcW w:w="1777" w:type="dxa"/>
            <w:vAlign w:val="center"/>
          </w:tcPr>
          <w:p>
            <w:pPr>
              <w:spacing w:before="40" w:after="40"/>
              <w:jc w:val="right"/>
              <w:rPr>
                <w:b/>
                <w:noProof/>
                <w:sz w:val="20"/>
              </w:rPr>
            </w:pPr>
            <w:r>
              <w:rPr>
                <w:b/>
                <w:noProof/>
                <w:sz w:val="20"/>
              </w:rPr>
              <w:t>0,245</w:t>
            </w:r>
          </w:p>
        </w:tc>
      </w:tr>
      <w:tr>
        <w:tc>
          <w:tcPr>
            <w:tcW w:w="3960" w:type="dxa"/>
            <w:vMerge w:val="restart"/>
            <w:shd w:val="thinDiagStripe" w:color="C0C0C0" w:fill="auto"/>
            <w:vAlign w:val="center"/>
          </w:tcPr>
          <w:p>
            <w:pPr>
              <w:jc w:val="center"/>
              <w:rPr>
                <w:b/>
                <w:noProof/>
              </w:rPr>
            </w:pPr>
            <w:r>
              <w:rPr>
                <w:b/>
                <w:noProof/>
                <w:sz w:val="22"/>
              </w:rPr>
              <w:t>TOTAL des crédits</w:t>
            </w:r>
            <w:r>
              <w:rPr>
                <w:noProof/>
              </w:rPr>
              <w:br/>
            </w:r>
            <w:r>
              <w:rPr>
                <w:b/>
                <w:noProof/>
                <w:sz w:val="22"/>
              </w:rPr>
              <w:t>pour la RUBRIQUE 2&gt;</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0,752</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0,687</w:t>
            </w:r>
          </w:p>
        </w:tc>
        <w:tc>
          <w:tcPr>
            <w:tcW w:w="868" w:type="dxa"/>
            <w:vAlign w:val="center"/>
          </w:tcPr>
          <w:p>
            <w:pPr>
              <w:spacing w:before="20" w:after="20"/>
              <w:jc w:val="right"/>
              <w:rPr>
                <w:noProof/>
                <w:sz w:val="20"/>
              </w:rPr>
            </w:pPr>
            <w:r>
              <w:rPr>
                <w:noProof/>
                <w:sz w:val="20"/>
              </w:rPr>
              <w:t>0,682</w:t>
            </w:r>
          </w:p>
        </w:tc>
        <w:tc>
          <w:tcPr>
            <w:tcW w:w="1777" w:type="dxa"/>
            <w:vAlign w:val="center"/>
          </w:tcPr>
          <w:p>
            <w:pPr>
              <w:spacing w:before="20" w:after="20"/>
              <w:jc w:val="right"/>
              <w:rPr>
                <w:b/>
                <w:noProof/>
                <w:sz w:val="20"/>
              </w:rPr>
            </w:pPr>
            <w:r>
              <w:rPr>
                <w:b/>
                <w:noProof/>
                <w:sz w:val="20"/>
              </w:rPr>
              <w:t>3,495</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tcBorders>
            <w:vAlign w:val="center"/>
          </w:tcPr>
          <w:p>
            <w:pPr>
              <w:spacing w:before="20" w:after="20"/>
              <w:rPr>
                <w:noProof/>
              </w:rPr>
            </w:pPr>
            <w:r>
              <w:rPr>
                <w:noProof/>
                <w:sz w:val="21"/>
              </w:rPr>
              <w:sym w:font="Wingdings" w:char="F09F"/>
            </w:r>
            <w:r>
              <w:rPr>
                <w:noProof/>
              </w:rPr>
              <w:t xml:space="preserve"> TOTAL des crédits opérationnels</w:t>
            </w: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1777" w:type="dxa"/>
            <w:tcBorders>
              <w:top w:val="single" w:sz="4" w:space="0" w:color="auto"/>
              <w:bottom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auto"/>
              <w:left w:val="single" w:sz="4" w:space="0" w:color="auto"/>
              <w:bottom w:val="single" w:sz="4" w:space="0" w:color="FF0000"/>
            </w:tcBorders>
          </w:tcPr>
          <w:p>
            <w:pPr>
              <w:jc w:val="center"/>
              <w:rPr>
                <w:noProof/>
                <w:sz w:val="20"/>
              </w:rPr>
            </w:pPr>
          </w:p>
        </w:tc>
        <w:tc>
          <w:tcPr>
            <w:tcW w:w="1440" w:type="dxa"/>
            <w:tcBorders>
              <w:top w:val="single" w:sz="4" w:space="0" w:color="auto"/>
            </w:tcBorders>
            <w:vAlign w:val="center"/>
          </w:tcPr>
          <w:p>
            <w:pPr>
              <w:spacing w:beforeLines="20" w:before="48" w:afterLines="20" w:after="48"/>
              <w:rPr>
                <w:noProof/>
                <w:sz w:val="18"/>
              </w:rPr>
            </w:pPr>
            <w:r>
              <w:rPr>
                <w:noProof/>
                <w:sz w:val="18"/>
              </w:rPr>
              <w:t>Paiements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(5)</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tcBorders>
            <w:vAlign w:val="center"/>
          </w:tcPr>
          <w:p>
            <w:pPr>
              <w:spacing w:before="20" w:after="20"/>
              <w:jc w:val="right"/>
              <w:rPr>
                <w:b/>
                <w:noProof/>
                <w:sz w:val="20"/>
              </w:rPr>
            </w:pPr>
          </w:p>
        </w:tc>
      </w:tr>
      <w:tr>
        <w:tc>
          <w:tcPr>
            <w:tcW w:w="3960" w:type="dxa"/>
            <w:vMerge w:val="restart"/>
            <w:tcBorders>
              <w:top w:val="single" w:sz="4" w:space="0" w:color="auto"/>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b/>
                <w:noProof/>
              </w:rPr>
              <w:t>pour les RUBRIQUES 1 à 4</w:t>
            </w:r>
            <w:r>
              <w:rPr>
                <w:noProof/>
              </w:rPr>
              <w:br/>
            </w:r>
            <w:r>
              <w:rPr>
                <w:noProof/>
                <w:sz w:val="22"/>
              </w:rPr>
              <w:t>du cadre financier pluriannuel</w:t>
            </w:r>
            <w:r>
              <w:rPr>
                <w:noProof/>
                <w:sz w:val="22"/>
              </w:rPr>
              <w:br/>
            </w:r>
            <w:r>
              <w:rPr>
                <w:noProof/>
                <w:sz w:val="20"/>
              </w:rPr>
              <w:t>(Montant de référence)</w:t>
            </w:r>
          </w:p>
        </w:tc>
        <w:tc>
          <w:tcPr>
            <w:tcW w:w="1440" w:type="dxa"/>
            <w:tcBorders>
              <w:top w:val="single" w:sz="4" w:space="0" w:color="auto"/>
            </w:tcBorders>
            <w:vAlign w:val="center"/>
          </w:tcPr>
          <w:p>
            <w:pPr>
              <w:rPr>
                <w:noProof/>
                <w:sz w:val="18"/>
              </w:rPr>
            </w:pPr>
            <w:r>
              <w:rPr>
                <w:noProof/>
                <w:sz w:val="18"/>
              </w:rPr>
              <w:t>Engagements</w:t>
            </w:r>
          </w:p>
        </w:tc>
        <w:tc>
          <w:tcPr>
            <w:tcW w:w="654" w:type="dxa"/>
            <w:tcBorders>
              <w:top w:val="single" w:sz="4" w:space="0" w:color="auto"/>
            </w:tcBorders>
            <w:vAlign w:val="center"/>
          </w:tcPr>
          <w:p>
            <w:pPr>
              <w:jc w:val="center"/>
              <w:rPr>
                <w:noProof/>
                <w:sz w:val="14"/>
              </w:rPr>
            </w:pPr>
            <w:r>
              <w:rPr>
                <w:noProof/>
                <w:sz w:val="14"/>
              </w:rPr>
              <w:t>=4+ 6</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rPr>
              <w:t>Année</w:t>
            </w:r>
            <w:r>
              <w:rPr>
                <w:noProof/>
              </w:rPr>
              <w:br/>
            </w:r>
            <w:r>
              <w:rPr>
                <w:b/>
                <w:noProof/>
                <w:sz w:val="20"/>
              </w:rPr>
              <w:t>N</w:t>
            </w:r>
          </w:p>
          <w:p>
            <w:pPr>
              <w:jc w:val="center"/>
              <w:rPr>
                <w:noProof/>
                <w:sz w:val="20"/>
              </w:rPr>
            </w:pPr>
            <w:r>
              <w:rPr>
                <w:b/>
                <w:noProof/>
                <w:sz w:val="20"/>
              </w:rPr>
              <w:t>2015</w:t>
            </w:r>
          </w:p>
        </w:tc>
        <w:tc>
          <w:tcPr>
            <w:tcW w:w="868" w:type="dxa"/>
            <w:vAlign w:val="center"/>
          </w:tcPr>
          <w:p>
            <w:pPr>
              <w:jc w:val="center"/>
              <w:rPr>
                <w:b/>
                <w:noProof/>
                <w:sz w:val="20"/>
              </w:rPr>
            </w:pPr>
            <w:r>
              <w:rPr>
                <w:noProof/>
              </w:rPr>
              <w:t>Année</w:t>
            </w:r>
            <w:r>
              <w:rPr>
                <w:noProof/>
              </w:rPr>
              <w:br/>
            </w:r>
            <w:r>
              <w:rPr>
                <w:b/>
                <w:noProof/>
                <w:sz w:val="20"/>
              </w:rPr>
              <w:t>N+1</w:t>
            </w:r>
          </w:p>
          <w:p>
            <w:pPr>
              <w:jc w:val="center"/>
              <w:rPr>
                <w:noProof/>
                <w:sz w:val="20"/>
              </w:rPr>
            </w:pPr>
            <w:r>
              <w:rPr>
                <w:b/>
                <w:noProof/>
                <w:sz w:val="20"/>
              </w:rPr>
              <w:t>2016</w:t>
            </w:r>
          </w:p>
        </w:tc>
        <w:tc>
          <w:tcPr>
            <w:tcW w:w="868" w:type="dxa"/>
            <w:vAlign w:val="center"/>
          </w:tcPr>
          <w:p>
            <w:pPr>
              <w:jc w:val="center"/>
              <w:rPr>
                <w:b/>
                <w:noProof/>
                <w:sz w:val="20"/>
              </w:rPr>
            </w:pPr>
            <w:r>
              <w:rPr>
                <w:noProof/>
              </w:rPr>
              <w:t>Année</w:t>
            </w:r>
            <w:r>
              <w:rPr>
                <w:noProof/>
              </w:rPr>
              <w:br/>
            </w:r>
            <w:r>
              <w:rPr>
                <w:b/>
                <w:noProof/>
                <w:sz w:val="20"/>
              </w:rPr>
              <w:t>N+2</w:t>
            </w:r>
          </w:p>
          <w:p>
            <w:pPr>
              <w:jc w:val="center"/>
              <w:rPr>
                <w:noProof/>
                <w:sz w:val="20"/>
              </w:rPr>
            </w:pPr>
            <w:r>
              <w:rPr>
                <w:b/>
                <w:noProof/>
                <w:sz w:val="20"/>
              </w:rPr>
              <w:t>2017</w:t>
            </w:r>
          </w:p>
        </w:tc>
        <w:tc>
          <w:tcPr>
            <w:tcW w:w="868" w:type="dxa"/>
            <w:vAlign w:val="center"/>
          </w:tcPr>
          <w:p>
            <w:pPr>
              <w:jc w:val="center"/>
              <w:rPr>
                <w:b/>
                <w:noProof/>
                <w:sz w:val="20"/>
              </w:rPr>
            </w:pPr>
            <w:r>
              <w:rPr>
                <w:noProof/>
              </w:rPr>
              <w:t>Année</w:t>
            </w:r>
            <w:r>
              <w:rPr>
                <w:noProof/>
              </w:rPr>
              <w:br/>
            </w:r>
            <w:r>
              <w:rPr>
                <w:b/>
                <w:noProof/>
                <w:sz w:val="20"/>
              </w:rPr>
              <w:t>N+3</w:t>
            </w:r>
          </w:p>
          <w:p>
            <w:pPr>
              <w:jc w:val="center"/>
              <w:rPr>
                <w:noProof/>
                <w:sz w:val="20"/>
              </w:rPr>
            </w:pPr>
            <w:r>
              <w:rPr>
                <w:b/>
                <w:noProof/>
                <w:sz w:val="20"/>
              </w:rPr>
              <w:t>2018</w:t>
            </w:r>
          </w:p>
        </w:tc>
        <w:tc>
          <w:tcPr>
            <w:tcW w:w="868" w:type="dxa"/>
            <w:vAlign w:val="center"/>
          </w:tcPr>
          <w:p>
            <w:pPr>
              <w:jc w:val="center"/>
              <w:rPr>
                <w:b/>
                <w:noProof/>
                <w:sz w:val="20"/>
              </w:rPr>
            </w:pPr>
            <w:r>
              <w:rPr>
                <w:noProof/>
              </w:rPr>
              <w:t>Année</w:t>
            </w:r>
            <w:r>
              <w:rPr>
                <w:noProof/>
              </w:rPr>
              <w:br/>
            </w:r>
            <w:r>
              <w:rPr>
                <w:b/>
                <w:noProof/>
                <w:sz w:val="20"/>
              </w:rPr>
              <w:t>N+4</w:t>
            </w:r>
          </w:p>
          <w:p>
            <w:pPr>
              <w:jc w:val="center"/>
              <w:rPr>
                <w:b/>
                <w:noProof/>
                <w:sz w:val="18"/>
              </w:rPr>
            </w:pPr>
            <w:r>
              <w:rPr>
                <w:b/>
                <w:noProof/>
                <w:sz w:val="20"/>
              </w:rPr>
              <w:t>2019</w:t>
            </w: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Ressources humaines</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0,565</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Autres dépenses administratives</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r>
              <w:rPr>
                <w:b/>
                <w:noProof/>
                <w:sz w:val="20"/>
              </w:rPr>
              <w:t>0,009</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0,045</w:t>
            </w:r>
          </w:p>
        </w:tc>
      </w:tr>
      <w:tr>
        <w:tc>
          <w:tcPr>
            <w:tcW w:w="3960" w:type="dxa"/>
            <w:vAlign w:val="center"/>
          </w:tcPr>
          <w:p>
            <w:pPr>
              <w:jc w:val="center"/>
              <w:rPr>
                <w:b/>
                <w:noProof/>
              </w:rPr>
            </w:pPr>
            <w:r>
              <w:rPr>
                <w:b/>
                <w:noProof/>
                <w:sz w:val="22"/>
              </w:rPr>
              <w:t xml:space="preserve">TOTAL DG </w:t>
            </w:r>
            <w:r>
              <w:rPr>
                <w:noProof/>
              </w:rPr>
              <w:t>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0,610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rPr>
              <w:t>pour la RUBRIQUE 5</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0,610</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rPr>
              <w:t>Année</w:t>
            </w:r>
            <w:r>
              <w:rPr>
                <w:noProof/>
              </w:rPr>
              <w:br/>
            </w:r>
            <w:r>
              <w:rPr>
                <w:b/>
                <w:noProof/>
                <w:sz w:val="20"/>
              </w:rPr>
              <w:t>N</w:t>
            </w:r>
            <w:r>
              <w:rPr>
                <w:rStyle w:val="FootnoteReference"/>
                <w:b/>
                <w:noProof/>
                <w:sz w:val="20"/>
              </w:rPr>
              <w:footnoteReference w:id="10"/>
            </w:r>
          </w:p>
          <w:p>
            <w:pPr>
              <w:jc w:val="center"/>
              <w:rPr>
                <w:noProof/>
                <w:sz w:val="20"/>
              </w:rPr>
            </w:pPr>
            <w:r>
              <w:rPr>
                <w:b/>
                <w:noProof/>
                <w:sz w:val="20"/>
              </w:rPr>
              <w:t>2015</w:t>
            </w:r>
          </w:p>
        </w:tc>
        <w:tc>
          <w:tcPr>
            <w:tcW w:w="868" w:type="dxa"/>
            <w:vAlign w:val="center"/>
          </w:tcPr>
          <w:p>
            <w:pPr>
              <w:jc w:val="center"/>
              <w:rPr>
                <w:b/>
                <w:noProof/>
                <w:sz w:val="20"/>
              </w:rPr>
            </w:pPr>
            <w:r>
              <w:rPr>
                <w:noProof/>
              </w:rPr>
              <w:t>Année</w:t>
            </w:r>
            <w:r>
              <w:rPr>
                <w:noProof/>
              </w:rPr>
              <w:br/>
            </w:r>
            <w:r>
              <w:rPr>
                <w:b/>
                <w:noProof/>
                <w:sz w:val="20"/>
              </w:rPr>
              <w:t>N+1</w:t>
            </w:r>
          </w:p>
          <w:p>
            <w:pPr>
              <w:jc w:val="center"/>
              <w:rPr>
                <w:noProof/>
                <w:sz w:val="20"/>
              </w:rPr>
            </w:pPr>
            <w:r>
              <w:rPr>
                <w:b/>
                <w:noProof/>
                <w:sz w:val="20"/>
              </w:rPr>
              <w:t>2016</w:t>
            </w:r>
          </w:p>
        </w:tc>
        <w:tc>
          <w:tcPr>
            <w:tcW w:w="868" w:type="dxa"/>
            <w:vAlign w:val="center"/>
          </w:tcPr>
          <w:p>
            <w:pPr>
              <w:jc w:val="center"/>
              <w:rPr>
                <w:b/>
                <w:noProof/>
                <w:sz w:val="20"/>
              </w:rPr>
            </w:pPr>
            <w:r>
              <w:rPr>
                <w:noProof/>
              </w:rPr>
              <w:t>Année</w:t>
            </w:r>
            <w:r>
              <w:rPr>
                <w:noProof/>
              </w:rPr>
              <w:br/>
            </w:r>
            <w:r>
              <w:rPr>
                <w:b/>
                <w:noProof/>
                <w:sz w:val="20"/>
              </w:rPr>
              <w:t>N+2</w:t>
            </w:r>
          </w:p>
          <w:p>
            <w:pPr>
              <w:jc w:val="center"/>
              <w:rPr>
                <w:noProof/>
                <w:sz w:val="20"/>
              </w:rPr>
            </w:pPr>
            <w:r>
              <w:rPr>
                <w:b/>
                <w:noProof/>
                <w:sz w:val="20"/>
              </w:rPr>
              <w:t>2017</w:t>
            </w:r>
          </w:p>
        </w:tc>
        <w:tc>
          <w:tcPr>
            <w:tcW w:w="868" w:type="dxa"/>
            <w:vAlign w:val="center"/>
          </w:tcPr>
          <w:p>
            <w:pPr>
              <w:jc w:val="center"/>
              <w:rPr>
                <w:b/>
                <w:noProof/>
                <w:sz w:val="20"/>
              </w:rPr>
            </w:pPr>
            <w:r>
              <w:rPr>
                <w:noProof/>
              </w:rPr>
              <w:t>Année</w:t>
            </w:r>
            <w:r>
              <w:rPr>
                <w:noProof/>
              </w:rPr>
              <w:br/>
            </w:r>
            <w:r>
              <w:rPr>
                <w:b/>
                <w:noProof/>
                <w:sz w:val="20"/>
              </w:rPr>
              <w:t>N+3</w:t>
            </w:r>
          </w:p>
          <w:p>
            <w:pPr>
              <w:jc w:val="center"/>
              <w:rPr>
                <w:noProof/>
                <w:sz w:val="20"/>
              </w:rPr>
            </w:pPr>
            <w:r>
              <w:rPr>
                <w:b/>
                <w:noProof/>
                <w:sz w:val="20"/>
              </w:rPr>
              <w:t>2018</w:t>
            </w:r>
          </w:p>
        </w:tc>
        <w:tc>
          <w:tcPr>
            <w:tcW w:w="868" w:type="dxa"/>
            <w:vAlign w:val="center"/>
          </w:tcPr>
          <w:p>
            <w:pPr>
              <w:jc w:val="center"/>
              <w:rPr>
                <w:b/>
                <w:noProof/>
                <w:sz w:val="20"/>
              </w:rPr>
            </w:pPr>
            <w:r>
              <w:rPr>
                <w:noProof/>
              </w:rPr>
              <w:t>Année</w:t>
            </w:r>
            <w:r>
              <w:rPr>
                <w:noProof/>
              </w:rPr>
              <w:br/>
            </w:r>
            <w:r>
              <w:rPr>
                <w:b/>
                <w:noProof/>
                <w:sz w:val="20"/>
              </w:rPr>
              <w:t>N+4</w:t>
            </w:r>
          </w:p>
          <w:p>
            <w:pPr>
              <w:jc w:val="center"/>
              <w:rPr>
                <w:b/>
                <w:noProof/>
                <w:sz w:val="18"/>
              </w:rPr>
            </w:pPr>
            <w:r>
              <w:rPr>
                <w:b/>
                <w:noProof/>
                <w:sz w:val="20"/>
              </w:rPr>
              <w:t>2019</w:t>
            </w: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rPr>
              <w:br/>
            </w:r>
            <w:r>
              <w:rPr>
                <w:b/>
                <w:noProof/>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0,874</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0,804</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4,105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0,874</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0,809</w:t>
            </w:r>
          </w:p>
        </w:tc>
        <w:tc>
          <w:tcPr>
            <w:tcW w:w="868" w:type="dxa"/>
            <w:vAlign w:val="center"/>
          </w:tcPr>
          <w:p>
            <w:pPr>
              <w:spacing w:before="60" w:after="60"/>
              <w:jc w:val="right"/>
              <w:rPr>
                <w:noProof/>
                <w:sz w:val="20"/>
              </w:rPr>
            </w:pPr>
            <w:r>
              <w:rPr>
                <w:noProof/>
                <w:sz w:val="20"/>
              </w:rPr>
              <w:t>0,804</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4,105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b/>
                <w:noProof/>
                <w:sz w:val="18"/>
              </w:rPr>
            </w:pPr>
            <w:r>
              <w:rPr>
                <w:noProof/>
              </w:rPr>
              <w:t>Année</w:t>
            </w:r>
            <w:r>
              <w:rPr>
                <w:noProof/>
              </w:rPr>
              <w:br/>
            </w:r>
            <w:r>
              <w:rPr>
                <w:b/>
                <w:noProof/>
                <w:sz w:val="18"/>
              </w:rPr>
              <w:t>N</w:t>
            </w:r>
          </w:p>
          <w:p>
            <w:pPr>
              <w:ind w:right="-29"/>
              <w:jc w:val="center"/>
              <w:rPr>
                <w:noProof/>
                <w:sz w:val="18"/>
                <w:szCs w:val="18"/>
              </w:rPr>
            </w:pPr>
            <w:r>
              <w:rPr>
                <w:b/>
                <w:noProof/>
                <w:sz w:val="18"/>
              </w:rPr>
              <w:t>2015</w:t>
            </w:r>
          </w:p>
        </w:tc>
        <w:tc>
          <w:tcPr>
            <w:tcW w:w="1260" w:type="dxa"/>
            <w:gridSpan w:val="2"/>
            <w:vAlign w:val="center"/>
          </w:tcPr>
          <w:p>
            <w:pPr>
              <w:ind w:right="-29"/>
              <w:jc w:val="center"/>
              <w:rPr>
                <w:b/>
                <w:noProof/>
                <w:sz w:val="18"/>
              </w:rPr>
            </w:pPr>
            <w:r>
              <w:rPr>
                <w:noProof/>
              </w:rPr>
              <w:t>Année</w:t>
            </w:r>
            <w:r>
              <w:rPr>
                <w:noProof/>
              </w:rPr>
              <w:br/>
            </w:r>
            <w:r>
              <w:rPr>
                <w:b/>
                <w:noProof/>
                <w:sz w:val="18"/>
              </w:rPr>
              <w:t>N+1</w:t>
            </w:r>
          </w:p>
          <w:p>
            <w:pPr>
              <w:ind w:right="-29"/>
              <w:jc w:val="center"/>
              <w:rPr>
                <w:noProof/>
                <w:sz w:val="18"/>
                <w:szCs w:val="18"/>
              </w:rPr>
            </w:pPr>
            <w:r>
              <w:rPr>
                <w:b/>
                <w:noProof/>
                <w:sz w:val="18"/>
              </w:rPr>
              <w:t>2016</w:t>
            </w:r>
          </w:p>
        </w:tc>
        <w:tc>
          <w:tcPr>
            <w:tcW w:w="1440" w:type="dxa"/>
            <w:gridSpan w:val="2"/>
            <w:vAlign w:val="center"/>
          </w:tcPr>
          <w:p>
            <w:pPr>
              <w:ind w:right="-29"/>
              <w:jc w:val="center"/>
              <w:rPr>
                <w:b/>
                <w:noProof/>
                <w:sz w:val="18"/>
              </w:rPr>
            </w:pPr>
            <w:r>
              <w:rPr>
                <w:noProof/>
              </w:rPr>
              <w:t>Année</w:t>
            </w:r>
            <w:r>
              <w:rPr>
                <w:noProof/>
              </w:rPr>
              <w:br/>
            </w:r>
            <w:r>
              <w:rPr>
                <w:b/>
                <w:noProof/>
                <w:sz w:val="18"/>
              </w:rPr>
              <w:t>N+2</w:t>
            </w:r>
          </w:p>
          <w:p>
            <w:pPr>
              <w:ind w:right="-29"/>
              <w:jc w:val="center"/>
              <w:rPr>
                <w:noProof/>
                <w:sz w:val="18"/>
                <w:szCs w:val="18"/>
              </w:rPr>
            </w:pPr>
            <w:r>
              <w:rPr>
                <w:b/>
                <w:noProof/>
                <w:sz w:val="18"/>
              </w:rPr>
              <w:t>2017</w:t>
            </w:r>
          </w:p>
        </w:tc>
        <w:tc>
          <w:tcPr>
            <w:tcW w:w="1620" w:type="dxa"/>
            <w:gridSpan w:val="3"/>
            <w:vAlign w:val="center"/>
          </w:tcPr>
          <w:p>
            <w:pPr>
              <w:ind w:right="-29"/>
              <w:jc w:val="center"/>
              <w:rPr>
                <w:b/>
                <w:noProof/>
                <w:sz w:val="18"/>
              </w:rPr>
            </w:pPr>
            <w:r>
              <w:rPr>
                <w:noProof/>
              </w:rPr>
              <w:t>Année</w:t>
            </w:r>
            <w:r>
              <w:rPr>
                <w:noProof/>
              </w:rPr>
              <w:br/>
            </w:r>
            <w:r>
              <w:rPr>
                <w:b/>
                <w:noProof/>
                <w:sz w:val="18"/>
              </w:rPr>
              <w:t>N+3</w:t>
            </w:r>
          </w:p>
          <w:p>
            <w:pPr>
              <w:ind w:right="-29"/>
              <w:jc w:val="center"/>
              <w:rPr>
                <w:noProof/>
                <w:sz w:val="18"/>
                <w:szCs w:val="18"/>
              </w:rPr>
            </w:pPr>
            <w:r>
              <w:rPr>
                <w:b/>
                <w:noProof/>
                <w:sz w:val="18"/>
              </w:rPr>
              <w:t>2018</w:t>
            </w:r>
          </w:p>
        </w:tc>
        <w:tc>
          <w:tcPr>
            <w:tcW w:w="1200" w:type="dxa"/>
            <w:gridSpan w:val="3"/>
            <w:vAlign w:val="center"/>
          </w:tcPr>
          <w:p>
            <w:pPr>
              <w:ind w:right="-29"/>
              <w:jc w:val="center"/>
              <w:rPr>
                <w:b/>
                <w:noProof/>
                <w:sz w:val="18"/>
              </w:rPr>
            </w:pPr>
            <w:r>
              <w:rPr>
                <w:noProof/>
              </w:rPr>
              <w:t>Année</w:t>
            </w:r>
            <w:r>
              <w:rPr>
                <w:noProof/>
              </w:rPr>
              <w:br/>
            </w:r>
            <w:r>
              <w:rPr>
                <w:b/>
                <w:noProof/>
                <w:sz w:val="18"/>
              </w:rPr>
              <w:t>N+4</w:t>
            </w:r>
          </w:p>
          <w:p>
            <w:pPr>
              <w:jc w:val="center"/>
              <w:rPr>
                <w:noProof/>
                <w:sz w:val="18"/>
                <w:szCs w:val="18"/>
              </w:rPr>
            </w:pPr>
            <w:r>
              <w:rPr>
                <w:b/>
                <w:noProof/>
                <w:sz w:val="18"/>
              </w:rPr>
              <w:t>2019</w:t>
            </w:r>
          </w:p>
        </w:tc>
        <w:tc>
          <w:tcPr>
            <w:tcW w:w="1200" w:type="dxa"/>
            <w:gridSpan w:val="3"/>
            <w:vAlign w:val="center"/>
          </w:tcPr>
          <w:p>
            <w:pPr>
              <w:jc w:val="center"/>
              <w:rPr>
                <w:noProof/>
                <w:sz w:val="18"/>
                <w:szCs w:val="18"/>
              </w:rPr>
            </w:pPr>
          </w:p>
        </w:tc>
        <w:tc>
          <w:tcPr>
            <w:tcW w:w="1200" w:type="dxa"/>
            <w:gridSpan w:val="2"/>
            <w:vAlign w:val="center"/>
          </w:tcPr>
          <w:p>
            <w:pPr>
              <w:jc w:val="center"/>
              <w:rPr>
                <w:noProof/>
                <w:sz w:val="18"/>
                <w:szCs w:val="18"/>
              </w:rPr>
            </w:pP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1"/>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1"/>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licences navires</w:t>
            </w:r>
          </w:p>
        </w:tc>
        <w:tc>
          <w:tcPr>
            <w:tcW w:w="720" w:type="dxa"/>
          </w:tcPr>
          <w:p>
            <w:pPr>
              <w:ind w:right="-29"/>
              <w:jc w:val="center"/>
              <w:rPr>
                <w:noProof/>
                <w:sz w:val="18"/>
                <w:szCs w:val="18"/>
              </w:rPr>
            </w:pPr>
            <w:r>
              <w:rPr>
                <w:noProof/>
                <w:sz w:val="18"/>
              </w:rPr>
              <w:t>t/an</w:t>
            </w:r>
          </w:p>
        </w:tc>
        <w:tc>
          <w:tcPr>
            <w:tcW w:w="701" w:type="dxa"/>
          </w:tcPr>
          <w:p>
            <w:pPr>
              <w:ind w:right="-29"/>
              <w:jc w:val="center"/>
              <w:rPr>
                <w:noProof/>
                <w:sz w:val="18"/>
                <w:szCs w:val="18"/>
              </w:rPr>
            </w:pPr>
            <w:r>
              <w:rPr>
                <w:rStyle w:val="FootnoteReference"/>
                <w:noProof/>
                <w:sz w:val="18"/>
              </w:rPr>
              <w:footnoteReference w:id="13"/>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0,357</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0,325</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0,292</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1,625</w:t>
            </w:r>
          </w:p>
        </w:tc>
      </w:tr>
      <w:tr>
        <w:trPr>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rPr>
              <w:t>annuel</w:t>
            </w:r>
          </w:p>
        </w:tc>
        <w:tc>
          <w:tcPr>
            <w:tcW w:w="701" w:type="dxa"/>
          </w:tcPr>
          <w:p>
            <w:pPr>
              <w:ind w:right="-29"/>
              <w:jc w:val="center"/>
              <w:rPr>
                <w:noProof/>
                <w:sz w:val="18"/>
                <w:szCs w:val="18"/>
              </w:rPr>
            </w:pPr>
            <w:r>
              <w:rPr>
                <w:noProof/>
                <w:sz w:val="18"/>
              </w:rPr>
              <w:t>0,325</w:t>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0,357</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0,325</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0,325</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0,292</w:t>
            </w: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1,625</w:t>
            </w:r>
          </w:p>
        </w:tc>
      </w:tr>
      <w:tr>
        <w:trPr>
          <w:trHeight w:hRule="exact" w:val="369"/>
          <w:jc w:val="center"/>
        </w:trPr>
        <w:tc>
          <w:tcPr>
            <w:tcW w:w="1423" w:type="dxa"/>
          </w:tcPr>
          <w:p>
            <w:pPr>
              <w:ind w:right="-29"/>
              <w:jc w:val="center"/>
              <w:rPr>
                <w:noProof/>
                <w:sz w:val="18"/>
                <w:szCs w:val="18"/>
              </w:rPr>
            </w:pP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0,715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0,650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0,650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rPr>
              <w:t>0,650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r>
              <w:rPr>
                <w:noProof/>
                <w:sz w:val="18"/>
              </w:rPr>
              <w:t>0,585</w:t>
            </w: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3,250</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0,715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0,650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0,650</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0,650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rPr>
              <w:t>0,585</w:t>
            </w:r>
          </w:p>
        </w:tc>
        <w:tc>
          <w:tcPr>
            <w:tcW w:w="432"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3,250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rPr>
            </w:pPr>
            <w:r>
              <w:rPr>
                <w:noProof/>
              </w:rPr>
              <w:t>Année</w:t>
            </w:r>
            <w:r>
              <w:rPr>
                <w:noProof/>
              </w:rPr>
              <w:br/>
            </w:r>
            <w:r>
              <w:rPr>
                <w:b/>
                <w:noProof/>
                <w:sz w:val="16"/>
              </w:rPr>
              <w:t xml:space="preserve">N </w:t>
            </w:r>
            <w:r>
              <w:rPr>
                <w:rStyle w:val="FootnoteReference"/>
                <w:b/>
                <w:noProof/>
                <w:sz w:val="16"/>
              </w:rPr>
              <w:footnoteReference w:id="14"/>
            </w:r>
          </w:p>
          <w:p>
            <w:pPr>
              <w:spacing w:before="60" w:after="60" w:line="200" w:lineRule="exact"/>
              <w:jc w:val="center"/>
              <w:rPr>
                <w:noProof/>
                <w:sz w:val="16"/>
                <w:szCs w:val="16"/>
              </w:rPr>
            </w:pPr>
            <w:r>
              <w:rPr>
                <w:b/>
                <w:noProof/>
                <w:sz w:val="16"/>
              </w:rPr>
              <w:t>2015</w:t>
            </w:r>
          </w:p>
        </w:tc>
        <w:tc>
          <w:tcPr>
            <w:tcW w:w="1080" w:type="dxa"/>
            <w:vAlign w:val="center"/>
          </w:tcPr>
          <w:p>
            <w:pPr>
              <w:spacing w:before="60" w:after="60" w:line="200" w:lineRule="exact"/>
              <w:jc w:val="center"/>
              <w:rPr>
                <w:b/>
                <w:noProof/>
                <w:sz w:val="16"/>
              </w:rPr>
            </w:pPr>
            <w:r>
              <w:rPr>
                <w:noProof/>
              </w:rPr>
              <w:t>Année</w:t>
            </w:r>
            <w:r>
              <w:rPr>
                <w:noProof/>
              </w:rPr>
              <w:br/>
            </w:r>
            <w:r>
              <w:rPr>
                <w:b/>
                <w:noProof/>
                <w:sz w:val="16"/>
              </w:rPr>
              <w:t>N+1</w:t>
            </w:r>
          </w:p>
          <w:p>
            <w:pPr>
              <w:spacing w:before="60" w:after="60" w:line="200" w:lineRule="exact"/>
              <w:jc w:val="center"/>
              <w:rPr>
                <w:noProof/>
                <w:sz w:val="16"/>
                <w:szCs w:val="16"/>
              </w:rPr>
            </w:pPr>
            <w:r>
              <w:rPr>
                <w:b/>
                <w:noProof/>
                <w:sz w:val="16"/>
              </w:rPr>
              <w:t>2016</w:t>
            </w:r>
          </w:p>
        </w:tc>
        <w:tc>
          <w:tcPr>
            <w:tcW w:w="1080" w:type="dxa"/>
            <w:vAlign w:val="center"/>
          </w:tcPr>
          <w:p>
            <w:pPr>
              <w:spacing w:before="60" w:after="60" w:line="200" w:lineRule="exact"/>
              <w:jc w:val="center"/>
              <w:rPr>
                <w:b/>
                <w:noProof/>
                <w:sz w:val="16"/>
              </w:rPr>
            </w:pPr>
            <w:r>
              <w:rPr>
                <w:noProof/>
              </w:rPr>
              <w:t>Année</w:t>
            </w:r>
            <w:r>
              <w:rPr>
                <w:noProof/>
              </w:rPr>
              <w:br/>
            </w:r>
            <w:r>
              <w:rPr>
                <w:b/>
                <w:noProof/>
                <w:sz w:val="16"/>
              </w:rPr>
              <w:t>N+2</w:t>
            </w:r>
          </w:p>
          <w:p>
            <w:pPr>
              <w:spacing w:before="60" w:after="60" w:line="200" w:lineRule="exact"/>
              <w:jc w:val="center"/>
              <w:rPr>
                <w:noProof/>
                <w:sz w:val="16"/>
                <w:szCs w:val="16"/>
              </w:rPr>
            </w:pPr>
            <w:r>
              <w:rPr>
                <w:b/>
                <w:noProof/>
                <w:sz w:val="16"/>
              </w:rPr>
              <w:t>2017</w:t>
            </w:r>
          </w:p>
        </w:tc>
        <w:tc>
          <w:tcPr>
            <w:tcW w:w="1080" w:type="dxa"/>
            <w:vAlign w:val="center"/>
          </w:tcPr>
          <w:p>
            <w:pPr>
              <w:spacing w:before="60" w:after="60" w:line="200" w:lineRule="exact"/>
              <w:jc w:val="center"/>
              <w:rPr>
                <w:b/>
                <w:noProof/>
                <w:sz w:val="16"/>
              </w:rPr>
            </w:pPr>
            <w:r>
              <w:rPr>
                <w:noProof/>
              </w:rPr>
              <w:t>Année</w:t>
            </w:r>
            <w:r>
              <w:rPr>
                <w:noProof/>
              </w:rPr>
              <w:br/>
            </w:r>
            <w:r>
              <w:rPr>
                <w:b/>
                <w:noProof/>
                <w:sz w:val="16"/>
              </w:rPr>
              <w:t>N+3</w:t>
            </w:r>
          </w:p>
          <w:p>
            <w:pPr>
              <w:spacing w:before="60" w:after="60" w:line="200" w:lineRule="exact"/>
              <w:jc w:val="center"/>
              <w:rPr>
                <w:noProof/>
                <w:sz w:val="16"/>
                <w:szCs w:val="16"/>
              </w:rPr>
            </w:pPr>
            <w:r>
              <w:rPr>
                <w:b/>
                <w:noProof/>
                <w:sz w:val="16"/>
              </w:rPr>
              <w:t>2018</w:t>
            </w:r>
          </w:p>
        </w:tc>
        <w:tc>
          <w:tcPr>
            <w:tcW w:w="1080" w:type="dxa"/>
            <w:vAlign w:val="center"/>
          </w:tcPr>
          <w:p>
            <w:pPr>
              <w:spacing w:before="60" w:after="60" w:line="200" w:lineRule="exact"/>
              <w:jc w:val="center"/>
              <w:rPr>
                <w:b/>
                <w:noProof/>
                <w:sz w:val="16"/>
              </w:rPr>
            </w:pPr>
            <w:r>
              <w:rPr>
                <w:noProof/>
              </w:rPr>
              <w:t>Année</w:t>
            </w:r>
            <w:r>
              <w:rPr>
                <w:noProof/>
              </w:rPr>
              <w:br/>
            </w:r>
            <w:r>
              <w:rPr>
                <w:b/>
                <w:noProof/>
                <w:sz w:val="16"/>
              </w:rPr>
              <w:t>N+4</w:t>
            </w:r>
          </w:p>
          <w:p>
            <w:pPr>
              <w:spacing w:line="200" w:lineRule="exact"/>
              <w:jc w:val="center"/>
              <w:rPr>
                <w:b/>
                <w:noProof/>
                <w:sz w:val="16"/>
                <w:szCs w:val="16"/>
              </w:rPr>
            </w:pPr>
            <w:r>
              <w:rPr>
                <w:b/>
                <w:noProof/>
                <w:sz w:val="16"/>
              </w:rPr>
              <w:t>2019</w:t>
            </w: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b/>
                <w:noProof/>
                <w:sz w:val="16"/>
              </w:rPr>
              <w:b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0,565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0,045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b/>
                <w:noProof/>
                <w:sz w:val="16"/>
              </w:rPr>
              <w:br/>
              <w:t xml:space="preserve">du cadre financier pluriannuel </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0,610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5"/>
            </w:r>
            <w:r>
              <w:rPr>
                <w:b/>
                <w:noProof/>
                <w:sz w:val="16"/>
              </w:rPr>
              <w:b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0,155</w:t>
            </w:r>
          </w:p>
        </w:tc>
      </w:tr>
      <w:tr>
        <w:trPr>
          <w:trHeight w:val="585"/>
        </w:trPr>
        <w:tc>
          <w:tcPr>
            <w:tcW w:w="1980" w:type="dxa"/>
            <w:vAlign w:val="center"/>
          </w:tcPr>
          <w:p>
            <w:pPr>
              <w:spacing w:before="60" w:after="60" w:line="200" w:lineRule="exact"/>
              <w:ind w:left="72"/>
              <w:jc w:val="left"/>
              <w:rPr>
                <w:noProof/>
                <w:sz w:val="16"/>
                <w:szCs w:val="16"/>
              </w:rPr>
            </w:pPr>
            <w:r>
              <w:rPr>
                <w:noProof/>
              </w:rPr>
              <w:t>Autres dépenses</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0,066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0,090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hors RUBRIQUE 5</w:t>
            </w:r>
            <w:r>
              <w:rPr>
                <w:b/>
                <w:noProof/>
                <w:sz w:val="16"/>
              </w:rPr>
              <w:br/>
              <w:t xml:space="preserve">du cadre financier pluriannuel </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0,245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0,219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0,855</w:t>
            </w: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4"/>
        <w:gridCol w:w="655"/>
        <w:gridCol w:w="655"/>
        <w:gridCol w:w="632"/>
        <w:gridCol w:w="710"/>
        <w:gridCol w:w="710"/>
        <w:gridCol w:w="1699"/>
        <w:gridCol w:w="1318"/>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b/>
                <w:noProof/>
                <w:sz w:val="16"/>
              </w:rPr>
            </w:pPr>
            <w:r>
              <w:rPr>
                <w:noProof/>
              </w:rPr>
              <w:t>Année</w:t>
            </w:r>
            <w:r>
              <w:rPr>
                <w:noProof/>
              </w:rPr>
              <w:br/>
            </w:r>
            <w:r>
              <w:rPr>
                <w:b/>
                <w:noProof/>
                <w:sz w:val="16"/>
              </w:rPr>
              <w:t>N</w:t>
            </w:r>
          </w:p>
          <w:p>
            <w:pPr>
              <w:spacing w:before="20" w:after="20"/>
              <w:jc w:val="center"/>
              <w:rPr>
                <w:noProof/>
                <w:sz w:val="16"/>
                <w:szCs w:val="16"/>
              </w:rPr>
            </w:pPr>
            <w:r>
              <w:rPr>
                <w:b/>
                <w:noProof/>
                <w:sz w:val="16"/>
              </w:rPr>
              <w:t>2015</w:t>
            </w:r>
          </w:p>
        </w:tc>
        <w:tc>
          <w:tcPr>
            <w:tcW w:w="318" w:type="pct"/>
            <w:shd w:val="clear" w:color="auto" w:fill="auto"/>
            <w:vAlign w:val="center"/>
          </w:tcPr>
          <w:p>
            <w:pPr>
              <w:spacing w:before="20" w:after="20"/>
              <w:jc w:val="center"/>
              <w:rPr>
                <w:b/>
                <w:noProof/>
                <w:sz w:val="16"/>
              </w:rPr>
            </w:pPr>
            <w:r>
              <w:rPr>
                <w:noProof/>
              </w:rPr>
              <w:t>Année</w:t>
            </w:r>
            <w:r>
              <w:rPr>
                <w:noProof/>
              </w:rPr>
              <w:br/>
            </w:r>
            <w:r>
              <w:rPr>
                <w:b/>
                <w:noProof/>
                <w:sz w:val="16"/>
              </w:rPr>
              <w:t>N+1</w:t>
            </w:r>
          </w:p>
          <w:p>
            <w:pPr>
              <w:spacing w:before="20" w:after="20"/>
              <w:jc w:val="center"/>
              <w:rPr>
                <w:noProof/>
                <w:sz w:val="16"/>
                <w:szCs w:val="16"/>
              </w:rPr>
            </w:pPr>
            <w:r>
              <w:rPr>
                <w:b/>
                <w:noProof/>
                <w:sz w:val="16"/>
              </w:rPr>
              <w:t>2016</w:t>
            </w:r>
          </w:p>
        </w:tc>
        <w:tc>
          <w:tcPr>
            <w:tcW w:w="307" w:type="pct"/>
            <w:shd w:val="clear" w:color="auto" w:fill="auto"/>
            <w:vAlign w:val="center"/>
          </w:tcPr>
          <w:p>
            <w:pPr>
              <w:spacing w:before="20" w:after="20"/>
              <w:jc w:val="center"/>
              <w:rPr>
                <w:b/>
                <w:noProof/>
                <w:sz w:val="16"/>
                <w:szCs w:val="16"/>
              </w:rPr>
            </w:pPr>
            <w:r>
              <w:rPr>
                <w:noProof/>
                <w:sz w:val="16"/>
              </w:rPr>
              <w:t xml:space="preserve">Année </w:t>
            </w:r>
            <w:r>
              <w:rPr>
                <w:b/>
                <w:noProof/>
                <w:sz w:val="16"/>
              </w:rPr>
              <w:t>N+2</w:t>
            </w:r>
          </w:p>
          <w:p>
            <w:pPr>
              <w:spacing w:before="20" w:after="20"/>
              <w:jc w:val="center"/>
              <w:rPr>
                <w:noProof/>
                <w:sz w:val="16"/>
                <w:szCs w:val="16"/>
              </w:rPr>
            </w:pPr>
            <w:r>
              <w:rPr>
                <w:b/>
                <w:noProof/>
                <w:sz w:val="16"/>
              </w:rPr>
              <w:t>2017</w:t>
            </w:r>
          </w:p>
        </w:tc>
        <w:tc>
          <w:tcPr>
            <w:tcW w:w="345" w:type="pct"/>
            <w:shd w:val="clear" w:color="auto" w:fill="auto"/>
            <w:vAlign w:val="center"/>
          </w:tcPr>
          <w:p>
            <w:pPr>
              <w:spacing w:before="20" w:after="20"/>
              <w:jc w:val="center"/>
              <w:rPr>
                <w:b/>
                <w:noProof/>
                <w:sz w:val="16"/>
                <w:szCs w:val="16"/>
              </w:rPr>
            </w:pPr>
            <w:r>
              <w:rPr>
                <w:noProof/>
                <w:sz w:val="16"/>
              </w:rPr>
              <w:t xml:space="preserve">Année </w:t>
            </w:r>
            <w:r>
              <w:rPr>
                <w:b/>
                <w:noProof/>
                <w:sz w:val="16"/>
              </w:rPr>
              <w:t>N+3</w:t>
            </w:r>
          </w:p>
          <w:p>
            <w:pPr>
              <w:spacing w:before="20" w:after="20"/>
              <w:jc w:val="center"/>
              <w:rPr>
                <w:noProof/>
                <w:sz w:val="16"/>
                <w:szCs w:val="16"/>
              </w:rPr>
            </w:pPr>
            <w:r>
              <w:rPr>
                <w:b/>
                <w:noProof/>
                <w:sz w:val="16"/>
              </w:rPr>
              <w:t>2018</w:t>
            </w:r>
          </w:p>
        </w:tc>
        <w:tc>
          <w:tcPr>
            <w:tcW w:w="345" w:type="pct"/>
            <w:shd w:val="clear" w:color="auto" w:fill="auto"/>
            <w:vAlign w:val="center"/>
          </w:tcPr>
          <w:p>
            <w:pPr>
              <w:spacing w:before="20" w:after="20"/>
              <w:jc w:val="center"/>
              <w:rPr>
                <w:noProof/>
                <w:sz w:val="16"/>
                <w:szCs w:val="16"/>
              </w:rPr>
            </w:pPr>
            <w:r>
              <w:rPr>
                <w:noProof/>
                <w:sz w:val="16"/>
              </w:rPr>
              <w:t xml:space="preserve">Année </w:t>
            </w:r>
            <w:r>
              <w:rPr>
                <w:b/>
                <w:noProof/>
                <w:sz w:val="16"/>
              </w:rPr>
              <w:t>N+4</w:t>
            </w:r>
          </w:p>
          <w:p>
            <w:pPr>
              <w:spacing w:before="20" w:after="20"/>
              <w:jc w:val="center"/>
              <w:rPr>
                <w:b/>
                <w:noProof/>
                <w:sz w:val="16"/>
                <w:szCs w:val="16"/>
              </w:rPr>
            </w:pPr>
            <w:r>
              <w:rPr>
                <w:b/>
                <w:noProof/>
                <w:sz w:val="16"/>
              </w:rPr>
              <w:t>2019</w:t>
            </w:r>
          </w:p>
        </w:tc>
        <w:tc>
          <w:tcPr>
            <w:tcW w:w="825" w:type="pct"/>
            <w:shd w:val="clear" w:color="auto" w:fill="auto"/>
            <w:vAlign w:val="center"/>
          </w:tcPr>
          <w:p>
            <w:pPr>
              <w:jc w:val="center"/>
              <w:rPr>
                <w:b/>
                <w:noProof/>
                <w:sz w:val="16"/>
                <w:szCs w:val="16"/>
              </w:rPr>
            </w:pPr>
          </w:p>
        </w:tc>
        <w:tc>
          <w:tcPr>
            <w:tcW w:w="640" w:type="pct"/>
            <w:shd w:val="clear" w:color="auto" w:fill="auto"/>
            <w:vAlign w:val="center"/>
          </w:tcPr>
          <w:p>
            <w:pPr>
              <w:jc w:val="center"/>
              <w:rPr>
                <w:b/>
                <w:noProof/>
                <w:sz w:val="16"/>
                <w:szCs w:val="16"/>
              </w:rPr>
            </w:pPr>
            <w:r>
              <w:rPr>
                <w:b/>
                <w:noProof/>
                <w:sz w:val="16"/>
              </w:rPr>
              <w:t>TOTAL</w:t>
            </w:r>
          </w:p>
        </w:tc>
      </w:tr>
      <w:tr>
        <w:trPr>
          <w:gridBefore w:val="1"/>
          <w:wBefore w:w="5" w:type="pct"/>
          <w:trHeight w:val="289"/>
          <w:jc w:val="center"/>
        </w:trPr>
        <w:tc>
          <w:tcPr>
            <w:tcW w:w="2840"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d’agents temporaires)</w:t>
            </w:r>
          </w:p>
        </w:tc>
        <w:tc>
          <w:tcPr>
            <w:tcW w:w="345" w:type="pct"/>
            <w:shd w:val="clear" w:color="auto" w:fill="auto"/>
            <w:vAlign w:val="center"/>
          </w:tcPr>
          <w:p>
            <w:pPr>
              <w:spacing w:before="20" w:after="20"/>
              <w:jc w:val="center"/>
              <w:rPr>
                <w:noProof/>
                <w:sz w:val="16"/>
                <w:szCs w:val="16"/>
              </w:rPr>
            </w:pPr>
          </w:p>
        </w:tc>
        <w:tc>
          <w:tcPr>
            <w:tcW w:w="1810" w:type="pct"/>
            <w:gridSpan w:val="3"/>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07"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r>
              <w:rPr>
                <w:noProof/>
                <w:sz w:val="16"/>
              </w:rPr>
              <w:t>0,099</w:t>
            </w: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0,495</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11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After w:val="4"/>
          <w:wAfter w:w="2155" w:type="pct"/>
          <w:trHeight w:val="248"/>
          <w:jc w:val="center"/>
        </w:trPr>
        <w:tc>
          <w:tcPr>
            <w:tcW w:w="284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ab/>
            </w:r>
            <w:r>
              <w:rPr>
                <w:b/>
                <w:noProof/>
                <w:sz w:val="16"/>
              </w:rPr>
              <w:t>Personnel externe (en équivalents temps plein: ETP)</w:t>
            </w:r>
            <w:r>
              <w:rPr>
                <w:rStyle w:val="FootnoteReference"/>
                <w:b/>
                <w:noProof/>
                <w:sz w:val="16"/>
              </w:rPr>
              <w:footnoteReference w:id="16"/>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07"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r>
              <w:rPr>
                <w:noProof/>
                <w:sz w:val="16"/>
              </w:rPr>
              <w:t>0,014</w:t>
            </w: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0,070</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noProof/>
                <w:sz w:val="16"/>
              </w:rPr>
              <w:t>11 01 04 01</w:t>
            </w:r>
            <w:r>
              <w:rPr>
                <w:b/>
                <w:i/>
                <w:noProof/>
                <w:sz w:val="16"/>
              </w:rPr>
              <w:t xml:space="preserve"> </w:t>
            </w:r>
            <w:r>
              <w:rPr>
                <w:rStyle w:val="FootnoteReference"/>
                <w:b/>
                <w:i/>
                <w:noProof/>
                <w:sz w:val="16"/>
              </w:rPr>
              <w:footnoteReference w:id="17"/>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r>
              <w:rPr>
                <w:noProof/>
                <w:sz w:val="16"/>
              </w:rPr>
              <w:t>0,031</w:t>
            </w:r>
          </w:p>
        </w:tc>
        <w:tc>
          <w:tcPr>
            <w:tcW w:w="318" w:type="pct"/>
            <w:shd w:val="clear" w:color="auto" w:fill="auto"/>
            <w:vAlign w:val="center"/>
          </w:tcPr>
          <w:p>
            <w:pPr>
              <w:spacing w:beforeLines="20" w:before="48" w:afterLines="20" w:after="48"/>
              <w:jc w:val="center"/>
              <w:rPr>
                <w:noProof/>
                <w:sz w:val="16"/>
                <w:szCs w:val="16"/>
              </w:rPr>
            </w:pPr>
            <w:r>
              <w:rPr>
                <w:noProof/>
                <w:sz w:val="16"/>
              </w:rPr>
              <w:t>0,031</w:t>
            </w:r>
          </w:p>
        </w:tc>
        <w:tc>
          <w:tcPr>
            <w:tcW w:w="307"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r>
              <w:rPr>
                <w:noProof/>
                <w:sz w:val="16"/>
              </w:rPr>
              <w:t>0,031</w:t>
            </w: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0,155</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4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0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82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0,720</w:t>
            </w:r>
          </w:p>
        </w:tc>
      </w:tr>
    </w:tbl>
    <w:p>
      <w:pPr>
        <w:pStyle w:val="Text1"/>
        <w:spacing w:before="60" w:after="60"/>
        <w:ind w:left="851"/>
        <w:rPr>
          <w:noProof/>
          <w:sz w:val="18"/>
          <w:szCs w:val="18"/>
        </w:rPr>
      </w:pPr>
      <w:r>
        <w:rPr>
          <w:b/>
          <w:noProof/>
          <w:sz w:val="18"/>
        </w:rPr>
        <w:t>XX</w:t>
      </w:r>
      <w:r>
        <w:rPr>
          <w:noProof/>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Gestion et suivi du processus de (re)négociation de l’APPD et de l’approbation du résultat des négociations par les institutions; gestion de l’APPD en cours, y compris suivi financier et opérationnel permanent; suivi en cours de la mise en œuvre de l’appui sectoriel, gestion des licences.</w:t>
            </w:r>
          </w:p>
          <w:p>
            <w:pPr>
              <w:rPr>
                <w:noProof/>
                <w:sz w:val="20"/>
              </w:rPr>
            </w:pPr>
            <w:r>
              <w:rPr>
                <w:noProof/>
                <w:sz w:val="20"/>
              </w:rPr>
              <w:t>Desk officer DG MARE + CdU ou CdU adj + gestionnaire des licences + secrétariat:</w:t>
            </w:r>
          </w:p>
          <w:p>
            <w:pPr>
              <w:rPr>
                <w:noProof/>
                <w:sz w:val="20"/>
              </w:rPr>
            </w:pPr>
            <w:r>
              <w:rPr>
                <w:noProof/>
                <w:sz w:val="20"/>
              </w:rPr>
              <w:t>Estimé globalement à 0,75 ETP / an</w:t>
            </w:r>
          </w:p>
          <w:p>
            <w:pPr>
              <w:rPr>
                <w:noProof/>
                <w:sz w:val="20"/>
              </w:rPr>
            </w:pPr>
            <w:r>
              <w:rPr>
                <w:noProof/>
                <w:sz w:val="20"/>
              </w:rPr>
              <w:t>Coût unitaire: 132 000 EUR / an</w:t>
            </w:r>
          </w:p>
          <w:p>
            <w:pPr>
              <w:rPr>
                <w:noProof/>
                <w:sz w:val="20"/>
              </w:rPr>
            </w:pPr>
            <w:r>
              <w:rPr>
                <w:noProof/>
                <w:sz w:val="20"/>
              </w:rPr>
              <w:t>Calcul des coûts: 0,75 ETP x 132 000 EUR / an</w:t>
            </w:r>
          </w:p>
          <w:p>
            <w:pPr>
              <w:rPr>
                <w:noProof/>
                <w:sz w:val="20"/>
              </w:rPr>
            </w:pPr>
            <w:r>
              <w:rPr>
                <w:noProof/>
                <w:sz w:val="20"/>
              </w:rPr>
              <w:t>Coût total: 99 000 EUR =&gt; 0,099 Mio EUR</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sz w:val="20"/>
              </w:rPr>
              <w:t>1) Assistant financier DG MARE:</w:t>
            </w:r>
          </w:p>
          <w:p>
            <w:pPr>
              <w:rPr>
                <w:noProof/>
                <w:sz w:val="20"/>
              </w:rPr>
            </w:pPr>
            <w:r>
              <w:rPr>
                <w:noProof/>
                <w:sz w:val="20"/>
              </w:rPr>
              <w:t>Estimé globalement à 0,2 ETP / an</w:t>
            </w:r>
          </w:p>
          <w:p>
            <w:pPr>
              <w:rPr>
                <w:noProof/>
                <w:sz w:val="20"/>
              </w:rPr>
            </w:pPr>
            <w:r>
              <w:rPr>
                <w:noProof/>
                <w:sz w:val="20"/>
              </w:rPr>
              <w:t>Coût unitaire: 70 000 EUR</w:t>
            </w:r>
          </w:p>
          <w:p>
            <w:pPr>
              <w:rPr>
                <w:noProof/>
                <w:sz w:val="20"/>
              </w:rPr>
            </w:pPr>
            <w:r>
              <w:rPr>
                <w:noProof/>
                <w:sz w:val="20"/>
              </w:rPr>
              <w:t>Calcul des coûts: 0,2 ETP x 70 000 EUR / an</w:t>
            </w:r>
          </w:p>
          <w:p>
            <w:pPr>
              <w:rPr>
                <w:noProof/>
                <w:sz w:val="20"/>
              </w:rPr>
            </w:pPr>
            <w:r>
              <w:rPr>
                <w:noProof/>
                <w:sz w:val="20"/>
              </w:rPr>
              <w:t>Coût total: 14 000 EUR =&gt; 0,014 Mio EUR</w:t>
            </w:r>
          </w:p>
          <w:p>
            <w:pPr>
              <w:rPr>
                <w:noProof/>
                <w:sz w:val="20"/>
              </w:rPr>
            </w:pPr>
            <w:r>
              <w:rPr>
                <w:noProof/>
                <w:sz w:val="20"/>
              </w:rPr>
              <w:t>2) Agent contractuel en délégation de l’UE:</w:t>
            </w:r>
          </w:p>
          <w:p>
            <w:pPr>
              <w:rPr>
                <w:noProof/>
                <w:sz w:val="20"/>
              </w:rPr>
            </w:pPr>
            <w:r>
              <w:rPr>
                <w:noProof/>
                <w:sz w:val="20"/>
              </w:rPr>
              <w:t>Estimé globalement à 0,25 ETP / an</w:t>
            </w:r>
          </w:p>
          <w:p>
            <w:pPr>
              <w:rPr>
                <w:noProof/>
                <w:sz w:val="20"/>
              </w:rPr>
            </w:pPr>
            <w:r>
              <w:rPr>
                <w:noProof/>
                <w:sz w:val="20"/>
              </w:rPr>
              <w:t>Coût unitaire: 125 000 EUR</w:t>
            </w:r>
          </w:p>
          <w:p>
            <w:pPr>
              <w:rPr>
                <w:noProof/>
                <w:sz w:val="20"/>
              </w:rPr>
            </w:pPr>
            <w:r>
              <w:rPr>
                <w:noProof/>
                <w:sz w:val="20"/>
              </w:rPr>
              <w:t>Calcul des coûts: 0,25 ETP x 125 000 EUR / an</w:t>
            </w:r>
          </w:p>
          <w:p>
            <w:pPr>
              <w:rPr>
                <w:noProof/>
                <w:sz w:val="20"/>
              </w:rPr>
            </w:pPr>
            <w:r>
              <w:rPr>
                <w:noProof/>
                <w:sz w:val="20"/>
              </w:rPr>
              <w:t>Coût total: 31 250 EUR =&gt; 0,031 Mio EUR</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rPr>
              <w:t>Année</w:t>
            </w:r>
            <w:r>
              <w:rPr>
                <w:noProof/>
              </w:rPr>
              <w:br/>
            </w:r>
            <w:r>
              <w:rPr>
                <w:b/>
                <w:noProof/>
                <w:sz w:val="20"/>
              </w:rPr>
              <w:t>N</w:t>
            </w:r>
          </w:p>
        </w:tc>
        <w:tc>
          <w:tcPr>
            <w:tcW w:w="964" w:type="dxa"/>
            <w:vAlign w:val="center"/>
          </w:tcPr>
          <w:p>
            <w:pPr>
              <w:jc w:val="center"/>
              <w:rPr>
                <w:noProof/>
                <w:sz w:val="20"/>
              </w:rPr>
            </w:pPr>
            <w:r>
              <w:rPr>
                <w:noProof/>
              </w:rPr>
              <w:t>Année</w:t>
            </w:r>
            <w:r>
              <w:rPr>
                <w:noProof/>
              </w:rPr>
              <w:br/>
            </w:r>
            <w:r>
              <w:rPr>
                <w:b/>
                <w:noProof/>
                <w:sz w:val="20"/>
              </w:rPr>
              <w:t>N+1</w:t>
            </w:r>
          </w:p>
        </w:tc>
        <w:tc>
          <w:tcPr>
            <w:tcW w:w="964" w:type="dxa"/>
            <w:vAlign w:val="center"/>
          </w:tcPr>
          <w:p>
            <w:pPr>
              <w:jc w:val="center"/>
              <w:rPr>
                <w:noProof/>
                <w:sz w:val="20"/>
              </w:rPr>
            </w:pPr>
            <w:r>
              <w:rPr>
                <w:noProof/>
              </w:rPr>
              <w:t>Année</w:t>
            </w:r>
            <w:r>
              <w:rPr>
                <w:noProof/>
              </w:rPr>
              <w:br/>
            </w:r>
            <w:r>
              <w:rPr>
                <w:b/>
                <w:noProof/>
                <w:sz w:val="20"/>
              </w:rPr>
              <w:t>N+2</w:t>
            </w:r>
          </w:p>
        </w:tc>
        <w:tc>
          <w:tcPr>
            <w:tcW w:w="964" w:type="dxa"/>
            <w:vAlign w:val="center"/>
          </w:tcPr>
          <w:p>
            <w:pPr>
              <w:jc w:val="center"/>
              <w:rPr>
                <w:noProof/>
                <w:sz w:val="20"/>
              </w:rPr>
            </w:pPr>
            <w:r>
              <w:rPr>
                <w:noProof/>
              </w:rPr>
              <w:t>Année</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1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rPr>
              <w:t>Année</w:t>
            </w:r>
            <w:r>
              <w:rPr>
                <w:noProof/>
              </w:rPr>
              <w:br/>
            </w:r>
            <w:r>
              <w:rPr>
                <w:b/>
                <w:noProof/>
                <w:sz w:val="18"/>
              </w:rPr>
              <w:t>N</w:t>
            </w:r>
          </w:p>
        </w:tc>
        <w:tc>
          <w:tcPr>
            <w:tcW w:w="900" w:type="dxa"/>
            <w:vAlign w:val="center"/>
          </w:tcPr>
          <w:p>
            <w:pPr>
              <w:jc w:val="center"/>
              <w:rPr>
                <w:noProof/>
                <w:sz w:val="18"/>
              </w:rPr>
            </w:pPr>
            <w:r>
              <w:rPr>
                <w:noProof/>
              </w:rPr>
              <w:t>Année</w:t>
            </w:r>
            <w:r>
              <w:rPr>
                <w:noProof/>
              </w:rPr>
              <w:br/>
            </w:r>
            <w:r>
              <w:rPr>
                <w:b/>
                <w:noProof/>
                <w:sz w:val="18"/>
              </w:rPr>
              <w:t>N+1</w:t>
            </w:r>
          </w:p>
        </w:tc>
        <w:tc>
          <w:tcPr>
            <w:tcW w:w="900" w:type="dxa"/>
            <w:vAlign w:val="center"/>
          </w:tcPr>
          <w:p>
            <w:pPr>
              <w:jc w:val="center"/>
              <w:rPr>
                <w:noProof/>
                <w:sz w:val="18"/>
              </w:rPr>
            </w:pPr>
            <w:r>
              <w:rPr>
                <w:noProof/>
              </w:rPr>
              <w:t>Année</w:t>
            </w:r>
            <w:r>
              <w:rPr>
                <w:noProof/>
              </w:rPr>
              <w:br/>
            </w:r>
            <w:r>
              <w:rPr>
                <w:b/>
                <w:noProof/>
                <w:sz w:val="18"/>
              </w:rPr>
              <w:t>N+2</w:t>
            </w:r>
          </w:p>
        </w:tc>
        <w:tc>
          <w:tcPr>
            <w:tcW w:w="1080" w:type="dxa"/>
            <w:vAlign w:val="center"/>
          </w:tcPr>
          <w:p>
            <w:pPr>
              <w:jc w:val="center"/>
              <w:rPr>
                <w:noProof/>
                <w:sz w:val="18"/>
              </w:rPr>
            </w:pPr>
            <w:r>
              <w:rPr>
                <w:noProof/>
              </w:rPr>
              <w:t>Année</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Adoptées au cours de la 3324</w:t>
      </w:r>
      <w:r>
        <w:rPr>
          <w:vertAlign w:val="superscript"/>
        </w:rPr>
        <w:t>e</w:t>
      </w:r>
      <w:r>
        <w:t> réunion du Conseil (ECOFIN) le 20 juin 2014.</w:t>
      </w:r>
    </w:p>
  </w:footnote>
  <w:footnote w:id="2">
    <w:p>
      <w:pPr>
        <w:pStyle w:val="FootnoteText"/>
        <w:rPr>
          <w:szCs w:val="24"/>
        </w:rPr>
      </w:pPr>
      <w:r>
        <w:rPr>
          <w:rStyle w:val="FootnoteReference"/>
        </w:rPr>
        <w:footnoteRef/>
      </w:r>
      <w:r>
        <w:tab/>
        <w:t>ABM: activity-based management (gestion fondée sur les activités); ABB: activity-based budgeting (établissement du budget sur la base des activités).</w:t>
      </w:r>
    </w:p>
  </w:footnote>
  <w:footnote w:id="3">
    <w:p>
      <w:pPr>
        <w:pStyle w:val="FootnoteText"/>
        <w:rPr>
          <w:szCs w:val="24"/>
        </w:rPr>
      </w:pPr>
      <w:r>
        <w:rPr>
          <w:rStyle w:val="FootnoteReference"/>
        </w:rPr>
        <w:footnoteRef/>
      </w:r>
      <w:r>
        <w:tab/>
        <w:t>Tel(le) que visé(e) à l’article 54, paragraphe 2, point a) ou b), du règlement financier.</w:t>
      </w:r>
    </w:p>
  </w:footnote>
  <w:footnote w:id="4">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http://www.cc.cec/budg/man/budgmanag/budgmanag_en.html</w:t>
        </w:r>
      </w:hyperlink>
    </w:p>
  </w:footnote>
  <w:footnote w:id="5">
    <w:p>
      <w:pPr>
        <w:pStyle w:val="FootnoteText"/>
        <w:rPr>
          <w:szCs w:val="24"/>
        </w:rPr>
      </w:pPr>
      <w:r>
        <w:rPr>
          <w:rStyle w:val="FootnoteReference"/>
        </w:rPr>
        <w:footnoteRef/>
      </w:r>
      <w:r>
        <w:tab/>
        <w:t>CD = crédits dissociés / CND = crédits non dissociés.</w:t>
      </w:r>
    </w:p>
  </w:footnote>
  <w:footnote w:id="6">
    <w:p>
      <w:pPr>
        <w:pStyle w:val="FootnoteText"/>
        <w:rPr>
          <w:szCs w:val="24"/>
        </w:rPr>
      </w:pPr>
      <w:r>
        <w:rPr>
          <w:rStyle w:val="FootnoteReference"/>
        </w:rPr>
        <w:footnoteRef/>
      </w:r>
      <w:r>
        <w:tab/>
        <w:t xml:space="preserve">AELE: Association européenne de libre-échange. </w:t>
      </w:r>
    </w:p>
  </w:footnote>
  <w:footnote w:id="7">
    <w:p>
      <w:pPr>
        <w:pStyle w:val="FootnoteText"/>
        <w:rPr>
          <w:szCs w:val="24"/>
        </w:rPr>
      </w:pPr>
      <w:r>
        <w:rPr>
          <w:rStyle w:val="FootnoteReference"/>
        </w:rPr>
        <w:footnoteRef/>
      </w:r>
      <w:r>
        <w:tab/>
        <w:t>Pays candidats et, le cas échéant, pays candidats potentiels des Balkans occidentaux.</w:t>
      </w:r>
    </w:p>
  </w:footnote>
  <w:footnote w:id="8">
    <w:p>
      <w:pPr>
        <w:pStyle w:val="FootnoteText"/>
        <w:rPr>
          <w:szCs w:val="24"/>
        </w:rPr>
      </w:pPr>
      <w:r>
        <w:rPr>
          <w:rStyle w:val="FootnoteReference"/>
        </w:rPr>
        <w:footnoteRef/>
      </w:r>
      <w:r>
        <w:tab/>
        <w:t>L’année N est l’année du début de la mise en œuvre de la proposition/de l’initiative.</w:t>
      </w:r>
    </w:p>
  </w:footnote>
  <w:footnote w:id="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0">
    <w:p>
      <w:pPr>
        <w:pStyle w:val="FootnoteText"/>
        <w:rPr>
          <w:szCs w:val="24"/>
        </w:rPr>
      </w:pPr>
      <w:r>
        <w:rPr>
          <w:rStyle w:val="FootnoteReference"/>
        </w:rPr>
        <w:footnoteRef/>
      </w:r>
      <w:r>
        <w:tab/>
        <w:t>L’année N est l’année du début de la mise en œuvre de la proposition/de l’initiative.</w:t>
      </w:r>
    </w:p>
  </w:footnote>
  <w:footnote w:id="11">
    <w:p>
      <w:pPr>
        <w:pStyle w:val="FootnoteText"/>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12">
    <w:p>
      <w:pPr>
        <w:pStyle w:val="FootnoteText"/>
        <w:rPr>
          <w:szCs w:val="24"/>
        </w:rPr>
      </w:pPr>
      <w:r>
        <w:rPr>
          <w:rStyle w:val="FootnoteReference"/>
        </w:rPr>
        <w:footnoteRef/>
      </w:r>
      <w:r>
        <w:tab/>
        <w:t xml:space="preserve">Tel que décrit dans la partie 1.4.2. «Objectif(s) spécifique(s)…». </w:t>
      </w:r>
    </w:p>
  </w:footnote>
  <w:footnote w:id="13">
    <w:p>
      <w:pPr>
        <w:pStyle w:val="FootnoteText"/>
      </w:pPr>
      <w:r>
        <w:rPr>
          <w:rStyle w:val="FootnoteReference"/>
        </w:rPr>
        <w:footnoteRef/>
      </w:r>
      <w:r>
        <w:tab/>
        <w:t>Prix par tonne sur la base d’un tonnage de référence de 6 500 tonnes / an: 55 EUR la première année (total de 357 500 EUR), 50 EUR les deuxième, troisième et quatrième années (total de 325 000 EUR par an), et 45 EUR la cinquième année (total de 292 500 EUR).</w:t>
      </w:r>
    </w:p>
  </w:footnote>
  <w:footnote w:id="14">
    <w:p>
      <w:pPr>
        <w:pStyle w:val="FootnoteText"/>
        <w:rPr>
          <w:szCs w:val="24"/>
        </w:rPr>
      </w:pPr>
      <w:r>
        <w:rPr>
          <w:rStyle w:val="FootnoteReference"/>
        </w:rPr>
        <w:footnoteRef/>
      </w:r>
      <w:r>
        <w:tab/>
        <w:t>L’année N est l’année du début de la mise en œuvre de la proposition/de l’initiative.</w:t>
      </w:r>
    </w:p>
  </w:footnote>
  <w:footnote w:id="1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6">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7">
    <w:p>
      <w:pPr>
        <w:pStyle w:val="FootnoteText"/>
        <w:rPr>
          <w:szCs w:val="24"/>
        </w:rPr>
      </w:pPr>
      <w:r>
        <w:rPr>
          <w:rStyle w:val="FootnoteReference"/>
        </w:rPr>
        <w:footnoteRef/>
      </w:r>
      <w:r>
        <w:tab/>
        <w:t>Sous-plafonds de personnel externe financés sur crédits opérationnels (anciennes lignes «BA»).</w:t>
      </w:r>
    </w:p>
  </w:footnote>
  <w:footnote w:id="18">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0CA5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3A86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FA1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F896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E8CB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9-23 15:34: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896AA7AE17A34DCB966F512CC42629D4"/>
    <w:docVar w:name="LW_CROSSREFERENCE" w:val="&lt;UNUSED&gt;"/>
    <w:docVar w:name="LW_DocType" w:val="COM"/>
    <w:docVar w:name="LW_EMISSION" w:val="30.9.2015"/>
    <w:docVar w:name="LW_EMISSION_ISODATE" w:val="2015-09-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23"/>
    <w:docVar w:name="LW_REF.II.NEW.CP_YEAR" w:val="2015"/>
    <w:docVar w:name="LW_REF.INST.NEW" w:val="COM"/>
    <w:docVar w:name="LW_REF.INST.NEW_ADOPTED" w:val="final"/>
    <w:docVar w:name="LW_REF.INST.NEW_TEXT" w:val="(2015) 466"/>
    <w:docVar w:name="LW_REF.INTERNE" w:val="&lt;UNUSED&gt;"/>
    <w:docVar w:name="LW_SOUS.TITRE.OBJ.CP" w:val="&lt;UNUSED&gt;"/>
    <w:docVar w:name="LW_STATUT.CP" w:val="Proposition de"/>
    <w:docVar w:name="LW_SUPERTITRE" w:val="&lt;UNUSED&gt;"/>
    <w:docVar w:name="LW_TITRE.OBJ.CP" w:val="relative à la signature, au nom de l\u8217?Union européenne, et à l\u8217?application provisoire de l\u8217?accord de partenariat dans le domaine de la pêche durable entre l\u8217?Union européenne et la République du Liberia et de son protocole de mise en \u339?uv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0C0-E02E-46A7-896C-D8685D12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4678</Words>
  <Characters>25639</Characters>
  <Application>Microsoft Office Word</Application>
  <DocSecurity>0</DocSecurity>
  <Lines>1424</Lines>
  <Paragraphs>757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29560</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2015-09-03T15:41:00Z</dcterms:created>
  <dcterms:modified xsi:type="dcterms:W3CDTF">2015-09-23T13:34:00Z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