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B6B239453A4FFCA3A9DED2C7636F54"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Bdr>
          <w:top w:val="nil"/>
          <w:left w:val="nil"/>
          <w:bottom w:val="nil"/>
          <w:right w:val="nil"/>
          <w:between w:val="nil"/>
          <w:bar w:val="nil"/>
        </w:pBdr>
        <w:spacing w:before="0" w:after="240"/>
        <w:rPr>
          <w:rFonts w:eastAsia="Arial Unicode MS"/>
          <w:noProof/>
        </w:rPr>
      </w:pPr>
      <w:r>
        <w:rPr>
          <w:noProof/>
        </w:rPr>
        <w:t>Въз основа на съответните указания за водене на преговори</w:t>
      </w:r>
      <w:r>
        <w:rPr>
          <w:rStyle w:val="FootnoteReference"/>
          <w:noProof/>
        </w:rPr>
        <w:footnoteReference w:id="1"/>
      </w:r>
      <w:r>
        <w:rPr>
          <w:noProof/>
        </w:rPr>
        <w:t xml:space="preserve"> Комисията проведе преговори с правителството на Либерия с оглед на сключването на ново споразумение за партньорство в областта на устойчивото рибарство между Европейския съюз и Република Либерия и протокол за прилагането му. В резултат на тези преговори на 5 юни 2015 г. бяха парафирани ново споразумение и протокол. Те обхващат период от пет години, считано от датата на временното им прилагане, т.е. от датата на тяхното подписване, както е предвидено в член 15 от споразумението и член 12 от протокола.</w:t>
      </w:r>
    </w:p>
    <w:p>
      <w:pPr>
        <w:pBdr>
          <w:top w:val="nil"/>
          <w:left w:val="nil"/>
          <w:bottom w:val="nil"/>
          <w:right w:val="nil"/>
          <w:between w:val="nil"/>
          <w:bar w:val="nil"/>
        </w:pBdr>
        <w:spacing w:before="0" w:after="240"/>
        <w:rPr>
          <w:rFonts w:eastAsia="Arial Unicode MS"/>
          <w:noProof/>
        </w:rPr>
      </w:pPr>
      <w:r>
        <w:rPr>
          <w:noProof/>
        </w:rPr>
        <w:t>Новото споразумение предоставя рамка, която взема предвид приоритетите на реформираната обща политика в областта на рибарството и на нейното външно измерение, с оглед на установяването на стратегическо партньорство между Европейския съюз и Република Либерия.</w:t>
      </w:r>
    </w:p>
    <w:p>
      <w:pPr>
        <w:pBdr>
          <w:top w:val="nil"/>
          <w:left w:val="nil"/>
          <w:bottom w:val="nil"/>
          <w:right w:val="nil"/>
          <w:between w:val="nil"/>
          <w:bar w:val="nil"/>
        </w:pBdr>
        <w:spacing w:before="0" w:after="240"/>
        <w:rPr>
          <w:rFonts w:eastAsia="Arial Unicode MS"/>
          <w:noProof/>
        </w:rPr>
      </w:pPr>
      <w:r>
        <w:rPr>
          <w:noProof/>
        </w:rPr>
        <w:t>Основната цел на новия протокол е да се предоставят възможности за риболов на кораби на Съюза в риболовната зона на Либерия въз основа на най-добрите налични научни становища и съблюдавайки препоръките на Международната комисия за опазване на рибата тон в Атлантическия океан (ICCAT) и, когато това е целесъобразно, в рамките на наличните допълнителни рибни ресурси. Позицията на Комисията се основава, наред с другото, на резултатите от извършената от външни експерти прогнозна оценка на възможността да се сключат нови споразумение и протокол. Целта е също така да се даде нов тласък на сътрудничеството между Европейския съюз и Република Либерия за насърчаването на политика на устойчиво рибарство и отговорно използване на рибните ресурси в риболовната зона на Либерия в интерес и на двете страни.</w:t>
      </w:r>
    </w:p>
    <w:p>
      <w:pPr>
        <w:pBdr>
          <w:top w:val="nil"/>
          <w:left w:val="nil"/>
          <w:bottom w:val="nil"/>
          <w:right w:val="nil"/>
          <w:between w:val="nil"/>
          <w:bar w:val="nil"/>
        </w:pBdr>
        <w:spacing w:before="0" w:after="240"/>
        <w:rPr>
          <w:rFonts w:eastAsia="Arial Unicode MS"/>
          <w:noProof/>
        </w:rPr>
      </w:pPr>
      <w:r>
        <w:rPr>
          <w:noProof/>
        </w:rPr>
        <w:t>Протоколът предвижда възможности за риболов в следните категории:</w:t>
      </w:r>
    </w:p>
    <w:p>
      <w:pPr>
        <w:pBdr>
          <w:top w:val="nil"/>
          <w:left w:val="nil"/>
          <w:bottom w:val="nil"/>
          <w:right w:val="nil"/>
          <w:between w:val="nil"/>
          <w:bar w:val="nil"/>
        </w:pBdr>
        <w:spacing w:before="0" w:after="240"/>
        <w:rPr>
          <w:rFonts w:eastAsia="Arial Unicode MS"/>
          <w:noProof/>
        </w:rPr>
      </w:pPr>
      <w:r>
        <w:rPr>
          <w:noProof/>
        </w:rPr>
        <w:t>–</w:t>
      </w:r>
      <w:r>
        <w:rPr>
          <w:noProof/>
        </w:rPr>
        <w:tab/>
        <w:t>28 кораба с мрежи гъргър за улов на риба тон,</w:t>
      </w:r>
    </w:p>
    <w:p>
      <w:pPr>
        <w:pBdr>
          <w:top w:val="nil"/>
          <w:left w:val="nil"/>
          <w:bottom w:val="nil"/>
          <w:right w:val="nil"/>
          <w:between w:val="nil"/>
          <w:bar w:val="nil"/>
        </w:pBdr>
        <w:spacing w:before="0" w:after="240"/>
        <w:rPr>
          <w:rFonts w:eastAsia="Arial Unicode MS"/>
          <w:noProof/>
        </w:rPr>
      </w:pPr>
      <w:r>
        <w:rPr>
          <w:noProof/>
        </w:rPr>
        <w:t>–</w:t>
      </w:r>
      <w:r>
        <w:rPr>
          <w:noProof/>
        </w:rPr>
        <w:tab/>
        <w:t>6 кораба с повърхностни парагади.</w:t>
      </w:r>
    </w:p>
    <w:p>
      <w:pPr>
        <w:pBdr>
          <w:top w:val="nil"/>
          <w:left w:val="nil"/>
          <w:bottom w:val="nil"/>
          <w:right w:val="nil"/>
          <w:between w:val="nil"/>
          <w:bar w:val="nil"/>
        </w:pBdr>
        <w:spacing w:before="0" w:after="240"/>
        <w:rPr>
          <w:rFonts w:eastAsia="Arial Unicode MS"/>
          <w:noProof/>
        </w:rPr>
      </w:pPr>
      <w:r>
        <w:rPr>
          <w:noProof/>
        </w:rPr>
        <w:t>Следователно Комисията предлага Съветът да разреши подписването и временното прилагане на новото споразумение и на протокола за неговото прилагане.</w:t>
      </w:r>
    </w:p>
    <w:p>
      <w:pPr>
        <w:pStyle w:val="ManualHeading1"/>
        <w:rPr>
          <w:noProof/>
        </w:rPr>
      </w:pPr>
      <w:r>
        <w:rPr>
          <w:noProof/>
        </w:rPr>
        <w:t>2.</w:t>
      </w:r>
      <w:r>
        <w:rPr>
          <w:noProof/>
        </w:rPr>
        <w:tab/>
        <w:t>РЕЗУЛТАТИ ОТ ПОСЛЕДВАЩИТЕ ОЦЕНКИ, КОНСУЛТАЦИИ СЪС ЗАИНТЕРЕСОВАНИТЕ СТРАНИ И ОЦЕНКИ НА ВЪЗДЕЙСТВИЕТО</w:t>
      </w:r>
    </w:p>
    <w:p>
      <w:pPr>
        <w:pBdr>
          <w:top w:val="nil"/>
          <w:left w:val="nil"/>
          <w:bottom w:val="nil"/>
          <w:right w:val="nil"/>
          <w:between w:val="nil"/>
          <w:bar w:val="nil"/>
        </w:pBdr>
        <w:spacing w:before="0" w:after="240"/>
        <w:rPr>
          <w:rFonts w:eastAsia="Arial Unicode MS"/>
          <w:noProof/>
        </w:rPr>
      </w:pPr>
      <w:r>
        <w:rPr>
          <w:noProof/>
        </w:rPr>
        <w:t>Консултации със заинтересованите страни бяха извършени в рамките на предварителната оценка на възможно споразумение за партньорство в областта на устойчивото рибарство между Европейския съюз и Република Либерия и съответния протокол. По време на технически срещи бяха извършени консултации и с експертите на държавите членки и на сектора. Освен това по време на техническа среща бяха проведени и консултации с либерийските органи в областта на рибарството и заинтересовани страни. Тези консултации доведоха до заключението, че би било от полза за ЕС и Република Либерия да сключат ново споразумение за партньорство в областта на устойчивото рибарство и протокол към него.</w:t>
      </w:r>
    </w:p>
    <w:p>
      <w:pPr>
        <w:pStyle w:val="ManualHeading1"/>
        <w:rPr>
          <w:noProof/>
        </w:rPr>
      </w:pPr>
      <w:r>
        <w:rPr>
          <w:noProof/>
        </w:rPr>
        <w:t>3.</w:t>
      </w:r>
      <w:r>
        <w:rPr>
          <w:noProof/>
        </w:rPr>
        <w:tab/>
        <w:t>ПРАВНИ ЕЛЕМЕНТИ НА ПРЕДЛОЖЕНИЕТО</w:t>
      </w:r>
    </w:p>
    <w:p>
      <w:pPr>
        <w:pBdr>
          <w:top w:val="nil"/>
          <w:left w:val="nil"/>
          <w:bottom w:val="nil"/>
          <w:right w:val="nil"/>
          <w:between w:val="nil"/>
          <w:bar w:val="nil"/>
        </w:pBdr>
        <w:spacing w:before="0" w:after="240"/>
        <w:rPr>
          <w:rFonts w:eastAsia="Arial Unicode MS"/>
          <w:noProof/>
        </w:rPr>
      </w:pPr>
      <w:r>
        <w:rPr>
          <w:noProof/>
        </w:rPr>
        <w:t>Настоящата процедура се провежда успоредно с процедурите във връзка с решението на Съвета за сключване — със съгласието на Европейския парламент — на Споразумението за партньорство в областта на устойчивото рибарство между Европейския съюз и Република Либерия и протокола за неговото прилагане, и процедурите във връзка с регламент на Съвета за разпределяне на възможностите за риболов между държавите — членки на ЕС.</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Годишното финансово участие е 715 000 EUR за първата година, 650 000 EUR за втората, третата и четвъртата година и 585 000 EUR за петата година, изчислени въз основа на:</w:t>
      </w:r>
    </w:p>
    <w:p>
      <w:pPr>
        <w:pBdr>
          <w:top w:val="nil"/>
          <w:left w:val="nil"/>
          <w:bottom w:val="nil"/>
          <w:right w:val="nil"/>
          <w:between w:val="nil"/>
          <w:bar w:val="nil"/>
        </w:pBdr>
        <w:spacing w:before="0" w:after="240"/>
        <w:rPr>
          <w:rFonts w:eastAsia="Arial Unicode MS"/>
          <w:noProof/>
        </w:rPr>
      </w:pPr>
      <w:r>
        <w:rPr>
          <w:noProof/>
        </w:rPr>
        <w:t>а) референтен тонаж от 6500 тона, за който е определена сума, свързана с достъпа, в размер на 357 500 EUR за първата година, 325 000 EUR за втората, третата и четвъртата година и 292 500 EUR за петата година; както и</w:t>
      </w:r>
    </w:p>
    <w:p>
      <w:pPr>
        <w:pBdr>
          <w:top w:val="nil"/>
          <w:left w:val="nil"/>
          <w:bottom w:val="nil"/>
          <w:right w:val="nil"/>
          <w:between w:val="nil"/>
          <w:bar w:val="nil"/>
        </w:pBdr>
        <w:spacing w:before="0" w:after="240"/>
        <w:rPr>
          <w:noProof/>
        </w:rPr>
      </w:pPr>
      <w:r>
        <w:rPr>
          <w:noProof/>
        </w:rPr>
        <w:t>б) подкрепа за развитието на секторната политика на Република Либерия в областта на рибарството в размер на 357 500 EUR за първата година, 325 000 EUR за втората, третата и четвъртата година и 292 500 EUR за петата година. Тази подкрепа отговаря на целите на националната политика в областта на рибарството, и по-специално на нуждите на Република Либерия по отношение на подкрепа за научните изследвания, сектора на непромишления риболов, както и за наблюдението, контрола и надзора на риболова и борбата срещу незаконния риболов.</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2015/0223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и за временно прилагане на Споразумението за партньорство в областта на устойчивото рибарство между Европейския съюз и Република Либерия и съответния протокол за неговото прилагане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Европейският съюз и Република Либерия договориха Споразумение за партньорство в областта на устойчивото рибарство (наричано по-нататък „Споразумението“) и протокол за прилагането му, с които на корабите на Съюза се предоставят възможности за риболов във водите, над които Република Либерия упражнява своя суверенитет или юрисдикция в областта на рибарството.</w:t>
      </w:r>
    </w:p>
    <w:p>
      <w:pPr>
        <w:pStyle w:val="ManualConsidrant"/>
        <w:rPr>
          <w:noProof/>
        </w:rPr>
      </w:pPr>
      <w:r>
        <w:t>(2)</w:t>
      </w:r>
      <w:r>
        <w:tab/>
      </w:r>
      <w:r>
        <w:rPr>
          <w:noProof/>
        </w:rPr>
        <w:t>След приключване на преговорите Споразумението и протоколът за прилагането му бяха парафирани на 5 юни 2015 г.</w:t>
      </w:r>
    </w:p>
    <w:p>
      <w:pPr>
        <w:pStyle w:val="ManualConsidrant"/>
        <w:rPr>
          <w:noProof/>
        </w:rPr>
      </w:pPr>
      <w:r>
        <w:t>(3)</w:t>
      </w:r>
      <w:r>
        <w:tab/>
      </w:r>
      <w:r>
        <w:rPr>
          <w:noProof/>
        </w:rPr>
        <w:t>В член 15 от Споразумението и член 12 от протокола за прилагането му се предвижда съответно временното им прилагане от момента на подписването им.</w:t>
      </w:r>
    </w:p>
    <w:p>
      <w:pPr>
        <w:pStyle w:val="ManualConsidrant"/>
        <w:rPr>
          <w:noProof/>
        </w:rPr>
      </w:pPr>
      <w:r>
        <w:t>(4)</w:t>
      </w:r>
      <w:r>
        <w:tab/>
      </w:r>
      <w:r>
        <w:rPr>
          <w:noProof/>
        </w:rPr>
        <w:t>Поради това Споразумението и съответният протокол за прилагането му следва да се подпишат при условие че бъдат сключени.</w:t>
      </w:r>
    </w:p>
    <w:p>
      <w:pPr>
        <w:pStyle w:val="ManualConsidrant"/>
        <w:rPr>
          <w:noProof/>
        </w:rPr>
      </w:pPr>
      <w:r>
        <w:t>(5)</w:t>
      </w:r>
      <w:r>
        <w:tab/>
      </w:r>
      <w:r>
        <w:rPr>
          <w:noProof/>
        </w:rPr>
        <w:t>С цел да се осигури скорошно започване на риболовните дейности на корабите на Съюза, Споразумението и протоколът за прилагането му следва да се прилагат временно до приключване на процедурите, необходими за влизането им в сила,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Споразумението за партньорство в областта на устойчивото рибарство между Европейския съюз и Република Либерия и съответния протокол за неговото прилагане при условие че бъдат сключени.</w:t>
      </w:r>
    </w:p>
    <w:p>
      <w:pPr>
        <w:rPr>
          <w:noProof/>
        </w:rPr>
      </w:pPr>
      <w:r>
        <w:rPr>
          <w:noProof/>
        </w:rPr>
        <w:t>Текстовете на Споразумението и на протокола към него са поместени в приложения I и II към настоящото решение.</w:t>
      </w:r>
    </w:p>
    <w:p>
      <w:pPr>
        <w:pStyle w:val="Titrearticle"/>
        <w:rPr>
          <w:noProof/>
        </w:rPr>
      </w:pPr>
      <w:r>
        <w:rPr>
          <w:noProof/>
        </w:rPr>
        <w:t>Член 2</w:t>
      </w:r>
    </w:p>
    <w:p>
      <w:pPr>
        <w:rPr>
          <w:noProof/>
        </w:rPr>
      </w:pPr>
      <w:r>
        <w:rPr>
          <w:noProof/>
        </w:rPr>
        <w:t>Генералният секретариат на Съвета съставя актовете за предоставяне на пълни правомощия, необходими за подписване на Споразумението и протокола за прилагането му при условие че бъдат сключени, на лицето(ата), посочено(и) от преговарящия по Споразумението и протокола.</w:t>
      </w:r>
    </w:p>
    <w:p>
      <w:pPr>
        <w:pStyle w:val="Titrearticle"/>
        <w:keepNext w:val="0"/>
        <w:rPr>
          <w:noProof/>
        </w:rPr>
      </w:pPr>
      <w:r>
        <w:rPr>
          <w:noProof/>
        </w:rPr>
        <w:t>Член 3</w:t>
      </w:r>
    </w:p>
    <w:p>
      <w:pPr>
        <w:rPr>
          <w:noProof/>
        </w:rPr>
      </w:pPr>
      <w:r>
        <w:rPr>
          <w:noProof/>
        </w:rPr>
        <w:t>Споразумението се прилага временно в съответствие с член 15 от него, считано от датата на подписването му до приключване на процедурите по влизането му в сила.</w:t>
      </w:r>
    </w:p>
    <w:p>
      <w:pPr>
        <w:pStyle w:val="Titrearticle"/>
        <w:keepNext w:val="0"/>
        <w:rPr>
          <w:noProof/>
        </w:rPr>
      </w:pPr>
      <w:r>
        <w:rPr>
          <w:noProof/>
        </w:rPr>
        <w:t>Член 4</w:t>
      </w:r>
    </w:p>
    <w:p>
      <w:pPr>
        <w:rPr>
          <w:noProof/>
        </w:rPr>
      </w:pPr>
      <w:r>
        <w:rPr>
          <w:noProof/>
        </w:rPr>
        <w:t>Протоколът за прилагане се прилага временно в съответствие с член 12 от него, считано от датата на подписването му до приключване на процедурите по влизането му в сила.</w:t>
      </w:r>
    </w:p>
    <w:p>
      <w:pPr>
        <w:pStyle w:val="Titrearticle"/>
        <w:rPr>
          <w:noProof/>
        </w:rPr>
      </w:pPr>
      <w:r>
        <w:rPr>
          <w:noProof/>
        </w:rPr>
        <w:t>Член 5</w:t>
      </w:r>
    </w:p>
    <w:p>
      <w:pPr>
        <w:rPr>
          <w:noProof/>
        </w:rPr>
      </w:pPr>
      <w:r>
        <w:rPr>
          <w:noProof/>
        </w:rPr>
        <w:t xml:space="preserve">Настоящото решение влиза в сила на третия ден след деня на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shd w:val="clear" w:color="auto" w:fill="BFBFBF"/>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rPr>
          <w:b w:val="0"/>
          <w:noProof/>
        </w:rPr>
      </w:pPr>
      <w:r>
        <w:rPr>
          <w:noProof/>
        </w:rPr>
        <w:tab/>
      </w:r>
      <w:r>
        <w:rPr>
          <w:b w:val="0"/>
          <w:noProof/>
        </w:rPr>
        <w:t>1.1.</w:t>
      </w:r>
      <w:r>
        <w:rPr>
          <w:noProof/>
        </w:rPr>
        <w:tab/>
      </w:r>
      <w:r>
        <w:rPr>
          <w:b w:val="0"/>
          <w:noProof/>
        </w:rPr>
        <w:t>Наименование на предложението/инициативата</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Естество на предложението/инициативата</w:t>
      </w:r>
    </w:p>
    <w:p>
      <w:pPr>
        <w:pStyle w:val="ManualHeading2"/>
        <w:rPr>
          <w:b w:val="0"/>
          <w:noProof/>
        </w:rPr>
      </w:pPr>
      <w:r>
        <w:rPr>
          <w:noProof/>
        </w:rPr>
        <w:tab/>
      </w:r>
      <w:r>
        <w:rPr>
          <w:b w:val="0"/>
          <w:noProof/>
        </w:rPr>
        <w:t>1.4.</w:t>
      </w:r>
      <w:r>
        <w:rPr>
          <w:noProof/>
        </w:rPr>
        <w:tab/>
      </w:r>
      <w:r>
        <w:rPr>
          <w:b w:val="0"/>
          <w:noProof/>
        </w:rPr>
        <w:t>Цели</w:t>
      </w:r>
    </w:p>
    <w:p>
      <w:pPr>
        <w:pStyle w:val="ManualHeading2"/>
        <w:rPr>
          <w:b w:val="0"/>
          <w:noProof/>
        </w:rPr>
      </w:pPr>
      <w:r>
        <w:rPr>
          <w:noProof/>
        </w:rPr>
        <w:tab/>
      </w:r>
      <w:r>
        <w:rPr>
          <w:b w:val="0"/>
          <w:noProof/>
        </w:rPr>
        <w:t>1.5.</w:t>
      </w:r>
      <w:r>
        <w:rPr>
          <w:noProof/>
        </w:rPr>
        <w:tab/>
      </w:r>
      <w:r>
        <w:rPr>
          <w:b w:val="0"/>
          <w:noProof/>
        </w:rPr>
        <w:t>Мотиви за предложението/инициативата</w:t>
      </w:r>
    </w:p>
    <w:p>
      <w:pPr>
        <w:pStyle w:val="ManualHeading2"/>
        <w:rPr>
          <w:b w:val="0"/>
          <w:noProof/>
        </w:rPr>
      </w:pPr>
      <w:r>
        <w:rPr>
          <w:noProof/>
        </w:rPr>
        <w:tab/>
      </w:r>
      <w:r>
        <w:rPr>
          <w:b w:val="0"/>
          <w:noProof/>
        </w:rPr>
        <w:t>1.6.</w:t>
      </w:r>
      <w:r>
        <w:rPr>
          <w:noProof/>
        </w:rPr>
        <w:tab/>
      </w:r>
      <w:r>
        <w:rPr>
          <w:b w:val="0"/>
          <w:noProof/>
        </w:rPr>
        <w:t>Срок на действие и финансово отражение</w:t>
      </w:r>
    </w:p>
    <w:p>
      <w:pPr>
        <w:pStyle w:val="ManualHeading2"/>
        <w:rPr>
          <w:b w:val="0"/>
          <w:noProof/>
        </w:rPr>
      </w:pPr>
      <w:r>
        <w:rPr>
          <w:noProof/>
        </w:rPr>
        <w:tab/>
      </w:r>
      <w:r>
        <w:rPr>
          <w:b w:val="0"/>
          <w:noProof/>
        </w:rPr>
        <w:t>1.7.</w:t>
      </w:r>
      <w:r>
        <w:rPr>
          <w:noProof/>
        </w:rPr>
        <w:tab/>
      </w:r>
      <w:r>
        <w:rPr>
          <w:b w:val="0"/>
          <w:noProof/>
        </w:rPr>
        <w:t>Предвидени методи на управление</w:t>
      </w:r>
    </w:p>
    <w:p>
      <w:pPr>
        <w:pStyle w:val="ManualHeading1"/>
        <w:rPr>
          <w:noProof/>
        </w:rPr>
      </w:pPr>
      <w:r>
        <w:rPr>
          <w:noProof/>
        </w:rPr>
        <w:t>2.</w:t>
      </w:r>
      <w:r>
        <w:rPr>
          <w:noProof/>
        </w:rPr>
        <w:tab/>
        <w:t>МЕРКИ ЗА УПРАВЛЕНИЕ</w:t>
      </w:r>
    </w:p>
    <w:p>
      <w:pPr>
        <w:pStyle w:val="ManualHeading2"/>
        <w:rPr>
          <w:b w:val="0"/>
          <w:noProof/>
        </w:rPr>
      </w:pPr>
      <w:r>
        <w:rPr>
          <w:noProof/>
        </w:rPr>
        <w:tab/>
      </w:r>
      <w:r>
        <w:rPr>
          <w:b w:val="0"/>
          <w:noProof/>
        </w:rPr>
        <w:t>2.1.</w:t>
      </w:r>
      <w:r>
        <w:rPr>
          <w:noProof/>
        </w:rPr>
        <w:tab/>
      </w:r>
      <w:r>
        <w:rPr>
          <w:b w:val="0"/>
          <w:noProof/>
        </w:rPr>
        <w:t>Правила за мониторинг и докладване</w:t>
      </w:r>
    </w:p>
    <w:p>
      <w:pPr>
        <w:pStyle w:val="ManualHeading2"/>
        <w:rPr>
          <w:b w:val="0"/>
          <w:noProof/>
        </w:rPr>
      </w:pPr>
      <w:r>
        <w:rPr>
          <w:noProof/>
        </w:rPr>
        <w:tab/>
      </w:r>
      <w:r>
        <w:rPr>
          <w:b w:val="0"/>
          <w:noProof/>
        </w:rPr>
        <w:t>2.2.</w:t>
      </w:r>
      <w:r>
        <w:rPr>
          <w:noProof/>
        </w:rPr>
        <w:tab/>
      </w:r>
      <w:r>
        <w:rPr>
          <w:b w:val="0"/>
          <w:noProof/>
        </w:rPr>
        <w:t>Система за управление и контрол</w:t>
      </w:r>
    </w:p>
    <w:p>
      <w:pPr>
        <w:pStyle w:val="ManualHeading2"/>
        <w:rPr>
          <w:b w:val="0"/>
          <w:noProof/>
        </w:rPr>
      </w:pPr>
      <w:r>
        <w:rPr>
          <w:noProof/>
        </w:rPr>
        <w:tab/>
      </w:r>
      <w:r>
        <w:rPr>
          <w:b w:val="0"/>
          <w:noProof/>
        </w:rPr>
        <w:t>2.3.</w:t>
      </w:r>
      <w:r>
        <w:rPr>
          <w:noProof/>
        </w:rPr>
        <w:tab/>
      </w:r>
      <w:r>
        <w:rPr>
          <w:b w:val="0"/>
          <w:noProof/>
        </w:rPr>
        <w:t>Мерки за предотвратяване на измами и нередности</w:t>
      </w:r>
    </w:p>
    <w:p>
      <w:pPr>
        <w:pStyle w:val="ManualHeading1"/>
        <w:rPr>
          <w:noProof/>
        </w:rPr>
      </w:pPr>
      <w:r>
        <w:rPr>
          <w:noProof/>
        </w:rPr>
        <w:t>3.</w:t>
      </w:r>
      <w:r>
        <w:rPr>
          <w:noProof/>
        </w:rPr>
        <w:tab/>
        <w:t>ОЧАКВАНО ФИНАНСОВО ОТРАЖЕНИЕ НА ПРЕДЛОЖЕНИЕТО/ИНИЦИАТИВАТА</w:t>
      </w:r>
    </w:p>
    <w:p>
      <w:pPr>
        <w:pStyle w:val="ManualHeading2"/>
        <w:rPr>
          <w:b w:val="0"/>
          <w:noProof/>
        </w:rPr>
      </w:pPr>
      <w:r>
        <w:rPr>
          <w:noProof/>
        </w:rPr>
        <w:tab/>
      </w:r>
      <w:r>
        <w:rPr>
          <w:b w:val="0"/>
          <w:noProof/>
        </w:rPr>
        <w:t>3.1.</w:t>
      </w:r>
      <w:r>
        <w:rPr>
          <w:noProof/>
        </w:rPr>
        <w:tab/>
      </w:r>
      <w:r>
        <w:rPr>
          <w:b w:val="0"/>
          <w:noProof/>
        </w:rPr>
        <w:t>Съответни функции от многогодишната финансова рамка и разходни бюджетни редове</w:t>
      </w:r>
    </w:p>
    <w:p>
      <w:pPr>
        <w:pStyle w:val="ManualHeading2"/>
        <w:rPr>
          <w:noProof/>
        </w:rPr>
      </w:pPr>
      <w:r>
        <w:rPr>
          <w:noProof/>
        </w:rPr>
        <w:tab/>
      </w:r>
      <w:r>
        <w:rPr>
          <w:b w:val="0"/>
          <w:noProof/>
        </w:rPr>
        <w:t>3.2.</w:t>
      </w:r>
      <w:r>
        <w:rPr>
          <w:noProof/>
        </w:rPr>
        <w:tab/>
      </w:r>
      <w:r>
        <w:rPr>
          <w:b w:val="0"/>
          <w:noProof/>
        </w:rPr>
        <w:t>Очаквано отражение върху разходите</w:t>
      </w:r>
    </w:p>
    <w:p>
      <w:pPr>
        <w:pStyle w:val="ManualHeading3"/>
        <w:rPr>
          <w:noProof/>
        </w:rPr>
      </w:pPr>
      <w:r>
        <w:rPr>
          <w:noProof/>
        </w:rPr>
        <w:tab/>
        <w:t>3.2.1.</w:t>
      </w:r>
      <w:r>
        <w:rPr>
          <w:noProof/>
        </w:rPr>
        <w:tab/>
        <w:t>Обобщение на очакваното отражение върху разходите</w:t>
      </w:r>
    </w:p>
    <w:p>
      <w:pPr>
        <w:pStyle w:val="ManualHeading3"/>
        <w:rPr>
          <w:noProof/>
        </w:rPr>
      </w:pPr>
      <w:r>
        <w:rPr>
          <w:noProof/>
        </w:rPr>
        <w:tab/>
        <w:t>3.2.2.</w:t>
      </w:r>
      <w:r>
        <w:rPr>
          <w:noProof/>
        </w:rPr>
        <w:tab/>
        <w:t>Очаквано отражение върху бюджетните кредити за оперативни разходи</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Участие на трети страни във финансирането</w:t>
      </w:r>
    </w:p>
    <w:p>
      <w:pPr>
        <w:pStyle w:val="ManualHeading2"/>
        <w:rPr>
          <w:b w:val="0"/>
          <w:noProof/>
        </w:rPr>
      </w:pPr>
      <w:r>
        <w:rPr>
          <w:noProof/>
        </w:rPr>
        <w:tab/>
      </w:r>
      <w:r>
        <w:rPr>
          <w:b w:val="0"/>
          <w:noProof/>
        </w:rPr>
        <w:t>3.3.</w:t>
      </w:r>
      <w:r>
        <w:rPr>
          <w:noProof/>
        </w:rPr>
        <w:tab/>
      </w:r>
      <w:r>
        <w:rPr>
          <w:b w:val="0"/>
          <w:noProof/>
        </w:rPr>
        <w:t>Очаквано отражение върху приходите</w:t>
      </w:r>
    </w:p>
    <w:p>
      <w:pPr>
        <w:rPr>
          <w:noProof/>
        </w:rPr>
        <w:sectPr>
          <w:pgSz w:w="11907" w:h="16840" w:code="9"/>
          <w:pgMar w:top="1134" w:right="1418" w:bottom="1134" w:left="1418" w:header="709" w:footer="709" w:gutter="0"/>
          <w:cols w:space="708"/>
          <w:docGrid w:linePitch="360"/>
        </w:sectPr>
      </w:pPr>
    </w:p>
    <w:p>
      <w:pPr>
        <w:pStyle w:val="Annexetitrefichefinancire"/>
        <w:rPr>
          <w:noProof/>
        </w:rPr>
      </w:pPr>
      <w:r>
        <w:rPr>
          <w:noProof/>
        </w:rPr>
        <w:t>ЗАКОНОДАТЕЛНА ФИНАНСОВА ОБОСНОВКА</w:t>
      </w:r>
    </w:p>
    <w:p>
      <w:pPr>
        <w:pStyle w:val="ManualHeading1"/>
        <w:rPr>
          <w:noProof/>
        </w:rPr>
      </w:pPr>
      <w:r>
        <w:t>1.</w:t>
      </w:r>
      <w:r>
        <w:tab/>
      </w:r>
      <w:r>
        <w:rPr>
          <w:noProof/>
        </w:rPr>
        <w:t>РАМКА НА ПРЕДЛОЖЕНИЕТО/ИНИЦИАТИВАТА</w:t>
      </w:r>
    </w:p>
    <w:p>
      <w:pPr>
        <w:pStyle w:val="ManualHeading2"/>
        <w:rPr>
          <w:noProof/>
        </w:rPr>
      </w:pPr>
      <w:r>
        <w:t>1.1.</w:t>
      </w:r>
      <w:r>
        <w:tab/>
      </w:r>
      <w:r>
        <w:rPr>
          <w:noProof/>
        </w:rPr>
        <w:t>Наименование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за подписване от името на Европейския съюз и за временно прилагане на Споразумение за партньорство в областта на устойчивото рибарство между Европейския съюз и Република Либерия и съответния протокол за неговото прилагане.</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2"/>
      </w:r>
    </w:p>
    <w:p>
      <w:pPr>
        <w:pStyle w:val="Text1"/>
        <w:pBdr>
          <w:top w:val="single" w:sz="4" w:space="1" w:color="auto"/>
          <w:left w:val="single" w:sz="4" w:space="4" w:color="auto"/>
          <w:bottom w:val="single" w:sz="4" w:space="1" w:color="auto"/>
          <w:right w:val="single" w:sz="4" w:space="4" w:color="auto"/>
        </w:pBdr>
        <w:rPr>
          <w:noProof/>
        </w:rPr>
      </w:pPr>
      <w:r>
        <w:rPr>
          <w:noProof/>
        </w:rPr>
        <w:t>11. — Морско дело и рибарство</w:t>
      </w:r>
    </w:p>
    <w:p>
      <w:pPr>
        <w:pStyle w:val="Text1"/>
        <w:pBdr>
          <w:top w:val="single" w:sz="4" w:space="1" w:color="auto"/>
          <w:left w:val="single" w:sz="4" w:space="4" w:color="auto"/>
          <w:bottom w:val="single" w:sz="4" w:space="1" w:color="auto"/>
          <w:right w:val="single" w:sz="4" w:space="4" w:color="auto"/>
        </w:pBdr>
        <w:rPr>
          <w:noProof/>
        </w:rPr>
      </w:pPr>
      <w:r>
        <w:rPr>
          <w:noProof/>
        </w:rPr>
        <w:t>11.03 — Задължителни вноски в регионалните организации за управление на рибарството (РОУР) и в други международни организации и споразумения за устойчиво рибарство (СУР)</w:t>
      </w:r>
    </w:p>
    <w:p>
      <w:pPr>
        <w:pStyle w:val="ManualHeading2"/>
        <w:rPr>
          <w:bCs/>
          <w:noProof/>
          <w:szCs w:val="24"/>
        </w:rPr>
      </w:pPr>
      <w:r>
        <w:t>1.3.</w:t>
      </w:r>
      <w:r>
        <w:tab/>
      </w:r>
      <w:r>
        <w:rPr>
          <w:noProof/>
        </w:rPr>
        <w:t>Естество на предложението/инициативата</w:t>
      </w:r>
    </w:p>
    <w:p>
      <w:pPr>
        <w:pStyle w:val="Text1"/>
        <w:rPr>
          <w:b/>
          <w:noProof/>
          <w:sz w:val="22"/>
        </w:rPr>
      </w:pPr>
      <w:r>
        <w:rPr>
          <w:noProof/>
        </w:rPr>
        <w:t xml:space="preserve">X Предложението/инициативата е във връзка с </w:t>
      </w:r>
      <w:r>
        <w:rPr>
          <w:b/>
          <w:noProof/>
        </w:rPr>
        <w:t>нова дейност</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3"/>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p>
    <w:p>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p>
    <w:p>
      <w:pPr>
        <w:pStyle w:val="ManualHeading2"/>
        <w:rPr>
          <w:bCs/>
          <w:noProof/>
          <w:szCs w:val="24"/>
        </w:rPr>
      </w:pPr>
      <w:r>
        <w:t>1.4.</w:t>
      </w:r>
      <w:r>
        <w:tab/>
      </w:r>
      <w:r>
        <w:rPr>
          <w:noProof/>
        </w:rPr>
        <w:t>Цели</w:t>
      </w:r>
    </w:p>
    <w:p>
      <w:pPr>
        <w:pStyle w:val="ManualHeading3"/>
        <w:rPr>
          <w:noProof/>
        </w:rPr>
      </w:pPr>
      <w:r>
        <w:t>1.4.1.</w:t>
      </w:r>
      <w:r>
        <w:tab/>
      </w:r>
      <w:r>
        <w:rPr>
          <w:noProof/>
        </w:rPr>
        <w:t>Многогодишни стратегически цели на Комисията, за чието изпълнение е предназначено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Договарянето и сключването на споразумения за партньорство в областта на устойчивото рибарство (СПОУР) с трети държави отговаря на общата цел за осигуряването на достъп на риболовните кораби на ЕС до риболовните зони на трети държави и за развиването на партньорство с тези държави с оглед укрепване на устойчивата експлоатация на рибните ресурси извън водите на ЕС.</w:t>
      </w:r>
    </w:p>
    <w:p>
      <w:pPr>
        <w:pStyle w:val="Text1"/>
        <w:pBdr>
          <w:top w:val="single" w:sz="4" w:space="1" w:color="auto"/>
          <w:left w:val="single" w:sz="4" w:space="4" w:color="auto"/>
          <w:bottom w:val="single" w:sz="4" w:space="1" w:color="auto"/>
          <w:right w:val="single" w:sz="4" w:space="4" w:color="auto"/>
        </w:pBdr>
        <w:rPr>
          <w:noProof/>
        </w:rPr>
      </w:pPr>
      <w:r>
        <w:rPr>
          <w:noProof/>
        </w:rPr>
        <w:t>СПОУР осигуряват също така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интеграция на държавите партньори в глобалната икономика, както и по-добро политическо и финансово управление на рибарството).</w:t>
      </w:r>
    </w:p>
    <w:p>
      <w:pPr>
        <w:pStyle w:val="ManualHeading3"/>
        <w:rPr>
          <w:bCs/>
          <w:noProof/>
          <w:szCs w:val="24"/>
        </w:rPr>
      </w:pPr>
      <w:r>
        <w:t>1.4.2.</w:t>
      </w:r>
      <w:r>
        <w:tab/>
      </w:r>
      <w:r>
        <w:rPr>
          <w:noProof/>
        </w:rPr>
        <w:t>Конкретни цели и 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w:t>
      </w:r>
    </w:p>
    <w:p>
      <w:pPr>
        <w:pStyle w:val="Text1"/>
        <w:pBdr>
          <w:top w:val="single" w:sz="4" w:space="1" w:color="auto"/>
          <w:left w:val="single" w:sz="4" w:space="4" w:color="auto"/>
          <w:bottom w:val="single" w:sz="4" w:space="1" w:color="auto"/>
          <w:right w:val="single" w:sz="4" w:space="4" w:color="auto"/>
        </w:pBdr>
        <w:rPr>
          <w:noProof/>
        </w:rPr>
      </w:pPr>
      <w:r>
        <w:rPr>
          <w:noProof/>
        </w:rPr>
        <w:t>Да се допринесе за устойчивия риболов извън водите на ЕС,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Морско дело и рибарство, установяване на рамка за управление на риболовните дейности, извършвани от риболовни кораби на Европейския съюз във води на трети държави (СУР) (бюджетен ред 11.0301).</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Сключването на Споразумението позволява установяване на стратегическо партньорство в областта на рибарството между Европейския съюз и Република Либерия. Сключването на протокола създава възможности за риболов за корабите на Съюза в риболовната зона на Либерия.</w:t>
      </w:r>
    </w:p>
    <w:p>
      <w:pPr>
        <w:pStyle w:val="Text1"/>
        <w:pBdr>
          <w:top w:val="single" w:sz="4" w:space="1" w:color="auto"/>
          <w:left w:val="single" w:sz="4" w:space="4" w:color="auto"/>
          <w:bottom w:val="single" w:sz="4" w:space="1" w:color="auto"/>
          <w:right w:val="single" w:sz="4" w:space="4" w:color="auto"/>
        </w:pBdr>
        <w:rPr>
          <w:noProof/>
        </w:rPr>
      </w:pPr>
      <w:r>
        <w:rPr>
          <w:noProof/>
        </w:rPr>
        <w:t>Протоколът допринася също така за подобряване на управлението и опазването на рибните ресурси чрез финансова подкрепа (подкрепа на сектора) за изпълнението на програмите, приети на национално равнище от държавата партньор, по-специално по отношение на контрола и борбата срещу незаконния риболов.</w:t>
      </w:r>
    </w:p>
    <w:p>
      <w:pPr>
        <w:pStyle w:val="ManualHeading3"/>
        <w:rPr>
          <w:bCs/>
          <w:noProof/>
          <w:szCs w:val="24"/>
        </w:rPr>
      </w:pPr>
      <w:r>
        <w:t>1.4.4.</w:t>
      </w:r>
      <w:r>
        <w:tab/>
      </w:r>
      <w:r>
        <w:rPr>
          <w:noProof/>
        </w:rPr>
        <w:t>Показатели за резултатите и за отражението</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Процент на оползотворяване на възможностите за риболов (процентен дял на годишно използваните разрешения за риболов спрямо наличните възможности, предлагани в рамките на протокола);</w:t>
      </w:r>
    </w:p>
    <w:p>
      <w:pPr>
        <w:pStyle w:val="Text1"/>
        <w:pBdr>
          <w:top w:val="single" w:sz="4" w:space="1" w:color="auto"/>
          <w:left w:val="single" w:sz="4" w:space="4" w:color="auto"/>
          <w:bottom w:val="single" w:sz="4" w:space="1" w:color="auto"/>
          <w:right w:val="single" w:sz="4" w:space="4" w:color="auto"/>
        </w:pBdr>
        <w:rPr>
          <w:noProof/>
        </w:rPr>
      </w:pPr>
      <w:r>
        <w:rPr>
          <w:noProof/>
        </w:rPr>
        <w:t>Събиране и анализиране на данните за улова и търговската стойност на Споразумението;</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заетостта и добавената стойност в ЕС и към стабилизиране на пазара на ЕС (заедно с други СПОУР);</w:t>
      </w:r>
    </w:p>
    <w:p>
      <w:pPr>
        <w:pStyle w:val="Text1"/>
        <w:pBdr>
          <w:top w:val="single" w:sz="4" w:space="1" w:color="auto"/>
          <w:left w:val="single" w:sz="4" w:space="4" w:color="auto"/>
          <w:bottom w:val="single" w:sz="4" w:space="1" w:color="auto"/>
          <w:right w:val="single" w:sz="4" w:space="4" w:color="auto"/>
        </w:pBdr>
        <w:rPr>
          <w:noProof/>
        </w:rPr>
      </w:pPr>
      <w:r>
        <w:rPr>
          <w:noProof/>
        </w:rPr>
        <w:t>Брой на техническите срещи и на заседанията на съвместния комитет.</w:t>
      </w:r>
    </w:p>
    <w:p>
      <w:pPr>
        <w:pStyle w:val="ManualHeading2"/>
        <w:rPr>
          <w:bCs/>
          <w:noProof/>
          <w:szCs w:val="24"/>
        </w:rPr>
      </w:pPr>
      <w:r>
        <w:t>1.5.</w:t>
      </w:r>
      <w:r>
        <w:tab/>
      </w:r>
      <w:r>
        <w:rPr>
          <w:noProof/>
        </w:rPr>
        <w:t>Мотиви за предложението/инициативата</w:t>
      </w:r>
    </w:p>
    <w:p>
      <w:pPr>
        <w:pStyle w:val="ManualHeading3"/>
        <w:rPr>
          <w:noProof/>
        </w:rPr>
      </w:pPr>
      <w:r>
        <w:t>1.5.1.</w:t>
      </w:r>
      <w:r>
        <w:tab/>
      </w:r>
      <w:r>
        <w:rPr>
          <w:noProof/>
        </w:rPr>
        <w:t>Нужди, които трябва да бъдат задоволени в краткосрочен или дългосрочен план</w:t>
      </w:r>
    </w:p>
    <w:p>
      <w:pPr>
        <w:pStyle w:val="Text1"/>
        <w:pBdr>
          <w:top w:val="single" w:sz="4" w:space="1" w:color="auto"/>
          <w:left w:val="single" w:sz="4" w:space="4" w:color="auto"/>
          <w:bottom w:val="single" w:sz="4" w:space="1" w:color="auto"/>
          <w:right w:val="single" w:sz="4" w:space="4" w:color="auto"/>
        </w:pBdr>
        <w:rPr>
          <w:noProof/>
        </w:rPr>
      </w:pPr>
      <w:r>
        <w:rPr>
          <w:noProof/>
        </w:rPr>
        <w:t>Досега не е имало СПОУР или протокол между Европейския съюз и Република Либерия. Въз основа на извършена от външни експерти прогнозна оценка се стигна до заключението, че ново СПОУР между ЕС и Република Либерия и протокол към него ще бъдат от полза и за двете страни.</w:t>
      </w:r>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новото споразумение и протоколът да се прилагат временно от датата на тяхното подписване, за да не се забавя началото на риболовните операции.</w:t>
      </w:r>
    </w:p>
    <w:p>
      <w:pPr>
        <w:pStyle w:val="Text1"/>
        <w:pBdr>
          <w:top w:val="single" w:sz="4" w:space="1" w:color="auto"/>
          <w:left w:val="single" w:sz="4" w:space="4" w:color="auto"/>
          <w:bottom w:val="single" w:sz="4" w:space="1" w:color="auto"/>
          <w:right w:val="single" w:sz="4" w:space="4" w:color="auto"/>
        </w:pBdr>
        <w:rPr>
          <w:noProof/>
        </w:rPr>
      </w:pPr>
      <w:r>
        <w:rPr>
          <w:noProof/>
        </w:rPr>
        <w:t>Новият протокол ще осигури рамка за риболовните дейности на европейския флот в риболовната зона на Либерия и ще позволи на европейските корабособственици да подават заявления за разрешения за риболов, даващи им възможност да извършват риболов в тази зона. Освен това новият протокол укрепва сътрудничеството между ЕС и Република Либерия с цел насърчаване на развитието на устойчива политика в областта на рибарството. В него се предвижда по-специално наблюдение на корабите чрез VMS и съобщаване на данните за улова по електронен път. Подкрепата за сектора на рибарството в рамките на протокола ще подпомогне Република Либерия по отношение на националната ѝ стратегия в областта на рибарството, в т.ч. борбата срещу ННН риболов.</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тези нови споразумение и протокол ненамесата на ЕС би означавала сключване на частни споразумения, което няма да осигури устойчиво рибарство. Освен това Европейският съюз се надява, че този протокол ще допринесе за продължаването на ефикасното сътрудничество на Република Либерия с ЕС, по-специално по отношение на борбата с незаконния риболов.</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Въз основа на анализа на предишния улов в риболовната зона на Либерия и на извършения в последно време улов в рамките на подобни протоколи в региона, както и на наличните оценки и научни становища страните решиха да определят референтен тонаж за риба тон и тоноподобни в размер на 6500 тона годишно с възможности за риболов за 28 кораба с мрежи гъргър и 6 кораба с повърхностни парагади. Секторната подкрепа бе определена на относително високо ниво, за да се вземат предвид нуждите на либерийските органи в областта на рибарството при изграждане на капацитета и приоритетите на националната стратегия в областта на рибарството.</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Средствата, изплащани в рамките на СПОУР, представляват приходи в бюджетите на третите държави партньори, които по принцип не са определени за конкретни цели. Насочването на част от тези средства към мерки за изпълнение в рамките на националната секторна политика обаче е условие за сключването и наблюдението на СПОУР. Тези финансови ресурси са съвместими с други източници на финансиране от други международни донори за осъществяването на проекти и/или програми, провеждани на национално равнище в сектора на рибарството.</w:t>
      </w:r>
    </w:p>
    <w:p>
      <w:pPr>
        <w:pStyle w:val="ManualHeading2"/>
        <w:rPr>
          <w:bCs/>
          <w:noProof/>
          <w:szCs w:val="24"/>
        </w:rPr>
      </w:pPr>
      <w:r>
        <w:rPr>
          <w:noProof/>
        </w:rPr>
        <w:br w:type="page"/>
      </w:r>
      <w:r>
        <w:t>1.6.</w:t>
      </w:r>
      <w:r>
        <w:tab/>
      </w:r>
      <w:r>
        <w:rPr>
          <w:noProof/>
        </w:rPr>
        <w:t>Срок на действие и финансово отражение</w:t>
      </w:r>
    </w:p>
    <w:p>
      <w:pPr>
        <w:pStyle w:val="Text1"/>
        <w:rPr>
          <w:noProof/>
        </w:rPr>
      </w:pPr>
      <w:r>
        <w:rPr>
          <w:noProof/>
        </w:rPr>
        <w:t xml:space="preserve">X Предложение/инициатива с </w:t>
      </w:r>
      <w:r>
        <w:rPr>
          <w:b/>
          <w:noProof/>
        </w:rPr>
        <w:t>ограничен срок на действие</w:t>
      </w:r>
    </w:p>
    <w:p>
      <w:pPr>
        <w:pStyle w:val="ListDash2"/>
        <w:rPr>
          <w:noProof/>
        </w:rPr>
      </w:pPr>
      <w:r>
        <w:rPr>
          <w:noProof/>
        </w:rPr>
        <w:t>X</w:t>
      </w:r>
      <w:r>
        <w:rPr>
          <w:noProof/>
        </w:rPr>
        <w:tab/>
        <w:t>Предложение/инициатива в сила от 2015 г. до 2020 г.</w:t>
      </w:r>
    </w:p>
    <w:p>
      <w:pPr>
        <w:pStyle w:val="ListDash2"/>
        <w:rPr>
          <w:noProof/>
        </w:rPr>
      </w:pPr>
      <w:r>
        <w:rPr>
          <w:noProof/>
        </w:rPr>
        <w:sym w:font="Wingdings" w:char="F0A8"/>
      </w:r>
      <w:r>
        <w:rPr>
          <w:noProof/>
        </w:rPr>
        <w:tab/>
        <w:t>Финансово отражение от 2015 г. до 2019 г.</w:t>
      </w:r>
    </w:p>
    <w:p>
      <w:pPr>
        <w:pStyle w:val="Text1"/>
        <w:rPr>
          <w:noProof/>
        </w:rPr>
      </w:pPr>
      <w:r>
        <w:rPr>
          <w:noProof/>
        </w:rPr>
        <w:sym w:font="Wingdings" w:char="F0A8"/>
      </w:r>
      <w:r>
        <w:rPr>
          <w:noProof/>
        </w:rPr>
        <w:t xml:space="preserve"> 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Предвидени методи на управление</w:t>
      </w:r>
      <w:r>
        <w:rPr>
          <w:rStyle w:val="FootnoteReference"/>
          <w:noProof/>
        </w:rPr>
        <w:footnoteReference w:id="4"/>
      </w:r>
    </w:p>
    <w:p>
      <w:pPr>
        <w:pStyle w:val="Text1"/>
        <w:rPr>
          <w:noProof/>
        </w:rPr>
      </w:pPr>
      <w:r>
        <w:rPr>
          <w:noProof/>
        </w:rPr>
        <w:t xml:space="preserve">X </w:t>
      </w:r>
      <w:r>
        <w:rPr>
          <w:b/>
          <w:noProof/>
        </w:rPr>
        <w:t>Пряко управление</w:t>
      </w:r>
      <w:r>
        <w:rPr>
          <w:noProof/>
        </w:rPr>
        <w:t xml:space="preserve"> от Комисията</w:t>
      </w:r>
    </w:p>
    <w:p>
      <w:pPr>
        <w:pStyle w:val="ListDash2"/>
        <w:rPr>
          <w:rFonts w:cs="EUAlbertina"/>
          <w:noProof/>
        </w:rPr>
      </w:pPr>
      <w:r>
        <w:rPr>
          <w:noProof/>
        </w:rPr>
        <w:t>X от нейните служби, включително от нейния персонал в делегациите на Съюза;</w:t>
      </w:r>
    </w:p>
    <w:p>
      <w:pPr>
        <w:pStyle w:val="ListDash2"/>
        <w:rPr>
          <w:noProof/>
        </w:rPr>
      </w:pPr>
      <w:r>
        <w:rPr>
          <w:noProof/>
        </w:rPr>
        <w:sym w:font="Wingdings" w:char="F0A8"/>
      </w:r>
      <w:r>
        <w:rPr>
          <w:noProof/>
        </w:rPr>
        <w:tab/>
        <w:t>от изпълнителните агенции</w:t>
      </w:r>
    </w:p>
    <w:p>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w:t>
      </w:r>
    </w:p>
    <w:p>
      <w:pPr>
        <w:pStyle w:val="Text1"/>
        <w:rPr>
          <w:noProof/>
        </w:rPr>
      </w:pPr>
      <w:r>
        <w:rPr>
          <w:noProof/>
        </w:rPr>
        <w:sym w:font="Wingdings" w:char="F0A8"/>
      </w:r>
      <w:r>
        <w:rPr>
          <w:noProof/>
        </w:rPr>
        <w:t xml:space="preserve"> </w:t>
      </w:r>
      <w:r>
        <w:rPr>
          <w:b/>
          <w:noProof/>
        </w:rPr>
        <w:t>Непряко управление</w:t>
      </w:r>
      <w:r>
        <w:rPr>
          <w:noProof/>
        </w:rPr>
        <w:t xml:space="preserve"> чрез делегиране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t xml:space="preserve"> </w:t>
      </w: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МЕРКИ ЗА УПРАВЛЕНИЕ</w:t>
      </w:r>
    </w:p>
    <w:p>
      <w:pPr>
        <w:pStyle w:val="ManualHeading2"/>
        <w:rPr>
          <w:noProof/>
        </w:rPr>
      </w:pPr>
      <w:r>
        <w:t>2.1.</w:t>
      </w:r>
      <w:r>
        <w:tab/>
      </w:r>
      <w:r>
        <w:rPr>
          <w:noProof/>
        </w:rPr>
        <w:t>Правила за мониторинг и докладване</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(ГД „Морско дело и рибарство“ в сътрудничество със своя аташе по риболова, установен в региона) осигурява редовното проследяване на изпълнението на протокола, по-специално по отношение на оползотворяването на възможностите за риболов от страна на операторите и по отношение на данните за улова.</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СПОУР предвижда поне по едно ежегодно заседание на съвместния комитет, по време на което Комисията и Република Либерия обсъждат изпълнението на Споразумението и протокола и внасят при необходимост корекции в планирането и, според случая, във финансовото участие.</w:t>
      </w:r>
    </w:p>
    <w:p>
      <w:pPr>
        <w:pStyle w:val="ManualHeading2"/>
        <w:rPr>
          <w:bCs/>
          <w:noProof/>
          <w:szCs w:val="24"/>
        </w:rPr>
      </w:pPr>
      <w:r>
        <w:t>2.2.</w:t>
      </w:r>
      <w:r>
        <w:tab/>
      </w:r>
      <w:r>
        <w:rPr>
          <w:noProof/>
        </w:rPr>
        <w:t>Система за управление и контрол</w:t>
      </w:r>
    </w:p>
    <w:p>
      <w:pPr>
        <w:pStyle w:val="ManualHeading3"/>
        <w:rPr>
          <w:noProof/>
        </w:rPr>
      </w:pPr>
      <w:r>
        <w:t>2.2.1.</w:t>
      </w:r>
      <w:r>
        <w:tab/>
      </w:r>
      <w:r>
        <w:rPr>
          <w:noProof/>
        </w:rPr>
        <w:t>Установени рискове</w:t>
      </w:r>
    </w:p>
    <w:p>
      <w:pPr>
        <w:pStyle w:val="Text1"/>
        <w:pBdr>
          <w:top w:val="single" w:sz="4" w:space="1" w:color="auto"/>
          <w:left w:val="single" w:sz="4" w:space="4" w:color="auto"/>
          <w:bottom w:val="single" w:sz="4" w:space="1" w:color="auto"/>
          <w:right w:val="single" w:sz="4" w:space="4" w:color="auto"/>
        </w:pBdr>
        <w:rPr>
          <w:noProof/>
        </w:rPr>
      </w:pPr>
      <w:r>
        <w:rPr>
          <w:noProof/>
        </w:rPr>
        <w:t>Сключването на ново споразумение в областта на рибарството и на съответния протокол е свързано с известни рискове, по-специално по отношение на сумите, предназначени за финансиране на секторната политика в областта на рибарството (подпрограмиране).</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задълбочен диалог за програмното планиране и изпълнението на секторната политика съгласно Споразумението и протокола. Съвместният анализ на резултатите, посочен в член 4 от протокола, също представлява част от тези методи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в Споразумението и протокола се предвиждат специфични клаузи за временното им преустановяване при определени условия и дадени обстоятелства.</w:t>
      </w:r>
    </w:p>
    <w:p>
      <w:pPr>
        <w:pStyle w:val="ManualHeading3"/>
        <w:rPr>
          <w:noProof/>
        </w:rPr>
      </w:pPr>
      <w:r>
        <w:t>2.2.3.</w:t>
      </w:r>
      <w:r>
        <w:tab/>
      </w:r>
      <w:r>
        <w:rPr>
          <w:noProof/>
        </w:rPr>
        <w:t>Оценка на разходите и ползите от проверките и на очаквания риск от грешка</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Мерки за предотвратяване на измами и нередности</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поема ангажимент да установи политически диалог и редовно съгласуване с Република Либерия с цел подобряване на управлението на Споразумението и на протокола и увеличаване на приноса на ЕС за устойчивото управление на ресурсите. Във всички случаи плащанията, които Комисията извършва в рамките на СПОУР, са подчинени на нейните правила и обичайните ѝ бюджетни и финансови процедури. Това позволява, по-специално, да се идентифицират напълно банковите сметки на третите държави, по които се превеждат сумите за финансовото участие. Съгласно член 3, параграф 8 от съответния конкретен протокол цялото финансово участие се плаща по сметка на държавния бюджет, открита в Централната банка на Либерия.</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ОЧАКВАНО ФИНАНСОВО ОТРАЖЕНИЕ НА ПРЕДЛОЖЕНИЕТО/ИНИЦИАТИВАТА</w:t>
      </w:r>
    </w:p>
    <w:p>
      <w:pPr>
        <w:pStyle w:val="ManualHeading2"/>
        <w:rPr>
          <w:noProof/>
        </w:rPr>
      </w:pPr>
      <w:r>
        <w:t>3.1.</w:t>
      </w:r>
      <w:r>
        <w:tab/>
      </w:r>
      <w:r>
        <w:rPr>
          <w:noProof/>
        </w:rPr>
        <w:t>Съответни функции от многогодишната финансова рамка и разходни бюджетни редове</w:t>
      </w:r>
    </w:p>
    <w:p>
      <w:pPr>
        <w:pStyle w:val="ListBullet1"/>
        <w:rPr>
          <w:noProof/>
        </w:rPr>
      </w:pPr>
      <w:r>
        <w:rPr>
          <w:noProof/>
        </w:rPr>
        <w:t>Съществуващи бюджетни редове</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Вноска</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r>
              <w:rPr>
                <w:noProof/>
                <w:sz w:val="20"/>
              </w:rPr>
              <w:t>[Наименование………………………...………]</w:t>
            </w:r>
          </w:p>
        </w:tc>
        <w:tc>
          <w:tcPr>
            <w:tcW w:w="1080" w:type="dxa"/>
            <w:vAlign w:val="center"/>
          </w:tcPr>
          <w:p>
            <w:pPr>
              <w:jc w:val="center"/>
              <w:rPr>
                <w:noProof/>
              </w:rPr>
            </w:pPr>
            <w:r>
              <w:rPr>
                <w:noProof/>
                <w:sz w:val="18"/>
              </w:rPr>
              <w:t>Многогод./едногод.</w:t>
            </w:r>
            <w:r>
              <w:rPr>
                <w:rStyle w:val="FootnoteReference"/>
                <w:noProof/>
                <w:sz w:val="18"/>
              </w:rPr>
              <w:footnoteReference w:id="5"/>
            </w:r>
          </w:p>
        </w:tc>
        <w:tc>
          <w:tcPr>
            <w:tcW w:w="956" w:type="dxa"/>
            <w:vAlign w:val="center"/>
          </w:tcPr>
          <w:p>
            <w:pPr>
              <w:jc w:val="center"/>
              <w:rPr>
                <w:noProof/>
              </w:rPr>
            </w:pPr>
            <w:r>
              <w:rPr>
                <w:noProof/>
                <w:sz w:val="18"/>
              </w:rPr>
              <w:t>от държави от ЕАСТ</w:t>
            </w:r>
            <w:r>
              <w:rPr>
                <w:rStyle w:val="FootnoteReference"/>
                <w:noProof/>
                <w:sz w:val="18"/>
              </w:rPr>
              <w:footnoteReference w:id="6"/>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7"/>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sz w:val="22"/>
              </w:rPr>
              <w:t>2</w:t>
            </w:r>
          </w:p>
        </w:tc>
        <w:tc>
          <w:tcPr>
            <w:tcW w:w="3960" w:type="dxa"/>
            <w:vAlign w:val="center"/>
          </w:tcPr>
          <w:p>
            <w:pPr>
              <w:spacing w:before="60"/>
              <w:rPr>
                <w:noProof/>
              </w:rPr>
            </w:pPr>
            <w:r>
              <w:rPr>
                <w:noProof/>
              </w:rPr>
              <w:t>11.03.01</w:t>
            </w:r>
          </w:p>
          <w:p>
            <w:pPr>
              <w:spacing w:before="60"/>
              <w:rPr>
                <w:noProof/>
              </w:rPr>
            </w:pPr>
            <w:r>
              <w:rPr>
                <w:noProof/>
              </w:rPr>
              <w:t>Установяване на рамка за управление на риболовните дейности, извършвани от риболовните кораби на Европейския съюз във водите на трети държави (СУР)</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2</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rPr>
                <w:noProof/>
              </w:rPr>
            </w:pPr>
            <w:r>
              <w:rPr>
                <w:noProof/>
              </w:rPr>
              <w:t>11.010401</w:t>
            </w:r>
          </w:p>
          <w:p>
            <w:pPr>
              <w:spacing w:before="60"/>
              <w:rPr>
                <w:noProof/>
              </w:rPr>
            </w:pPr>
            <w:r>
              <w:rPr>
                <w:noProof/>
              </w:rPr>
              <w:t>Разходи за подкрепа за областта морско дело и рибарство — Неоперативна административна и техническа помощ</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НЕ</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НЕ</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НЕ</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НЕ</w:t>
            </w:r>
          </w:p>
        </w:tc>
      </w:tr>
    </w:tbl>
    <w:p>
      <w:pPr>
        <w:pStyle w:val="ListBullet1"/>
        <w:rPr>
          <w:noProof/>
        </w:rPr>
      </w:pPr>
      <w:r>
        <w:rPr>
          <w:noProof/>
        </w:rPr>
        <w:t>Поискани нови бюджетни редове</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r>
              <w:rPr>
                <w:noProof/>
                <w:sz w:val="20"/>
              </w:rPr>
              <w:t>[Наименование………………………………………]</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Очаквано отражение върху разходите</w:t>
      </w:r>
    </w:p>
    <w:p>
      <w:pPr>
        <w:pStyle w:val="ManualHeading3"/>
        <w:rPr>
          <w:noProof/>
          <w:u w:val="single"/>
        </w:rPr>
      </w:pPr>
      <w:r>
        <w:t>3.2.1.</w:t>
      </w:r>
      <w:r>
        <w:tab/>
      </w:r>
      <w:r>
        <w:rPr>
          <w:noProof/>
        </w:rPr>
        <w:t>Обобщение на очакваното отражение върху разходите</w:t>
      </w:r>
    </w:p>
    <w:p>
      <w:pPr>
        <w:jc w:val="right"/>
        <w:rPr>
          <w:noProof/>
          <w:sz w:val="20"/>
        </w:rPr>
      </w:pPr>
      <w:r>
        <w:rPr>
          <w:noProof/>
          <w:sz w:val="20"/>
        </w:rPr>
        <w:t>млн. евро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Номер 2</w:t>
            </w:r>
          </w:p>
        </w:tc>
        <w:tc>
          <w:tcPr>
            <w:tcW w:w="7817" w:type="dxa"/>
            <w:vAlign w:val="center"/>
          </w:tcPr>
          <w:p>
            <w:pPr>
              <w:spacing w:before="60" w:after="60"/>
              <w:rPr>
                <w:noProof/>
              </w:rPr>
            </w:pPr>
            <w:r>
              <w:rPr>
                <w:noProof/>
              </w:rPr>
              <w:t>Устойчив растеж: природни ресурси</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1777"/>
      </w:tblGrid>
      <w:tr>
        <w:tc>
          <w:tcPr>
            <w:tcW w:w="3960" w:type="dxa"/>
            <w:vAlign w:val="center"/>
          </w:tcPr>
          <w:p>
            <w:pPr>
              <w:jc w:val="center"/>
              <w:rPr>
                <w:noProof/>
              </w:rPr>
            </w:pPr>
            <w:r>
              <w:rPr>
                <w:noProof/>
                <w:sz w:val="22"/>
              </w:rPr>
              <w:t>ГД: &lt;…….&gt;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b/>
                <w:noProof/>
                <w:sz w:val="20"/>
              </w:rPr>
            </w:pPr>
            <w:r>
              <w:rPr>
                <w:noProof/>
                <w:sz w:val="20"/>
              </w:rPr>
              <w:t>Година</w:t>
            </w:r>
            <w:r>
              <w:rPr>
                <w:noProof/>
                <w:sz w:val="22"/>
              </w:rPr>
              <w:br/>
            </w:r>
            <w:r>
              <w:rPr>
                <w:b/>
                <w:noProof/>
                <w:sz w:val="20"/>
              </w:rPr>
              <w:t>N</w:t>
            </w:r>
            <w:r>
              <w:rPr>
                <w:rStyle w:val="FootnoteReference"/>
                <w:b/>
                <w:noProof/>
                <w:sz w:val="20"/>
              </w:rPr>
              <w:footnoteReference w:id="8"/>
            </w:r>
          </w:p>
          <w:p>
            <w:pPr>
              <w:jc w:val="center"/>
              <w:rPr>
                <w:noProof/>
                <w:sz w:val="20"/>
              </w:rPr>
            </w:pPr>
            <w:r>
              <w:rPr>
                <w:b/>
                <w:noProof/>
                <w:sz w:val="20"/>
              </w:rPr>
              <w:t>2015 г.</w:t>
            </w:r>
          </w:p>
        </w:tc>
        <w:tc>
          <w:tcPr>
            <w:tcW w:w="868" w:type="dxa"/>
            <w:vAlign w:val="center"/>
          </w:tcPr>
          <w:p>
            <w:pPr>
              <w:jc w:val="center"/>
              <w:rPr>
                <w:b/>
                <w:noProof/>
                <w:sz w:val="20"/>
              </w:rPr>
            </w:pPr>
            <w:r>
              <w:rPr>
                <w:noProof/>
                <w:sz w:val="20"/>
              </w:rPr>
              <w:t>Година</w:t>
            </w:r>
            <w:r>
              <w:rPr>
                <w:noProof/>
                <w:sz w:val="22"/>
              </w:rPr>
              <w:br/>
            </w:r>
            <w:r>
              <w:rPr>
                <w:b/>
                <w:noProof/>
                <w:sz w:val="20"/>
              </w:rPr>
              <w:t>N+1</w:t>
            </w:r>
          </w:p>
          <w:p>
            <w:pPr>
              <w:jc w:val="center"/>
              <w:rPr>
                <w:noProof/>
                <w:sz w:val="20"/>
              </w:rPr>
            </w:pPr>
            <w:r>
              <w:rPr>
                <w:b/>
                <w:noProof/>
                <w:sz w:val="20"/>
              </w:rPr>
              <w:t>2016 г.</w:t>
            </w:r>
          </w:p>
        </w:tc>
        <w:tc>
          <w:tcPr>
            <w:tcW w:w="868" w:type="dxa"/>
            <w:vAlign w:val="center"/>
          </w:tcPr>
          <w:p>
            <w:pPr>
              <w:jc w:val="center"/>
              <w:rPr>
                <w:b/>
                <w:noProof/>
                <w:sz w:val="20"/>
              </w:rPr>
            </w:pPr>
            <w:r>
              <w:rPr>
                <w:noProof/>
                <w:sz w:val="20"/>
              </w:rPr>
              <w:t>Година</w:t>
            </w:r>
            <w:r>
              <w:rPr>
                <w:noProof/>
                <w:sz w:val="22"/>
              </w:rPr>
              <w:br/>
            </w:r>
            <w:r>
              <w:rPr>
                <w:b/>
                <w:noProof/>
                <w:sz w:val="20"/>
              </w:rPr>
              <w:t>N+2</w:t>
            </w:r>
          </w:p>
          <w:p>
            <w:pPr>
              <w:jc w:val="center"/>
              <w:rPr>
                <w:noProof/>
                <w:sz w:val="20"/>
              </w:rPr>
            </w:pPr>
            <w:r>
              <w:rPr>
                <w:b/>
                <w:noProof/>
                <w:sz w:val="20"/>
              </w:rPr>
              <w:t>2017 г.</w:t>
            </w:r>
          </w:p>
        </w:tc>
        <w:tc>
          <w:tcPr>
            <w:tcW w:w="868" w:type="dxa"/>
            <w:vAlign w:val="center"/>
          </w:tcPr>
          <w:p>
            <w:pPr>
              <w:jc w:val="center"/>
              <w:rPr>
                <w:b/>
                <w:noProof/>
                <w:sz w:val="20"/>
              </w:rPr>
            </w:pPr>
            <w:r>
              <w:rPr>
                <w:noProof/>
                <w:sz w:val="20"/>
              </w:rPr>
              <w:t>Година</w:t>
            </w:r>
            <w:r>
              <w:rPr>
                <w:noProof/>
                <w:sz w:val="22"/>
              </w:rPr>
              <w:br/>
            </w:r>
            <w:r>
              <w:rPr>
                <w:b/>
                <w:noProof/>
                <w:sz w:val="20"/>
              </w:rPr>
              <w:t>N+3</w:t>
            </w:r>
          </w:p>
          <w:p>
            <w:pPr>
              <w:jc w:val="center"/>
              <w:rPr>
                <w:noProof/>
                <w:sz w:val="20"/>
              </w:rPr>
            </w:pPr>
            <w:r>
              <w:rPr>
                <w:b/>
                <w:noProof/>
                <w:sz w:val="20"/>
              </w:rPr>
              <w:t>2018 г.</w:t>
            </w:r>
          </w:p>
        </w:tc>
        <w:tc>
          <w:tcPr>
            <w:tcW w:w="868" w:type="dxa"/>
            <w:vAlign w:val="center"/>
          </w:tcPr>
          <w:p>
            <w:pPr>
              <w:jc w:val="center"/>
              <w:rPr>
                <w:b/>
                <w:noProof/>
                <w:sz w:val="20"/>
              </w:rPr>
            </w:pPr>
            <w:r>
              <w:rPr>
                <w:noProof/>
                <w:sz w:val="20"/>
              </w:rPr>
              <w:t>Година</w:t>
            </w:r>
            <w:r>
              <w:rPr>
                <w:noProof/>
                <w:sz w:val="22"/>
              </w:rPr>
              <w:br/>
            </w:r>
            <w:r>
              <w:rPr>
                <w:b/>
                <w:noProof/>
                <w:sz w:val="20"/>
              </w:rPr>
              <w:t>N+4</w:t>
            </w:r>
          </w:p>
          <w:p>
            <w:pPr>
              <w:jc w:val="center"/>
              <w:rPr>
                <w:b/>
                <w:noProof/>
                <w:sz w:val="18"/>
              </w:rPr>
            </w:pPr>
            <w:r>
              <w:rPr>
                <w:b/>
                <w:noProof/>
                <w:sz w:val="20"/>
              </w:rPr>
              <w:t>2019 г.</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Номер на бюджетния ред 11.0301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0,715</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0,585</w:t>
            </w:r>
          </w:p>
        </w:tc>
        <w:tc>
          <w:tcPr>
            <w:tcW w:w="1777" w:type="dxa"/>
            <w:vAlign w:val="center"/>
          </w:tcPr>
          <w:p>
            <w:pPr>
              <w:spacing w:before="20" w:after="20"/>
              <w:jc w:val="right"/>
              <w:rPr>
                <w:b/>
                <w:noProof/>
                <w:sz w:val="20"/>
              </w:rPr>
            </w:pPr>
            <w:r>
              <w:rPr>
                <w:b/>
                <w:noProof/>
                <w:sz w:val="20"/>
              </w:rPr>
              <w:t>3,250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0,715</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0,585</w:t>
            </w:r>
          </w:p>
        </w:tc>
        <w:tc>
          <w:tcPr>
            <w:tcW w:w="1777" w:type="dxa"/>
            <w:vAlign w:val="center"/>
          </w:tcPr>
          <w:p>
            <w:pPr>
              <w:spacing w:before="20" w:after="20"/>
              <w:jc w:val="right"/>
              <w:rPr>
                <w:b/>
                <w:noProof/>
                <w:sz w:val="20"/>
              </w:rPr>
            </w:pPr>
            <w:r>
              <w:rPr>
                <w:b/>
                <w:noProof/>
                <w:sz w:val="20"/>
              </w:rPr>
              <w:t>3,250</w:t>
            </w:r>
          </w:p>
        </w:tc>
      </w:tr>
      <w:tr>
        <w:tc>
          <w:tcPr>
            <w:tcW w:w="3960" w:type="dxa"/>
            <w:vMerge w:val="restart"/>
            <w:vAlign w:val="center"/>
          </w:tcPr>
          <w:p>
            <w:pPr>
              <w:rPr>
                <w:noProof/>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9"/>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Номер на бюджетния ред 11.010401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0,097</w:t>
            </w:r>
          </w:p>
        </w:tc>
        <w:tc>
          <w:tcPr>
            <w:tcW w:w="1777" w:type="dxa"/>
            <w:vAlign w:val="center"/>
          </w:tcPr>
          <w:p>
            <w:pPr>
              <w:spacing w:before="40" w:after="40"/>
              <w:jc w:val="right"/>
              <w:rPr>
                <w:b/>
                <w:noProof/>
                <w:sz w:val="20"/>
              </w:rPr>
            </w:pPr>
            <w:r>
              <w:rPr>
                <w:b/>
                <w:noProof/>
                <w:sz w:val="20"/>
              </w:rPr>
              <w:t>0,245</w:t>
            </w:r>
          </w:p>
        </w:tc>
      </w:tr>
      <w:tr>
        <w:tc>
          <w:tcPr>
            <w:tcW w:w="3960" w:type="dxa"/>
            <w:vMerge w:val="restart"/>
            <w:vAlign w:val="center"/>
          </w:tcPr>
          <w:p>
            <w:pPr>
              <w:jc w:val="center"/>
              <w:rPr>
                <w:b/>
                <w:noProof/>
              </w:rPr>
            </w:pPr>
            <w:r>
              <w:rPr>
                <w:b/>
                <w:noProof/>
              </w:rPr>
              <w:t>ОБЩО бюджетни кредити</w:t>
            </w:r>
            <w:r>
              <w:rPr>
                <w:noProof/>
                <w:sz w:val="22"/>
              </w:rPr>
              <w:br/>
            </w:r>
            <w:r>
              <w:rPr>
                <w:b/>
                <w:noProof/>
                <w:sz w:val="22"/>
              </w:rPr>
              <w:t xml:space="preserve">за ГД </w:t>
            </w:r>
            <w:r>
              <w:rPr>
                <w:noProof/>
                <w:sz w:val="22"/>
              </w:rPr>
              <w:t>&lt;…….&gt;</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0,752</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0,682</w:t>
            </w:r>
          </w:p>
        </w:tc>
        <w:tc>
          <w:tcPr>
            <w:tcW w:w="1777" w:type="dxa"/>
            <w:vAlign w:val="center"/>
          </w:tcPr>
          <w:p>
            <w:pPr>
              <w:spacing w:before="20" w:after="20"/>
              <w:jc w:val="right"/>
              <w:rPr>
                <w:b/>
                <w:noProof/>
                <w:sz w:val="20"/>
              </w:rPr>
            </w:pPr>
            <w:r>
              <w:rPr>
                <w:b/>
                <w:noProof/>
                <w:sz w:val="20"/>
              </w:rPr>
              <w:t>3,495</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0,752</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0,682</w:t>
            </w:r>
          </w:p>
        </w:tc>
        <w:tc>
          <w:tcPr>
            <w:tcW w:w="1777" w:type="dxa"/>
            <w:vAlign w:val="center"/>
          </w:tcPr>
          <w:p>
            <w:pPr>
              <w:spacing w:before="20" w:after="20"/>
              <w:jc w:val="right"/>
              <w:rPr>
                <w:b/>
                <w:noProof/>
                <w:sz w:val="20"/>
              </w:rPr>
            </w:pPr>
            <w:r>
              <w:rPr>
                <w:b/>
                <w:noProof/>
                <w:sz w:val="20"/>
              </w:rPr>
              <w:t>3,495</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0,715</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0,585</w:t>
            </w:r>
          </w:p>
        </w:tc>
        <w:tc>
          <w:tcPr>
            <w:tcW w:w="1777" w:type="dxa"/>
            <w:vAlign w:val="center"/>
          </w:tcPr>
          <w:p>
            <w:pPr>
              <w:spacing w:before="20" w:after="20"/>
              <w:jc w:val="right"/>
              <w:rPr>
                <w:b/>
                <w:noProof/>
                <w:sz w:val="20"/>
              </w:rPr>
            </w:pPr>
            <w:r>
              <w:rPr>
                <w:b/>
                <w:noProof/>
                <w:sz w:val="20"/>
              </w:rPr>
              <w:t>3,250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0,715</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0,585</w:t>
            </w:r>
          </w:p>
        </w:tc>
        <w:tc>
          <w:tcPr>
            <w:tcW w:w="1777" w:type="dxa"/>
            <w:vAlign w:val="center"/>
          </w:tcPr>
          <w:p>
            <w:pPr>
              <w:spacing w:before="20" w:after="20"/>
              <w:jc w:val="right"/>
              <w:rPr>
                <w:b/>
                <w:noProof/>
                <w:sz w:val="20"/>
              </w:rPr>
            </w:pPr>
            <w:r>
              <w:rPr>
                <w:b/>
                <w:noProof/>
                <w:sz w:val="20"/>
              </w:rPr>
              <w:t>3,250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0,097</w:t>
            </w:r>
          </w:p>
        </w:tc>
        <w:tc>
          <w:tcPr>
            <w:tcW w:w="1777" w:type="dxa"/>
            <w:vAlign w:val="center"/>
          </w:tcPr>
          <w:p>
            <w:pPr>
              <w:spacing w:before="40" w:after="40"/>
              <w:jc w:val="right"/>
              <w:rPr>
                <w:b/>
                <w:noProof/>
                <w:sz w:val="20"/>
              </w:rPr>
            </w:pPr>
            <w:r>
              <w:rPr>
                <w:b/>
                <w:noProof/>
                <w:sz w:val="20"/>
              </w:rPr>
              <w:t>0,245</w:t>
            </w:r>
          </w:p>
        </w:tc>
      </w:tr>
      <w:tr>
        <w:tc>
          <w:tcPr>
            <w:tcW w:w="3960" w:type="dxa"/>
            <w:vMerge w:val="restart"/>
            <w:shd w:val="thinDiagStripe" w:color="C0C0C0" w:fill="auto"/>
            <w:vAlign w:val="center"/>
          </w:tcPr>
          <w:p>
            <w:pPr>
              <w:jc w:val="center"/>
              <w:rPr>
                <w:b/>
                <w:noProof/>
              </w:rPr>
            </w:pPr>
            <w:r>
              <w:rPr>
                <w:b/>
                <w:noProof/>
              </w:rPr>
              <w:t>ОБЩО бюджетни кредити</w:t>
            </w:r>
            <w:r>
              <w:rPr>
                <w:noProof/>
                <w:sz w:val="22"/>
              </w:rPr>
              <w:br/>
            </w:r>
            <w:r>
              <w:rPr>
                <w:b/>
                <w:noProof/>
                <w:sz w:val="22"/>
              </w:rPr>
              <w:t>за ФУНКЦИЯ 2&gt;</w:t>
            </w:r>
            <w:r>
              <w:rPr>
                <w:noProof/>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0,752</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0,682</w:t>
            </w:r>
          </w:p>
        </w:tc>
        <w:tc>
          <w:tcPr>
            <w:tcW w:w="1777" w:type="dxa"/>
            <w:vAlign w:val="center"/>
          </w:tcPr>
          <w:p>
            <w:pPr>
              <w:spacing w:before="20" w:after="20"/>
              <w:jc w:val="right"/>
              <w:rPr>
                <w:b/>
                <w:noProof/>
                <w:sz w:val="20"/>
              </w:rPr>
            </w:pPr>
            <w:r>
              <w:rPr>
                <w:b/>
                <w:noProof/>
                <w:sz w:val="20"/>
              </w:rPr>
              <w:t>3,495</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0,752</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0,682</w:t>
            </w:r>
          </w:p>
        </w:tc>
        <w:tc>
          <w:tcPr>
            <w:tcW w:w="1777" w:type="dxa"/>
            <w:vAlign w:val="center"/>
          </w:tcPr>
          <w:p>
            <w:pPr>
              <w:spacing w:before="20" w:after="20"/>
              <w:jc w:val="right"/>
              <w:rPr>
                <w:b/>
                <w:noProof/>
                <w:sz w:val="20"/>
              </w:rPr>
            </w:pPr>
            <w:r>
              <w:rPr>
                <w:b/>
                <w:noProof/>
                <w:sz w:val="20"/>
              </w:rPr>
              <w:t>3,495</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tcBorders>
            <w:vAlign w:val="center"/>
          </w:tcPr>
          <w:p>
            <w:pPr>
              <w:spacing w:before="20" w:after="20"/>
              <w:rPr>
                <w:noProof/>
              </w:rPr>
            </w:pP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auto"/>
              <w:bottom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bottom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1777" w:type="dxa"/>
            <w:tcBorders>
              <w:top w:val="single" w:sz="4" w:space="0" w:color="auto"/>
              <w:bottom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auto"/>
              <w:left w:val="single" w:sz="4" w:space="0" w:color="auto"/>
              <w:bottom w:val="single" w:sz="4" w:space="0" w:color="FF0000"/>
            </w:tcBorders>
          </w:tcPr>
          <w:p>
            <w:pPr>
              <w:jc w:val="center"/>
              <w:rPr>
                <w:noProof/>
                <w:sz w:val="20"/>
              </w:rPr>
            </w:pPr>
          </w:p>
        </w:tc>
        <w:tc>
          <w:tcPr>
            <w:tcW w:w="1440" w:type="dxa"/>
            <w:tcBorders>
              <w:top w:val="single" w:sz="4" w:space="0" w:color="auto"/>
            </w:tcBorders>
            <w:vAlign w:val="center"/>
          </w:tcPr>
          <w:p>
            <w:pPr>
              <w:spacing w:beforeLines="20" w:before="48" w:afterLines="20" w:after="48"/>
              <w:rPr>
                <w:noProof/>
                <w:sz w:val="18"/>
              </w:rPr>
            </w:pPr>
            <w:r>
              <w:rPr>
                <w:noProof/>
                <w:sz w:val="18"/>
              </w:rPr>
              <w:t>Плащания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(5)</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tcBorders>
              <w:bottom w:val="single" w:sz="4" w:space="0" w:color="auto"/>
            </w:tcBorders>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tcBorders>
              <w:bottom w:val="single" w:sz="4" w:space="0" w:color="auto"/>
            </w:tcBorders>
            <w:vAlign w:val="center"/>
          </w:tcPr>
          <w:p>
            <w:pPr>
              <w:spacing w:beforeLines="20" w:before="48" w:afterLines="20" w:after="48"/>
              <w:jc w:val="center"/>
              <w:rPr>
                <w:noProof/>
                <w:sz w:val="14"/>
              </w:rPr>
            </w:pPr>
            <w:r>
              <w:rPr>
                <w:noProof/>
                <w:sz w:val="14"/>
              </w:rPr>
              <w:t>(6)</w:t>
            </w: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1777" w:type="dxa"/>
            <w:tcBorders>
              <w:bottom w:val="single" w:sz="4" w:space="0" w:color="auto"/>
            </w:tcBorders>
            <w:vAlign w:val="center"/>
          </w:tcPr>
          <w:p>
            <w:pPr>
              <w:spacing w:before="20" w:after="20"/>
              <w:jc w:val="right"/>
              <w:rPr>
                <w:b/>
                <w:noProof/>
                <w:sz w:val="20"/>
              </w:rPr>
            </w:pPr>
          </w:p>
        </w:tc>
      </w:tr>
      <w:tr>
        <w:tc>
          <w:tcPr>
            <w:tcW w:w="3960" w:type="dxa"/>
            <w:vMerge w:val="restart"/>
            <w:tcBorders>
              <w:top w:val="single" w:sz="4" w:space="0" w:color="auto"/>
              <w:left w:val="single" w:sz="4" w:space="0" w:color="auto"/>
              <w:bottom w:val="single" w:sz="4" w:space="0" w:color="FF0000"/>
            </w:tcBorders>
            <w:shd w:val="thinDiagStripe" w:color="C0C0C0" w:fill="auto"/>
            <w:vAlign w:val="center"/>
          </w:tcPr>
          <w:p>
            <w:pPr>
              <w:jc w:val="center"/>
              <w:rPr>
                <w:b/>
                <w:noProof/>
              </w:rPr>
            </w:pPr>
            <w:r>
              <w:rPr>
                <w:b/>
                <w:noProof/>
              </w:rPr>
              <w:t>ОБЩО бюджетни кредити</w:t>
            </w:r>
            <w:r>
              <w:rPr>
                <w:noProof/>
                <w:sz w:val="22"/>
              </w:rPr>
              <w:br/>
            </w:r>
            <w:r>
              <w:rPr>
                <w:b/>
                <w:noProof/>
                <w:sz w:val="22"/>
              </w:rPr>
              <w:t>за ФУНКЦИИ 1 — 4</w:t>
            </w:r>
            <w:r>
              <w:rPr>
                <w:noProof/>
              </w:rPr>
              <w:br/>
            </w:r>
            <w:r>
              <w:rPr>
                <w:noProof/>
                <w:sz w:val="22"/>
              </w:rPr>
              <w:t>от многогодишната финансова рамка</w:t>
            </w:r>
            <w:r>
              <w:rPr>
                <w:noProof/>
                <w:sz w:val="22"/>
              </w:rPr>
              <w:br/>
            </w:r>
            <w:r>
              <w:rPr>
                <w:noProof/>
                <w:sz w:val="20"/>
              </w:rPr>
              <w:t>(Референтна стойност)</w:t>
            </w:r>
          </w:p>
        </w:tc>
        <w:tc>
          <w:tcPr>
            <w:tcW w:w="1440" w:type="dxa"/>
            <w:tcBorders>
              <w:top w:val="single" w:sz="4" w:space="0" w:color="auto"/>
            </w:tcBorders>
            <w:vAlign w:val="center"/>
          </w:tcPr>
          <w:p>
            <w:pPr>
              <w:rPr>
                <w:noProof/>
                <w:sz w:val="18"/>
              </w:rPr>
            </w:pPr>
            <w:r>
              <w:rPr>
                <w:noProof/>
                <w:sz w:val="18"/>
              </w:rPr>
              <w:t>Поети задължения</w:t>
            </w:r>
          </w:p>
        </w:tc>
        <w:tc>
          <w:tcPr>
            <w:tcW w:w="654" w:type="dxa"/>
            <w:tcBorders>
              <w:top w:val="single" w:sz="4" w:space="0" w:color="auto"/>
            </w:tcBorders>
            <w:vAlign w:val="center"/>
          </w:tcPr>
          <w:p>
            <w:pPr>
              <w:jc w:val="center"/>
              <w:rPr>
                <w:noProof/>
                <w:sz w:val="14"/>
              </w:rPr>
            </w:pPr>
            <w:r>
              <w:rPr>
                <w:noProof/>
                <w:sz w:val="14"/>
              </w:rPr>
              <w:t>=4+ 6</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177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noProof/>
                <w:sz w:val="20"/>
              </w:rPr>
              <w:t>Година</w:t>
            </w:r>
            <w:r>
              <w:rPr>
                <w:noProof/>
                <w:sz w:val="22"/>
              </w:rPr>
              <w:br/>
            </w:r>
            <w:r>
              <w:rPr>
                <w:b/>
                <w:noProof/>
                <w:sz w:val="20"/>
              </w:rPr>
              <w:t>N</w:t>
            </w:r>
          </w:p>
          <w:p>
            <w:pPr>
              <w:jc w:val="center"/>
              <w:rPr>
                <w:noProof/>
                <w:sz w:val="20"/>
              </w:rPr>
            </w:pPr>
            <w:r>
              <w:rPr>
                <w:b/>
                <w:noProof/>
                <w:sz w:val="20"/>
              </w:rPr>
              <w:t>2015 г.</w:t>
            </w:r>
          </w:p>
        </w:tc>
        <w:tc>
          <w:tcPr>
            <w:tcW w:w="868" w:type="dxa"/>
            <w:vAlign w:val="center"/>
          </w:tcPr>
          <w:p>
            <w:pPr>
              <w:jc w:val="center"/>
              <w:rPr>
                <w:b/>
                <w:noProof/>
                <w:sz w:val="20"/>
              </w:rPr>
            </w:pPr>
            <w:r>
              <w:rPr>
                <w:noProof/>
                <w:sz w:val="20"/>
              </w:rPr>
              <w:t>Година</w:t>
            </w:r>
            <w:r>
              <w:rPr>
                <w:noProof/>
                <w:sz w:val="22"/>
              </w:rPr>
              <w:br/>
            </w:r>
            <w:r>
              <w:rPr>
                <w:b/>
                <w:noProof/>
                <w:sz w:val="20"/>
              </w:rPr>
              <w:t>N+1</w:t>
            </w:r>
          </w:p>
          <w:p>
            <w:pPr>
              <w:jc w:val="center"/>
              <w:rPr>
                <w:noProof/>
                <w:sz w:val="20"/>
              </w:rPr>
            </w:pPr>
            <w:r>
              <w:rPr>
                <w:b/>
                <w:noProof/>
                <w:sz w:val="20"/>
              </w:rPr>
              <w:t>2016 г.</w:t>
            </w:r>
          </w:p>
        </w:tc>
        <w:tc>
          <w:tcPr>
            <w:tcW w:w="868" w:type="dxa"/>
            <w:vAlign w:val="center"/>
          </w:tcPr>
          <w:p>
            <w:pPr>
              <w:jc w:val="center"/>
              <w:rPr>
                <w:b/>
                <w:noProof/>
                <w:sz w:val="20"/>
              </w:rPr>
            </w:pPr>
            <w:r>
              <w:rPr>
                <w:noProof/>
                <w:sz w:val="20"/>
              </w:rPr>
              <w:t>Година</w:t>
            </w:r>
            <w:r>
              <w:rPr>
                <w:noProof/>
                <w:sz w:val="22"/>
              </w:rPr>
              <w:br/>
            </w:r>
            <w:r>
              <w:rPr>
                <w:b/>
                <w:noProof/>
                <w:sz w:val="20"/>
              </w:rPr>
              <w:t>N+2</w:t>
            </w:r>
          </w:p>
          <w:p>
            <w:pPr>
              <w:jc w:val="center"/>
              <w:rPr>
                <w:noProof/>
                <w:sz w:val="20"/>
              </w:rPr>
            </w:pPr>
            <w:r>
              <w:rPr>
                <w:b/>
                <w:noProof/>
                <w:sz w:val="20"/>
              </w:rPr>
              <w:t>2017 г.</w:t>
            </w:r>
          </w:p>
        </w:tc>
        <w:tc>
          <w:tcPr>
            <w:tcW w:w="868" w:type="dxa"/>
            <w:vAlign w:val="center"/>
          </w:tcPr>
          <w:p>
            <w:pPr>
              <w:jc w:val="center"/>
              <w:rPr>
                <w:b/>
                <w:noProof/>
                <w:sz w:val="20"/>
              </w:rPr>
            </w:pPr>
            <w:r>
              <w:rPr>
                <w:noProof/>
                <w:sz w:val="20"/>
              </w:rPr>
              <w:t>Година</w:t>
            </w:r>
            <w:r>
              <w:rPr>
                <w:noProof/>
                <w:sz w:val="22"/>
              </w:rPr>
              <w:br/>
            </w:r>
            <w:r>
              <w:rPr>
                <w:b/>
                <w:noProof/>
                <w:sz w:val="20"/>
              </w:rPr>
              <w:t>N+3</w:t>
            </w:r>
          </w:p>
          <w:p>
            <w:pPr>
              <w:jc w:val="center"/>
              <w:rPr>
                <w:noProof/>
                <w:sz w:val="20"/>
              </w:rPr>
            </w:pPr>
            <w:r>
              <w:rPr>
                <w:b/>
                <w:noProof/>
                <w:sz w:val="20"/>
              </w:rPr>
              <w:t>2018 г.</w:t>
            </w:r>
          </w:p>
        </w:tc>
        <w:tc>
          <w:tcPr>
            <w:tcW w:w="868" w:type="dxa"/>
            <w:vAlign w:val="center"/>
          </w:tcPr>
          <w:p>
            <w:pPr>
              <w:jc w:val="center"/>
              <w:rPr>
                <w:b/>
                <w:noProof/>
                <w:sz w:val="20"/>
              </w:rPr>
            </w:pPr>
            <w:r>
              <w:rPr>
                <w:noProof/>
                <w:sz w:val="20"/>
              </w:rPr>
              <w:t>Година</w:t>
            </w:r>
            <w:r>
              <w:rPr>
                <w:noProof/>
                <w:sz w:val="22"/>
              </w:rPr>
              <w:br/>
            </w:r>
            <w:r>
              <w:rPr>
                <w:b/>
                <w:noProof/>
                <w:sz w:val="20"/>
              </w:rPr>
              <w:t>N+4</w:t>
            </w:r>
          </w:p>
          <w:p>
            <w:pPr>
              <w:jc w:val="center"/>
              <w:rPr>
                <w:b/>
                <w:noProof/>
                <w:sz w:val="18"/>
              </w:rPr>
            </w:pPr>
            <w:r>
              <w:rPr>
                <w:b/>
                <w:noProof/>
                <w:sz w:val="20"/>
              </w:rPr>
              <w:t>2019 г.</w:t>
            </w:r>
          </w:p>
        </w:tc>
        <w:tc>
          <w:tcPr>
            <w:tcW w:w="868" w:type="dxa"/>
            <w:vAlign w:val="center"/>
          </w:tcPr>
          <w:p>
            <w:pPr>
              <w:jc w:val="center"/>
              <w:rPr>
                <w:b/>
                <w:noProof/>
                <w:sz w:val="18"/>
              </w:rPr>
            </w:pP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„Морско дело и рибарство“</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0,565</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r>
              <w:rPr>
                <w:b/>
                <w:noProof/>
                <w:sz w:val="20"/>
              </w:rPr>
              <w:t>0,009</w:t>
            </w:r>
          </w:p>
        </w:tc>
        <w:tc>
          <w:tcPr>
            <w:tcW w:w="868" w:type="dxa"/>
            <w:vAlign w:val="center"/>
          </w:tcPr>
          <w:p>
            <w:pPr>
              <w:spacing w:before="20" w:after="20"/>
              <w:jc w:val="right"/>
              <w:rPr>
                <w:b/>
                <w:noProof/>
                <w:sz w:val="20"/>
              </w:rPr>
            </w:pPr>
            <w:r>
              <w:rPr>
                <w:b/>
                <w:noProof/>
                <w:sz w:val="20"/>
              </w:rPr>
              <w:t>0,009</w:t>
            </w:r>
          </w:p>
        </w:tc>
        <w:tc>
          <w:tcPr>
            <w:tcW w:w="868" w:type="dxa"/>
            <w:vAlign w:val="center"/>
          </w:tcPr>
          <w:p>
            <w:pPr>
              <w:spacing w:before="20" w:after="20"/>
              <w:jc w:val="right"/>
              <w:rPr>
                <w:b/>
                <w:noProof/>
                <w:sz w:val="20"/>
              </w:rPr>
            </w:pPr>
            <w:r>
              <w:rPr>
                <w:b/>
                <w:noProof/>
                <w:sz w:val="20"/>
              </w:rPr>
              <w:t>0,009</w:t>
            </w:r>
          </w:p>
        </w:tc>
        <w:tc>
          <w:tcPr>
            <w:tcW w:w="868" w:type="dxa"/>
            <w:vAlign w:val="center"/>
          </w:tcPr>
          <w:p>
            <w:pPr>
              <w:spacing w:before="20" w:after="20"/>
              <w:jc w:val="right"/>
              <w:rPr>
                <w:b/>
                <w:noProof/>
                <w:sz w:val="20"/>
              </w:rPr>
            </w:pPr>
            <w:r>
              <w:rPr>
                <w:b/>
                <w:noProof/>
                <w:sz w:val="20"/>
              </w:rPr>
              <w:t>0,009</w:t>
            </w:r>
          </w:p>
        </w:tc>
        <w:tc>
          <w:tcPr>
            <w:tcW w:w="868" w:type="dxa"/>
            <w:vAlign w:val="center"/>
          </w:tcPr>
          <w:p>
            <w:pPr>
              <w:spacing w:before="20" w:after="20"/>
              <w:jc w:val="right"/>
              <w:rPr>
                <w:b/>
                <w:noProof/>
                <w:sz w:val="20"/>
              </w:rPr>
            </w:pPr>
            <w:r>
              <w:rPr>
                <w:b/>
                <w:noProof/>
                <w:sz w:val="20"/>
              </w:rPr>
              <w:t>0,009</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0,045</w:t>
            </w:r>
          </w:p>
        </w:tc>
      </w:tr>
      <w:tr>
        <w:tc>
          <w:tcPr>
            <w:tcW w:w="3960" w:type="dxa"/>
            <w:vAlign w:val="center"/>
          </w:tcPr>
          <w:p>
            <w:pPr>
              <w:jc w:val="center"/>
              <w:rPr>
                <w:b/>
                <w:noProof/>
              </w:rPr>
            </w:pPr>
            <w:r>
              <w:rPr>
                <w:b/>
                <w:noProof/>
                <w:sz w:val="22"/>
              </w:rPr>
              <w:t xml:space="preserve">ОБЩО ГД </w:t>
            </w:r>
            <w:r>
              <w:rPr>
                <w:noProof/>
                <w:sz w:val="22"/>
              </w:rPr>
              <w:t>„Морско дело и рибарство“</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0,610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rPr>
              <w:t>ОБЩО бюджетни кредити</w:t>
            </w:r>
            <w:r>
              <w:rPr>
                <w:noProof/>
                <w:sz w:val="22"/>
              </w:rPr>
              <w:br/>
            </w:r>
            <w:r>
              <w:rPr>
                <w:b/>
                <w:noProof/>
                <w:sz w:val="22"/>
              </w:rPr>
              <w:t>за ФУНКЦИЯ 5</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0,610</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noProof/>
                <w:sz w:val="20"/>
              </w:rPr>
              <w:t>Година</w:t>
            </w:r>
            <w:r>
              <w:rPr>
                <w:noProof/>
                <w:sz w:val="22"/>
              </w:rPr>
              <w:br/>
            </w:r>
            <w:r>
              <w:rPr>
                <w:b/>
                <w:noProof/>
                <w:sz w:val="20"/>
              </w:rPr>
              <w:t>N</w:t>
            </w:r>
            <w:r>
              <w:rPr>
                <w:rStyle w:val="FootnoteReference"/>
                <w:b/>
                <w:noProof/>
                <w:sz w:val="20"/>
              </w:rPr>
              <w:footnoteReference w:id="10"/>
            </w:r>
          </w:p>
          <w:p>
            <w:pPr>
              <w:jc w:val="center"/>
              <w:rPr>
                <w:noProof/>
                <w:sz w:val="20"/>
              </w:rPr>
            </w:pPr>
            <w:r>
              <w:rPr>
                <w:b/>
                <w:noProof/>
                <w:sz w:val="20"/>
              </w:rPr>
              <w:t>2015 г.</w:t>
            </w:r>
          </w:p>
        </w:tc>
        <w:tc>
          <w:tcPr>
            <w:tcW w:w="868" w:type="dxa"/>
            <w:vAlign w:val="center"/>
          </w:tcPr>
          <w:p>
            <w:pPr>
              <w:jc w:val="center"/>
              <w:rPr>
                <w:b/>
                <w:noProof/>
                <w:sz w:val="20"/>
              </w:rPr>
            </w:pPr>
            <w:r>
              <w:rPr>
                <w:noProof/>
                <w:sz w:val="20"/>
              </w:rPr>
              <w:t>Година</w:t>
            </w:r>
            <w:r>
              <w:rPr>
                <w:noProof/>
                <w:sz w:val="22"/>
              </w:rPr>
              <w:br/>
            </w:r>
            <w:r>
              <w:rPr>
                <w:b/>
                <w:noProof/>
                <w:sz w:val="20"/>
              </w:rPr>
              <w:t>N+1</w:t>
            </w:r>
          </w:p>
          <w:p>
            <w:pPr>
              <w:jc w:val="center"/>
              <w:rPr>
                <w:noProof/>
                <w:sz w:val="20"/>
              </w:rPr>
            </w:pPr>
            <w:r>
              <w:rPr>
                <w:b/>
                <w:noProof/>
                <w:sz w:val="20"/>
              </w:rPr>
              <w:t>2016 г.</w:t>
            </w:r>
          </w:p>
        </w:tc>
        <w:tc>
          <w:tcPr>
            <w:tcW w:w="868" w:type="dxa"/>
            <w:vAlign w:val="center"/>
          </w:tcPr>
          <w:p>
            <w:pPr>
              <w:jc w:val="center"/>
              <w:rPr>
                <w:b/>
                <w:noProof/>
                <w:sz w:val="20"/>
              </w:rPr>
            </w:pPr>
            <w:r>
              <w:rPr>
                <w:noProof/>
                <w:sz w:val="20"/>
              </w:rPr>
              <w:t>Година</w:t>
            </w:r>
            <w:r>
              <w:rPr>
                <w:noProof/>
                <w:sz w:val="22"/>
              </w:rPr>
              <w:br/>
            </w:r>
            <w:r>
              <w:rPr>
                <w:b/>
                <w:noProof/>
                <w:sz w:val="20"/>
              </w:rPr>
              <w:t>N+2</w:t>
            </w:r>
          </w:p>
          <w:p>
            <w:pPr>
              <w:jc w:val="center"/>
              <w:rPr>
                <w:noProof/>
                <w:sz w:val="20"/>
              </w:rPr>
            </w:pPr>
            <w:r>
              <w:rPr>
                <w:b/>
                <w:noProof/>
                <w:sz w:val="20"/>
              </w:rPr>
              <w:t>2017 г.</w:t>
            </w:r>
          </w:p>
        </w:tc>
        <w:tc>
          <w:tcPr>
            <w:tcW w:w="868" w:type="dxa"/>
            <w:vAlign w:val="center"/>
          </w:tcPr>
          <w:p>
            <w:pPr>
              <w:jc w:val="center"/>
              <w:rPr>
                <w:b/>
                <w:noProof/>
                <w:sz w:val="20"/>
              </w:rPr>
            </w:pPr>
            <w:r>
              <w:rPr>
                <w:noProof/>
                <w:sz w:val="20"/>
              </w:rPr>
              <w:t>Година</w:t>
            </w:r>
            <w:r>
              <w:rPr>
                <w:noProof/>
                <w:sz w:val="22"/>
              </w:rPr>
              <w:br/>
            </w:r>
            <w:r>
              <w:rPr>
                <w:b/>
                <w:noProof/>
                <w:sz w:val="20"/>
              </w:rPr>
              <w:t>N+3</w:t>
            </w:r>
          </w:p>
          <w:p>
            <w:pPr>
              <w:jc w:val="center"/>
              <w:rPr>
                <w:noProof/>
                <w:sz w:val="20"/>
              </w:rPr>
            </w:pPr>
            <w:r>
              <w:rPr>
                <w:b/>
                <w:noProof/>
                <w:sz w:val="20"/>
              </w:rPr>
              <w:t>2018 г.</w:t>
            </w:r>
          </w:p>
        </w:tc>
        <w:tc>
          <w:tcPr>
            <w:tcW w:w="868" w:type="dxa"/>
            <w:vAlign w:val="center"/>
          </w:tcPr>
          <w:p>
            <w:pPr>
              <w:jc w:val="center"/>
              <w:rPr>
                <w:b/>
                <w:noProof/>
                <w:sz w:val="20"/>
              </w:rPr>
            </w:pPr>
            <w:r>
              <w:rPr>
                <w:noProof/>
                <w:sz w:val="20"/>
              </w:rPr>
              <w:t>Година</w:t>
            </w:r>
            <w:r>
              <w:rPr>
                <w:noProof/>
                <w:sz w:val="22"/>
              </w:rPr>
              <w:br/>
            </w:r>
            <w:r>
              <w:rPr>
                <w:b/>
                <w:noProof/>
                <w:sz w:val="20"/>
              </w:rPr>
              <w:t>N+4</w:t>
            </w:r>
          </w:p>
          <w:p>
            <w:pPr>
              <w:jc w:val="center"/>
              <w:rPr>
                <w:b/>
                <w:noProof/>
                <w:sz w:val="18"/>
              </w:rPr>
            </w:pPr>
            <w:r>
              <w:rPr>
                <w:b/>
                <w:noProof/>
                <w:sz w:val="20"/>
              </w:rPr>
              <w:t>2019 г.</w:t>
            </w:r>
          </w:p>
        </w:tc>
        <w:tc>
          <w:tcPr>
            <w:tcW w:w="868" w:type="dxa"/>
            <w:vAlign w:val="center"/>
          </w:tcPr>
          <w:p>
            <w:pPr>
              <w:jc w:val="center"/>
              <w:rPr>
                <w:b/>
                <w:noProof/>
                <w:sz w:val="18"/>
              </w:rPr>
            </w:pP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ОБЩО бюджетни кредити</w:t>
            </w:r>
            <w:r>
              <w:rPr>
                <w:noProof/>
                <w:sz w:val="22"/>
              </w:rPr>
              <w:br/>
            </w:r>
            <w:r>
              <w:rPr>
                <w:b/>
                <w:noProof/>
                <w:sz w:val="22"/>
              </w:rPr>
              <w:t>за ФУНКЦИИ 1 — 5</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0,874</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0,804</w:t>
            </w: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4,105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0,874</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0,804</w:t>
            </w: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4,105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Очаквано отражение върху бюджетните кредити за оперативни разходи</w:t>
      </w:r>
    </w:p>
    <w:p>
      <w:pPr>
        <w:pStyle w:val="ListDash1"/>
        <w:rPr>
          <w:noProof/>
        </w:rPr>
      </w:pPr>
      <w:r>
        <w:rPr>
          <w:noProof/>
        </w:rPr>
        <w:sym w:font="Wingdings" w:char="F0A8"/>
      </w:r>
      <w:r>
        <w:rPr>
          <w:noProof/>
        </w:rPr>
        <w:tab/>
        <w:t>Предложението/инициативата не налага използване на бюджетни кредити за оперативни разходи.</w:t>
      </w:r>
    </w:p>
    <w:p>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420"/>
        <w:gridCol w:w="720"/>
        <w:gridCol w:w="60"/>
        <w:gridCol w:w="48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Да се посочат целите и резултатите</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b/>
                <w:noProof/>
                <w:sz w:val="18"/>
              </w:rPr>
            </w:pPr>
            <w:r>
              <w:rPr>
                <w:noProof/>
                <w:sz w:val="18"/>
              </w:rPr>
              <w:t>Година</w:t>
            </w:r>
            <w:r>
              <w:rPr>
                <w:noProof/>
                <w:sz w:val="22"/>
              </w:rPr>
              <w:br/>
            </w:r>
            <w:r>
              <w:rPr>
                <w:b/>
                <w:noProof/>
                <w:sz w:val="18"/>
              </w:rPr>
              <w:t>N</w:t>
            </w:r>
          </w:p>
          <w:p>
            <w:pPr>
              <w:ind w:right="-29"/>
              <w:jc w:val="center"/>
              <w:rPr>
                <w:noProof/>
                <w:sz w:val="18"/>
                <w:szCs w:val="18"/>
              </w:rPr>
            </w:pPr>
            <w:r>
              <w:rPr>
                <w:b/>
                <w:noProof/>
                <w:sz w:val="18"/>
              </w:rPr>
              <w:t>2015 г.</w:t>
            </w:r>
          </w:p>
        </w:tc>
        <w:tc>
          <w:tcPr>
            <w:tcW w:w="1260" w:type="dxa"/>
            <w:gridSpan w:val="2"/>
            <w:vAlign w:val="center"/>
          </w:tcPr>
          <w:p>
            <w:pPr>
              <w:ind w:right="-29"/>
              <w:jc w:val="center"/>
              <w:rPr>
                <w:b/>
                <w:noProof/>
                <w:sz w:val="18"/>
              </w:rPr>
            </w:pPr>
            <w:r>
              <w:rPr>
                <w:noProof/>
                <w:sz w:val="18"/>
              </w:rPr>
              <w:t>Година</w:t>
            </w:r>
            <w:r>
              <w:rPr>
                <w:noProof/>
                <w:sz w:val="22"/>
              </w:rPr>
              <w:br/>
            </w:r>
            <w:r>
              <w:rPr>
                <w:b/>
                <w:noProof/>
                <w:sz w:val="18"/>
              </w:rPr>
              <w:t>N+1</w:t>
            </w:r>
          </w:p>
          <w:p>
            <w:pPr>
              <w:ind w:right="-29"/>
              <w:jc w:val="center"/>
              <w:rPr>
                <w:noProof/>
                <w:sz w:val="18"/>
                <w:szCs w:val="18"/>
              </w:rPr>
            </w:pPr>
            <w:r>
              <w:rPr>
                <w:b/>
                <w:noProof/>
                <w:sz w:val="18"/>
              </w:rPr>
              <w:t>2016 г.</w:t>
            </w:r>
          </w:p>
        </w:tc>
        <w:tc>
          <w:tcPr>
            <w:tcW w:w="1440" w:type="dxa"/>
            <w:gridSpan w:val="2"/>
            <w:vAlign w:val="center"/>
          </w:tcPr>
          <w:p>
            <w:pPr>
              <w:ind w:right="-29"/>
              <w:jc w:val="center"/>
              <w:rPr>
                <w:b/>
                <w:noProof/>
                <w:sz w:val="18"/>
              </w:rPr>
            </w:pPr>
            <w:r>
              <w:rPr>
                <w:noProof/>
                <w:sz w:val="18"/>
              </w:rPr>
              <w:t>Година</w:t>
            </w:r>
            <w:r>
              <w:rPr>
                <w:noProof/>
                <w:sz w:val="22"/>
              </w:rPr>
              <w:br/>
            </w:r>
            <w:r>
              <w:rPr>
                <w:b/>
                <w:noProof/>
                <w:sz w:val="18"/>
              </w:rPr>
              <w:t>N+2</w:t>
            </w:r>
          </w:p>
          <w:p>
            <w:pPr>
              <w:ind w:right="-29"/>
              <w:jc w:val="center"/>
              <w:rPr>
                <w:noProof/>
                <w:sz w:val="18"/>
                <w:szCs w:val="18"/>
              </w:rPr>
            </w:pPr>
            <w:r>
              <w:rPr>
                <w:b/>
                <w:noProof/>
                <w:sz w:val="18"/>
              </w:rPr>
              <w:t>2017 г.</w:t>
            </w:r>
          </w:p>
        </w:tc>
        <w:tc>
          <w:tcPr>
            <w:tcW w:w="1620" w:type="dxa"/>
            <w:gridSpan w:val="3"/>
            <w:vAlign w:val="center"/>
          </w:tcPr>
          <w:p>
            <w:pPr>
              <w:ind w:right="-29"/>
              <w:jc w:val="center"/>
              <w:rPr>
                <w:b/>
                <w:noProof/>
                <w:sz w:val="18"/>
              </w:rPr>
            </w:pPr>
            <w:r>
              <w:rPr>
                <w:noProof/>
                <w:sz w:val="18"/>
              </w:rPr>
              <w:t>Година</w:t>
            </w:r>
            <w:r>
              <w:rPr>
                <w:noProof/>
                <w:sz w:val="22"/>
              </w:rPr>
              <w:br/>
            </w:r>
            <w:r>
              <w:rPr>
                <w:b/>
                <w:noProof/>
                <w:sz w:val="18"/>
              </w:rPr>
              <w:t>N+3</w:t>
            </w:r>
          </w:p>
          <w:p>
            <w:pPr>
              <w:ind w:right="-29"/>
              <w:jc w:val="center"/>
              <w:rPr>
                <w:noProof/>
                <w:sz w:val="18"/>
                <w:szCs w:val="18"/>
              </w:rPr>
            </w:pPr>
            <w:r>
              <w:rPr>
                <w:b/>
                <w:noProof/>
                <w:sz w:val="18"/>
              </w:rPr>
              <w:t>2018 г.</w:t>
            </w:r>
          </w:p>
        </w:tc>
        <w:tc>
          <w:tcPr>
            <w:tcW w:w="1200" w:type="dxa"/>
            <w:gridSpan w:val="3"/>
            <w:vAlign w:val="center"/>
          </w:tcPr>
          <w:p>
            <w:pPr>
              <w:ind w:right="-29"/>
              <w:jc w:val="center"/>
              <w:rPr>
                <w:b/>
                <w:noProof/>
                <w:sz w:val="18"/>
              </w:rPr>
            </w:pPr>
            <w:r>
              <w:rPr>
                <w:noProof/>
                <w:sz w:val="18"/>
              </w:rPr>
              <w:t>Година</w:t>
            </w:r>
            <w:r>
              <w:rPr>
                <w:noProof/>
                <w:sz w:val="22"/>
              </w:rPr>
              <w:br/>
            </w:r>
            <w:r>
              <w:rPr>
                <w:b/>
                <w:noProof/>
                <w:sz w:val="18"/>
              </w:rPr>
              <w:t>N+4</w:t>
            </w:r>
          </w:p>
          <w:p>
            <w:pPr>
              <w:jc w:val="center"/>
              <w:rPr>
                <w:noProof/>
                <w:sz w:val="18"/>
                <w:szCs w:val="18"/>
              </w:rPr>
            </w:pPr>
            <w:r>
              <w:rPr>
                <w:b/>
                <w:noProof/>
                <w:sz w:val="18"/>
              </w:rPr>
              <w:t>2019 г.</w:t>
            </w:r>
          </w:p>
        </w:tc>
        <w:tc>
          <w:tcPr>
            <w:tcW w:w="1200" w:type="dxa"/>
            <w:gridSpan w:val="3"/>
            <w:vAlign w:val="center"/>
          </w:tcPr>
          <w:p>
            <w:pPr>
              <w:jc w:val="center"/>
              <w:rPr>
                <w:noProof/>
                <w:sz w:val="18"/>
                <w:szCs w:val="18"/>
              </w:rPr>
            </w:pPr>
          </w:p>
        </w:tc>
        <w:tc>
          <w:tcPr>
            <w:tcW w:w="1200" w:type="dxa"/>
            <w:gridSpan w:val="2"/>
            <w:vAlign w:val="center"/>
          </w:tcPr>
          <w:p>
            <w:pPr>
              <w:jc w:val="center"/>
              <w:rPr>
                <w:noProof/>
                <w:sz w:val="18"/>
                <w:szCs w:val="18"/>
              </w:rPr>
            </w:pP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21"/>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 резултат</w:t>
            </w:r>
            <w:r>
              <w:rPr>
                <w:rStyle w:val="FootnoteReference"/>
                <w:noProof/>
                <w:sz w:val="18"/>
              </w:rPr>
              <w:footnoteReference w:id="11"/>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 за резултата</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 на резултатите</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2"/>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лицензи на кораби</w:t>
            </w:r>
          </w:p>
        </w:tc>
        <w:tc>
          <w:tcPr>
            <w:tcW w:w="720" w:type="dxa"/>
          </w:tcPr>
          <w:p>
            <w:pPr>
              <w:ind w:right="-29"/>
              <w:jc w:val="center"/>
              <w:rPr>
                <w:noProof/>
                <w:sz w:val="18"/>
                <w:szCs w:val="18"/>
              </w:rPr>
            </w:pPr>
            <w:r>
              <w:rPr>
                <w:noProof/>
                <w:sz w:val="18"/>
              </w:rPr>
              <w:t>t/година</w:t>
            </w:r>
          </w:p>
        </w:tc>
        <w:tc>
          <w:tcPr>
            <w:tcW w:w="701" w:type="dxa"/>
          </w:tcPr>
          <w:p>
            <w:pPr>
              <w:ind w:right="-29"/>
              <w:jc w:val="center"/>
              <w:rPr>
                <w:noProof/>
                <w:sz w:val="18"/>
                <w:szCs w:val="18"/>
              </w:rPr>
            </w:pPr>
            <w:r>
              <w:rPr>
                <w:rStyle w:val="FootnoteReference"/>
                <w:noProof/>
                <w:sz w:val="18"/>
              </w:rPr>
              <w:footnoteReference w:id="13"/>
            </w: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0,357</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0,325</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0,325</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0,325</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0,292</w:t>
            </w: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1,625</w:t>
            </w:r>
          </w:p>
        </w:tc>
      </w:tr>
      <w:tr>
        <w:trPr>
          <w:trHeight w:hRule="exact" w:val="369"/>
          <w:jc w:val="center"/>
        </w:trPr>
        <w:tc>
          <w:tcPr>
            <w:tcW w:w="1423" w:type="dxa"/>
          </w:tcPr>
          <w:p>
            <w:pPr>
              <w:ind w:right="-29"/>
              <w:jc w:val="center"/>
              <w:rPr>
                <w:noProof/>
                <w:sz w:val="18"/>
                <w:szCs w:val="18"/>
              </w:rPr>
            </w:pPr>
            <w:r>
              <w:rPr>
                <w:noProof/>
                <w:sz w:val="18"/>
              </w:rPr>
              <w:t>- секторна подкрепа</w:t>
            </w:r>
          </w:p>
        </w:tc>
        <w:tc>
          <w:tcPr>
            <w:tcW w:w="720" w:type="dxa"/>
          </w:tcPr>
          <w:p>
            <w:pPr>
              <w:ind w:right="-29"/>
              <w:jc w:val="center"/>
              <w:rPr>
                <w:noProof/>
                <w:sz w:val="18"/>
                <w:szCs w:val="18"/>
              </w:rPr>
            </w:pPr>
            <w:r>
              <w:rPr>
                <w:noProof/>
                <w:sz w:val="18"/>
              </w:rPr>
              <w:t>годишно</w:t>
            </w:r>
          </w:p>
        </w:tc>
        <w:tc>
          <w:tcPr>
            <w:tcW w:w="701" w:type="dxa"/>
          </w:tcPr>
          <w:p>
            <w:pPr>
              <w:ind w:right="-29"/>
              <w:jc w:val="center"/>
              <w:rPr>
                <w:noProof/>
                <w:sz w:val="18"/>
                <w:szCs w:val="18"/>
              </w:rPr>
            </w:pPr>
            <w:r>
              <w:rPr>
                <w:noProof/>
                <w:sz w:val="18"/>
              </w:rPr>
              <w:t>0,325</w:t>
            </w: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0,357</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0,325</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0,325</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0,325</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0,292</w:t>
            </w: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1,625</w:t>
            </w:r>
          </w:p>
        </w:tc>
      </w:tr>
      <w:tr>
        <w:trPr>
          <w:trHeight w:hRule="exact" w:val="369"/>
          <w:jc w:val="center"/>
        </w:trPr>
        <w:tc>
          <w:tcPr>
            <w:tcW w:w="1423" w:type="dxa"/>
          </w:tcPr>
          <w:p>
            <w:pPr>
              <w:ind w:right="-29"/>
              <w:jc w:val="center"/>
              <w:rPr>
                <w:noProof/>
                <w:sz w:val="18"/>
                <w:szCs w:val="18"/>
              </w:rPr>
            </w:pP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gridSpan w:val="2"/>
          </w:tcPr>
          <w:p>
            <w:pPr>
              <w:ind w:right="-29"/>
              <w:jc w:val="center"/>
              <w:rPr>
                <w:noProof/>
                <w:sz w:val="18"/>
                <w:szCs w:val="18"/>
              </w:rPr>
            </w:pPr>
          </w:p>
        </w:tc>
        <w:tc>
          <w:tcPr>
            <w:tcW w:w="720" w:type="dxa"/>
          </w:tcPr>
          <w:p>
            <w:pPr>
              <w:ind w:right="-29"/>
              <w:jc w:val="center"/>
              <w:rPr>
                <w:noProof/>
                <w:sz w:val="18"/>
                <w:szCs w:val="18"/>
              </w:rPr>
            </w:pPr>
          </w:p>
        </w:tc>
        <w:tc>
          <w:tcPr>
            <w:tcW w:w="540" w:type="dxa"/>
            <w:gridSpan w:val="2"/>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0,715</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0,650</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0,650</w:t>
            </w: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r>
              <w:rPr>
                <w:noProof/>
                <w:sz w:val="18"/>
              </w:rPr>
              <w:t>0,650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rPr>
              <w:t>0,585</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rPr>
              <w:t>3,250</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gridSpan w:val="2"/>
          </w:tcPr>
          <w:p>
            <w:pPr>
              <w:ind w:right="-29"/>
              <w:jc w:val="center"/>
              <w:rPr>
                <w:noProof/>
                <w:sz w:val="18"/>
                <w:szCs w:val="18"/>
              </w:rPr>
            </w:pPr>
          </w:p>
        </w:tc>
        <w:tc>
          <w:tcPr>
            <w:tcW w:w="720" w:type="dxa"/>
          </w:tcPr>
          <w:p>
            <w:pPr>
              <w:ind w:right="-29"/>
              <w:jc w:val="center"/>
              <w:rPr>
                <w:noProof/>
                <w:sz w:val="18"/>
                <w:szCs w:val="18"/>
              </w:rPr>
            </w:pPr>
          </w:p>
        </w:tc>
        <w:tc>
          <w:tcPr>
            <w:tcW w:w="540" w:type="dxa"/>
            <w:gridSpan w:val="2"/>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0,715</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0,650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0,650</w:t>
            </w: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0,650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r>
              <w:rPr>
                <w:noProof/>
                <w:sz w:val="18"/>
              </w:rPr>
              <w:t>0,585</w:t>
            </w:r>
          </w:p>
        </w:tc>
        <w:tc>
          <w:tcPr>
            <w:tcW w:w="432"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3,250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Обобщение</w:t>
      </w:r>
    </w:p>
    <w:p>
      <w:pPr>
        <w:pStyle w:val="ListDash1"/>
        <w:rPr>
          <w:noProof/>
        </w:rPr>
      </w:pPr>
      <w:r>
        <w:rPr>
          <w:noProof/>
        </w:rPr>
        <w:sym w:font="Wingdings" w:char="F0A8"/>
      </w:r>
      <w:r>
        <w:rPr>
          <w:noProof/>
        </w:rPr>
        <w:tab/>
        <w:t>Предложението/инициативата не налага използване на бюджетни кредити за административни разходи.</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b/>
                <w:noProof/>
                <w:sz w:val="16"/>
              </w:rPr>
            </w:pPr>
            <w:r>
              <w:rPr>
                <w:noProof/>
                <w:sz w:val="16"/>
              </w:rPr>
              <w:t>Година</w:t>
            </w:r>
            <w:r>
              <w:rPr>
                <w:noProof/>
                <w:sz w:val="22"/>
              </w:rPr>
              <w:br/>
            </w:r>
            <w:r>
              <w:rPr>
                <w:b/>
                <w:noProof/>
                <w:sz w:val="16"/>
              </w:rPr>
              <w:t xml:space="preserve">N </w:t>
            </w:r>
            <w:r>
              <w:rPr>
                <w:rStyle w:val="FootnoteReference"/>
                <w:b/>
                <w:noProof/>
                <w:sz w:val="16"/>
              </w:rPr>
              <w:footnoteReference w:id="14"/>
            </w:r>
          </w:p>
          <w:p>
            <w:pPr>
              <w:spacing w:before="60" w:after="60" w:line="200" w:lineRule="exact"/>
              <w:jc w:val="center"/>
              <w:rPr>
                <w:noProof/>
                <w:sz w:val="16"/>
                <w:szCs w:val="16"/>
              </w:rPr>
            </w:pPr>
            <w:r>
              <w:rPr>
                <w:b/>
                <w:noProof/>
                <w:sz w:val="16"/>
              </w:rPr>
              <w:t>2015 г.</w:t>
            </w:r>
          </w:p>
        </w:tc>
        <w:tc>
          <w:tcPr>
            <w:tcW w:w="1080" w:type="dxa"/>
            <w:vAlign w:val="center"/>
          </w:tcPr>
          <w:p>
            <w:pPr>
              <w:spacing w:before="60" w:after="60" w:line="200" w:lineRule="exact"/>
              <w:jc w:val="center"/>
              <w:rPr>
                <w:b/>
                <w:noProof/>
                <w:sz w:val="16"/>
              </w:rPr>
            </w:pPr>
            <w:r>
              <w:rPr>
                <w:noProof/>
                <w:sz w:val="16"/>
              </w:rPr>
              <w:t>Година</w:t>
            </w:r>
            <w:r>
              <w:rPr>
                <w:noProof/>
                <w:sz w:val="22"/>
              </w:rPr>
              <w:br/>
            </w:r>
            <w:r>
              <w:rPr>
                <w:b/>
                <w:noProof/>
                <w:sz w:val="16"/>
              </w:rPr>
              <w:t>N+1</w:t>
            </w:r>
          </w:p>
          <w:p>
            <w:pPr>
              <w:spacing w:before="60" w:after="60" w:line="200" w:lineRule="exact"/>
              <w:jc w:val="center"/>
              <w:rPr>
                <w:noProof/>
                <w:sz w:val="16"/>
                <w:szCs w:val="16"/>
              </w:rPr>
            </w:pPr>
            <w:r>
              <w:rPr>
                <w:b/>
                <w:noProof/>
                <w:sz w:val="16"/>
              </w:rPr>
              <w:t>2016 г.</w:t>
            </w:r>
          </w:p>
        </w:tc>
        <w:tc>
          <w:tcPr>
            <w:tcW w:w="1080" w:type="dxa"/>
            <w:vAlign w:val="center"/>
          </w:tcPr>
          <w:p>
            <w:pPr>
              <w:spacing w:before="60" w:after="60" w:line="200" w:lineRule="exact"/>
              <w:jc w:val="center"/>
              <w:rPr>
                <w:b/>
                <w:noProof/>
                <w:sz w:val="16"/>
              </w:rPr>
            </w:pPr>
            <w:r>
              <w:rPr>
                <w:noProof/>
                <w:sz w:val="16"/>
              </w:rPr>
              <w:t>Година</w:t>
            </w:r>
            <w:r>
              <w:rPr>
                <w:noProof/>
                <w:sz w:val="22"/>
              </w:rPr>
              <w:br/>
            </w:r>
            <w:r>
              <w:rPr>
                <w:b/>
                <w:noProof/>
                <w:sz w:val="16"/>
              </w:rPr>
              <w:t>N+2</w:t>
            </w:r>
          </w:p>
          <w:p>
            <w:pPr>
              <w:spacing w:before="60" w:after="60" w:line="200" w:lineRule="exact"/>
              <w:jc w:val="center"/>
              <w:rPr>
                <w:noProof/>
                <w:sz w:val="16"/>
                <w:szCs w:val="16"/>
              </w:rPr>
            </w:pPr>
            <w:r>
              <w:rPr>
                <w:b/>
                <w:noProof/>
                <w:sz w:val="16"/>
              </w:rPr>
              <w:t>2017 г.</w:t>
            </w:r>
          </w:p>
        </w:tc>
        <w:tc>
          <w:tcPr>
            <w:tcW w:w="1080" w:type="dxa"/>
            <w:vAlign w:val="center"/>
          </w:tcPr>
          <w:p>
            <w:pPr>
              <w:spacing w:before="60" w:after="60" w:line="200" w:lineRule="exact"/>
              <w:jc w:val="center"/>
              <w:rPr>
                <w:b/>
                <w:noProof/>
                <w:sz w:val="16"/>
              </w:rPr>
            </w:pPr>
            <w:r>
              <w:rPr>
                <w:noProof/>
                <w:sz w:val="16"/>
              </w:rPr>
              <w:t>Година</w:t>
            </w:r>
            <w:r>
              <w:rPr>
                <w:noProof/>
                <w:sz w:val="22"/>
              </w:rPr>
              <w:br/>
            </w:r>
            <w:r>
              <w:rPr>
                <w:b/>
                <w:noProof/>
                <w:sz w:val="16"/>
              </w:rPr>
              <w:t>N+3</w:t>
            </w:r>
          </w:p>
          <w:p>
            <w:pPr>
              <w:spacing w:before="60" w:after="60" w:line="200" w:lineRule="exact"/>
              <w:jc w:val="center"/>
              <w:rPr>
                <w:noProof/>
                <w:sz w:val="16"/>
                <w:szCs w:val="16"/>
              </w:rPr>
            </w:pPr>
            <w:r>
              <w:rPr>
                <w:b/>
                <w:noProof/>
                <w:sz w:val="16"/>
              </w:rPr>
              <w:t>2018 г.</w:t>
            </w:r>
          </w:p>
        </w:tc>
        <w:tc>
          <w:tcPr>
            <w:tcW w:w="1080" w:type="dxa"/>
            <w:vAlign w:val="center"/>
          </w:tcPr>
          <w:p>
            <w:pPr>
              <w:spacing w:before="60" w:after="60" w:line="200" w:lineRule="exact"/>
              <w:jc w:val="center"/>
              <w:rPr>
                <w:b/>
                <w:noProof/>
                <w:sz w:val="16"/>
              </w:rPr>
            </w:pPr>
            <w:r>
              <w:rPr>
                <w:noProof/>
                <w:sz w:val="16"/>
              </w:rPr>
              <w:t>Година</w:t>
            </w:r>
            <w:r>
              <w:rPr>
                <w:noProof/>
                <w:sz w:val="22"/>
              </w:rPr>
              <w:br/>
            </w:r>
            <w:r>
              <w:rPr>
                <w:b/>
                <w:noProof/>
                <w:sz w:val="16"/>
              </w:rPr>
              <w:t>N+4</w:t>
            </w:r>
          </w:p>
          <w:p>
            <w:pPr>
              <w:spacing w:line="200" w:lineRule="exact"/>
              <w:jc w:val="center"/>
              <w:rPr>
                <w:b/>
                <w:noProof/>
                <w:sz w:val="16"/>
                <w:szCs w:val="16"/>
              </w:rPr>
            </w:pPr>
            <w:r>
              <w:rPr>
                <w:b/>
                <w:noProof/>
                <w:sz w:val="16"/>
              </w:rPr>
              <w:t>2019 г.</w:t>
            </w:r>
          </w:p>
        </w:tc>
        <w:tc>
          <w:tcPr>
            <w:tcW w:w="1080" w:type="dxa"/>
            <w:vAlign w:val="center"/>
          </w:tcPr>
          <w:p>
            <w:pPr>
              <w:spacing w:line="200" w:lineRule="exact"/>
              <w:jc w:val="center"/>
              <w:rPr>
                <w:b/>
                <w:noProof/>
                <w:sz w:val="16"/>
                <w:szCs w:val="16"/>
              </w:rPr>
            </w:pPr>
          </w:p>
        </w:tc>
        <w:tc>
          <w:tcPr>
            <w:tcW w:w="1080" w:type="dxa"/>
            <w:vAlign w:val="center"/>
          </w:tcPr>
          <w:p>
            <w:pPr>
              <w:spacing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0,565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0,045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0,610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15"/>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0,155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0,066</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0,090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0,097</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0,245</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0,219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0,855</w:t>
            </w: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Предложението/инициативата не налага използване на човешки ресурси.</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3"/>
        <w:gridCol w:w="1954"/>
        <w:gridCol w:w="655"/>
        <w:gridCol w:w="655"/>
        <w:gridCol w:w="632"/>
        <w:gridCol w:w="710"/>
        <w:gridCol w:w="710"/>
        <w:gridCol w:w="1699"/>
        <w:gridCol w:w="1318"/>
      </w:tblGrid>
      <w:tr>
        <w:trPr>
          <w:gridBefore w:val="1"/>
          <w:wBefore w:w="5"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b/>
                <w:noProof/>
                <w:sz w:val="16"/>
              </w:rPr>
            </w:pPr>
            <w:r>
              <w:rPr>
                <w:noProof/>
                <w:sz w:val="16"/>
              </w:rPr>
              <w:t>Година</w:t>
            </w:r>
            <w:r>
              <w:rPr>
                <w:noProof/>
                <w:sz w:val="22"/>
              </w:rPr>
              <w:br/>
            </w:r>
            <w:r>
              <w:rPr>
                <w:b/>
                <w:noProof/>
                <w:sz w:val="16"/>
              </w:rPr>
              <w:t>N</w:t>
            </w:r>
          </w:p>
          <w:p>
            <w:pPr>
              <w:spacing w:before="20" w:after="20"/>
              <w:jc w:val="center"/>
              <w:rPr>
                <w:noProof/>
                <w:sz w:val="16"/>
                <w:szCs w:val="16"/>
              </w:rPr>
            </w:pPr>
            <w:r>
              <w:rPr>
                <w:b/>
                <w:noProof/>
                <w:sz w:val="16"/>
              </w:rPr>
              <w:t>2015 г.</w:t>
            </w:r>
          </w:p>
        </w:tc>
        <w:tc>
          <w:tcPr>
            <w:tcW w:w="318" w:type="pct"/>
            <w:shd w:val="clear" w:color="auto" w:fill="auto"/>
            <w:vAlign w:val="center"/>
          </w:tcPr>
          <w:p>
            <w:pPr>
              <w:spacing w:before="20" w:after="20"/>
              <w:jc w:val="center"/>
              <w:rPr>
                <w:b/>
                <w:noProof/>
                <w:sz w:val="16"/>
              </w:rPr>
            </w:pPr>
            <w:r>
              <w:rPr>
                <w:noProof/>
                <w:sz w:val="16"/>
              </w:rPr>
              <w:t>Година</w:t>
            </w:r>
            <w:r>
              <w:rPr>
                <w:noProof/>
                <w:sz w:val="22"/>
              </w:rPr>
              <w:br/>
            </w:r>
            <w:r>
              <w:rPr>
                <w:b/>
                <w:noProof/>
                <w:sz w:val="16"/>
              </w:rPr>
              <w:t>N+1</w:t>
            </w:r>
          </w:p>
          <w:p>
            <w:pPr>
              <w:spacing w:before="20" w:after="20"/>
              <w:jc w:val="center"/>
              <w:rPr>
                <w:noProof/>
                <w:sz w:val="16"/>
                <w:szCs w:val="16"/>
              </w:rPr>
            </w:pPr>
            <w:r>
              <w:rPr>
                <w:b/>
                <w:noProof/>
                <w:sz w:val="16"/>
              </w:rPr>
              <w:t>2016 г.</w:t>
            </w:r>
          </w:p>
        </w:tc>
        <w:tc>
          <w:tcPr>
            <w:tcW w:w="307" w:type="pct"/>
            <w:shd w:val="clear" w:color="auto" w:fill="auto"/>
            <w:vAlign w:val="center"/>
          </w:tcPr>
          <w:p>
            <w:pPr>
              <w:spacing w:before="20" w:after="20"/>
              <w:jc w:val="center"/>
              <w:rPr>
                <w:b/>
                <w:noProof/>
                <w:sz w:val="16"/>
                <w:szCs w:val="16"/>
              </w:rPr>
            </w:pPr>
            <w:r>
              <w:rPr>
                <w:noProof/>
                <w:sz w:val="16"/>
              </w:rPr>
              <w:t xml:space="preserve">Година </w:t>
            </w:r>
            <w:r>
              <w:rPr>
                <w:b/>
                <w:noProof/>
                <w:sz w:val="16"/>
              </w:rPr>
              <w:t>N+2</w:t>
            </w:r>
          </w:p>
          <w:p>
            <w:pPr>
              <w:spacing w:before="20" w:after="20"/>
              <w:jc w:val="center"/>
              <w:rPr>
                <w:noProof/>
                <w:sz w:val="16"/>
                <w:szCs w:val="16"/>
              </w:rPr>
            </w:pPr>
            <w:r>
              <w:rPr>
                <w:b/>
                <w:noProof/>
                <w:sz w:val="16"/>
              </w:rPr>
              <w:t>2017 г.</w:t>
            </w:r>
          </w:p>
        </w:tc>
        <w:tc>
          <w:tcPr>
            <w:tcW w:w="345" w:type="pct"/>
            <w:shd w:val="clear" w:color="auto" w:fill="auto"/>
            <w:vAlign w:val="center"/>
          </w:tcPr>
          <w:p>
            <w:pPr>
              <w:spacing w:before="20" w:after="20"/>
              <w:jc w:val="center"/>
              <w:rPr>
                <w:b/>
                <w:noProof/>
                <w:sz w:val="16"/>
                <w:szCs w:val="16"/>
              </w:rPr>
            </w:pPr>
            <w:r>
              <w:rPr>
                <w:noProof/>
                <w:sz w:val="16"/>
              </w:rPr>
              <w:t xml:space="preserve">Година </w:t>
            </w:r>
            <w:r>
              <w:rPr>
                <w:b/>
                <w:noProof/>
                <w:sz w:val="16"/>
              </w:rPr>
              <w:t>N+3</w:t>
            </w:r>
          </w:p>
          <w:p>
            <w:pPr>
              <w:spacing w:before="20" w:after="20"/>
              <w:jc w:val="center"/>
              <w:rPr>
                <w:noProof/>
                <w:sz w:val="16"/>
                <w:szCs w:val="16"/>
              </w:rPr>
            </w:pPr>
            <w:r>
              <w:rPr>
                <w:b/>
                <w:noProof/>
                <w:sz w:val="16"/>
              </w:rPr>
              <w:t>2018 г.</w:t>
            </w:r>
          </w:p>
        </w:tc>
        <w:tc>
          <w:tcPr>
            <w:tcW w:w="345"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N+4</w:t>
            </w:r>
          </w:p>
          <w:p>
            <w:pPr>
              <w:spacing w:before="20" w:after="20"/>
              <w:jc w:val="center"/>
              <w:rPr>
                <w:b/>
                <w:noProof/>
                <w:sz w:val="16"/>
                <w:szCs w:val="16"/>
              </w:rPr>
            </w:pPr>
            <w:r>
              <w:rPr>
                <w:b/>
                <w:noProof/>
                <w:sz w:val="16"/>
              </w:rPr>
              <w:t>2019 г.</w:t>
            </w:r>
          </w:p>
        </w:tc>
        <w:tc>
          <w:tcPr>
            <w:tcW w:w="825" w:type="pct"/>
            <w:shd w:val="clear" w:color="auto" w:fill="auto"/>
            <w:vAlign w:val="center"/>
          </w:tcPr>
          <w:p>
            <w:pPr>
              <w:jc w:val="center"/>
              <w:rPr>
                <w:b/>
                <w:noProof/>
                <w:sz w:val="16"/>
                <w:szCs w:val="16"/>
              </w:rPr>
            </w:pPr>
          </w:p>
        </w:tc>
        <w:tc>
          <w:tcPr>
            <w:tcW w:w="640" w:type="pct"/>
            <w:shd w:val="clear" w:color="auto" w:fill="auto"/>
            <w:vAlign w:val="center"/>
          </w:tcPr>
          <w:p>
            <w:pPr>
              <w:jc w:val="center"/>
              <w:rPr>
                <w:b/>
                <w:noProof/>
                <w:sz w:val="16"/>
                <w:szCs w:val="16"/>
              </w:rPr>
            </w:pPr>
            <w:r>
              <w:rPr>
                <w:b/>
                <w:noProof/>
                <w:sz w:val="16"/>
              </w:rPr>
              <w:t>ОБЩО</w:t>
            </w:r>
          </w:p>
        </w:tc>
      </w:tr>
      <w:tr>
        <w:trPr>
          <w:gridBefore w:val="1"/>
          <w:wBefore w:w="5" w:type="pct"/>
          <w:trHeight w:val="289"/>
          <w:jc w:val="center"/>
        </w:trPr>
        <w:tc>
          <w:tcPr>
            <w:tcW w:w="2840" w:type="pct"/>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345" w:type="pct"/>
            <w:shd w:val="clear" w:color="auto" w:fill="auto"/>
            <w:vAlign w:val="center"/>
          </w:tcPr>
          <w:p>
            <w:pPr>
              <w:spacing w:before="20" w:after="20"/>
              <w:jc w:val="center"/>
              <w:rPr>
                <w:noProof/>
                <w:sz w:val="16"/>
                <w:szCs w:val="16"/>
              </w:rPr>
            </w:pPr>
          </w:p>
        </w:tc>
        <w:tc>
          <w:tcPr>
            <w:tcW w:w="1810" w:type="pct"/>
            <w:gridSpan w:val="3"/>
            <w:shd w:val="clear" w:color="auto" w:fill="auto"/>
            <w:vAlign w:val="center"/>
          </w:tcPr>
          <w:p>
            <w:pPr>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11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0,099</w:t>
            </w:r>
          </w:p>
        </w:tc>
        <w:tc>
          <w:tcPr>
            <w:tcW w:w="318" w:type="pct"/>
            <w:shd w:val="clear" w:color="auto" w:fill="auto"/>
            <w:vAlign w:val="center"/>
          </w:tcPr>
          <w:p>
            <w:pPr>
              <w:spacing w:beforeLines="20" w:before="48" w:afterLines="20" w:after="48"/>
              <w:jc w:val="center"/>
              <w:rPr>
                <w:noProof/>
                <w:sz w:val="16"/>
                <w:szCs w:val="16"/>
              </w:rPr>
            </w:pPr>
            <w:r>
              <w:rPr>
                <w:noProof/>
                <w:sz w:val="16"/>
              </w:rPr>
              <w:t>0,099</w:t>
            </w:r>
          </w:p>
        </w:tc>
        <w:tc>
          <w:tcPr>
            <w:tcW w:w="307" w:type="pct"/>
            <w:shd w:val="clear" w:color="auto" w:fill="auto"/>
            <w:vAlign w:val="center"/>
          </w:tcPr>
          <w:p>
            <w:pPr>
              <w:spacing w:beforeLines="20" w:before="48" w:afterLines="20" w:after="48"/>
              <w:jc w:val="center"/>
              <w:rPr>
                <w:noProof/>
                <w:sz w:val="16"/>
                <w:szCs w:val="16"/>
              </w:rPr>
            </w:pPr>
            <w:r>
              <w:rPr>
                <w:noProof/>
                <w:sz w:val="16"/>
              </w:rPr>
              <w:t>0,099</w:t>
            </w:r>
          </w:p>
        </w:tc>
        <w:tc>
          <w:tcPr>
            <w:tcW w:w="345" w:type="pct"/>
            <w:shd w:val="clear" w:color="auto" w:fill="auto"/>
            <w:vAlign w:val="center"/>
          </w:tcPr>
          <w:p>
            <w:pPr>
              <w:spacing w:beforeLines="20" w:before="48" w:afterLines="20" w:after="48"/>
              <w:jc w:val="center"/>
              <w:rPr>
                <w:noProof/>
                <w:sz w:val="16"/>
                <w:szCs w:val="16"/>
              </w:rPr>
            </w:pPr>
            <w:r>
              <w:rPr>
                <w:noProof/>
                <w:sz w:val="16"/>
              </w:rPr>
              <w:t>0,099</w:t>
            </w:r>
          </w:p>
        </w:tc>
        <w:tc>
          <w:tcPr>
            <w:tcW w:w="345" w:type="pct"/>
            <w:shd w:val="clear" w:color="auto" w:fill="auto"/>
            <w:vAlign w:val="center"/>
          </w:tcPr>
          <w:p>
            <w:pPr>
              <w:spacing w:beforeLines="20" w:before="48" w:afterLines="20" w:after="48"/>
              <w:jc w:val="center"/>
              <w:rPr>
                <w:noProof/>
                <w:sz w:val="16"/>
                <w:szCs w:val="16"/>
              </w:rPr>
            </w:pPr>
            <w:r>
              <w:rPr>
                <w:noProof/>
                <w:sz w:val="16"/>
              </w:rPr>
              <w:t>0,099</w:t>
            </w: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0,495</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11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After w:val="4"/>
          <w:wAfter w:w="2155" w:type="pct"/>
          <w:trHeight w:val="248"/>
          <w:jc w:val="center"/>
        </w:trPr>
        <w:tc>
          <w:tcPr>
            <w:tcW w:w="2845"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16"/>
            </w:r>
          </w:p>
          <w:p>
            <w:pPr>
              <w:pStyle w:val="Text1"/>
              <w:spacing w:before="0" w:after="0"/>
              <w:ind w:left="0"/>
              <w:jc w:val="left"/>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r>
              <w:rPr>
                <w:noProof/>
                <w:sz w:val="16"/>
              </w:rPr>
              <w:t>0,014</w:t>
            </w:r>
          </w:p>
        </w:tc>
        <w:tc>
          <w:tcPr>
            <w:tcW w:w="318" w:type="pct"/>
            <w:shd w:val="clear" w:color="auto" w:fill="auto"/>
            <w:vAlign w:val="center"/>
          </w:tcPr>
          <w:p>
            <w:pPr>
              <w:spacing w:beforeLines="20" w:before="48" w:afterLines="20" w:after="48"/>
              <w:jc w:val="center"/>
              <w:rPr>
                <w:noProof/>
                <w:sz w:val="16"/>
                <w:szCs w:val="16"/>
              </w:rPr>
            </w:pPr>
            <w:r>
              <w:rPr>
                <w:noProof/>
                <w:sz w:val="16"/>
              </w:rPr>
              <w:t>0,014</w:t>
            </w:r>
          </w:p>
        </w:tc>
        <w:tc>
          <w:tcPr>
            <w:tcW w:w="307" w:type="pct"/>
            <w:shd w:val="clear" w:color="auto" w:fill="auto"/>
            <w:vAlign w:val="center"/>
          </w:tcPr>
          <w:p>
            <w:pPr>
              <w:spacing w:beforeLines="20" w:before="48" w:afterLines="20" w:after="48"/>
              <w:jc w:val="center"/>
              <w:rPr>
                <w:noProof/>
                <w:sz w:val="16"/>
                <w:szCs w:val="16"/>
              </w:rPr>
            </w:pPr>
            <w:r>
              <w:rPr>
                <w:noProof/>
                <w:sz w:val="16"/>
              </w:rPr>
              <w:t>0,014</w:t>
            </w:r>
          </w:p>
        </w:tc>
        <w:tc>
          <w:tcPr>
            <w:tcW w:w="345" w:type="pct"/>
            <w:shd w:val="clear" w:color="auto" w:fill="auto"/>
            <w:vAlign w:val="center"/>
          </w:tcPr>
          <w:p>
            <w:pPr>
              <w:spacing w:beforeLines="20" w:before="48" w:afterLines="20" w:after="48"/>
              <w:jc w:val="center"/>
              <w:rPr>
                <w:noProof/>
                <w:sz w:val="16"/>
                <w:szCs w:val="16"/>
              </w:rPr>
            </w:pPr>
            <w:r>
              <w:rPr>
                <w:noProof/>
                <w:sz w:val="16"/>
              </w:rPr>
              <w:t>0,014</w:t>
            </w:r>
          </w:p>
        </w:tc>
        <w:tc>
          <w:tcPr>
            <w:tcW w:w="345" w:type="pct"/>
            <w:shd w:val="clear" w:color="auto" w:fill="auto"/>
            <w:vAlign w:val="center"/>
          </w:tcPr>
          <w:p>
            <w:pPr>
              <w:spacing w:beforeLines="20" w:before="48" w:afterLines="20" w:after="48"/>
              <w:jc w:val="center"/>
              <w:rPr>
                <w:noProof/>
                <w:sz w:val="16"/>
                <w:szCs w:val="16"/>
              </w:rPr>
            </w:pPr>
            <w:r>
              <w:rPr>
                <w:noProof/>
                <w:sz w:val="16"/>
              </w:rPr>
              <w:t>0,014</w:t>
            </w: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0,070</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noProof/>
                <w:sz w:val="16"/>
              </w:rPr>
              <w:t>11 01 04 01</w:t>
            </w:r>
            <w:r>
              <w:rPr>
                <w:b/>
                <w:i/>
                <w:noProof/>
                <w:sz w:val="16"/>
              </w:rPr>
              <w:t xml:space="preserve"> </w:t>
            </w:r>
            <w:r>
              <w:rPr>
                <w:rStyle w:val="FootnoteReference"/>
                <w:b/>
                <w:i/>
                <w:noProof/>
                <w:sz w:val="16"/>
              </w:rPr>
              <w:footnoteReference w:id="17"/>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r>
              <w:rPr>
                <w:noProof/>
                <w:sz w:val="16"/>
              </w:rPr>
              <w:t>0,031</w:t>
            </w:r>
          </w:p>
        </w:tc>
        <w:tc>
          <w:tcPr>
            <w:tcW w:w="318" w:type="pct"/>
            <w:shd w:val="clear" w:color="auto" w:fill="auto"/>
            <w:vAlign w:val="center"/>
          </w:tcPr>
          <w:p>
            <w:pPr>
              <w:spacing w:beforeLines="20" w:before="48" w:afterLines="20" w:after="48"/>
              <w:jc w:val="center"/>
              <w:rPr>
                <w:noProof/>
                <w:sz w:val="16"/>
                <w:szCs w:val="16"/>
              </w:rPr>
            </w:pPr>
            <w:r>
              <w:rPr>
                <w:noProof/>
                <w:sz w:val="16"/>
              </w:rPr>
              <w:t>0,031</w:t>
            </w:r>
          </w:p>
        </w:tc>
        <w:tc>
          <w:tcPr>
            <w:tcW w:w="307" w:type="pct"/>
            <w:shd w:val="clear" w:color="auto" w:fill="auto"/>
            <w:vAlign w:val="center"/>
          </w:tcPr>
          <w:p>
            <w:pPr>
              <w:spacing w:beforeLines="20" w:before="48" w:afterLines="20" w:after="48"/>
              <w:jc w:val="center"/>
              <w:rPr>
                <w:noProof/>
                <w:sz w:val="16"/>
                <w:szCs w:val="16"/>
              </w:rPr>
            </w:pPr>
            <w:r>
              <w:rPr>
                <w:noProof/>
                <w:sz w:val="16"/>
              </w:rPr>
              <w:t>0,031</w:t>
            </w:r>
          </w:p>
        </w:tc>
        <w:tc>
          <w:tcPr>
            <w:tcW w:w="345" w:type="pct"/>
            <w:shd w:val="clear" w:color="auto" w:fill="auto"/>
            <w:vAlign w:val="center"/>
          </w:tcPr>
          <w:p>
            <w:pPr>
              <w:spacing w:beforeLines="20" w:before="48" w:afterLines="20" w:after="48"/>
              <w:jc w:val="center"/>
              <w:rPr>
                <w:noProof/>
                <w:sz w:val="16"/>
                <w:szCs w:val="16"/>
              </w:rPr>
            </w:pPr>
            <w:r>
              <w:rPr>
                <w:noProof/>
                <w:sz w:val="16"/>
              </w:rPr>
              <w:t>0,031</w:t>
            </w:r>
          </w:p>
        </w:tc>
        <w:tc>
          <w:tcPr>
            <w:tcW w:w="345" w:type="pct"/>
            <w:shd w:val="clear" w:color="auto" w:fill="auto"/>
            <w:vAlign w:val="center"/>
          </w:tcPr>
          <w:p>
            <w:pPr>
              <w:spacing w:beforeLines="20" w:before="48" w:afterLines="20" w:after="48"/>
              <w:jc w:val="center"/>
              <w:rPr>
                <w:noProof/>
                <w:sz w:val="16"/>
                <w:szCs w:val="16"/>
              </w:rPr>
            </w:pPr>
            <w:r>
              <w:rPr>
                <w:noProof/>
                <w:sz w:val="16"/>
              </w:rPr>
              <w:t>0,031</w:t>
            </w: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0,155</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0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2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4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0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4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4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82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4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0,720</w:t>
            </w: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Управление и наблюдение на процеса на (пре)договарянето на СПОУР и одобряване на резултатите от преговорите от страна на институциите; управление на настоящото СПОУР, включително постоянен финансов контрол и наблюдение на работата; непрекъснат мониторинг на осъществяването на секторната подкрепа, управление на лицензите.</w:t>
            </w:r>
          </w:p>
          <w:p>
            <w:pPr>
              <w:rPr>
                <w:noProof/>
                <w:sz w:val="20"/>
              </w:rPr>
            </w:pPr>
            <w:r>
              <w:rPr>
                <w:noProof/>
                <w:sz w:val="20"/>
              </w:rPr>
              <w:t>Отговорен служител от ГД „Морско дело и рибарство“ + началник на отдел/заместник-началник на отдел + управител на лицензите + секретариат:</w:t>
            </w:r>
          </w:p>
          <w:p>
            <w:pPr>
              <w:rPr>
                <w:noProof/>
                <w:sz w:val="20"/>
              </w:rPr>
            </w:pPr>
            <w:r>
              <w:rPr>
                <w:noProof/>
                <w:sz w:val="20"/>
              </w:rPr>
              <w:t>обща прогнозна оценка 0,75 ЕПРВ/год.</w:t>
            </w:r>
          </w:p>
          <w:p>
            <w:pPr>
              <w:rPr>
                <w:noProof/>
                <w:sz w:val="20"/>
              </w:rPr>
            </w:pPr>
            <w:r>
              <w:rPr>
                <w:noProof/>
                <w:sz w:val="20"/>
              </w:rPr>
              <w:t>Разходи за единица: 132 000 EUR / год.</w:t>
            </w:r>
          </w:p>
          <w:p>
            <w:pPr>
              <w:rPr>
                <w:noProof/>
                <w:sz w:val="20"/>
              </w:rPr>
            </w:pPr>
            <w:r>
              <w:rPr>
                <w:noProof/>
                <w:sz w:val="20"/>
              </w:rPr>
              <w:t>Изчисляване на разходите: 0,75 ЕПРВ x 132 000 EUR / год.</w:t>
            </w:r>
          </w:p>
          <w:p>
            <w:pPr>
              <w:rPr>
                <w:noProof/>
                <w:sz w:val="20"/>
              </w:rPr>
            </w:pPr>
            <w:r>
              <w:rPr>
                <w:noProof/>
                <w:sz w:val="20"/>
              </w:rPr>
              <w:t>Общо разходи: 99 000 EUR =&gt; 0,099 млн. евро</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1) финансов асистент ГД „Морско дело и рибарство“:</w:t>
            </w:r>
          </w:p>
          <w:p>
            <w:pPr>
              <w:rPr>
                <w:noProof/>
                <w:sz w:val="20"/>
              </w:rPr>
            </w:pPr>
            <w:r>
              <w:rPr>
                <w:noProof/>
                <w:sz w:val="20"/>
              </w:rPr>
              <w:t>обща прогнозна оценка 0,2 ЕПРВ / год.</w:t>
            </w:r>
          </w:p>
          <w:p>
            <w:pPr>
              <w:rPr>
                <w:noProof/>
                <w:sz w:val="20"/>
              </w:rPr>
            </w:pPr>
            <w:r>
              <w:rPr>
                <w:noProof/>
                <w:sz w:val="20"/>
              </w:rPr>
              <w:t>Разходи за единица: 70 000 EUR</w:t>
            </w:r>
          </w:p>
          <w:p>
            <w:pPr>
              <w:rPr>
                <w:noProof/>
                <w:sz w:val="20"/>
              </w:rPr>
            </w:pPr>
            <w:r>
              <w:rPr>
                <w:noProof/>
                <w:sz w:val="20"/>
              </w:rPr>
              <w:t>Изчисляване на разходите: 0,2 ЕПРВ x 70 000 EUR / год.</w:t>
            </w:r>
          </w:p>
          <w:p>
            <w:pPr>
              <w:rPr>
                <w:noProof/>
                <w:sz w:val="20"/>
              </w:rPr>
            </w:pPr>
            <w:r>
              <w:rPr>
                <w:noProof/>
                <w:sz w:val="20"/>
              </w:rPr>
              <w:t>Общо разходи: 14 000 EUR =&gt; 0,014 млн. евро</w:t>
            </w:r>
          </w:p>
          <w:p>
            <w:pPr>
              <w:rPr>
                <w:noProof/>
                <w:sz w:val="20"/>
              </w:rPr>
            </w:pPr>
            <w:r>
              <w:rPr>
                <w:noProof/>
                <w:sz w:val="20"/>
              </w:rPr>
              <w:t>2) договорно наето лице в делегацията на ЕС:</w:t>
            </w:r>
          </w:p>
          <w:p>
            <w:pPr>
              <w:rPr>
                <w:noProof/>
                <w:sz w:val="20"/>
              </w:rPr>
            </w:pPr>
            <w:r>
              <w:rPr>
                <w:noProof/>
                <w:sz w:val="20"/>
              </w:rPr>
              <w:t>обща прогнозна оценка 0,25 ЕПРВ / год.</w:t>
            </w:r>
          </w:p>
          <w:p>
            <w:pPr>
              <w:rPr>
                <w:noProof/>
                <w:sz w:val="20"/>
              </w:rPr>
            </w:pPr>
            <w:r>
              <w:rPr>
                <w:noProof/>
                <w:sz w:val="20"/>
              </w:rPr>
              <w:t>Разходи за единица: 125 000 EUR</w:t>
            </w:r>
          </w:p>
          <w:p>
            <w:pPr>
              <w:rPr>
                <w:noProof/>
                <w:sz w:val="20"/>
              </w:rPr>
            </w:pPr>
            <w:r>
              <w:rPr>
                <w:noProof/>
                <w:sz w:val="20"/>
              </w:rPr>
              <w:t>Изчисляване на разходите: 0,25 ЕПРВ x 125 000 EUR / год.</w:t>
            </w:r>
          </w:p>
          <w:p>
            <w:pPr>
              <w:rPr>
                <w:noProof/>
                <w:sz w:val="20"/>
              </w:rPr>
            </w:pPr>
            <w:r>
              <w:rPr>
                <w:noProof/>
                <w:sz w:val="20"/>
              </w:rPr>
              <w:t>Общо разходи: 31 250 EUR =&gt; 0,031 млн. евро</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Съвместимост с настоящата многогодишна финансова рамка</w:t>
      </w:r>
    </w:p>
    <w:p>
      <w:pPr>
        <w:pStyle w:val="ListDash1"/>
        <w:rPr>
          <w:noProof/>
        </w:rPr>
      </w:pPr>
      <w:r>
        <w:rPr>
          <w:noProof/>
        </w:rPr>
        <w:t>X</w:t>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t>Предложението/инициативата не предвижда съфинансиране от трети страни.</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Очаквано отражение върху приходите</w:t>
      </w:r>
    </w:p>
    <w:p>
      <w:pPr>
        <w:pStyle w:val="ListDash1"/>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върху собствените ресурси</w:t>
      </w:r>
    </w:p>
    <w:p>
      <w:pPr>
        <w:pStyle w:val="ListNumberLevel3"/>
        <w:rPr>
          <w:noProof/>
        </w:rPr>
      </w:pPr>
      <w:r>
        <w:rPr>
          <w:noProof/>
        </w:rPr>
        <w:sym w:font="Wingdings" w:char="F0A8"/>
      </w:r>
      <w:r>
        <w:rPr>
          <w:noProof/>
        </w:rPr>
        <w:tab/>
        <w:t>върху разните приходи</w:t>
      </w:r>
    </w:p>
    <w:p>
      <w:pPr>
        <w:jc w:val="right"/>
        <w:rPr>
          <w:i/>
          <w:noProof/>
          <w:sz w:val="20"/>
        </w:rPr>
      </w:pPr>
      <w:r>
        <w:rPr>
          <w:noProof/>
        </w:rPr>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18"/>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t>[...]</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Приети на 3324-то заседание на Съвета (по икономически и финансови въпроси) на 20 юни 2014 г.</w:t>
      </w:r>
    </w:p>
  </w:footnote>
  <w:footnote w:id="2">
    <w:p>
      <w:pPr>
        <w:pStyle w:val="FootnoteText"/>
        <w:rPr>
          <w:szCs w:val="24"/>
        </w:rPr>
      </w:pPr>
      <w:r>
        <w:rPr>
          <w:rStyle w:val="FootnoteReference"/>
        </w:rPr>
        <w:footnoteRef/>
      </w:r>
      <w:r>
        <w:tab/>
        <w:t>УД : управление по дейности; БД: бюджетиране по дейности.</w:t>
      </w:r>
    </w:p>
  </w:footnote>
  <w:footnote w:id="3">
    <w:p>
      <w:pPr>
        <w:pStyle w:val="FootnoteText"/>
        <w:rPr>
          <w:szCs w:val="24"/>
        </w:rPr>
      </w:pPr>
      <w:r>
        <w:rPr>
          <w:rStyle w:val="FootnoteReference"/>
        </w:rPr>
        <w:footnoteRef/>
      </w:r>
      <w:r>
        <w:tab/>
        <w:t>Съгласно член 54, параграф 2, буква а) или б) от Финансовия регламент.</w:t>
      </w:r>
    </w:p>
  </w:footnote>
  <w:footnote w:id="4">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sz w:val="18"/>
          </w:rPr>
          <w:t>http://www.cc.cec/budg/man/budgmanag/budgmanag_en.html.</w:t>
        </w:r>
      </w:hyperlink>
    </w:p>
  </w:footnote>
  <w:footnote w:id="5">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6">
    <w:p>
      <w:pPr>
        <w:pStyle w:val="FootnoteText"/>
        <w:rPr>
          <w:szCs w:val="24"/>
        </w:rPr>
      </w:pPr>
      <w:r>
        <w:rPr>
          <w:rStyle w:val="FootnoteReference"/>
        </w:rPr>
        <w:footnoteRef/>
      </w:r>
      <w:r>
        <w:tab/>
        <w:t xml:space="preserve">ЕАСТ: Европейска асоциация за свободна търговия. </w:t>
      </w:r>
    </w:p>
  </w:footnote>
  <w:footnote w:id="7">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8">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0">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1">
    <w:p>
      <w:pPr>
        <w:pStyle w:val="FootnoteText"/>
        <w:rPr>
          <w:szCs w:val="24"/>
        </w:rPr>
      </w:pPr>
      <w:r>
        <w:rPr>
          <w:rStyle w:val="FootnoteReference"/>
        </w:rPr>
        <w:footnoteRef/>
      </w:r>
      <w:r>
        <w:tab/>
        <w:t>Резултатите са продуктите и услугите, които ще бъдат доставени (например брой финансирани обмени на учащи се, дължина на построените пътища в километри и т.н.).</w:t>
      </w:r>
    </w:p>
  </w:footnote>
  <w:footnote w:id="12">
    <w:p>
      <w:pPr>
        <w:pStyle w:val="FootnoteText"/>
        <w:rPr>
          <w:szCs w:val="24"/>
        </w:rPr>
      </w:pPr>
      <w:r>
        <w:rPr>
          <w:rStyle w:val="FootnoteReference"/>
        </w:rPr>
        <w:footnoteRef/>
      </w:r>
      <w:r>
        <w:tab/>
        <w:t xml:space="preserve">Съгласно описанието в точка 1.4.2. „Конкретни цели…“. </w:t>
      </w:r>
    </w:p>
  </w:footnote>
  <w:footnote w:id="13">
    <w:p>
      <w:pPr>
        <w:pStyle w:val="FootnoteText"/>
      </w:pPr>
      <w:r>
        <w:rPr>
          <w:rStyle w:val="FootnoteReference"/>
        </w:rPr>
        <w:footnoteRef/>
      </w:r>
      <w:r>
        <w:tab/>
        <w:t>Цена за тон, базирана на референтен тонаж от 6500 тона/година: 55 EUR през първата година (общо 357 500 EUR), 50 EUR през втората, третата и четвъртата година (общо на 325 000 EUR на година) и 45 EUR през петата година (общо 292 500 EUR).</w:t>
      </w:r>
    </w:p>
  </w:footnote>
  <w:footnote w:id="14">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5">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6">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7">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8">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0CA5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3A86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FA1C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F896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E8CB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9-23 15:34: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FB6B239453A4FFCA3A9DED2C7636F54"/>
    <w:docVar w:name="LW_CROSSREFERENCE" w:val="&lt;UNUSED&gt;"/>
    <w:docVar w:name="LW_DocType" w:val="COM"/>
    <w:docVar w:name="LW_EMISSION" w:val="30.9.2015"/>
    <w:docVar w:name="LW_EMISSION_ISODATE" w:val="2015-09-3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3"/>
    <w:docVar w:name="LW_REF.II.NEW.CP_YEAR" w:val="2015"/>
    <w:docVar w:name="LW_REF.INST.NEW" w:val="COM"/>
    <w:docVar w:name="LW_REF.INST.NEW_ADOPTED" w:val="final"/>
    <w:docVar w:name="LW_REF.INST.NEW_TEXT" w:val="(2015) 466"/>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0? \u1079?\u1072? \u1074?\u1088?\u1077?\u1084?\u1077?\u1085?\u1085?\u1086? \u1087?\u1088?\u1080?\u1083?\u1072?\u1075?\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56?\u1077?\u1087?\u1091?\u1073?\u1083?\u1080?\u1082?\u1072? \u1051?\u1080?\u1073?\u1077?\u1088?\u1080?\u1103? \u1080? \u1089?\u1098?\u1086?\u1090?\u1074?\u1077?\u1090?\u1085?\u1080?\u1103? \u1087?\u1088?\u1086?\u1090?\u1086?\u1082?\u1086?\u1083? \u1079?\u1072? \u1085?\u1077?\u1075?\u1086?\u1074?\u1086?\u1090?\u1086? \u1087?\u1088?\u1080?\u1083?\u1072?\u1075?\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D0C95-BBA8-4EC9-9B32-748BE353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27</Pages>
  <Words>4395</Words>
  <Characters>25672</Characters>
  <Application>Microsoft Office Word</Application>
  <DocSecurity>0</DocSecurity>
  <Lines>1510</Lines>
  <Paragraphs>751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29316</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2015-09-09T09:24:00Z</dcterms:created>
  <dcterms:modified xsi:type="dcterms:W3CDTF">2015-09-23T13:34:00Z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