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C9BA6C5261144AF92164B0CDA2E0832" style="width:450.7pt;height:420.8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влезе в сила на 1 декември 2014 г. В Споразумението на основата на реципрочност се установяват правно обвързващи права и задължения, с които се цели опростяване на процедурите за издаване на визи за гражданите на Кабо Верде и на ЕС. С член 10 от това споразумение се учредява Съвместен комитет, който има за задача да наблюдава прилагането на Споразумението. </w:t>
      </w:r>
    </w:p>
    <w:p>
      <w:pPr>
        <w:pStyle w:val="Text1"/>
        <w:ind w:left="0"/>
        <w:rPr>
          <w:noProof/>
        </w:rPr>
      </w:pPr>
      <w:r>
        <w:rPr>
          <w:noProof/>
        </w:rPr>
        <w:t>Общите насоки за това споразумение са необходими с цел да се гарантира напълно хармонизирано прилагане на Споразумението за улесняване на издаването на визи от консулствата на държавите членки и на Република Кабо Верде и да се изясни връзката между разпоредбите на Споразумението и националните разпоредби на договарящите страни, които продължават да се прилагат по визови въпроси, попадащи извън обхвата на Споразумението.</w:t>
      </w:r>
    </w:p>
    <w:p>
      <w:pPr>
        <w:pStyle w:val="Text1"/>
        <w:ind w:left="0"/>
        <w:rPr>
          <w:noProof/>
        </w:rPr>
      </w:pPr>
      <w:r>
        <w:rPr>
          <w:noProof/>
        </w:rPr>
        <w:t>Насоките за прилагане, които трябва да бъдат приети, няма да бъдат част от Споразумението. Силно препоръчително е обаче дипломатическите и консулските служители да ги съблюдават последователно при прилагането на разпоредбите на Споразумението.</w:t>
      </w:r>
    </w:p>
    <w:p>
      <w:pPr>
        <w:pStyle w:val="Text1"/>
        <w:ind w:left="0"/>
        <w:rPr>
          <w:noProof/>
        </w:rPr>
      </w:pPr>
      <w:r>
        <w:rPr>
          <w:noProof/>
        </w:rPr>
        <w:t>Насоките са изготвени в съответствие със Споразумението, което съдържа разпоредби за улесняване на процедурите за издаване на визи за планирано пребиваване за срок от не повече от 90 дни в рамките на период от 180 дни в Шенгенското пространство за гражданите на Кабо Верде и на ЕС, както и със законодателството на ЕС в областта на общата визова политика, като например Визовия кодекс.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 xml:space="preserve">Насоките, които ще бъдат приети въз основа на правомощията, дадени на представителя на Комисията в Съвместния комитет въз основа на настоящото предложение, имат за цел да се предостави подробно обяснение на разпоредбите на Споразумението и да се предоставят насоки за неговото изпълнение. </w:t>
      </w:r>
    </w:p>
    <w:p>
      <w:pPr>
        <w:rPr>
          <w:noProof/>
        </w:rPr>
      </w:pPr>
      <w:r>
        <w:rPr>
          <w:noProof/>
        </w:rPr>
        <w:t xml:space="preserve">В насоките се вземат предвид разпоредбите на Визовия кодекс и други законодателни актове в областта на визовата политика на ЕС, за да се гарантира, че при прилагането на разпоредбите на Споразумението за улесняване на издаването на визи консулският персонал на държавите членки действа в съответствие с визовото законодателство на ЕС. </w:t>
      </w:r>
    </w:p>
    <w:p>
      <w:pPr>
        <w:rPr>
          <w:noProof/>
        </w:rPr>
      </w:pPr>
      <w:r>
        <w:rPr>
          <w:noProof/>
        </w:rPr>
        <w:t xml:space="preserve">Разпоредбите на Споразумението имат предимство пред разпоредбите на Визовия кодекс относно въпроси, които се уреждат и от двата акта.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  <w:r>
        <w:rPr>
          <w:noProof/>
        </w:rPr>
        <w:tab/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Насоките, съдържащи се в приложението към настоящото предложение за решение на Съвета, са резултат от консултации с държавите членки в рамките на работната група „Визи“, които бяха проведени на 7.4.2015 г. и 11.5.2015 г. Комисията се консултира за тези насоки с компетентните органи на Кабо Верде през ноември 2014 г.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t>Настоящото предложение няма отражение върху бюджета на ЕС.</w:t>
      </w:r>
      <w:r>
        <w:rPr>
          <w:noProof/>
        </w:rPr>
        <w:tab/>
      </w:r>
    </w:p>
    <w:p>
      <w:pPr>
        <w:pStyle w:val="Rfrenceinterinstitutionnelle"/>
        <w:rPr>
          <w:noProof/>
        </w:rPr>
      </w:pPr>
      <w:r>
        <w:rPr>
          <w:noProof/>
        </w:rPr>
        <w:t>2015/0232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установяване на позицията, която да бъде взета от името на Европейския съюз </w:t>
      </w:r>
      <w:r>
        <w:rPr>
          <w:noProof/>
        </w:rPr>
        <w:br/>
        <w:t xml:space="preserve">в рамките на Съвместния комитет, създаден със Споразумението </w:t>
      </w:r>
      <w:r>
        <w:rPr>
          <w:noProof/>
        </w:rPr>
        <w:br/>
        <w:t xml:space="preserve">между Европейския съюз и Република Кабо Верде, </w:t>
      </w:r>
      <w:r>
        <w:rPr>
          <w:noProof/>
        </w:rPr>
        <w:br/>
        <w:t xml:space="preserve">за улесняване на издаването на визи за краткосрочно пребиваване </w:t>
      </w:r>
      <w:r>
        <w:rPr>
          <w:noProof/>
        </w:rPr>
        <w:br/>
        <w:t xml:space="preserve">на граждани на Република Кабо Верде и на Европейския съюз, </w:t>
      </w:r>
      <w:r>
        <w:rPr>
          <w:noProof/>
        </w:rPr>
        <w:br/>
        <w:t xml:space="preserve">във връзка с </w:t>
      </w:r>
      <w:r>
        <w:rPr>
          <w:noProof/>
        </w:rPr>
        <w:br/>
        <w:t>приемането на общи насоки за изпълнение на Споразумението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ind w:left="709" w:hanging="709"/>
        <w:rPr>
          <w:noProof/>
        </w:rPr>
      </w:pPr>
      <w:r>
        <w:rPr>
          <w:noProof/>
        </w:rPr>
        <w:t>(1)</w:t>
      </w:r>
      <w:r>
        <w:rPr>
          <w:noProof/>
        </w:rPr>
        <w:tab/>
        <w:t>С член 10 от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(„Споразумението“) се създава Съвместен комитет. В него се предвижда, че Съвместният комитет следва по-специално да наблюдава прилагането на Споразумението.</w:t>
      </w:r>
    </w:p>
    <w:p>
      <w:pPr>
        <w:ind w:left="709" w:hanging="709"/>
        <w:rPr>
          <w:noProof/>
        </w:rPr>
      </w:pPr>
      <w:r>
        <w:rPr>
          <w:noProof/>
        </w:rPr>
        <w:t>(2)</w:t>
      </w:r>
      <w:r>
        <w:rPr>
          <w:noProof/>
        </w:rPr>
        <w:tab/>
        <w:t>С Регламент (ЕО) № 810/2009 на Европейския парламент и на Съвета бяха установени процедурите и условията за издаване на визи за транзитно преминаване или за планиран престой на територията на държавите членки с продължителност, която не превишава 90 дни в рамките на всеки 180-дневен период.</w:t>
      </w:r>
    </w:p>
    <w:p>
      <w:pPr>
        <w:ind w:left="709" w:hanging="709"/>
        <w:rPr>
          <w:noProof/>
        </w:rPr>
      </w:pPr>
      <w:r>
        <w:rPr>
          <w:noProof/>
        </w:rPr>
        <w:t>(3)</w:t>
      </w:r>
      <w:r>
        <w:rPr>
          <w:noProof/>
        </w:rPr>
        <w:tab/>
        <w:t>Общите насоки са необходими с цел да се гарантира напълно хармонизирано прилагане на Споразумението от страна на консулствата на Република Кабо Верде и на държавите членки и за изясняване на връзката между разпоредбите на Споразумението и разпоредбите на договарящите страни, които продължават да се прилагат по визови въпроси, попадащи извън обхвата на Споразумението.</w:t>
      </w:r>
    </w:p>
    <w:p>
      <w:pPr>
        <w:ind w:left="709" w:hanging="709"/>
        <w:rPr>
          <w:noProof/>
        </w:rPr>
      </w:pPr>
      <w:r>
        <w:rPr>
          <w:noProof/>
        </w:rPr>
        <w:t>(4)</w:t>
      </w:r>
      <w:r>
        <w:rPr>
          <w:noProof/>
        </w:rPr>
        <w:tab/>
        <w:t>Целесъобразно е да се определи позицията, която да се заеме от името на Съюза в рамките на Съвместния комитет по отношение на приемането на общите насоки за прилагане на Споразумението,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Съвместния комитет, създаден с член 10 от Споразумението между Европейския съюз и Република Кабо Верде за улесняване на издаването на визи за краткосрочно пребиваване на гражданите на Република Кабо Верде и на Европейския съюз, относно приемането на общи насоки за прилагане на Споразумението, се основава на проекта на решение на Съвместния комитет,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pStyle w:val="Titrearticle"/>
        <w:keepNext w:val="0"/>
        <w:jc w:val="left"/>
        <w:rPr>
          <w:i w:val="0"/>
          <w:noProof/>
        </w:rPr>
      </w:pPr>
      <w:r>
        <w:rPr>
          <w:i w:val="0"/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C60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E34DF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152E3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87223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62AA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4EED4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3307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39EF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9-25 15:08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C9BA6C5261144AF92164B0CDA2E0832"/>
    <w:docVar w:name="LW_CROSSREFERENCE" w:val="&lt;UNUSED&gt;"/>
    <w:docVar w:name="LW_DocType" w:val="COM"/>
    <w:docVar w:name="LW_EMISSION" w:val="2.10.2015"/>
    <w:docVar w:name="LW_EMISSION_ISODATE" w:val="2015-10-02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32"/>
    <w:docVar w:name="LW_REF.II.NEW.CP_YEAR" w:val="2015"/>
    <w:docVar w:name="LW_REF.INST.NEW" w:val="COM"/>
    <w:docVar w:name="LW_REF.INST.NEW_ADOPTED" w:val="final"/>
    <w:docVar w:name="LW_REF.INST.NEW_TEXT" w:val="(2015) 482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91?\u1089?\u1090?\u1072?\u1085?\u1086?\u1074?\u1103?\u1074?\u1072?\u1085?\u1077? \u1085?\u1072? \u1087?\u1086?\u1079?\u1080?\u1094?\u1080?\u1103?\u1090?\u1072?, \u1082?\u1086?\u1103?\u1090?\u1086? \u1076?\u1072? \u1073?\u1098?\u1076?\u1077? \u1074?\u1079?\u1077?\u1090?\u1072? \u1086?\u1090? \u1080?\u1084?\u1077?\u1090?\u1086? \u1085?\u1072? \u1045?\u1074?\u1088?\u1086?\u1087?\u1077?\u1081?\u1089?\u1082?\u1080?\u1103? \u1089?\u1098?\u1102?\u1079? _x000b_\u1074? \u1088?\u1072?\u1084?\u1082?\u1080?\u1090?\u1077? \u1085?\u1072? \u1057?\u1098?\u1074?\u1084?\u1077?\u1089?\u1090?\u1085?\u1080?\u1103? \u1082?\u1086?\u1084?\u1080?\u1090?\u1077?\u1090?, \u1089?\u1098?\u1079?\u1076?\u1072?\u1076?\u1077?\u1085? \u1089?\u1098?\u1089? \u1057?\u1087?\u1086?\u1088?\u1072?\u1079?\u1091?\u1084?\u1077?\u1085?\u1080?\u1077?\u1090?\u1086? _x000b_\u1084?\u1077?\u1078?\u1076?\u1091? \u1045?\u1074?\u1088?\u1086?\u1087?\u1077?\u1081?\u1089?\u1082?\u1080?\u1103? \u1089?\u1098?\u1102?\u1079? \u1080? \u1056?\u1077?\u1087?\u1091?\u1073?\u1083?\u1080?\u1082?\u1072? \u1050?\u1072?\u1073?\u1086? \u1042?\u1077?\u1088?\u1076?\u1077?, _x000b_\u1079?\u1072? \u1091?\u1083?\u1077?\u1089?\u1085?\u1103?\u1074?\u1072?\u1085?\u1077? \u1085?\u1072? \u1080?\u1079?\u1076?\u1072?\u1074?\u1072?\u1085?\u1077?\u1090?\u1086? \u1085?\u1072? \u1074?\u1080?\u1079?\u1080? \u1079?\u1072? \u1082?\u1088?\u1072?\u1090?\u1082?\u1086?\u1089?\u1088?\u1086?\u1095?\u1085?\u1086? \u1087?\u1088?\u1077?\u1073?\u1080?\u1074?\u1072?\u1074?\u1072?\u1085?\u1077? _x000b_\u1085?\u1072? \u1075?\u1088?\u1072?\u1078?\u1076?\u1072?\u1085?\u1080? \u1085?\u1072? \u1056?\u1077?\u1087?\u1091?\u1073?\u1083?\u1080?\u1082?\u1072? \u1050?\u1072?\u1073?\u1086? \u1042?\u1077?\u1088?\u1076?\u1077? \u1080? \u1085?\u1072? \u1045?\u1074?\u1088?\u1086?\u1087?\u1077?\u1081?\u1089?\u1082?\u1080?\u1103? \u1089?\u1098?\u1102?\u1079?, _x000b_\u1074?\u1098?\u1074? \u1074?\u1088?\u1098?\u1079?\u1082?\u1072? \u1089? _x000b_\u1087?\u1088?\u1080?\u1077?\u1084?\u1072?\u1085?\u1077?\u1090?\u1086? \u1085?\u1072? \u1086?\u1073?\u1097?\u1080? \u1085?\u1072?\u1089?\u1086?\u1082?\u1080? \u1079?\u1072? \u1080?\u1079?\u1087?\u1098?\u1083?\u1085?\u1077?\u1085?\u1080?\u1077? \u1085?\u1072? \u1057?\u1087?\u1086?\u1088?\u1072?\u1079?\u1091?\u1084?\u1077?\u1085?\u1080?\u1077?\u1090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9F3F-B5D6-4F45-B3FE-44DFBDF1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818</Words>
  <Characters>4656</Characters>
  <Application>Microsoft Office Word</Application>
  <DocSecurity>0</DocSecurity>
  <Lines>97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2015-09-02T12:23:00Z</cp:lastPrinted>
  <dcterms:created xsi:type="dcterms:W3CDTF">2015-09-09T13:28:00Z</dcterms:created>
  <dcterms:modified xsi:type="dcterms:W3CDTF">2015-09-25T13:08:00Z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