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2F94A00B654E13850096520ECDC72E"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Съветът упълномощи Европейската комисия да води, от името на Европейския съюз, преговори за подновяване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След приключването на преговорите на 10 юли 2015 г. преговарящите парафираха нов протокол. Той обхваща период от четири години, считано от датата на временното прилагане, определена в член 14 — т.е. от датата на подписването му.</w:t>
      </w:r>
    </w:p>
    <w:p>
      <w:pPr>
        <w:rPr>
          <w:noProof/>
        </w:rPr>
      </w:pPr>
      <w:r>
        <w:rPr>
          <w:noProof/>
        </w:rPr>
        <w:t xml:space="preserve">Основната цел на протокола е да се предоставят възможности за риболов на корабите на Европейския съюз във водите на Мавритания, в рамките на наличния излишък, с оглед на най-актуалните налични научни оценки, и по-специално тези на Комитета по риболова в централната източна част на Атлантическия океан (CECAF), и в съответствие с наличните научни становища и с препоръките на Международната комисия за опазване на рибата тон в Атлантическия океан (ICCAT). Позицията на Комисията се основава, наред с другото, на резултатите от извършената от външни експерти прогнозна оценка относно възможността за сключване на нов протокол. </w:t>
      </w:r>
    </w:p>
    <w:p>
      <w:pPr>
        <w:rPr>
          <w:noProof/>
        </w:rPr>
      </w:pPr>
      <w:r>
        <w:rPr>
          <w:noProof/>
        </w:rPr>
        <w:t>Целта е също да се засили сътрудничеството между Европейския съюз и Ислямска република Мавритания с оглед на установяването на рамка за партньорство за развитието на политика на устойчиво рибарство и за отговорно използване на рибните ресурси в риболовната зона на Ислямска република Мавритания в интерес и на двете страни.</w:t>
      </w:r>
    </w:p>
    <w:p>
      <w:pPr>
        <w:rPr>
          <w:noProof/>
        </w:rPr>
      </w:pPr>
      <w:r>
        <w:rPr>
          <w:noProof/>
        </w:rPr>
        <w:t>Протоколът предвижда възможности за риболов в следните категории:</w:t>
      </w:r>
    </w:p>
    <w:p>
      <w:pPr>
        <w:pStyle w:val="Tiret0"/>
        <w:numPr>
          <w:ilvl w:val="0"/>
          <w:numId w:val="12"/>
        </w:numPr>
        <w:rPr>
          <w:noProof/>
        </w:rPr>
      </w:pPr>
      <w:r>
        <w:rPr>
          <w:noProof/>
        </w:rPr>
        <w:t>Категория 1 — Кораби за улов на ракообразни с изключение на лангуста и рак: 5000 тона и 25 кораба;</w:t>
      </w:r>
    </w:p>
    <w:p>
      <w:pPr>
        <w:pStyle w:val="Tiret0"/>
        <w:rPr>
          <w:noProof/>
        </w:rPr>
      </w:pPr>
      <w:r>
        <w:rPr>
          <w:noProof/>
        </w:rPr>
        <w:t>Категория 2 — Траулери (нехладилни) за черна мерлуза и кораби за риболов с дънни парагади: 6000 тона и 6 кораба;</w:t>
      </w:r>
    </w:p>
    <w:p>
      <w:pPr>
        <w:pStyle w:val="Tiret0"/>
        <w:rPr>
          <w:noProof/>
        </w:rPr>
      </w:pPr>
      <w:r>
        <w:rPr>
          <w:noProof/>
        </w:rPr>
        <w:t>Категория 3 — Риболовни кораби, специализирани за улов на дънни видове, различни от черна мерлуза посредством риболовни уреди, различни от трал: 3000 тона и 6 кораба;</w:t>
      </w:r>
    </w:p>
    <w:p>
      <w:pPr>
        <w:pStyle w:val="Tiret0"/>
        <w:rPr>
          <w:noProof/>
        </w:rPr>
      </w:pPr>
      <w:r>
        <w:rPr>
          <w:noProof/>
        </w:rPr>
        <w:t>Категория 4 — Кораби за улов на риба тон със сейнер: 12 500 тона (референтен тонаж) и 25 кораба;</w:t>
      </w:r>
    </w:p>
    <w:p>
      <w:pPr>
        <w:pStyle w:val="Tiret0"/>
        <w:rPr>
          <w:noProof/>
        </w:rPr>
      </w:pPr>
      <w:r>
        <w:rPr>
          <w:noProof/>
        </w:rPr>
        <w:t>Категория 5 — Кораби за улов на риба тон, с въдици и кораби за риболов с парагади: 7500 тона (референтен тонаж) и 15 кораба;</w:t>
      </w:r>
    </w:p>
    <w:p>
      <w:pPr>
        <w:pStyle w:val="Tiret0"/>
        <w:rPr>
          <w:noProof/>
        </w:rPr>
      </w:pPr>
      <w:r>
        <w:rPr>
          <w:noProof/>
        </w:rPr>
        <w:t>Категория 6 — Хладилни траулери за пелагичен риболов: 247 500 тона и 19 кораба;</w:t>
      </w:r>
    </w:p>
    <w:p>
      <w:pPr>
        <w:pStyle w:val="Tiret0"/>
        <w:rPr>
          <w:noProof/>
        </w:rPr>
      </w:pPr>
      <w:r>
        <w:rPr>
          <w:noProof/>
        </w:rPr>
        <w:t xml:space="preserve">Категория 7 — Кораби за пелагичен риболов без замразяване: 15 000 тона (приспаднати от обема за категория 6, ако се използват) и 2 кораба. </w:t>
      </w:r>
    </w:p>
    <w:p>
      <w:pPr>
        <w:rPr>
          <w:noProof/>
        </w:rPr>
      </w:pPr>
      <w:r>
        <w:rPr>
          <w:noProof/>
        </w:rPr>
        <w:t>Следва да бъде определен принципът за разпределяне на тези възможности за риболов между държавите членки. Въз основа на това Комисията предлага Съветът да приеме приложеното предложение за регламент.</w:t>
      </w:r>
    </w:p>
    <w:p>
      <w:pPr>
        <w:pStyle w:val="ManualHeading1"/>
        <w:rPr>
          <w:noProof/>
        </w:rPr>
      </w:pPr>
      <w:r>
        <w:t>2.</w:t>
      </w:r>
      <w:r>
        <w:tab/>
      </w:r>
      <w:r>
        <w:rPr>
          <w:noProof/>
        </w:rPr>
        <w:t>РЕЗУЛТАТИ ОТ КОНСУЛТАЦИИТЕ СЪС ЗАИНТЕРЕСОВАНИТЕ СТРАНИ И ОТ ОЦЕНКИТЕ НА ВЪЗДЕЙСТВИЕТО</w:t>
      </w:r>
    </w:p>
    <w:p>
      <w:pPr>
        <w:rPr>
          <w:noProof/>
        </w:rPr>
      </w:pPr>
      <w:r>
        <w:rPr>
          <w:noProof/>
        </w:rPr>
        <w:t>Консултации със заинтересованите страни бяха извършени в рамките на оценката на протокола за периода 2012—2014 г. По време на техническите срещи бяха извършени консултации и с експертите на държавите членки. Тези консултации потвърдиха интереса от това да се поднови споразумението в областта на рибарството и да се сключи протокол в областта на рибарството с Ислямска република Мавритания.</w:t>
      </w:r>
    </w:p>
    <w:p>
      <w:pPr>
        <w:pStyle w:val="ManualHeading1"/>
        <w:rPr>
          <w:noProof/>
        </w:rPr>
      </w:pPr>
      <w:r>
        <w:t>3.</w:t>
      </w:r>
      <w:r>
        <w:tab/>
      </w:r>
      <w:r>
        <w:rPr>
          <w:noProof/>
        </w:rPr>
        <w:t>ПРАВНИ ЕЛЕМЕНТИ НА ПРЕДЛОЖЕНИЕТО</w:t>
      </w:r>
    </w:p>
    <w:p>
      <w:pPr>
        <w:rPr>
          <w:noProof/>
        </w:rPr>
      </w:pPr>
      <w:r>
        <w:rPr>
          <w:noProof/>
        </w:rPr>
        <w:t>Настоящата процедура се открива едновременно с процедурите във връзка с решенията на Съвета за разрешаване на подписването, за временното прилагане и за сключването на протокола.</w:t>
      </w:r>
    </w:p>
    <w:p>
      <w:pPr>
        <w:pStyle w:val="ManualHeading1"/>
        <w:rPr>
          <w:noProof/>
        </w:rPr>
      </w:pPr>
      <w:r>
        <w:t>4.</w:t>
      </w:r>
      <w:r>
        <w:tab/>
      </w:r>
      <w:r>
        <w:rPr>
          <w:noProof/>
        </w:rPr>
        <w:t>ОТРАЖЕНИЕ ВЪРХУ БЮДЖЕТА</w:t>
      </w:r>
    </w:p>
    <w:p>
      <w:pPr>
        <w:rPr>
          <w:noProof/>
        </w:rPr>
      </w:pPr>
      <w:r>
        <w:rPr>
          <w:noProof/>
        </w:rPr>
        <w:t>Годишното финансово участие е 59 125 000 EUR годишно, поделени между:</w:t>
      </w:r>
    </w:p>
    <w:p>
      <w:pPr>
        <w:rPr>
          <w:noProof/>
        </w:rPr>
      </w:pPr>
      <w:r>
        <w:rPr>
          <w:noProof/>
        </w:rPr>
        <w:t xml:space="preserve">а) общ допустим улов от 261 500 тона за риболовните категории 1, 2, 3, 6 и 7 и референтен тонаж от 20 000 тона за риболовните категории 4 и 5 съгласно протокола, което отговаря на сума, свързана с достъпа, в размер на 55 000 000 EUR годишно, и </w:t>
      </w:r>
    </w:p>
    <w:p>
      <w:pPr>
        <w:rPr>
          <w:noProof/>
        </w:rPr>
      </w:pPr>
      <w:r>
        <w:rPr>
          <w:noProof/>
        </w:rPr>
        <w:t>б) подпомагане развитието на секторната политика в областта на рибарството на Ислямска република Мавритания в размер на 4 125 000 EUR годишно. Това подпомагане отговаря на целите на националната политика в областта на рибарството, и по-специално на нуждите на Ислямска република Мавритания по отношение на подкрепата за научното и техническото сътрудничество, обучението, наблюдението на риболова, опазването на околната среда и за инфраструктура за развитие.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2015/0228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разпределянето на възможностите за риболов съгласно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30 ноември 2006 г. Съветът прие Регламент (ЕО) № 1801/2006 относно сключването на Споразумение за партньорско сътрудничество в областта на рибарството между Европейската общност и Ислямска република Мавритания</w:t>
      </w:r>
      <w:r>
        <w:rPr>
          <w:rStyle w:val="FootnoteReference"/>
          <w:noProof/>
        </w:rPr>
        <w:footnoteReference w:id="1"/>
      </w:r>
      <w:r>
        <w:rPr>
          <w:noProof/>
        </w:rPr>
        <w:t xml:space="preserve"> (наричано по-долу „споразумението за партньорство“).</w:t>
      </w:r>
    </w:p>
    <w:p>
      <w:pPr>
        <w:pStyle w:val="ManualConsidrant"/>
        <w:rPr>
          <w:noProof/>
        </w:rPr>
      </w:pPr>
      <w:r>
        <w:t>(2)</w:t>
      </w:r>
      <w:r>
        <w:tab/>
      </w:r>
      <w:r>
        <w:rPr>
          <w:noProof/>
        </w:rPr>
        <w:t>На 10 юли 2015 г. Съюзът и Ислямска република Мавритания парафираха нов протокол към Споразумението за партньорство (наричан по-долу „протоколът“). Протоколът предоставя на корабите на Съюза възможности за риболов в риболовната зона, която е под юрисдикцията на Ислямска република Мавритания.</w:t>
      </w:r>
    </w:p>
    <w:p>
      <w:pPr>
        <w:pStyle w:val="ManualConsidrant"/>
        <w:rPr>
          <w:noProof/>
        </w:rPr>
      </w:pPr>
      <w:r>
        <w:t>(3)</w:t>
      </w:r>
      <w:r>
        <w:tab/>
      </w:r>
      <w:r>
        <w:rPr>
          <w:noProof/>
        </w:rPr>
        <w:t>На […] г. Съветът прие Решение …/2015/ЕС</w:t>
      </w:r>
      <w:r>
        <w:rPr>
          <w:rStyle w:val="FootnoteReference"/>
          <w:noProof/>
        </w:rPr>
        <w:footnoteReference w:id="2"/>
      </w:r>
      <w:r>
        <w:rPr>
          <w:noProof/>
        </w:rPr>
        <w:t xml:space="preserve"> относно подписването и временното прилагане на протокола.</w:t>
      </w:r>
    </w:p>
    <w:p>
      <w:pPr>
        <w:pStyle w:val="ManualConsidrant"/>
        <w:rPr>
          <w:noProof/>
        </w:rPr>
      </w:pPr>
      <w:r>
        <w:t>(4)</w:t>
      </w:r>
      <w:r>
        <w:tab/>
      </w:r>
      <w:r>
        <w:rPr>
          <w:noProof/>
        </w:rPr>
        <w:t>Методът за разпределяне на възможностите за риболов между държавите членки следва да се определи за срока на прилагане на протокола.</w:t>
      </w:r>
    </w:p>
    <w:p>
      <w:pPr>
        <w:pStyle w:val="ManualConsidrant"/>
        <w:rPr>
          <w:noProof/>
        </w:rPr>
      </w:pPr>
      <w:r>
        <w:t>(5)</w:t>
      </w:r>
      <w:r>
        <w:tab/>
      </w:r>
      <w:r>
        <w:rPr>
          <w:noProof/>
        </w:rPr>
        <w:t>В съответствие с член 10, параграф 1 от Регламент (ЕО) № 1006/2008 на Съвета</w:t>
      </w:r>
      <w:r>
        <w:rPr>
          <w:rStyle w:val="FootnoteReference"/>
          <w:noProof/>
        </w:rPr>
        <w:footnoteReference w:id="3"/>
      </w:r>
      <w:r>
        <w:rPr>
          <w:noProof/>
        </w:rPr>
        <w:t>, ако се установи, че възможностите за риболов, предоставени на Съюза по силата на протокола, не са използвани напълно, Комисията уведомява за това засегнатите държави членки. Липсата на отговор в рамките на срока, който ще определи Съветът, се счита за потвърждение, че корабите на съответната държава членка не използват напълно възможностите си за риболов през съответния период. Този срок следва да се определи.</w:t>
      </w:r>
    </w:p>
    <w:p>
      <w:pPr>
        <w:pStyle w:val="ManualConsidrant"/>
        <w:rPr>
          <w:noProof/>
        </w:rPr>
      </w:pPr>
      <w:r>
        <w:t>(6)</w:t>
      </w:r>
      <w:r>
        <w:tab/>
      </w:r>
      <w:r>
        <w:rPr>
          <w:noProof/>
        </w:rPr>
        <w:t>Целесъобразно е настоящият регламент да се прилага от датата на подписване на протокола,</w:t>
      </w:r>
    </w:p>
    <w:p>
      <w:pPr>
        <w:pStyle w:val="ManualConsidrant"/>
        <w:rPr>
          <w:noProof/>
        </w:rPr>
      </w:pPr>
      <w:r>
        <w:t>(7)</w:t>
      </w:r>
      <w:r>
        <w:tab/>
      </w:r>
    </w:p>
    <w:p>
      <w:pPr>
        <w:pStyle w:val="Formuledadoption"/>
        <w:rPr>
          <w:noProof/>
        </w:rPr>
      </w:pPr>
      <w:r>
        <w:rPr>
          <w:noProof/>
        </w:rPr>
        <w:t>ПРИЕ НАСТОЯЩИЯ РЕГЛАМЕНТ:</w:t>
      </w:r>
    </w:p>
    <w:p>
      <w:pPr>
        <w:pStyle w:val="Titrearticle"/>
        <w:rPr>
          <w:noProof/>
        </w:rPr>
      </w:pPr>
      <w:r>
        <w:rPr>
          <w:noProof/>
        </w:rPr>
        <w:t>Член 1</w:t>
      </w:r>
    </w:p>
    <w:p>
      <w:pPr>
        <w:pStyle w:val="ManualNumPar1"/>
        <w:rPr>
          <w:noProof/>
        </w:rPr>
      </w:pPr>
      <w:r>
        <w:t>1.</w:t>
      </w:r>
      <w:r>
        <w:tab/>
      </w:r>
      <w:r>
        <w:rPr>
          <w:noProof/>
        </w:rPr>
        <w:t>Възможностите за риболов, определени с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(наричан по-долу „протоколът“), се разпределят между държавите членки, както следва:</w:t>
      </w:r>
    </w:p>
    <w:p>
      <w:pPr>
        <w:pStyle w:val="Point0"/>
        <w:rPr>
          <w:noProof/>
        </w:rPr>
      </w:pPr>
      <w:r>
        <w:rPr>
          <w:noProof/>
        </w:rPr>
        <w:t>а)</w:t>
      </w:r>
      <w:r>
        <w:rPr>
          <w:noProof/>
        </w:rPr>
        <w:tab/>
        <w:t xml:space="preserve">Категория 1 — Кораби за улов на ракообразни с изключение на лангуста и рак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Испания</w:t>
            </w:r>
          </w:p>
        </w:tc>
        <w:tc>
          <w:tcPr>
            <w:tcW w:w="2410" w:type="dxa"/>
          </w:tcPr>
          <w:p>
            <w:pPr>
              <w:pStyle w:val="Text1"/>
              <w:tabs>
                <w:tab w:val="right" w:pos="1310"/>
                <w:tab w:val="left" w:pos="1451"/>
                <w:tab w:val="left" w:pos="4962"/>
              </w:tabs>
              <w:spacing w:before="0" w:after="0"/>
              <w:ind w:left="0"/>
              <w:rPr>
                <w:noProof/>
              </w:rPr>
            </w:pPr>
            <w:r>
              <w:rPr>
                <w:noProof/>
              </w:rPr>
              <w:tab/>
              <w:t>4150 тона</w:t>
            </w:r>
          </w:p>
        </w:tc>
      </w:tr>
      <w:tr>
        <w:tc>
          <w:tcPr>
            <w:tcW w:w="2693" w:type="dxa"/>
          </w:tcPr>
          <w:p>
            <w:pPr>
              <w:pStyle w:val="Text1"/>
              <w:tabs>
                <w:tab w:val="left" w:pos="4962"/>
              </w:tabs>
              <w:spacing w:before="0" w:after="0"/>
              <w:ind w:left="-108"/>
              <w:rPr>
                <w:noProof/>
              </w:rPr>
            </w:pPr>
            <w:r>
              <w:rPr>
                <w:noProof/>
              </w:rPr>
              <w:t>Италия</w:t>
            </w:r>
          </w:p>
        </w:tc>
        <w:tc>
          <w:tcPr>
            <w:tcW w:w="2410" w:type="dxa"/>
          </w:tcPr>
          <w:p>
            <w:pPr>
              <w:pStyle w:val="Text1"/>
              <w:tabs>
                <w:tab w:val="right" w:pos="1310"/>
                <w:tab w:val="left" w:pos="1451"/>
                <w:tab w:val="left" w:pos="4962"/>
              </w:tabs>
              <w:spacing w:before="0" w:after="0"/>
              <w:ind w:left="0"/>
              <w:rPr>
                <w:noProof/>
              </w:rPr>
            </w:pPr>
            <w:r>
              <w:rPr>
                <w:noProof/>
              </w:rPr>
              <w:tab/>
              <w:t>600 тона</w:t>
            </w:r>
          </w:p>
        </w:tc>
      </w:tr>
      <w:tr>
        <w:tc>
          <w:tcPr>
            <w:tcW w:w="2693" w:type="dxa"/>
          </w:tcPr>
          <w:p>
            <w:pPr>
              <w:pStyle w:val="Text1"/>
              <w:tabs>
                <w:tab w:val="left" w:pos="4962"/>
              </w:tabs>
              <w:spacing w:before="0" w:after="0"/>
              <w:ind w:left="-108"/>
              <w:rPr>
                <w:noProof/>
              </w:rPr>
            </w:pPr>
            <w:r>
              <w:rPr>
                <w:noProof/>
              </w:rPr>
              <w:t>Португалия</w:t>
            </w:r>
          </w:p>
        </w:tc>
        <w:tc>
          <w:tcPr>
            <w:tcW w:w="2410" w:type="dxa"/>
          </w:tcPr>
          <w:p>
            <w:pPr>
              <w:pStyle w:val="Text1"/>
              <w:tabs>
                <w:tab w:val="right" w:pos="1310"/>
                <w:tab w:val="left" w:pos="1451"/>
                <w:tab w:val="left" w:pos="4962"/>
              </w:tabs>
              <w:spacing w:before="0" w:after="0"/>
              <w:ind w:left="0"/>
              <w:rPr>
                <w:noProof/>
              </w:rPr>
            </w:pPr>
            <w:r>
              <w:rPr>
                <w:noProof/>
              </w:rPr>
              <w:tab/>
              <w:t>250 тона</w:t>
            </w:r>
          </w:p>
        </w:tc>
      </w:tr>
    </w:tbl>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В тази категория могат да бъдат разположени до 25 кораба едновременно във водите на Мавритания.</w:t>
      </w:r>
    </w:p>
    <w:p>
      <w:pPr>
        <w:pStyle w:val="Text1"/>
        <w:rPr>
          <w:noProof/>
        </w:rPr>
      </w:pPr>
    </w:p>
    <w:p>
      <w:pPr>
        <w:pStyle w:val="Point0"/>
        <w:rPr>
          <w:noProof/>
        </w:rPr>
      </w:pPr>
      <w:r>
        <w:rPr>
          <w:noProof/>
        </w:rPr>
        <w:t>б)</w:t>
      </w:r>
      <w:r>
        <w:rPr>
          <w:noProof/>
        </w:rPr>
        <w:tab/>
        <w:t xml:space="preserve">Категория 2 — Траулери (нехладилни) за черна мерлуза и кораби за риболов с дънни парагади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Испания</w:t>
            </w:r>
          </w:p>
        </w:tc>
        <w:tc>
          <w:tcPr>
            <w:tcW w:w="2410" w:type="dxa"/>
          </w:tcPr>
          <w:p>
            <w:pPr>
              <w:pStyle w:val="Text1"/>
              <w:tabs>
                <w:tab w:val="left" w:pos="1298"/>
                <w:tab w:val="left" w:pos="4962"/>
              </w:tabs>
              <w:spacing w:before="0" w:after="0"/>
              <w:ind w:left="34"/>
              <w:rPr>
                <w:noProof/>
              </w:rPr>
            </w:pPr>
            <w:r>
              <w:rPr>
                <w:noProof/>
              </w:rPr>
              <w:t>6 000 тона</w:t>
            </w:r>
          </w:p>
        </w:tc>
      </w:tr>
    </w:tbl>
    <w:p>
      <w:pPr>
        <w:pStyle w:val="Text1"/>
        <w:tabs>
          <w:tab w:val="right" w:pos="4962"/>
        </w:tabs>
        <w:spacing w:before="0" w:after="0"/>
        <w:ind w:left="851"/>
        <w:rPr>
          <w:noProof/>
        </w:rPr>
      </w:pPr>
    </w:p>
    <w:p>
      <w:pPr>
        <w:pStyle w:val="Text1"/>
        <w:tabs>
          <w:tab w:val="right" w:pos="4962"/>
        </w:tabs>
        <w:spacing w:before="0" w:after="0"/>
        <w:rPr>
          <w:noProof/>
        </w:rPr>
      </w:pPr>
      <w:r>
        <w:rPr>
          <w:noProof/>
        </w:rPr>
        <w:t xml:space="preserve">В тази категория могат да бъдат разположени до 6 кораба едновременно във водите на Мавритания. </w:t>
      </w:r>
    </w:p>
    <w:p>
      <w:pPr>
        <w:pStyle w:val="Point0"/>
        <w:rPr>
          <w:noProof/>
        </w:rPr>
      </w:pPr>
      <w:r>
        <w:rPr>
          <w:noProof/>
        </w:rPr>
        <w:t>в)</w:t>
      </w:r>
      <w:r>
        <w:rPr>
          <w:noProof/>
        </w:rPr>
        <w:tab/>
        <w:t xml:space="preserve">Категория 3 — Риболовни кораби, специализирани за улов на дънни видове, различни от черна мерлуза посредством риболовни уреди, различни от трал </w:t>
      </w:r>
    </w:p>
    <w:p>
      <w:pPr>
        <w:pStyle w:val="Text1"/>
        <w:tabs>
          <w:tab w:val="left" w:pos="3686"/>
          <w:tab w:val="left" w:pos="4962"/>
        </w:tabs>
        <w:spacing w:before="0" w:after="0"/>
        <w:ind w:left="851"/>
        <w:rPr>
          <w:noProof/>
        </w:rPr>
      </w:pPr>
    </w:p>
    <w:p>
      <w:pPr>
        <w:pStyle w:val="Text1"/>
        <w:tabs>
          <w:tab w:val="left" w:pos="3686"/>
          <w:tab w:val="left" w:pos="4962"/>
        </w:tabs>
        <w:spacing w:before="0" w:after="0"/>
        <w:ind w:left="851"/>
        <w:rPr>
          <w:noProof/>
        </w:rPr>
      </w:pPr>
      <w:r>
        <w:rPr>
          <w:noProof/>
        </w:rPr>
        <w:t>Испания</w:t>
      </w:r>
      <w:r>
        <w:rPr>
          <w:noProof/>
        </w:rPr>
        <w:tab/>
        <w:t>3 000 тона</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В тази категория могат да бъдат разположени до 6 кораба едновременно във водите на Мавритания. </w:t>
      </w:r>
    </w:p>
    <w:p>
      <w:pPr>
        <w:pStyle w:val="Text1"/>
        <w:tabs>
          <w:tab w:val="left" w:pos="3686"/>
          <w:tab w:val="left" w:pos="4962"/>
        </w:tabs>
        <w:spacing w:before="0" w:after="0"/>
        <w:ind w:left="851"/>
        <w:rPr>
          <w:noProof/>
        </w:rPr>
      </w:pPr>
    </w:p>
    <w:p>
      <w:pPr>
        <w:pStyle w:val="Point0"/>
        <w:rPr>
          <w:noProof/>
        </w:rPr>
      </w:pPr>
      <w:r>
        <w:rPr>
          <w:noProof/>
        </w:rPr>
        <w:t>г)</w:t>
      </w:r>
      <w:r>
        <w:rPr>
          <w:noProof/>
        </w:rPr>
        <w:tab/>
        <w:t>Категория 4 — Кораби за улов на риба тон със сейнер</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Испания                  </w:t>
      </w:r>
      <w:r>
        <w:rPr>
          <w:noProof/>
        </w:rPr>
        <w:tab/>
        <w:t>17 годишни лицензии</w:t>
      </w:r>
    </w:p>
    <w:p>
      <w:pPr>
        <w:pStyle w:val="Text1"/>
        <w:tabs>
          <w:tab w:val="right" w:pos="4962"/>
        </w:tabs>
        <w:spacing w:before="0" w:after="0"/>
        <w:ind w:left="851"/>
        <w:rPr>
          <w:noProof/>
        </w:rPr>
      </w:pPr>
      <w:r>
        <w:rPr>
          <w:noProof/>
        </w:rPr>
        <w:t>Франция</w:t>
      </w:r>
      <w:r>
        <w:rPr>
          <w:noProof/>
        </w:rPr>
        <w:tab/>
        <w:t>8 годишни лицензии</w:t>
      </w:r>
    </w:p>
    <w:p>
      <w:pPr>
        <w:pStyle w:val="Point0"/>
        <w:rPr>
          <w:noProof/>
        </w:rPr>
      </w:pPr>
      <w:r>
        <w:rPr>
          <w:noProof/>
        </w:rPr>
        <w:t>д)</w:t>
      </w:r>
      <w:r>
        <w:rPr>
          <w:noProof/>
        </w:rPr>
        <w:tab/>
        <w:t>Категория 5 — кораби за улов на риба тон с въдици и кораби за риболов с повърхностна парагада</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Испания</w:t>
      </w:r>
      <w:r>
        <w:rPr>
          <w:noProof/>
        </w:rPr>
        <w:tab/>
        <w:t>14 годишни лицензии</w:t>
      </w:r>
    </w:p>
    <w:p>
      <w:pPr>
        <w:pStyle w:val="Text1"/>
        <w:tabs>
          <w:tab w:val="right" w:pos="4962"/>
        </w:tabs>
        <w:spacing w:before="0" w:after="0"/>
        <w:ind w:left="851"/>
        <w:rPr>
          <w:noProof/>
        </w:rPr>
      </w:pPr>
      <w:r>
        <w:rPr>
          <w:noProof/>
        </w:rPr>
        <w:t>Франция</w:t>
      </w:r>
      <w:r>
        <w:rPr>
          <w:noProof/>
        </w:rPr>
        <w:tab/>
        <w:t>1 годишен лицензии</w:t>
      </w:r>
    </w:p>
    <w:p>
      <w:pPr>
        <w:pStyle w:val="Point0"/>
        <w:rPr>
          <w:noProof/>
        </w:rPr>
      </w:pPr>
      <w:r>
        <w:rPr>
          <w:noProof/>
        </w:rPr>
        <w:t>е)</w:t>
      </w:r>
      <w:r>
        <w:rPr>
          <w:noProof/>
        </w:rPr>
        <w:tab/>
        <w:t>Категория 6 — Хладилни траулери за пелагичен риболов</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Германия</w:t>
      </w:r>
      <w:r>
        <w:rPr>
          <w:noProof/>
        </w:rPr>
        <w:tab/>
        <w:t>12 560 тона</w:t>
      </w:r>
    </w:p>
    <w:p>
      <w:pPr>
        <w:pStyle w:val="Text1"/>
        <w:tabs>
          <w:tab w:val="right" w:pos="4962"/>
        </w:tabs>
        <w:spacing w:before="0" w:after="0"/>
        <w:ind w:left="851"/>
        <w:rPr>
          <w:noProof/>
        </w:rPr>
      </w:pPr>
      <w:r>
        <w:rPr>
          <w:noProof/>
        </w:rPr>
        <w:t>Франция</w:t>
      </w:r>
      <w:r>
        <w:rPr>
          <w:noProof/>
        </w:rPr>
        <w:tab/>
        <w:t>2 615 тона</w:t>
      </w:r>
    </w:p>
    <w:p>
      <w:pPr>
        <w:pStyle w:val="Text1"/>
        <w:tabs>
          <w:tab w:val="right" w:pos="4962"/>
        </w:tabs>
        <w:spacing w:before="0" w:after="0"/>
        <w:ind w:left="851"/>
        <w:rPr>
          <w:noProof/>
        </w:rPr>
      </w:pPr>
      <w:r>
        <w:rPr>
          <w:noProof/>
        </w:rPr>
        <w:t>Латвия</w:t>
      </w:r>
      <w:r>
        <w:rPr>
          <w:noProof/>
        </w:rPr>
        <w:tab/>
        <w:t>53 913 тона</w:t>
      </w:r>
    </w:p>
    <w:p>
      <w:pPr>
        <w:pStyle w:val="Text1"/>
        <w:tabs>
          <w:tab w:val="right" w:pos="4962"/>
        </w:tabs>
        <w:spacing w:before="0" w:after="0"/>
        <w:ind w:left="851"/>
        <w:rPr>
          <w:noProof/>
        </w:rPr>
      </w:pPr>
      <w:r>
        <w:rPr>
          <w:noProof/>
        </w:rPr>
        <w:t>Литва</w:t>
      </w:r>
      <w:r>
        <w:rPr>
          <w:noProof/>
        </w:rPr>
        <w:tab/>
        <w:t>57 642 тона</w:t>
      </w:r>
    </w:p>
    <w:p>
      <w:pPr>
        <w:pStyle w:val="Text1"/>
        <w:tabs>
          <w:tab w:val="right" w:pos="4962"/>
        </w:tabs>
        <w:spacing w:before="0" w:after="0"/>
        <w:ind w:left="851"/>
        <w:rPr>
          <w:noProof/>
        </w:rPr>
      </w:pPr>
      <w:r>
        <w:rPr>
          <w:noProof/>
        </w:rPr>
        <w:t>Нидерландия</w:t>
      </w:r>
      <w:r>
        <w:rPr>
          <w:noProof/>
        </w:rPr>
        <w:tab/>
        <w:t>62 592 тона</w:t>
      </w:r>
    </w:p>
    <w:p>
      <w:pPr>
        <w:pStyle w:val="Text1"/>
        <w:tabs>
          <w:tab w:val="right" w:pos="4962"/>
        </w:tabs>
        <w:spacing w:before="0" w:after="0"/>
        <w:ind w:left="851"/>
        <w:rPr>
          <w:noProof/>
        </w:rPr>
      </w:pPr>
      <w:r>
        <w:rPr>
          <w:noProof/>
        </w:rPr>
        <w:t>Полша</w:t>
      </w:r>
      <w:r>
        <w:rPr>
          <w:noProof/>
        </w:rPr>
        <w:tab/>
        <w:t>26 112 тона</w:t>
      </w:r>
    </w:p>
    <w:p>
      <w:pPr>
        <w:pStyle w:val="Text1"/>
        <w:tabs>
          <w:tab w:val="right" w:pos="4962"/>
        </w:tabs>
        <w:spacing w:before="0" w:after="0"/>
        <w:ind w:left="851"/>
        <w:rPr>
          <w:noProof/>
        </w:rPr>
      </w:pPr>
      <w:r>
        <w:rPr>
          <w:noProof/>
        </w:rPr>
        <w:t>Обединено кралство</w:t>
      </w:r>
      <w:r>
        <w:rPr>
          <w:noProof/>
        </w:rPr>
        <w:tab/>
        <w:t>8 531 тона</w:t>
      </w:r>
    </w:p>
    <w:p>
      <w:pPr>
        <w:pStyle w:val="Text1"/>
        <w:tabs>
          <w:tab w:val="right" w:pos="4962"/>
        </w:tabs>
        <w:spacing w:before="0" w:after="0"/>
        <w:ind w:left="851"/>
        <w:rPr>
          <w:noProof/>
        </w:rPr>
      </w:pPr>
      <w:r>
        <w:rPr>
          <w:noProof/>
        </w:rPr>
        <w:t>Ирландия</w:t>
      </w:r>
      <w:r>
        <w:rPr>
          <w:noProof/>
        </w:rPr>
        <w:tab/>
        <w:t>8 535 тона</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За всяка година по време на срока на действие на протокола държавите членки разполагат със следния брой тримесечни лицензии:</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Германия</w:t>
      </w:r>
      <w:r>
        <w:rPr>
          <w:noProof/>
        </w:rPr>
        <w:tab/>
        <w:t>4</w:t>
      </w:r>
    </w:p>
    <w:p>
      <w:pPr>
        <w:pStyle w:val="Text1"/>
        <w:tabs>
          <w:tab w:val="right" w:pos="4962"/>
        </w:tabs>
        <w:spacing w:before="0" w:after="0"/>
        <w:ind w:left="851"/>
        <w:rPr>
          <w:noProof/>
        </w:rPr>
      </w:pPr>
      <w:r>
        <w:rPr>
          <w:noProof/>
        </w:rPr>
        <w:t>Франция</w:t>
      </w:r>
      <w:r>
        <w:rPr>
          <w:noProof/>
        </w:rPr>
        <w:tab/>
        <w:t>2</w:t>
      </w:r>
    </w:p>
    <w:p>
      <w:pPr>
        <w:pStyle w:val="Text1"/>
        <w:tabs>
          <w:tab w:val="right" w:pos="4962"/>
        </w:tabs>
        <w:spacing w:before="0" w:after="0"/>
        <w:ind w:left="851"/>
        <w:rPr>
          <w:noProof/>
        </w:rPr>
      </w:pPr>
      <w:r>
        <w:rPr>
          <w:noProof/>
        </w:rPr>
        <w:t>Латвия</w:t>
      </w:r>
      <w:r>
        <w:rPr>
          <w:noProof/>
        </w:rPr>
        <w:tab/>
        <w:t>20</w:t>
      </w:r>
    </w:p>
    <w:p>
      <w:pPr>
        <w:pStyle w:val="Text1"/>
        <w:tabs>
          <w:tab w:val="right" w:pos="4962"/>
        </w:tabs>
        <w:spacing w:before="0" w:after="0"/>
        <w:ind w:left="851"/>
        <w:rPr>
          <w:noProof/>
        </w:rPr>
      </w:pPr>
      <w:r>
        <w:rPr>
          <w:noProof/>
        </w:rPr>
        <w:t>Литва</w:t>
      </w:r>
      <w:r>
        <w:rPr>
          <w:noProof/>
        </w:rPr>
        <w:tab/>
        <w:t>22</w:t>
      </w:r>
    </w:p>
    <w:p>
      <w:pPr>
        <w:pStyle w:val="Text1"/>
        <w:tabs>
          <w:tab w:val="right" w:pos="4962"/>
        </w:tabs>
        <w:spacing w:before="0" w:after="0"/>
        <w:ind w:left="851"/>
        <w:rPr>
          <w:noProof/>
        </w:rPr>
      </w:pPr>
      <w:r>
        <w:rPr>
          <w:noProof/>
        </w:rPr>
        <w:t>Нидерландия</w:t>
      </w:r>
      <w:r>
        <w:rPr>
          <w:noProof/>
        </w:rPr>
        <w:tab/>
        <w:t>16</w:t>
      </w:r>
    </w:p>
    <w:p>
      <w:pPr>
        <w:pStyle w:val="Text1"/>
        <w:tabs>
          <w:tab w:val="right" w:pos="4962"/>
        </w:tabs>
        <w:spacing w:before="0" w:after="0"/>
        <w:ind w:left="851"/>
        <w:rPr>
          <w:noProof/>
        </w:rPr>
      </w:pPr>
      <w:r>
        <w:rPr>
          <w:noProof/>
        </w:rPr>
        <w:t>Полша</w:t>
      </w:r>
      <w:r>
        <w:rPr>
          <w:noProof/>
        </w:rPr>
        <w:tab/>
        <w:t>8</w:t>
      </w:r>
    </w:p>
    <w:p>
      <w:pPr>
        <w:pStyle w:val="Text1"/>
        <w:tabs>
          <w:tab w:val="right" w:pos="4962"/>
        </w:tabs>
        <w:spacing w:before="0" w:after="0"/>
        <w:ind w:left="851"/>
        <w:rPr>
          <w:noProof/>
        </w:rPr>
      </w:pPr>
      <w:r>
        <w:rPr>
          <w:noProof/>
        </w:rPr>
        <w:t>Обединено кралство</w:t>
      </w:r>
      <w:r>
        <w:rPr>
          <w:noProof/>
        </w:rPr>
        <w:tab/>
        <w:t>2</w:t>
      </w:r>
    </w:p>
    <w:p>
      <w:pPr>
        <w:pStyle w:val="Text1"/>
        <w:tabs>
          <w:tab w:val="right" w:pos="4962"/>
        </w:tabs>
        <w:spacing w:before="0" w:after="0"/>
        <w:ind w:left="851"/>
        <w:rPr>
          <w:noProof/>
        </w:rPr>
      </w:pPr>
      <w:r>
        <w:rPr>
          <w:noProof/>
        </w:rPr>
        <w:t>Ирландия</w:t>
      </w:r>
      <w:r>
        <w:rPr>
          <w:noProof/>
        </w:rPr>
        <w:tab/>
        <w:t>2</w:t>
      </w:r>
    </w:p>
    <w:p>
      <w:pPr>
        <w:pStyle w:val="Text1"/>
        <w:tabs>
          <w:tab w:val="right" w:pos="4962"/>
        </w:tabs>
        <w:spacing w:before="0" w:after="0"/>
        <w:ind w:left="851"/>
        <w:rPr>
          <w:noProof/>
        </w:rPr>
      </w:pPr>
    </w:p>
    <w:p>
      <w:pPr>
        <w:pStyle w:val="Text1"/>
        <w:tabs>
          <w:tab w:val="right" w:pos="4962"/>
        </w:tabs>
        <w:spacing w:before="0" w:after="0"/>
        <w:ind w:left="851"/>
        <w:rPr>
          <w:noProof/>
        </w:rPr>
      </w:pPr>
    </w:p>
    <w:p>
      <w:pPr>
        <w:pStyle w:val="Text1"/>
        <w:tabs>
          <w:tab w:val="right" w:pos="4962"/>
        </w:tabs>
        <w:spacing w:before="0" w:after="0"/>
        <w:ind w:left="851"/>
        <w:rPr>
          <w:noProof/>
        </w:rPr>
      </w:pPr>
    </w:p>
    <w:p>
      <w:pPr>
        <w:pStyle w:val="Text1"/>
        <w:tabs>
          <w:tab w:val="right" w:pos="4962"/>
        </w:tabs>
        <w:spacing w:before="0" w:after="0"/>
        <w:ind w:left="851"/>
        <w:rPr>
          <w:i/>
          <w:noProof/>
        </w:rPr>
      </w:pPr>
      <w:r>
        <w:rPr>
          <w:noProof/>
        </w:rPr>
        <w:t>Държавите членки уведомяват Комисията дали някои лицензии могат да бъдат предоставени на разположение на други държави членки;</w:t>
      </w:r>
    </w:p>
    <w:p>
      <w:pPr>
        <w:pStyle w:val="Text1"/>
        <w:tabs>
          <w:tab w:val="right" w:pos="4962"/>
        </w:tabs>
        <w:spacing w:before="0" w:after="0"/>
        <w:ind w:left="851"/>
        <w:rPr>
          <w:i/>
          <w:noProof/>
        </w:rPr>
      </w:pPr>
    </w:p>
    <w:p>
      <w:pPr>
        <w:pStyle w:val="Text1"/>
        <w:tabs>
          <w:tab w:val="right" w:pos="4962"/>
        </w:tabs>
        <w:spacing w:before="0" w:after="0"/>
        <w:ind w:left="851"/>
        <w:rPr>
          <w:noProof/>
        </w:rPr>
      </w:pPr>
      <w:r>
        <w:rPr>
          <w:noProof/>
        </w:rPr>
        <w:t>В тази категория могат да бъдат разположени до 19 кораба едновременно във водите на Мавритания.</w:t>
      </w:r>
    </w:p>
    <w:p>
      <w:pPr>
        <w:pStyle w:val="Text1"/>
        <w:tabs>
          <w:tab w:val="right" w:pos="4962"/>
        </w:tabs>
        <w:spacing w:before="0" w:after="0"/>
        <w:ind w:left="851"/>
        <w:rPr>
          <w:noProof/>
        </w:rPr>
      </w:pPr>
    </w:p>
    <w:p>
      <w:pPr>
        <w:pStyle w:val="Text1"/>
        <w:tabs>
          <w:tab w:val="right" w:pos="4962"/>
        </w:tabs>
        <w:spacing w:before="0" w:after="0"/>
        <w:ind w:left="851"/>
        <w:rPr>
          <w:noProof/>
        </w:rPr>
      </w:pPr>
    </w:p>
    <w:p>
      <w:pPr>
        <w:pStyle w:val="Point0"/>
        <w:rPr>
          <w:noProof/>
        </w:rPr>
      </w:pPr>
      <w:r>
        <w:rPr>
          <w:noProof/>
        </w:rPr>
        <w:t>ж)</w:t>
      </w:r>
      <w:r>
        <w:rPr>
          <w:noProof/>
        </w:rPr>
        <w:tab/>
        <w:t>Категория 7 — кораби за пелагичен риболов без замразяване</w:t>
      </w:r>
    </w:p>
    <w:p>
      <w:pPr>
        <w:pStyle w:val="Text1"/>
        <w:tabs>
          <w:tab w:val="right" w:pos="3686"/>
          <w:tab w:val="right" w:pos="4962"/>
        </w:tabs>
        <w:spacing w:before="0" w:after="0"/>
        <w:ind w:left="3544" w:hanging="2693"/>
        <w:rPr>
          <w:noProof/>
        </w:rPr>
      </w:pPr>
      <w:r>
        <w:rPr>
          <w:noProof/>
        </w:rPr>
        <w:t>Ирландия</w:t>
      </w:r>
      <w:r>
        <w:rPr>
          <w:noProof/>
        </w:rPr>
        <w:tab/>
      </w:r>
      <w:r>
        <w:rPr>
          <w:noProof/>
        </w:rPr>
        <w:tab/>
      </w:r>
      <w:r>
        <w:rPr>
          <w:noProof/>
        </w:rPr>
        <w:tab/>
        <w:t>15 000 тона</w:t>
      </w:r>
    </w:p>
    <w:p>
      <w:pPr>
        <w:pStyle w:val="Text1"/>
        <w:tabs>
          <w:tab w:val="right" w:pos="3686"/>
          <w:tab w:val="right" w:pos="4962"/>
        </w:tabs>
        <w:spacing w:before="0" w:after="0"/>
        <w:ind w:left="3544" w:hanging="2693"/>
        <w:rPr>
          <w:noProof/>
        </w:rPr>
      </w:pPr>
    </w:p>
    <w:p>
      <w:pPr>
        <w:pStyle w:val="Text1"/>
        <w:tabs>
          <w:tab w:val="right" w:pos="4962"/>
        </w:tabs>
        <w:spacing w:before="0" w:after="0"/>
        <w:ind w:left="851"/>
        <w:rPr>
          <w:noProof/>
        </w:rPr>
      </w:pPr>
      <w:r>
        <w:rPr>
          <w:noProof/>
        </w:rPr>
        <w:t>В случай че не се използват, тези възможности за риболов могат да се прехвърлят в категория 6 съгласно начина на разпределяне за посочената категория. Най-късно на 1 юли през всяка година на действие на протокола Ирландия уведомява Комисията дали има възможности за риболов, които могат да бъдат предоставени на разположение на други държави членки.</w:t>
      </w:r>
    </w:p>
    <w:p>
      <w:pPr>
        <w:pStyle w:val="ManualNumPar1"/>
        <w:rPr>
          <w:i/>
          <w:noProof/>
        </w:rPr>
      </w:pPr>
      <w:r>
        <w:t>2.</w:t>
      </w:r>
      <w:r>
        <w:tab/>
      </w:r>
      <w:r>
        <w:rPr>
          <w:noProof/>
        </w:rPr>
        <w:t xml:space="preserve"> Ако заявленията за разрешения за риболов от посочените в параграф 1 държави членки не изчерпват всички възможности за риболов, определени в протокола, Комисията разглежда заявленията за разрешения за риболов от всяка друга държава членка в съответствие с член 10 от Регламент (ЕО) № 1006/2008.</w:t>
      </w:r>
    </w:p>
    <w:p>
      <w:pPr>
        <w:pStyle w:val="ManualNumPar1"/>
        <w:rPr>
          <w:noProof/>
        </w:rPr>
      </w:pPr>
      <w:r>
        <w:t>3.</w:t>
      </w:r>
      <w:r>
        <w:tab/>
      </w:r>
      <w:r>
        <w:rPr>
          <w:noProof/>
        </w:rPr>
        <w:t>Посоченият в член 10, параграф 1 от Регламент (ЕО) № 1006/2008 срок, в който държавите членки трябва да потвърдят, че няма да изчерпят всички възможности за риболов, предоставени им по силата на споразумението, се определя на десет работни дни, считано от датата, на която Комисията изпрати информация до тях, че възможностите за риболов не са напълно изчерпани.</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датата на подписване на протокола.</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1801/2006 на Съвета от 30 ноември 2006 г. относно сключването на Споразумението за партньорство в областта на рибарството между Европейската общност и Ислямска република Мавритания (ОВ L 343, 8.12.2006 г., стр. 1).</w:t>
      </w:r>
    </w:p>
  </w:footnote>
  <w:footnote w:id="2">
    <w:p>
      <w:pPr>
        <w:pStyle w:val="FootnoteText"/>
      </w:pPr>
      <w:r>
        <w:rPr>
          <w:rStyle w:val="FootnoteReference"/>
        </w:rPr>
        <w:footnoteRef/>
      </w:r>
      <w:r>
        <w:tab/>
        <w:t>Решение (ЕС) ... на Съвета относно подписването от името на Европейския съюз и временното прилагане на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Европейската общност и Ислямска република Мавритания, за период от четири години (ОВ L ..., ... г., стр. ...)</w:t>
      </w:r>
    </w:p>
  </w:footnote>
  <w:footnote w:id="3">
    <w:p>
      <w:pPr>
        <w:pStyle w:val="FootnoteText"/>
      </w:pPr>
      <w:r>
        <w:rPr>
          <w:rStyle w:val="FootnoteReference"/>
        </w:rPr>
        <w:footnoteRef/>
      </w:r>
      <w:r>
        <w:tab/>
      </w:r>
      <w:r>
        <w:rPr>
          <w:rStyle w:val="Strong"/>
          <w:b w:val="0"/>
        </w:rPr>
        <w:t>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w:t>
      </w:r>
      <w:r>
        <w:t xml:space="preserve"> (ОВ L 286, 29.10.2008 г., стр.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D498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D06D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5CB51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1CCC2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004A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B8F9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EED894"/>
    <w:lvl w:ilvl="0">
      <w:start w:val="1"/>
      <w:numFmt w:val="decimal"/>
      <w:pStyle w:val="ListNumber"/>
      <w:lvlText w:val="%1."/>
      <w:lvlJc w:val="left"/>
      <w:pPr>
        <w:tabs>
          <w:tab w:val="num" w:pos="360"/>
        </w:tabs>
        <w:ind w:left="360" w:hanging="360"/>
      </w:pPr>
    </w:lvl>
  </w:abstractNum>
  <w:abstractNum w:abstractNumId="7">
    <w:nsid w:val="FFFFFF89"/>
    <w:multiLevelType w:val="singleLevel"/>
    <w:tmpl w:val="16D65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01 09:54: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B2F94A00B654E13850096520ECDC72E"/>
    <w:docVar w:name="LW_CROSSREFERENCE" w:val="&lt;UNUSED&gt;"/>
    <w:docVar w:name="LW_DocType" w:val="COM"/>
    <w:docVar w:name="LW_EMISSION" w:val="1.10.2015"/>
    <w:docVar w:name="LW_EMISSION_ISODATE" w:val="2015-10-01"/>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8"/>
    <w:docVar w:name="LW_REF.II.NEW.CP_YEAR" w:val="2015"/>
    <w:docVar w:name="LW_REF.INST.NEW" w:val="COM"/>
    <w:docVar w:name="LW_REF.INST.NEW_ADOPTED" w:val="final"/>
    <w:docVar w:name="LW_REF.INST.NEW_TEXT" w:val="(2015) 47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8?\u1072?\u1079?\u1087?\u1088?\u1077?\u1076?\u1077?\u1083?\u1103?\u1085?\u1077?\u1090?\u1086? \u1085?\u1072? \u1074?\u1098?\u1079?\u1084?\u1086?\u1078?\u1085?\u1086?\u1089?\u1090?\u1080?\u1090?\u1077? \u1079?\u1072? \u1088?\u1080?\u1073?\u1086?\u1083?\u1086?\u1074? \u1089?\u1098?\u1075?\u1083?\u1072?\u1089?\u1085?\u1086?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u1079?\u1072? \u1087?\u1077?\u1088?\u1080?\u1086?\u1076? \u1086?\u1090? \u1095?\u1077?\u1090?\u1080?\u1088?\u1080? \u1075?\u1086?\u1076?\u1080?\u1085?\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nhideWhenUsed/>
    <w:pPr>
      <w:numPr>
        <w:numId w:val="5"/>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1"/>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3005-F62F-4B0C-BD1F-F6257AA2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1462</Words>
  <Characters>8135</Characters>
  <Application>Microsoft Office Word</Application>
  <DocSecurity>0</DocSecurity>
  <Lines>208</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2015-08-13T08:55:00Z</cp:lastPrinted>
  <dcterms:created xsi:type="dcterms:W3CDTF">2015-09-23T11:28:00Z</dcterms:created>
  <dcterms:modified xsi:type="dcterms:W3CDTF">2015-10-01T07:54:00Z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