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618EBF5BD02E45829283FAF14BDA845C" style="width:450.75pt;height:442.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noProof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64"/>
        <w:tblW w:w="6381" w:type="dxa"/>
        <w:tblLook w:val="04A0" w:firstRow="1" w:lastRow="0" w:firstColumn="1" w:lastColumn="0" w:noHBand="0" w:noVBand="1"/>
      </w:tblPr>
      <w:tblGrid>
        <w:gridCol w:w="3593"/>
        <w:gridCol w:w="791"/>
        <w:gridCol w:w="1843"/>
        <w:gridCol w:w="236"/>
      </w:tblGrid>
      <w:tr>
        <w:trPr>
          <w:trHeight w:val="330"/>
        </w:trPr>
        <w:tc>
          <w:tcPr>
            <w:tcW w:w="61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2" w:name="RANGE!A1:F48"/>
            <w:r>
              <w:rPr>
                <w:b/>
                <w:noProof/>
                <w:color w:val="000000"/>
                <w:sz w:val="22"/>
              </w:rPr>
              <w:t>Total des paiements effectués au titre de projets relevant du PEER (en EUR)</w:t>
            </w:r>
            <w:bookmarkEnd w:id="2"/>
            <w:r>
              <w:rPr>
                <w:noProof/>
              </w:rPr>
              <w:br/>
            </w:r>
            <w:r>
              <w:rPr>
                <w:b/>
                <w:noProof/>
                <w:color w:val="000000"/>
                <w:sz w:val="22"/>
              </w:rPr>
              <w:t>au 30 juin 2015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Année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Interconnecteurs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360 855 255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224 168 978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129 803 681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12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126 931 210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105 405 090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147 133 246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1 094 297 460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Captage et stockage du carbone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193 746 615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50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192 003 912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-5 616 119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26 844 339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16 439 027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3 564 293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426 982 066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Énergie éolienne en mer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146 307 028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41 300 325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15 624 304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11 990 156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19 996 656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2 384 962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237 603 431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Fonds pour l'efficacité énergétique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30 000 000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934 251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24 892 027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42 726 026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3 052 478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101 604 782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1 860 487 739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Chars="400" w:firstLine="88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Les ordres de recouvrement ont été déduits des paiements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18EBF5BD02E45829283FAF14BDA845C"/>
    <w:docVar w:name="LW_CROSSREFERENCE" w:val="{SWD(2015) 191 final}"/>
    <w:docVar w:name="LW_DocType" w:val="NORMAL"/>
    <w:docVar w:name="LW_EMISSION" w:val="8.10.2015"/>
    <w:docVar w:name="LW_EMISSION_ISODATE" w:val="2015-10-08"/>
    <w:docVar w:name="LW_EMISSION_LOCATION" w:val="BRX"/>
    <w:docVar w:name="LW_EMISSION_PREFIX" w:val="Bruxelles, le "/>
    <w:docVar w:name="LW_EMISSION_SUFFIX" w:val=" "/>
    <w:docVar w:name="LW_ID_DOCTYPE_NONLW" w:val="CP-038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a mise en \u339?uvre du programme énergétique européen pour la relance _x000b_et du Fonds européen pour l\u8217?efficacité énergétique"/>
    <w:docVar w:name="LW_PART_NBR" w:val="1"/>
    <w:docVar w:name="LW_PART_NBR_TOTAL" w:val="1"/>
    <w:docVar w:name="LW_REF.INST.NEW" w:val="COM"/>
    <w:docVar w:name="LW_REF.INST.NEW_ADOPTED" w:val="final"/>
    <w:docVar w:name="LW_REF.INST.NEW_TEXT" w:val="(2015) 484"/>
    <w:docVar w:name="LW_REF.INTERNE" w:val="&lt;UNUSED&gt;"/>
    <w:docVar w:name="LW_SUPERTITRE" w:val="&lt;UNUSED&gt;"/>
    <w:docVar w:name="LW_TITRE.OBJ.CP" w:val="Paiements relevant du PEER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696</Characters>
  <Application>Microsoft Office Word</Application>
  <DocSecurity>0</DocSecurity>
  <Lines>174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DIGIT/A3</cp:lastModifiedBy>
  <cp:revision>14</cp:revision>
  <cp:lastPrinted>2015-07-14T08:23:00Z</cp:lastPrinted>
  <dcterms:created xsi:type="dcterms:W3CDTF">2015-07-14T09:18:00Z</dcterms:created>
  <dcterms:modified xsi:type="dcterms:W3CDTF">2015-10-08T09:08:00Z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