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7B2BDA55A494523A685AA1D8C917301" style="width:450.35pt;height:338.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(EU) 2015/104 fixes for 2015 the fishing opportunities for certain fish stocks and groups of fish stocks applicable in Union waters and, for Union vessels, in certain non-Union waters. These fishing opportunities are usually amended several times during the period in which they are in effect. The proposed amendments seek to modify Regulation (EU)2015/104 as described below.</w:t>
      </w:r>
    </w:p>
    <w:p>
      <w:pPr>
        <w:rPr>
          <w:noProof/>
        </w:rPr>
      </w:pPr>
      <w:r>
        <w:rPr>
          <w:noProof/>
        </w:rPr>
        <w:t>On 19 January 2015 the Council adopted Regulation (EU) 2015/104 fixing the fishing opportunities for certain fish stocks and groups of fish stocks, applicable in Union waters and, for Union vessels, in certain non-Union waters. The Regulation provided for the total allowable catch (TAC) for sprat and associated by-catches in Union waters of ICES division IIa and ICES subarea IV of 227 000 tones for 2015, which was based on the International Council for the Exploration of the Sea (ICES) advice available at the moment of setting the fishing opportunities.</w:t>
      </w:r>
    </w:p>
    <w:p>
      <w:pPr>
        <w:rPr>
          <w:noProof/>
        </w:rPr>
      </w:pPr>
      <w:r>
        <w:rPr>
          <w:noProof/>
        </w:rPr>
        <w:t>On 30 June 2015 ICES issued advice for sprat in the North Sea covering the period of July 2015 – June 2016, which allows for total wanted catches for that period of not more than 506 000 tones. The positive advice is mainly due to a record high recruitment and new estimations of mortality and updated model input.</w:t>
      </w:r>
    </w:p>
    <w:p>
      <w:pPr>
        <w:rPr>
          <w:noProof/>
        </w:rPr>
      </w:pPr>
      <w:r>
        <w:rPr>
          <w:noProof/>
        </w:rPr>
        <w:t>As in the European Union fishing opportunities are set annually, the fishing opportunities for 2015 should be amended to provide for a partial increase in the total allowable catch for sprat. This partial increase in the 2015 fishing opportunities will be taken into account when proposing the fishing opportunities for 2016.</w:t>
      </w:r>
    </w:p>
    <w:p>
      <w:pPr>
        <w:rPr>
          <w:noProof/>
        </w:rPr>
      </w:pPr>
      <w:r>
        <w:rPr>
          <w:noProof/>
        </w:rPr>
        <w:t>According to the most recent advice by ICES, herring in ICES division IIIa is within safe biological limits as defined in Article 4(18) of Regulation (EU) 1380/2013, and for the purpose of Article 15(8) of that Regulation.</w:t>
      </w:r>
    </w:p>
    <w:p>
      <w:pPr>
        <w:rPr>
          <w:noProof/>
        </w:rPr>
      </w:pPr>
      <w:r>
        <w:rPr>
          <w:noProof/>
        </w:rPr>
        <w:t>The stock of herring in in Division VIIa South of 52° 30’ N and VIIg,h,j,k (Irish Sea, Celtic Sea and Southwest of Ireland) was benchmarked in 2015 and the assessment model was changed. The benchmark resulted in a change in the perception of the stock, and a significant TAC increase is possible for 2016, according to the advice. Since this is an autumn fishery, it is useful for the fishing industry, and not detrimental to the stock, to have a limited increase of the fishing opportunities already in 2015. This partial increase in the 2015 fishing opportunities will be taken into account when proposing the fishing opportunities for 2016.</w:t>
      </w:r>
    </w:p>
    <w:p>
      <w:pPr>
        <w:rPr>
          <w:noProof/>
        </w:rPr>
      </w:pPr>
      <w:r>
        <w:rPr>
          <w:noProof/>
        </w:rPr>
        <w:t>The TAC for Norway pout in ICES division IIIa and Union waters of division IIa and subarea IV currently applies from 1 January to 31 October 2015. As the ICES advice will be issued only in the last quarter of 2015, the application period of this TAC should be extended until the end of 2015, in order to avoid that this stock is not covered by any TAC between 1 November and 31 December 2015.</w:t>
      </w:r>
    </w:p>
    <w:p>
      <w:pPr>
        <w:rPr>
          <w:noProof/>
        </w:rPr>
      </w:pPr>
      <w:r>
        <w:rPr>
          <w:noProof/>
        </w:rPr>
        <w:t>As a result of consultations with Norway, a total allowable catch of 1500t can now be established for redfish in Norwegian waters of I and II. The Commission proposal incorporates this agreement and establishes the EU quota and the quotas of Member States concerned.</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Proposal is consistent with the Common Fisheries Policy, as laid down in Regulation (EU) No 1380/2013.</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Proposal is consistent with other Union policies.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Proposal is based on Article 43(3) of the Treaty.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falls under the exclusive competence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proposal is within the scope of the powers provided by Article 43(3) TFEU and does not go beyond what is necessary to achieve the purpose of that provision.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Treaty provides for a Council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The proposal is based on the scientific advice of ICES, no formal stakeholder consultation is necessary due to the limited impacted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 proposal is based on the scientific advice of ICES.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The proposal is based on the scientific advice of ICES and complies with the objectives of the Common Fisheries Policy.</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measures will have no budgetary implications.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2015/0236 (NLE)</w:t>
      </w:r>
    </w:p>
    <w:p>
      <w:pPr>
        <w:pStyle w:val="Statut"/>
        <w:rPr>
          <w:noProof/>
        </w:rPr>
      </w:pPr>
      <w:r>
        <w:rPr>
          <w:noProof/>
        </w:rPr>
        <w:t>Proposal for a</w:t>
      </w:r>
    </w:p>
    <w:p>
      <w:pPr>
        <w:pStyle w:val="Typedudocument"/>
        <w:rPr>
          <w:noProof/>
        </w:rPr>
      </w:pPr>
      <w:r>
        <w:rPr>
          <w:noProof/>
        </w:rPr>
        <w:t>COUNCIL REGULATION</w:t>
      </w:r>
    </w:p>
    <w:p>
      <w:pPr>
        <w:pStyle w:val="Titreobjet"/>
        <w:rPr>
          <w:noProof/>
          <w:lang w:val="en-US"/>
        </w:rPr>
      </w:pPr>
      <w:r>
        <w:rPr>
          <w:noProof/>
        </w:rPr>
        <w:t>amending Regulation (EU) No 2015/104 as regards certain fishing opportunities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According to the most recent advice by ICES, herring in ICES division IIIa is within safe biological limits as defined in Article 4(18) of Regulation (EU) 1380/2013</w:t>
      </w:r>
      <w:r>
        <w:rPr>
          <w:rStyle w:val="FootnoteReference"/>
          <w:noProof/>
        </w:rPr>
        <w:footnoteReference w:id="1"/>
      </w:r>
      <w:r>
        <w:rPr>
          <w:noProof/>
        </w:rPr>
        <w:t>. That stock should therefore be identified in Annex I to Regulation (EU) 2015/104 for the purposes of applying the derogation provided for in Article 15(8) of Regulation (EU) 1380/2013.</w:t>
      </w:r>
    </w:p>
    <w:p>
      <w:pPr>
        <w:pStyle w:val="ManualConsidrant"/>
        <w:rPr>
          <w:i/>
          <w:noProof/>
        </w:rPr>
      </w:pPr>
      <w:r>
        <w:t>(2)</w:t>
      </w:r>
      <w:r>
        <w:tab/>
      </w:r>
      <w:r>
        <w:rPr>
          <w:noProof/>
        </w:rPr>
        <w:t>The scientific advice indicates that a limited increase of the 2015 total allowable catch (TAC) for herring in ICES divisions VIIg, VIIh, VIIj and VIIk is possible and is consistent with the objectives of the Common Fisheries Policy, set out in Article 2(2) of Regulation (EU) No 1380/2013.</w:t>
      </w:r>
    </w:p>
    <w:p>
      <w:pPr>
        <w:pStyle w:val="ManualConsidrant"/>
        <w:rPr>
          <w:noProof/>
        </w:rPr>
      </w:pPr>
      <w:r>
        <w:t>(3)</w:t>
      </w:r>
      <w:r>
        <w:tab/>
      </w:r>
      <w:r>
        <w:rPr>
          <w:noProof/>
        </w:rPr>
        <w:t>On 30 June 2015, the International Council for the Exploration of the Sea (ICES) issued an advice for sprat in Union waters of ICES division IIa and ICES subarea IV covering the period from July 2015 to June 2016, which allows for a total amount of wanted catches of 506 000 tones. That advice is mainly due to a record high recruitment, new estimations of mortality and updated model inputs.</w:t>
      </w:r>
    </w:p>
    <w:p>
      <w:pPr>
        <w:pStyle w:val="ManualConsidrant"/>
        <w:rPr>
          <w:noProof/>
        </w:rPr>
      </w:pPr>
      <w:r>
        <w:t>(4)</w:t>
      </w:r>
      <w:r>
        <w:tab/>
      </w:r>
      <w:r>
        <w:rPr>
          <w:noProof/>
        </w:rPr>
        <w:t>The TAC for sprat in Union waters of ICES division IIa and ICES subarea IV for the year 2015 is currently fixed at 227 000 tones by Council Regulation (EU) 2015/104</w:t>
      </w:r>
      <w:r>
        <w:rPr>
          <w:rStyle w:val="FootnoteReference"/>
          <w:noProof/>
        </w:rPr>
        <w:footnoteReference w:id="2"/>
      </w:r>
      <w:r>
        <w:rPr>
          <w:noProof/>
        </w:rPr>
        <w:t>. It should be increased, on the basis of the ICES advice of 30 June 2015, to allow for an optimal harvest of that stock.</w:t>
      </w:r>
    </w:p>
    <w:p>
      <w:pPr>
        <w:pStyle w:val="ManualConsidrant"/>
        <w:rPr>
          <w:noProof/>
        </w:rPr>
      </w:pPr>
      <w:r>
        <w:t>(5)</w:t>
      </w:r>
      <w:r>
        <w:tab/>
      </w:r>
      <w:r>
        <w:rPr>
          <w:noProof/>
        </w:rPr>
        <w:t>Since the ICES advice covers the period from July 2015 to June 2016, only part of the maximum amount of catches advised by ICES should be taken into account to increase the fishing opportunities for the year 2015.</w:t>
      </w:r>
    </w:p>
    <w:p>
      <w:pPr>
        <w:pStyle w:val="ManualConsidrant"/>
        <w:rPr>
          <w:noProof/>
        </w:rPr>
      </w:pPr>
      <w:r>
        <w:lastRenderedPageBreak/>
        <w:t>(6)</w:t>
      </w:r>
      <w:r>
        <w:tab/>
      </w:r>
      <w:r>
        <w:rPr>
          <w:noProof/>
        </w:rPr>
        <w:t>TAC for Norway pout in ICES division IIIa and Union waters of division IIa and subarea IV currently applies from 1 January to 31 October 2015. As the ICES advice will be issued only in the last quarter of 2015, the application period of the current total allowable catch for Norway pout in that area should be extended until the end of 2015.</w:t>
      </w:r>
    </w:p>
    <w:p>
      <w:pPr>
        <w:pStyle w:val="ManualConsidrant"/>
        <w:rPr>
          <w:noProof/>
        </w:rPr>
      </w:pPr>
      <w:r>
        <w:t>(7)</w:t>
      </w:r>
      <w:r>
        <w:tab/>
      </w:r>
      <w:r>
        <w:rPr>
          <w:noProof/>
        </w:rPr>
        <w:t>Following a transfer from Norway, EU vessels will be allowed to fish 1 500 tonnes of redfish in Norwegian waters of ICES subareas I and II.</w:t>
      </w:r>
    </w:p>
    <w:p>
      <w:pPr>
        <w:pStyle w:val="ManualConsidrant"/>
        <w:rPr>
          <w:noProof/>
        </w:rPr>
      </w:pPr>
      <w:r>
        <w:t>(8)</w:t>
      </w:r>
      <w:r>
        <w:tab/>
      </w:r>
      <w:r>
        <w:rPr>
          <w:noProof/>
        </w:rPr>
        <w:t>Regulation (EU) 2015/104 should therefore be amended accordingly,</w:t>
      </w:r>
    </w:p>
    <w:p>
      <w:pPr>
        <w:pStyle w:val="Formuledadoption"/>
        <w:rPr>
          <w:noProof/>
        </w:rPr>
      </w:pPr>
      <w:r>
        <w:rPr>
          <w:noProof/>
        </w:rPr>
        <w:t>HAS ADOPTED THIS REGULATION:</w:t>
      </w:r>
    </w:p>
    <w:p>
      <w:pPr>
        <w:pStyle w:val="Titrearticle"/>
        <w:rPr>
          <w:noProof/>
        </w:rPr>
      </w:pPr>
      <w:r>
        <w:rPr>
          <w:noProof/>
        </w:rPr>
        <w:t>Article 1</w:t>
      </w:r>
      <w:r>
        <w:rPr>
          <w:noProof/>
        </w:rPr>
        <w:br/>
      </w:r>
    </w:p>
    <w:p>
      <w:pPr>
        <w:rPr>
          <w:noProof/>
        </w:rPr>
      </w:pPr>
      <w:r>
        <w:rPr>
          <w:noProof/>
        </w:rPr>
        <w:t xml:space="preserve">Regulation (EU) 2015/104 is amended as follows: </w:t>
      </w:r>
    </w:p>
    <w:p>
      <w:pPr>
        <w:pStyle w:val="ManualNumPar1"/>
        <w:rPr>
          <w:noProof/>
        </w:rPr>
      </w:pPr>
      <w:r>
        <w:t>1.</w:t>
      </w:r>
      <w:r>
        <w:tab/>
      </w:r>
      <w:r>
        <w:rPr>
          <w:noProof/>
        </w:rPr>
        <w:t>Annex IA is amended as follows:</w:t>
      </w:r>
    </w:p>
    <w:p>
      <w:pPr>
        <w:pStyle w:val="Point1letter"/>
        <w:numPr>
          <w:ilvl w:val="3"/>
          <w:numId w:val="10"/>
        </w:numPr>
        <w:rPr>
          <w:noProof/>
        </w:rPr>
      </w:pPr>
      <w:r>
        <w:rPr>
          <w:noProof/>
        </w:rPr>
        <w:t>the fishing opportunities table for herring (</w:t>
      </w:r>
      <w:r>
        <w:rPr>
          <w:i/>
          <w:noProof/>
        </w:rPr>
        <w:t>Clupea harengus</w:t>
      </w:r>
      <w:r>
        <w:rPr>
          <w:noProof/>
        </w:rPr>
        <w:t>) in IIIa is replaced by the following:</w:t>
      </w:r>
    </w:p>
    <w:tbl>
      <w:tblPr>
        <w:tblW w:w="9453" w:type="dxa"/>
        <w:tblInd w:w="108" w:type="dxa"/>
        <w:tblLook w:val="04A0" w:firstRow="1" w:lastRow="0" w:firstColumn="1" w:lastColumn="0" w:noHBand="0" w:noVBand="1"/>
      </w:tblPr>
      <w:tblGrid>
        <w:gridCol w:w="1316"/>
        <w:gridCol w:w="2543"/>
        <w:gridCol w:w="961"/>
        <w:gridCol w:w="425"/>
        <w:gridCol w:w="2922"/>
        <w:gridCol w:w="764"/>
        <w:gridCol w:w="261"/>
        <w:gridCol w:w="261"/>
      </w:tblGrid>
      <w:tr>
        <w:trPr>
          <w:trHeight w:val="330"/>
        </w:trPr>
        <w:tc>
          <w:tcPr>
            <w:tcW w:w="1316"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Species:</w:t>
            </w:r>
          </w:p>
        </w:tc>
        <w:tc>
          <w:tcPr>
            <w:tcW w:w="2543" w:type="dxa"/>
            <w:tcBorders>
              <w:top w:val="single" w:sz="8" w:space="0" w:color="000000"/>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lang w:eastAsia="en-GB"/>
              </w:rPr>
              <w:t xml:space="preserve">Herring </w:t>
            </w:r>
            <w:r>
              <w:rPr>
                <w:rFonts w:eastAsia="Times New Roman"/>
                <w:noProof/>
                <w:sz w:val="18"/>
                <w:szCs w:val="18"/>
                <w:vertAlign w:val="superscript"/>
                <w:lang w:eastAsia="en-GB"/>
              </w:rPr>
              <w:t>(1)</w:t>
            </w:r>
          </w:p>
        </w:tc>
        <w:tc>
          <w:tcPr>
            <w:tcW w:w="961" w:type="dxa"/>
            <w:tcBorders>
              <w:top w:val="single" w:sz="8" w:space="0" w:color="000000"/>
              <w:left w:val="nil"/>
              <w:bottom w:val="nil"/>
              <w:right w:val="nil"/>
            </w:tcBorders>
            <w:shd w:val="clear" w:color="auto" w:fill="auto"/>
            <w:noWrap/>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 </w:t>
            </w:r>
          </w:p>
        </w:tc>
        <w:tc>
          <w:tcPr>
            <w:tcW w:w="425"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2922" w:type="dxa"/>
            <w:tcBorders>
              <w:top w:val="single" w:sz="8" w:space="0" w:color="000000"/>
              <w:left w:val="single" w:sz="8" w:space="0" w:color="000000"/>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Zone:</w:t>
            </w:r>
          </w:p>
        </w:tc>
        <w:tc>
          <w:tcPr>
            <w:tcW w:w="1286" w:type="dxa"/>
            <w:gridSpan w:val="3"/>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IIIa </w:t>
            </w:r>
          </w:p>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330"/>
        </w:trPr>
        <w:tc>
          <w:tcPr>
            <w:tcW w:w="1316"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3504" w:type="dxa"/>
            <w:gridSpan w:val="2"/>
            <w:tcBorders>
              <w:top w:val="nil"/>
              <w:left w:val="nil"/>
              <w:bottom w:val="single" w:sz="8" w:space="0" w:color="000000"/>
              <w:right w:val="nil"/>
            </w:tcBorders>
            <w:shd w:val="clear" w:color="auto" w:fill="auto"/>
            <w:noWrap/>
            <w:hideMark/>
          </w:tcPr>
          <w:p>
            <w:pPr>
              <w:spacing w:before="0" w:after="0"/>
              <w:jc w:val="left"/>
              <w:rPr>
                <w:rFonts w:eastAsia="Times New Roman"/>
                <w:i/>
                <w:iCs/>
                <w:noProof/>
                <w:sz w:val="18"/>
                <w:szCs w:val="18"/>
                <w:lang w:eastAsia="en-GB"/>
              </w:rPr>
            </w:pPr>
            <w:r>
              <w:rPr>
                <w:rFonts w:eastAsia="Times New Roman"/>
                <w:i/>
                <w:iCs/>
                <w:noProof/>
                <w:sz w:val="18"/>
                <w:szCs w:val="18"/>
                <w:lang w:eastAsia="en-GB"/>
              </w:rPr>
              <w:t>Clupea harengus</w:t>
            </w:r>
          </w:p>
        </w:tc>
        <w:tc>
          <w:tcPr>
            <w:tcW w:w="425" w:type="dxa"/>
            <w:tcBorders>
              <w:top w:val="nil"/>
              <w:left w:val="nil"/>
              <w:bottom w:val="single" w:sz="8" w:space="0" w:color="000000"/>
              <w:right w:val="nil"/>
            </w:tcBorders>
            <w:shd w:val="clear" w:color="auto" w:fill="auto"/>
            <w:noWrap/>
            <w:hideMark/>
          </w:tcPr>
          <w:p>
            <w:pPr>
              <w:spacing w:before="0" w:after="0"/>
              <w:jc w:val="lef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2922" w:type="dxa"/>
            <w:tcBorders>
              <w:top w:val="nil"/>
              <w:left w:val="single" w:sz="8" w:space="0" w:color="000000"/>
              <w:bottom w:val="single" w:sz="8" w:space="0" w:color="000000"/>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1286" w:type="dxa"/>
            <w:gridSpan w:val="3"/>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(HER/03A.)</w:t>
            </w:r>
          </w:p>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Denmark</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lang w:eastAsia="en-GB"/>
              </w:rPr>
              <w:t> </w:t>
            </w: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18 034</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686" w:type="dxa"/>
            <w:gridSpan w:val="2"/>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Germany</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 xml:space="preserve"> 289</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208"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Sweden</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18 865</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4208"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Union</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37 188</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3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Article 7(3) of this Regulation applies</w:t>
            </w: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Norway</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5 816</w:t>
            </w:r>
          </w:p>
        </w:tc>
        <w:tc>
          <w:tcPr>
            <w:tcW w:w="425"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lang w:eastAsia="en-GB"/>
              </w:rPr>
            </w:pPr>
          </w:p>
        </w:tc>
        <w:tc>
          <w:tcPr>
            <w:tcW w:w="2922"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lang w:eastAsia="en-GB"/>
              </w:rPr>
            </w:pP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Faroe Islands</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 xml:space="preserve"> 600</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2922"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lang w:eastAsia="en-GB"/>
              </w:rPr>
            </w:pP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TAC</w:t>
            </w:r>
          </w:p>
        </w:tc>
        <w:tc>
          <w:tcPr>
            <w:tcW w:w="2543"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961" w:type="dxa"/>
            <w:tcBorders>
              <w:top w:val="nil"/>
              <w:left w:val="nil"/>
              <w:bottom w:val="nil"/>
              <w:right w:val="nil"/>
            </w:tcBorders>
            <w:shd w:val="clear" w:color="auto" w:fill="auto"/>
            <w:noWrap/>
            <w:hideMark/>
          </w:tcPr>
          <w:p>
            <w:pPr>
              <w:spacing w:before="0" w:after="0"/>
              <w:jc w:val="right"/>
              <w:rPr>
                <w:rFonts w:eastAsia="Times New Roman"/>
                <w:noProof/>
                <w:color w:val="000000"/>
                <w:sz w:val="18"/>
                <w:szCs w:val="18"/>
                <w:lang w:eastAsia="en-GB"/>
              </w:rPr>
            </w:pPr>
            <w:r>
              <w:rPr>
                <w:rFonts w:eastAsia="Times New Roman"/>
                <w:noProof/>
                <w:color w:val="000000"/>
                <w:sz w:val="18"/>
                <w:szCs w:val="18"/>
                <w:lang w:eastAsia="en-GB"/>
              </w:rPr>
              <w:t>43 604</w:t>
            </w:r>
          </w:p>
        </w:tc>
        <w:tc>
          <w:tcPr>
            <w:tcW w:w="42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922"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6851" w:type="dxa"/>
            <w:gridSpan w:val="4"/>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Catches of herring taken in fisheries using nets with mesh sizes equal to or larger than 32 mm.</w:t>
            </w: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trHeight w:val="330"/>
        </w:trPr>
        <w:tc>
          <w:tcPr>
            <w:tcW w:w="131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6851" w:type="dxa"/>
            <w:gridSpan w:val="4"/>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Special condition: up to 50 % of this amount may be fished in Union waters of IV (HER/*04-C.).</w:t>
            </w:r>
          </w:p>
        </w:tc>
        <w:tc>
          <w:tcPr>
            <w:tcW w:w="764"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trHeight w:val="330"/>
        </w:trPr>
        <w:tc>
          <w:tcPr>
            <w:tcW w:w="1316" w:type="dxa"/>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6851" w:type="dxa"/>
            <w:gridSpan w:val="4"/>
            <w:tcBorders>
              <w:top w:val="nil"/>
              <w:left w:val="nil"/>
              <w:bottom w:val="single" w:sz="4" w:space="0" w:color="auto"/>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May only be fished in the Skagerrak (HER/*03AN.).</w:t>
            </w:r>
          </w:p>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764"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261"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261"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r>
    </w:tbl>
    <w:p>
      <w:pPr>
        <w:pStyle w:val="Point1letter"/>
        <w:numPr>
          <w:ilvl w:val="3"/>
          <w:numId w:val="10"/>
        </w:numPr>
        <w:rPr>
          <w:noProof/>
        </w:rPr>
      </w:pPr>
      <w:r>
        <w:rPr>
          <w:noProof/>
        </w:rPr>
        <w:t>the fishing opportunities table for herring (Clupea harengus) in VIIg, VIIh, VIIj and VIIk is replaced by the following:</w:t>
      </w:r>
    </w:p>
    <w:tbl>
      <w:tblPr>
        <w:tblW w:w="5151" w:type="pct"/>
        <w:tblLayout w:type="fixed"/>
        <w:tblLook w:val="04A0" w:firstRow="1" w:lastRow="0" w:firstColumn="1" w:lastColumn="0" w:noHBand="0" w:noVBand="1"/>
      </w:tblPr>
      <w:tblGrid>
        <w:gridCol w:w="1022"/>
        <w:gridCol w:w="2592"/>
        <w:gridCol w:w="1213"/>
        <w:gridCol w:w="526"/>
        <w:gridCol w:w="1734"/>
        <w:gridCol w:w="1154"/>
        <w:gridCol w:w="1093"/>
        <w:gridCol w:w="236"/>
      </w:tblGrid>
      <w:tr>
        <w:trPr>
          <w:trHeight w:val="20"/>
        </w:trPr>
        <w:tc>
          <w:tcPr>
            <w:tcW w:w="534" w:type="pct"/>
            <w:tcBorders>
              <w:top w:val="single" w:sz="4" w:space="0" w:color="auto"/>
            </w:tcBorders>
            <w:noWrap/>
            <w:hideMark/>
          </w:tcPr>
          <w:p>
            <w:pPr>
              <w:spacing w:after="0"/>
              <w:rPr>
                <w:noProof/>
                <w:color w:val="000000"/>
                <w:sz w:val="18"/>
                <w:szCs w:val="18"/>
                <w:lang w:eastAsia="en-GB"/>
              </w:rPr>
            </w:pPr>
            <w:r>
              <w:rPr>
                <w:noProof/>
                <w:color w:val="000000"/>
                <w:sz w:val="18"/>
                <w:szCs w:val="18"/>
                <w:lang w:eastAsia="en-GB"/>
              </w:rPr>
              <w:t>Species:</w:t>
            </w:r>
          </w:p>
        </w:tc>
        <w:tc>
          <w:tcPr>
            <w:tcW w:w="1354" w:type="pct"/>
            <w:tcBorders>
              <w:top w:val="single" w:sz="4" w:space="0" w:color="auto"/>
            </w:tcBorders>
            <w:noWrap/>
            <w:hideMark/>
          </w:tcPr>
          <w:p>
            <w:pPr>
              <w:spacing w:after="0"/>
              <w:rPr>
                <w:noProof/>
                <w:sz w:val="18"/>
                <w:szCs w:val="18"/>
                <w:lang w:eastAsia="en-GB"/>
              </w:rPr>
            </w:pPr>
            <w:r>
              <w:rPr>
                <w:noProof/>
                <w:sz w:val="18"/>
                <w:szCs w:val="18"/>
                <w:lang w:eastAsia="en-GB"/>
              </w:rPr>
              <w:t>Herring</w:t>
            </w:r>
          </w:p>
        </w:tc>
        <w:tc>
          <w:tcPr>
            <w:tcW w:w="634" w:type="pct"/>
            <w:tcBorders>
              <w:top w:val="single" w:sz="4" w:space="0" w:color="auto"/>
            </w:tcBorders>
            <w:noWrap/>
            <w:hideMark/>
          </w:tcPr>
          <w:p>
            <w:pPr>
              <w:spacing w:after="0"/>
              <w:jc w:val="right"/>
              <w:rPr>
                <w:noProof/>
                <w:color w:val="000000"/>
                <w:sz w:val="18"/>
                <w:szCs w:val="18"/>
                <w:lang w:eastAsia="en-GB"/>
              </w:rPr>
            </w:pPr>
            <w:r>
              <w:rPr>
                <w:noProof/>
                <w:color w:val="000000"/>
                <w:sz w:val="18"/>
                <w:szCs w:val="18"/>
                <w:lang w:eastAsia="en-GB"/>
              </w:rPr>
              <w:t> </w:t>
            </w:r>
          </w:p>
        </w:tc>
        <w:tc>
          <w:tcPr>
            <w:tcW w:w="275" w:type="pct"/>
            <w:tcBorders>
              <w:top w:val="single" w:sz="4" w:space="0" w:color="auto"/>
            </w:tcBorders>
            <w:noWrap/>
            <w:hideMark/>
          </w:tcPr>
          <w:p>
            <w:pPr>
              <w:spacing w:after="0"/>
              <w:rPr>
                <w:noProof/>
                <w:color w:val="000000"/>
                <w:sz w:val="18"/>
                <w:szCs w:val="18"/>
                <w:lang w:eastAsia="en-GB"/>
              </w:rPr>
            </w:pPr>
            <w:r>
              <w:rPr>
                <w:noProof/>
                <w:color w:val="000000"/>
                <w:sz w:val="18"/>
                <w:szCs w:val="18"/>
                <w:lang w:eastAsia="en-GB"/>
              </w:rPr>
              <w:t> </w:t>
            </w:r>
          </w:p>
        </w:tc>
        <w:tc>
          <w:tcPr>
            <w:tcW w:w="906" w:type="pct"/>
            <w:tcBorders>
              <w:top w:val="single" w:sz="4" w:space="0" w:color="auto"/>
              <w:left w:val="single" w:sz="8" w:space="0" w:color="000000"/>
              <w:bottom w:val="nil"/>
              <w:right w:val="nil"/>
            </w:tcBorders>
            <w:noWrap/>
            <w:hideMark/>
          </w:tcPr>
          <w:p>
            <w:pPr>
              <w:spacing w:after="0"/>
              <w:rPr>
                <w:noProof/>
                <w:color w:val="000000"/>
                <w:sz w:val="18"/>
                <w:szCs w:val="18"/>
                <w:lang w:eastAsia="en-GB"/>
              </w:rPr>
            </w:pPr>
            <w:r>
              <w:rPr>
                <w:noProof/>
                <w:color w:val="000000"/>
                <w:sz w:val="18"/>
                <w:szCs w:val="18"/>
                <w:lang w:eastAsia="en-GB"/>
              </w:rPr>
              <w:t>Zone:</w:t>
            </w:r>
          </w:p>
        </w:tc>
        <w:tc>
          <w:tcPr>
            <w:tcW w:w="1297" w:type="pct"/>
            <w:gridSpan w:val="3"/>
            <w:tcBorders>
              <w:top w:val="single" w:sz="4" w:space="0" w:color="auto"/>
              <w:left w:val="nil"/>
              <w:bottom w:val="nil"/>
              <w:right w:val="nil"/>
            </w:tcBorders>
            <w:noWrap/>
            <w:hideMark/>
          </w:tcPr>
          <w:p>
            <w:pPr>
              <w:spacing w:after="0"/>
              <w:rPr>
                <w:noProof/>
                <w:color w:val="000000"/>
                <w:sz w:val="18"/>
                <w:szCs w:val="18"/>
                <w:lang w:eastAsia="en-GB"/>
              </w:rPr>
            </w:pPr>
            <w:r>
              <w:rPr>
                <w:noProof/>
                <w:color w:val="000000"/>
                <w:sz w:val="18"/>
                <w:szCs w:val="18"/>
                <w:lang w:eastAsia="en-GB"/>
              </w:rPr>
              <w:t>VIIg</w:t>
            </w:r>
            <w:r>
              <w:rPr>
                <w:noProof/>
                <w:color w:val="000000"/>
                <w:sz w:val="18"/>
                <w:szCs w:val="18"/>
                <w:vertAlign w:val="superscript"/>
                <w:lang w:eastAsia="en-GB"/>
              </w:rPr>
              <w:t>(1)</w:t>
            </w:r>
            <w:r>
              <w:rPr>
                <w:noProof/>
                <w:color w:val="000000"/>
                <w:sz w:val="18"/>
                <w:szCs w:val="18"/>
                <w:lang w:eastAsia="en-GB"/>
              </w:rPr>
              <w:t>, VIIh</w:t>
            </w:r>
            <w:r>
              <w:rPr>
                <w:noProof/>
                <w:color w:val="000000"/>
                <w:sz w:val="18"/>
                <w:szCs w:val="18"/>
                <w:vertAlign w:val="superscript"/>
                <w:lang w:eastAsia="en-GB"/>
              </w:rPr>
              <w:t>(1)</w:t>
            </w:r>
            <w:r>
              <w:rPr>
                <w:noProof/>
                <w:color w:val="000000"/>
                <w:sz w:val="18"/>
                <w:szCs w:val="18"/>
                <w:lang w:eastAsia="en-GB"/>
              </w:rPr>
              <w:t>, VIIj</w:t>
            </w:r>
            <w:r>
              <w:rPr>
                <w:noProof/>
                <w:color w:val="000000"/>
                <w:sz w:val="18"/>
                <w:szCs w:val="18"/>
                <w:vertAlign w:val="superscript"/>
                <w:lang w:eastAsia="en-GB"/>
              </w:rPr>
              <w:t>(1)</w:t>
            </w:r>
            <w:r>
              <w:rPr>
                <w:noProof/>
                <w:color w:val="000000"/>
                <w:sz w:val="18"/>
                <w:szCs w:val="18"/>
                <w:lang w:eastAsia="en-GB"/>
              </w:rPr>
              <w:t xml:space="preserve"> and VIIk</w:t>
            </w:r>
            <w:r>
              <w:rPr>
                <w:noProof/>
                <w:color w:val="000000"/>
                <w:sz w:val="18"/>
                <w:szCs w:val="18"/>
                <w:vertAlign w:val="superscript"/>
                <w:lang w:eastAsia="en-GB"/>
              </w:rPr>
              <w:t>(1)</w:t>
            </w:r>
          </w:p>
        </w:tc>
      </w:tr>
      <w:tr>
        <w:trPr>
          <w:trHeight w:val="20"/>
        </w:trPr>
        <w:tc>
          <w:tcPr>
            <w:tcW w:w="534" w:type="pct"/>
            <w:tcBorders>
              <w:top w:val="nil"/>
              <w:left w:val="nil"/>
              <w:bottom w:val="single" w:sz="8" w:space="0" w:color="000000"/>
              <w:right w:val="nil"/>
            </w:tcBorders>
            <w:noWrap/>
            <w:hideMark/>
          </w:tcPr>
          <w:p>
            <w:pPr>
              <w:spacing w:after="0"/>
              <w:rPr>
                <w:noProof/>
                <w:color w:val="000000"/>
                <w:sz w:val="18"/>
                <w:szCs w:val="18"/>
                <w:lang w:eastAsia="en-GB"/>
              </w:rPr>
            </w:pPr>
            <w:r>
              <w:rPr>
                <w:noProof/>
                <w:color w:val="000000"/>
                <w:sz w:val="18"/>
                <w:szCs w:val="18"/>
                <w:lang w:eastAsia="en-GB"/>
              </w:rPr>
              <w:t> </w:t>
            </w:r>
          </w:p>
        </w:tc>
        <w:tc>
          <w:tcPr>
            <w:tcW w:w="1988" w:type="pct"/>
            <w:gridSpan w:val="2"/>
            <w:tcBorders>
              <w:top w:val="nil"/>
              <w:left w:val="nil"/>
              <w:bottom w:val="single" w:sz="8" w:space="0" w:color="000000"/>
              <w:right w:val="nil"/>
            </w:tcBorders>
            <w:noWrap/>
            <w:hideMark/>
          </w:tcPr>
          <w:p>
            <w:pPr>
              <w:spacing w:after="0"/>
              <w:rPr>
                <w:i/>
                <w:iCs/>
                <w:noProof/>
                <w:sz w:val="18"/>
                <w:szCs w:val="18"/>
                <w:lang w:eastAsia="en-GB"/>
              </w:rPr>
            </w:pPr>
            <w:r>
              <w:rPr>
                <w:i/>
                <w:iCs/>
                <w:noProof/>
                <w:sz w:val="18"/>
                <w:szCs w:val="18"/>
                <w:lang w:eastAsia="en-GB"/>
              </w:rPr>
              <w:t>Clupea harengus</w:t>
            </w:r>
          </w:p>
        </w:tc>
        <w:tc>
          <w:tcPr>
            <w:tcW w:w="275" w:type="pct"/>
            <w:tcBorders>
              <w:top w:val="nil"/>
              <w:left w:val="nil"/>
              <w:bottom w:val="single" w:sz="8" w:space="0" w:color="000000"/>
              <w:right w:val="nil"/>
            </w:tcBorders>
            <w:noWrap/>
            <w:hideMark/>
          </w:tcPr>
          <w:p>
            <w:pPr>
              <w:spacing w:after="0"/>
              <w:rPr>
                <w:i/>
                <w:iCs/>
                <w:noProof/>
                <w:color w:val="000000"/>
                <w:sz w:val="18"/>
                <w:szCs w:val="18"/>
                <w:lang w:eastAsia="en-GB"/>
              </w:rPr>
            </w:pPr>
            <w:r>
              <w:rPr>
                <w:i/>
                <w:iCs/>
                <w:noProof/>
                <w:color w:val="000000"/>
                <w:sz w:val="18"/>
                <w:szCs w:val="18"/>
                <w:lang w:eastAsia="en-GB"/>
              </w:rPr>
              <w:t> </w:t>
            </w:r>
          </w:p>
        </w:tc>
        <w:tc>
          <w:tcPr>
            <w:tcW w:w="906" w:type="pct"/>
            <w:tcBorders>
              <w:top w:val="nil"/>
              <w:left w:val="single" w:sz="8" w:space="0" w:color="000000"/>
              <w:bottom w:val="single" w:sz="8" w:space="0" w:color="000000"/>
              <w:right w:val="nil"/>
            </w:tcBorders>
            <w:noWrap/>
            <w:hideMark/>
          </w:tcPr>
          <w:p>
            <w:pPr>
              <w:spacing w:after="0"/>
              <w:rPr>
                <w:noProof/>
                <w:color w:val="000000"/>
                <w:sz w:val="18"/>
                <w:szCs w:val="18"/>
                <w:lang w:eastAsia="en-GB"/>
              </w:rPr>
            </w:pPr>
            <w:r>
              <w:rPr>
                <w:noProof/>
                <w:color w:val="000000"/>
                <w:sz w:val="18"/>
                <w:szCs w:val="18"/>
                <w:lang w:eastAsia="en-GB"/>
              </w:rPr>
              <w:t> </w:t>
            </w:r>
          </w:p>
        </w:tc>
        <w:tc>
          <w:tcPr>
            <w:tcW w:w="1174" w:type="pct"/>
            <w:gridSpan w:val="2"/>
            <w:tcBorders>
              <w:top w:val="nil"/>
              <w:left w:val="nil"/>
              <w:bottom w:val="single" w:sz="8" w:space="0" w:color="000000"/>
              <w:right w:val="nil"/>
            </w:tcBorders>
            <w:noWrap/>
            <w:hideMark/>
          </w:tcPr>
          <w:p>
            <w:pPr>
              <w:spacing w:after="0"/>
              <w:rPr>
                <w:noProof/>
                <w:color w:val="000000"/>
                <w:sz w:val="18"/>
                <w:szCs w:val="18"/>
                <w:lang w:eastAsia="en-GB"/>
              </w:rPr>
            </w:pPr>
            <w:r>
              <w:rPr>
                <w:noProof/>
                <w:color w:val="000000"/>
                <w:sz w:val="18"/>
                <w:szCs w:val="18"/>
                <w:lang w:eastAsia="en-GB"/>
              </w:rPr>
              <w:t>(HER/7G-K.)</w:t>
            </w:r>
          </w:p>
        </w:tc>
        <w:tc>
          <w:tcPr>
            <w:tcW w:w="123" w:type="pct"/>
            <w:tcBorders>
              <w:top w:val="nil"/>
              <w:left w:val="nil"/>
              <w:bottom w:val="single" w:sz="8" w:space="0" w:color="000000"/>
              <w:right w:val="nil"/>
            </w:tcBorders>
            <w:noWrap/>
            <w:hideMark/>
          </w:tcPr>
          <w:p>
            <w:pPr>
              <w:spacing w:after="0"/>
              <w:rPr>
                <w:noProof/>
                <w:color w:val="000000"/>
                <w:sz w:val="18"/>
                <w:szCs w:val="18"/>
                <w:lang w:eastAsia="en-GB"/>
              </w:rPr>
            </w:pPr>
            <w:r>
              <w:rPr>
                <w:noProof/>
                <w:color w:val="000000"/>
                <w:sz w:val="18"/>
                <w:szCs w:val="18"/>
                <w:lang w:eastAsia="en-GB"/>
              </w:rPr>
              <w:t> </w:t>
            </w:r>
          </w:p>
        </w:tc>
      </w:tr>
      <w:tr>
        <w:trPr>
          <w:trHeight w:val="20"/>
        </w:trPr>
        <w:tc>
          <w:tcPr>
            <w:tcW w:w="534" w:type="pct"/>
            <w:noWrap/>
            <w:hideMark/>
          </w:tcPr>
          <w:p>
            <w:pPr>
              <w:spacing w:after="0"/>
              <w:rPr>
                <w:noProof/>
                <w:color w:val="000000"/>
                <w:sz w:val="18"/>
                <w:szCs w:val="18"/>
                <w:lang w:eastAsia="en-GB"/>
              </w:rPr>
            </w:pPr>
            <w:r>
              <w:rPr>
                <w:noProof/>
                <w:color w:val="000000"/>
                <w:sz w:val="18"/>
                <w:szCs w:val="18"/>
                <w:lang w:eastAsia="en-GB"/>
              </w:rPr>
              <w:t>Germany</w:t>
            </w:r>
          </w:p>
        </w:tc>
        <w:tc>
          <w:tcPr>
            <w:tcW w:w="1354" w:type="pct"/>
            <w:noWrap/>
            <w:hideMark/>
          </w:tcPr>
          <w:p>
            <w:pPr>
              <w:spacing w:after="0"/>
              <w:rPr>
                <w:noProof/>
                <w:sz w:val="18"/>
                <w:szCs w:val="18"/>
                <w:lang w:eastAsia="en-GB"/>
              </w:rPr>
            </w:pPr>
            <w:r>
              <w:rPr>
                <w:noProof/>
                <w:sz w:val="18"/>
                <w:szCs w:val="18"/>
                <w:lang w:eastAsia="en-GB"/>
              </w:rPr>
              <w:t> </w:t>
            </w:r>
          </w:p>
        </w:tc>
        <w:tc>
          <w:tcPr>
            <w:tcW w:w="634" w:type="pct"/>
            <w:noWrap/>
            <w:hideMark/>
          </w:tcPr>
          <w:p>
            <w:pPr>
              <w:spacing w:after="0"/>
              <w:jc w:val="right"/>
              <w:rPr>
                <w:noProof/>
                <w:color w:val="000000"/>
                <w:sz w:val="18"/>
                <w:szCs w:val="18"/>
                <w:lang w:eastAsia="en-GB"/>
              </w:rPr>
            </w:pPr>
            <w:r>
              <w:rPr>
                <w:noProof/>
                <w:color w:val="000000"/>
                <w:sz w:val="18"/>
                <w:szCs w:val="18"/>
                <w:lang w:eastAsia="en-GB"/>
              </w:rPr>
              <w:t>213</w:t>
            </w:r>
          </w:p>
        </w:tc>
        <w:tc>
          <w:tcPr>
            <w:tcW w:w="275" w:type="pct"/>
            <w:noWrap/>
            <w:hideMark/>
          </w:tcPr>
          <w:p>
            <w:pPr>
              <w:spacing w:after="0"/>
              <w:rPr>
                <w:noProof/>
                <w:color w:val="000000"/>
                <w:sz w:val="18"/>
                <w:szCs w:val="18"/>
                <w:lang w:eastAsia="en-GB"/>
              </w:rPr>
            </w:pPr>
            <w:r>
              <w:rPr>
                <w:noProof/>
                <w:color w:val="000000"/>
                <w:sz w:val="18"/>
                <w:szCs w:val="18"/>
                <w:lang w:eastAsia="en-GB"/>
              </w:rPr>
              <w:t> </w:t>
            </w:r>
          </w:p>
        </w:tc>
        <w:tc>
          <w:tcPr>
            <w:tcW w:w="1509" w:type="pct"/>
            <w:gridSpan w:val="2"/>
            <w:tcBorders>
              <w:top w:val="single" w:sz="8" w:space="0" w:color="000000"/>
              <w:left w:val="nil"/>
              <w:bottom w:val="nil"/>
              <w:right w:val="nil"/>
            </w:tcBorders>
            <w:noWrap/>
            <w:hideMark/>
          </w:tcPr>
          <w:p>
            <w:pPr>
              <w:spacing w:after="0"/>
              <w:rPr>
                <w:noProof/>
                <w:color w:val="000000"/>
                <w:sz w:val="18"/>
                <w:szCs w:val="18"/>
                <w:lang w:eastAsia="en-GB"/>
              </w:rPr>
            </w:pPr>
            <w:r>
              <w:rPr>
                <w:noProof/>
                <w:color w:val="000000"/>
                <w:sz w:val="18"/>
                <w:szCs w:val="18"/>
                <w:lang w:eastAsia="en-GB"/>
              </w:rPr>
              <w:t>Analytical TAC</w:t>
            </w:r>
          </w:p>
        </w:tc>
        <w:tc>
          <w:tcPr>
            <w:tcW w:w="571" w:type="pct"/>
            <w:noWrap/>
            <w:hideMark/>
          </w:tcPr>
          <w:p>
            <w:pPr>
              <w:spacing w:after="0"/>
              <w:rPr>
                <w:noProof/>
                <w:color w:val="000000"/>
                <w:sz w:val="18"/>
                <w:szCs w:val="18"/>
                <w:lang w:eastAsia="en-GB"/>
              </w:rPr>
            </w:pPr>
            <w:r>
              <w:rPr>
                <w:noProof/>
                <w:color w:val="000000"/>
                <w:sz w:val="18"/>
                <w:szCs w:val="18"/>
                <w:lang w:eastAsia="en-GB"/>
              </w:rPr>
              <w:t> </w:t>
            </w:r>
          </w:p>
        </w:tc>
        <w:tc>
          <w:tcPr>
            <w:tcW w:w="123" w:type="pct"/>
            <w:noWrap/>
            <w:hideMark/>
          </w:tcPr>
          <w:p>
            <w:pPr>
              <w:spacing w:after="0"/>
              <w:rPr>
                <w:noProof/>
                <w:color w:val="000000"/>
                <w:sz w:val="18"/>
                <w:szCs w:val="18"/>
                <w:lang w:eastAsia="en-GB"/>
              </w:rPr>
            </w:pPr>
            <w:r>
              <w:rPr>
                <w:noProof/>
                <w:color w:val="000000"/>
                <w:sz w:val="18"/>
                <w:szCs w:val="18"/>
                <w:lang w:eastAsia="en-GB"/>
              </w:rPr>
              <w:t> </w:t>
            </w:r>
          </w:p>
        </w:tc>
      </w:tr>
      <w:tr>
        <w:trPr>
          <w:trHeight w:val="20"/>
        </w:trPr>
        <w:tc>
          <w:tcPr>
            <w:tcW w:w="534" w:type="pct"/>
            <w:noWrap/>
            <w:hideMark/>
          </w:tcPr>
          <w:p>
            <w:pPr>
              <w:spacing w:after="0"/>
              <w:rPr>
                <w:noProof/>
                <w:color w:val="000000"/>
                <w:sz w:val="18"/>
                <w:szCs w:val="18"/>
                <w:lang w:eastAsia="en-GB"/>
              </w:rPr>
            </w:pPr>
            <w:r>
              <w:rPr>
                <w:noProof/>
                <w:color w:val="000000"/>
                <w:sz w:val="18"/>
                <w:szCs w:val="18"/>
                <w:lang w:eastAsia="en-GB"/>
              </w:rPr>
              <w:t>France</w:t>
            </w:r>
          </w:p>
        </w:tc>
        <w:tc>
          <w:tcPr>
            <w:tcW w:w="1354" w:type="pct"/>
            <w:noWrap/>
            <w:hideMark/>
          </w:tcPr>
          <w:p>
            <w:pPr>
              <w:spacing w:after="0"/>
              <w:rPr>
                <w:rFonts w:eastAsia="Calibri"/>
                <w:noProof/>
                <w:sz w:val="20"/>
                <w:szCs w:val="20"/>
                <w:lang w:eastAsia="en-GB"/>
              </w:rPr>
            </w:pPr>
          </w:p>
        </w:tc>
        <w:tc>
          <w:tcPr>
            <w:tcW w:w="634" w:type="pct"/>
            <w:noWrap/>
            <w:hideMark/>
          </w:tcPr>
          <w:p>
            <w:pPr>
              <w:spacing w:after="0"/>
              <w:jc w:val="right"/>
              <w:rPr>
                <w:noProof/>
                <w:color w:val="000000"/>
                <w:sz w:val="18"/>
                <w:szCs w:val="18"/>
                <w:lang w:eastAsia="en-GB"/>
              </w:rPr>
            </w:pPr>
            <w:r>
              <w:rPr>
                <w:noProof/>
                <w:color w:val="000000"/>
                <w:sz w:val="18"/>
                <w:szCs w:val="18"/>
                <w:lang w:eastAsia="en-GB"/>
              </w:rPr>
              <w:t>1 185</w:t>
            </w:r>
          </w:p>
        </w:tc>
        <w:tc>
          <w:tcPr>
            <w:tcW w:w="275" w:type="pct"/>
            <w:noWrap/>
            <w:hideMark/>
          </w:tcPr>
          <w:p>
            <w:pPr>
              <w:spacing w:after="0"/>
              <w:rPr>
                <w:rFonts w:eastAsia="Calibri"/>
                <w:noProof/>
                <w:sz w:val="20"/>
                <w:szCs w:val="20"/>
                <w:lang w:eastAsia="en-GB"/>
              </w:rPr>
            </w:pPr>
          </w:p>
        </w:tc>
        <w:tc>
          <w:tcPr>
            <w:tcW w:w="2080" w:type="pct"/>
            <w:gridSpan w:val="3"/>
            <w:noWrap/>
            <w:hideMark/>
          </w:tcPr>
          <w:p>
            <w:pPr>
              <w:spacing w:after="0"/>
              <w:rPr>
                <w:noProof/>
                <w:color w:val="000000"/>
                <w:sz w:val="18"/>
                <w:szCs w:val="18"/>
                <w:lang w:eastAsia="en-GB"/>
              </w:rPr>
            </w:pPr>
            <w:r>
              <w:rPr>
                <w:noProof/>
                <w:color w:val="000000"/>
                <w:sz w:val="18"/>
                <w:szCs w:val="18"/>
                <w:lang w:eastAsia="en-GB"/>
              </w:rPr>
              <w:t>Article 7(3) of this Regulation applies</w:t>
            </w:r>
          </w:p>
        </w:tc>
        <w:tc>
          <w:tcPr>
            <w:tcW w:w="123" w:type="pct"/>
            <w:noWrap/>
            <w:hideMark/>
          </w:tcPr>
          <w:p>
            <w:pPr>
              <w:spacing w:after="0"/>
              <w:rPr>
                <w:rFonts w:eastAsia="Calibri"/>
                <w:noProof/>
                <w:sz w:val="20"/>
                <w:szCs w:val="20"/>
                <w:lang w:eastAsia="en-GB"/>
              </w:rPr>
            </w:pPr>
          </w:p>
        </w:tc>
      </w:tr>
      <w:tr>
        <w:trPr>
          <w:trHeight w:val="20"/>
        </w:trPr>
        <w:tc>
          <w:tcPr>
            <w:tcW w:w="534" w:type="pct"/>
            <w:noWrap/>
            <w:hideMark/>
          </w:tcPr>
          <w:p>
            <w:pPr>
              <w:spacing w:after="0"/>
              <w:rPr>
                <w:noProof/>
                <w:color w:val="000000"/>
                <w:sz w:val="18"/>
                <w:szCs w:val="18"/>
                <w:lang w:eastAsia="en-GB"/>
              </w:rPr>
            </w:pPr>
            <w:r>
              <w:rPr>
                <w:noProof/>
                <w:color w:val="000000"/>
                <w:sz w:val="18"/>
                <w:szCs w:val="18"/>
                <w:lang w:eastAsia="en-GB"/>
              </w:rPr>
              <w:t>Ireland</w:t>
            </w:r>
          </w:p>
        </w:tc>
        <w:tc>
          <w:tcPr>
            <w:tcW w:w="1354" w:type="pct"/>
            <w:noWrap/>
            <w:hideMark/>
          </w:tcPr>
          <w:p>
            <w:pPr>
              <w:spacing w:after="0"/>
              <w:rPr>
                <w:rFonts w:eastAsia="Calibri"/>
                <w:noProof/>
                <w:sz w:val="20"/>
                <w:szCs w:val="20"/>
                <w:lang w:eastAsia="en-GB"/>
              </w:rPr>
            </w:pPr>
          </w:p>
        </w:tc>
        <w:tc>
          <w:tcPr>
            <w:tcW w:w="634" w:type="pct"/>
            <w:noWrap/>
            <w:hideMark/>
          </w:tcPr>
          <w:p>
            <w:pPr>
              <w:spacing w:after="0"/>
              <w:jc w:val="right"/>
              <w:rPr>
                <w:noProof/>
                <w:color w:val="000000"/>
                <w:sz w:val="18"/>
                <w:szCs w:val="18"/>
                <w:lang w:eastAsia="en-GB"/>
              </w:rPr>
            </w:pPr>
            <w:r>
              <w:rPr>
                <w:noProof/>
                <w:color w:val="000000"/>
                <w:sz w:val="18"/>
                <w:szCs w:val="18"/>
                <w:lang w:eastAsia="en-GB"/>
              </w:rPr>
              <w:t>16 591</w:t>
            </w:r>
          </w:p>
        </w:tc>
        <w:tc>
          <w:tcPr>
            <w:tcW w:w="275" w:type="pct"/>
            <w:noWrap/>
            <w:hideMark/>
          </w:tcPr>
          <w:p>
            <w:pPr>
              <w:spacing w:after="0"/>
              <w:rPr>
                <w:rFonts w:eastAsia="Calibri"/>
                <w:noProof/>
                <w:sz w:val="20"/>
                <w:szCs w:val="20"/>
                <w:lang w:eastAsia="en-GB"/>
              </w:rPr>
            </w:pPr>
          </w:p>
        </w:tc>
        <w:tc>
          <w:tcPr>
            <w:tcW w:w="906" w:type="pct"/>
            <w:noWrap/>
            <w:hideMark/>
          </w:tcPr>
          <w:p>
            <w:pPr>
              <w:spacing w:after="0"/>
              <w:rPr>
                <w:rFonts w:eastAsia="Calibri"/>
                <w:noProof/>
                <w:sz w:val="20"/>
                <w:szCs w:val="20"/>
                <w:lang w:eastAsia="en-GB"/>
              </w:rPr>
            </w:pPr>
          </w:p>
        </w:tc>
        <w:tc>
          <w:tcPr>
            <w:tcW w:w="603" w:type="pct"/>
            <w:noWrap/>
            <w:hideMark/>
          </w:tcPr>
          <w:p>
            <w:pPr>
              <w:spacing w:after="0"/>
              <w:rPr>
                <w:rFonts w:eastAsia="Calibri"/>
                <w:noProof/>
                <w:sz w:val="20"/>
                <w:szCs w:val="20"/>
                <w:lang w:eastAsia="en-GB"/>
              </w:rPr>
            </w:pPr>
          </w:p>
        </w:tc>
        <w:tc>
          <w:tcPr>
            <w:tcW w:w="571" w:type="pct"/>
            <w:noWrap/>
            <w:hideMark/>
          </w:tcPr>
          <w:p>
            <w:pPr>
              <w:spacing w:after="0"/>
              <w:rPr>
                <w:rFonts w:eastAsia="Calibri"/>
                <w:noProof/>
                <w:sz w:val="20"/>
                <w:szCs w:val="20"/>
                <w:lang w:eastAsia="en-GB"/>
              </w:rPr>
            </w:pPr>
          </w:p>
        </w:tc>
        <w:tc>
          <w:tcPr>
            <w:tcW w:w="123" w:type="pct"/>
            <w:noWrap/>
            <w:hideMark/>
          </w:tcPr>
          <w:p>
            <w:pPr>
              <w:spacing w:after="0"/>
              <w:rPr>
                <w:rFonts w:eastAsia="Calibri"/>
                <w:noProof/>
                <w:sz w:val="20"/>
                <w:szCs w:val="20"/>
                <w:lang w:eastAsia="en-GB"/>
              </w:rPr>
            </w:pPr>
          </w:p>
        </w:tc>
      </w:tr>
      <w:tr>
        <w:trPr>
          <w:trHeight w:val="20"/>
        </w:trPr>
        <w:tc>
          <w:tcPr>
            <w:tcW w:w="1888" w:type="pct"/>
            <w:gridSpan w:val="2"/>
            <w:noWrap/>
            <w:hideMark/>
          </w:tcPr>
          <w:p>
            <w:pPr>
              <w:spacing w:after="0"/>
              <w:rPr>
                <w:noProof/>
                <w:color w:val="000000"/>
                <w:sz w:val="18"/>
                <w:szCs w:val="18"/>
                <w:lang w:eastAsia="en-GB"/>
              </w:rPr>
            </w:pPr>
            <w:r>
              <w:rPr>
                <w:noProof/>
                <w:color w:val="000000"/>
                <w:sz w:val="18"/>
                <w:szCs w:val="18"/>
                <w:lang w:eastAsia="en-GB"/>
              </w:rPr>
              <w:t>The Netherlands</w:t>
            </w:r>
          </w:p>
        </w:tc>
        <w:tc>
          <w:tcPr>
            <w:tcW w:w="634" w:type="pct"/>
            <w:noWrap/>
            <w:hideMark/>
          </w:tcPr>
          <w:p>
            <w:pPr>
              <w:spacing w:after="0"/>
              <w:jc w:val="right"/>
              <w:rPr>
                <w:noProof/>
                <w:color w:val="000000"/>
                <w:sz w:val="18"/>
                <w:szCs w:val="18"/>
                <w:lang w:eastAsia="en-GB"/>
              </w:rPr>
            </w:pPr>
            <w:r>
              <w:rPr>
                <w:noProof/>
                <w:color w:val="000000"/>
                <w:sz w:val="18"/>
                <w:szCs w:val="18"/>
                <w:lang w:eastAsia="en-GB"/>
              </w:rPr>
              <w:t>1 185</w:t>
            </w:r>
          </w:p>
        </w:tc>
        <w:tc>
          <w:tcPr>
            <w:tcW w:w="275" w:type="pct"/>
            <w:noWrap/>
            <w:hideMark/>
          </w:tcPr>
          <w:p>
            <w:pPr>
              <w:spacing w:after="0"/>
              <w:rPr>
                <w:rFonts w:eastAsia="Calibri"/>
                <w:noProof/>
                <w:sz w:val="20"/>
                <w:szCs w:val="20"/>
                <w:lang w:eastAsia="en-GB"/>
              </w:rPr>
            </w:pPr>
          </w:p>
        </w:tc>
        <w:tc>
          <w:tcPr>
            <w:tcW w:w="906" w:type="pct"/>
            <w:noWrap/>
            <w:hideMark/>
          </w:tcPr>
          <w:p>
            <w:pPr>
              <w:spacing w:after="0"/>
              <w:rPr>
                <w:rFonts w:eastAsia="Calibri"/>
                <w:noProof/>
                <w:sz w:val="20"/>
                <w:szCs w:val="20"/>
                <w:lang w:eastAsia="en-GB"/>
              </w:rPr>
            </w:pPr>
          </w:p>
        </w:tc>
        <w:tc>
          <w:tcPr>
            <w:tcW w:w="603" w:type="pct"/>
            <w:noWrap/>
            <w:hideMark/>
          </w:tcPr>
          <w:p>
            <w:pPr>
              <w:spacing w:after="0"/>
              <w:rPr>
                <w:rFonts w:eastAsia="Calibri"/>
                <w:noProof/>
                <w:sz w:val="20"/>
                <w:szCs w:val="20"/>
                <w:lang w:eastAsia="en-GB"/>
              </w:rPr>
            </w:pPr>
          </w:p>
        </w:tc>
        <w:tc>
          <w:tcPr>
            <w:tcW w:w="571" w:type="pct"/>
            <w:noWrap/>
            <w:hideMark/>
          </w:tcPr>
          <w:p>
            <w:pPr>
              <w:spacing w:after="0"/>
              <w:rPr>
                <w:rFonts w:eastAsia="Calibri"/>
                <w:noProof/>
                <w:sz w:val="20"/>
                <w:szCs w:val="20"/>
                <w:lang w:eastAsia="en-GB"/>
              </w:rPr>
            </w:pPr>
          </w:p>
        </w:tc>
        <w:tc>
          <w:tcPr>
            <w:tcW w:w="123" w:type="pct"/>
            <w:noWrap/>
            <w:hideMark/>
          </w:tcPr>
          <w:p>
            <w:pPr>
              <w:spacing w:after="0"/>
              <w:rPr>
                <w:rFonts w:eastAsia="Calibri"/>
                <w:noProof/>
                <w:sz w:val="20"/>
                <w:szCs w:val="20"/>
                <w:lang w:eastAsia="en-GB"/>
              </w:rPr>
            </w:pPr>
          </w:p>
        </w:tc>
      </w:tr>
      <w:tr>
        <w:trPr>
          <w:trHeight w:val="20"/>
        </w:trPr>
        <w:tc>
          <w:tcPr>
            <w:tcW w:w="1888" w:type="pct"/>
            <w:gridSpan w:val="2"/>
            <w:noWrap/>
            <w:hideMark/>
          </w:tcPr>
          <w:p>
            <w:pPr>
              <w:spacing w:after="0"/>
              <w:rPr>
                <w:noProof/>
                <w:color w:val="000000"/>
                <w:sz w:val="18"/>
                <w:szCs w:val="18"/>
                <w:lang w:eastAsia="en-GB"/>
              </w:rPr>
            </w:pPr>
            <w:r>
              <w:rPr>
                <w:noProof/>
                <w:color w:val="000000"/>
                <w:sz w:val="18"/>
                <w:szCs w:val="18"/>
                <w:lang w:eastAsia="en-GB"/>
              </w:rPr>
              <w:t>United Kingdom</w:t>
            </w:r>
          </w:p>
        </w:tc>
        <w:tc>
          <w:tcPr>
            <w:tcW w:w="634" w:type="pct"/>
            <w:noWrap/>
            <w:hideMark/>
          </w:tcPr>
          <w:p>
            <w:pPr>
              <w:spacing w:after="0"/>
              <w:jc w:val="right"/>
              <w:rPr>
                <w:noProof/>
                <w:color w:val="000000"/>
                <w:sz w:val="18"/>
                <w:szCs w:val="18"/>
                <w:lang w:eastAsia="en-GB"/>
              </w:rPr>
            </w:pPr>
            <w:r>
              <w:rPr>
                <w:noProof/>
                <w:color w:val="000000"/>
                <w:sz w:val="18"/>
                <w:szCs w:val="18"/>
                <w:lang w:eastAsia="en-GB"/>
              </w:rPr>
              <w:t>24</w:t>
            </w:r>
          </w:p>
        </w:tc>
        <w:tc>
          <w:tcPr>
            <w:tcW w:w="275" w:type="pct"/>
            <w:noWrap/>
            <w:hideMark/>
          </w:tcPr>
          <w:p>
            <w:pPr>
              <w:spacing w:after="0"/>
              <w:rPr>
                <w:rFonts w:eastAsia="Calibri"/>
                <w:noProof/>
                <w:sz w:val="20"/>
                <w:szCs w:val="20"/>
                <w:lang w:eastAsia="en-GB"/>
              </w:rPr>
            </w:pPr>
          </w:p>
        </w:tc>
        <w:tc>
          <w:tcPr>
            <w:tcW w:w="906" w:type="pct"/>
            <w:noWrap/>
            <w:hideMark/>
          </w:tcPr>
          <w:p>
            <w:pPr>
              <w:spacing w:after="0"/>
              <w:rPr>
                <w:rFonts w:eastAsia="Calibri"/>
                <w:noProof/>
                <w:sz w:val="20"/>
                <w:szCs w:val="20"/>
                <w:lang w:eastAsia="en-GB"/>
              </w:rPr>
            </w:pPr>
          </w:p>
        </w:tc>
        <w:tc>
          <w:tcPr>
            <w:tcW w:w="603" w:type="pct"/>
            <w:noWrap/>
            <w:hideMark/>
          </w:tcPr>
          <w:p>
            <w:pPr>
              <w:spacing w:after="0"/>
              <w:rPr>
                <w:rFonts w:eastAsia="Calibri"/>
                <w:noProof/>
                <w:sz w:val="20"/>
                <w:szCs w:val="20"/>
                <w:lang w:eastAsia="en-GB"/>
              </w:rPr>
            </w:pPr>
          </w:p>
        </w:tc>
        <w:tc>
          <w:tcPr>
            <w:tcW w:w="571" w:type="pct"/>
            <w:noWrap/>
            <w:hideMark/>
          </w:tcPr>
          <w:p>
            <w:pPr>
              <w:spacing w:after="0"/>
              <w:rPr>
                <w:rFonts w:eastAsia="Calibri"/>
                <w:noProof/>
                <w:sz w:val="20"/>
                <w:szCs w:val="20"/>
                <w:lang w:eastAsia="en-GB"/>
              </w:rPr>
            </w:pPr>
          </w:p>
        </w:tc>
        <w:tc>
          <w:tcPr>
            <w:tcW w:w="123" w:type="pct"/>
            <w:noWrap/>
            <w:hideMark/>
          </w:tcPr>
          <w:p>
            <w:pPr>
              <w:spacing w:after="0"/>
              <w:rPr>
                <w:rFonts w:eastAsia="Calibri"/>
                <w:noProof/>
                <w:sz w:val="20"/>
                <w:szCs w:val="20"/>
                <w:lang w:eastAsia="en-GB"/>
              </w:rPr>
            </w:pPr>
          </w:p>
        </w:tc>
      </w:tr>
      <w:tr>
        <w:trPr>
          <w:trHeight w:val="20"/>
        </w:trPr>
        <w:tc>
          <w:tcPr>
            <w:tcW w:w="534" w:type="pct"/>
            <w:noWrap/>
            <w:hideMark/>
          </w:tcPr>
          <w:p>
            <w:pPr>
              <w:spacing w:after="0"/>
              <w:rPr>
                <w:noProof/>
                <w:color w:val="000000"/>
                <w:sz w:val="18"/>
                <w:szCs w:val="18"/>
                <w:lang w:eastAsia="en-GB"/>
              </w:rPr>
            </w:pPr>
            <w:r>
              <w:rPr>
                <w:noProof/>
                <w:color w:val="000000"/>
                <w:sz w:val="18"/>
                <w:szCs w:val="18"/>
                <w:lang w:eastAsia="en-GB"/>
              </w:rPr>
              <w:t>Union</w:t>
            </w:r>
          </w:p>
        </w:tc>
        <w:tc>
          <w:tcPr>
            <w:tcW w:w="1354" w:type="pct"/>
            <w:noWrap/>
            <w:hideMark/>
          </w:tcPr>
          <w:p>
            <w:pPr>
              <w:spacing w:after="0"/>
              <w:rPr>
                <w:rFonts w:eastAsia="Calibri"/>
                <w:noProof/>
                <w:sz w:val="20"/>
                <w:szCs w:val="20"/>
                <w:lang w:eastAsia="en-GB"/>
              </w:rPr>
            </w:pPr>
          </w:p>
        </w:tc>
        <w:tc>
          <w:tcPr>
            <w:tcW w:w="634" w:type="pct"/>
            <w:noWrap/>
            <w:hideMark/>
          </w:tcPr>
          <w:p>
            <w:pPr>
              <w:spacing w:after="0"/>
              <w:jc w:val="right"/>
              <w:rPr>
                <w:noProof/>
                <w:color w:val="000000"/>
                <w:sz w:val="18"/>
                <w:szCs w:val="18"/>
                <w:lang w:eastAsia="en-GB"/>
              </w:rPr>
            </w:pPr>
            <w:r>
              <w:rPr>
                <w:noProof/>
                <w:color w:val="000000"/>
                <w:sz w:val="18"/>
                <w:szCs w:val="18"/>
                <w:lang w:eastAsia="en-GB"/>
              </w:rPr>
              <w:t>19 198</w:t>
            </w:r>
          </w:p>
        </w:tc>
        <w:tc>
          <w:tcPr>
            <w:tcW w:w="275" w:type="pct"/>
            <w:noWrap/>
            <w:hideMark/>
          </w:tcPr>
          <w:p>
            <w:pPr>
              <w:spacing w:after="0"/>
              <w:rPr>
                <w:rFonts w:eastAsia="Calibri"/>
                <w:noProof/>
                <w:sz w:val="20"/>
                <w:szCs w:val="20"/>
                <w:lang w:eastAsia="en-GB"/>
              </w:rPr>
            </w:pPr>
          </w:p>
        </w:tc>
        <w:tc>
          <w:tcPr>
            <w:tcW w:w="906" w:type="pct"/>
            <w:noWrap/>
            <w:hideMark/>
          </w:tcPr>
          <w:p>
            <w:pPr>
              <w:spacing w:after="0"/>
              <w:rPr>
                <w:rFonts w:eastAsia="Calibri"/>
                <w:noProof/>
                <w:sz w:val="20"/>
                <w:szCs w:val="20"/>
                <w:lang w:eastAsia="en-GB"/>
              </w:rPr>
            </w:pPr>
          </w:p>
        </w:tc>
        <w:tc>
          <w:tcPr>
            <w:tcW w:w="603" w:type="pct"/>
            <w:noWrap/>
            <w:hideMark/>
          </w:tcPr>
          <w:p>
            <w:pPr>
              <w:spacing w:after="0"/>
              <w:rPr>
                <w:rFonts w:eastAsia="Calibri"/>
                <w:noProof/>
                <w:sz w:val="20"/>
                <w:szCs w:val="20"/>
                <w:lang w:eastAsia="en-GB"/>
              </w:rPr>
            </w:pPr>
          </w:p>
        </w:tc>
        <w:tc>
          <w:tcPr>
            <w:tcW w:w="571" w:type="pct"/>
            <w:noWrap/>
            <w:hideMark/>
          </w:tcPr>
          <w:p>
            <w:pPr>
              <w:spacing w:after="0"/>
              <w:rPr>
                <w:rFonts w:eastAsia="Calibri"/>
                <w:noProof/>
                <w:sz w:val="20"/>
                <w:szCs w:val="20"/>
                <w:lang w:eastAsia="en-GB"/>
              </w:rPr>
            </w:pPr>
          </w:p>
        </w:tc>
        <w:tc>
          <w:tcPr>
            <w:tcW w:w="123" w:type="pct"/>
            <w:noWrap/>
            <w:hideMark/>
          </w:tcPr>
          <w:p>
            <w:pPr>
              <w:spacing w:after="0"/>
              <w:rPr>
                <w:rFonts w:eastAsia="Calibri"/>
                <w:noProof/>
                <w:sz w:val="20"/>
                <w:szCs w:val="20"/>
                <w:lang w:eastAsia="en-GB"/>
              </w:rPr>
            </w:pPr>
          </w:p>
        </w:tc>
      </w:tr>
      <w:tr>
        <w:trPr>
          <w:trHeight w:val="20"/>
        </w:trPr>
        <w:tc>
          <w:tcPr>
            <w:tcW w:w="534" w:type="pct"/>
            <w:noWrap/>
            <w:hideMark/>
          </w:tcPr>
          <w:p>
            <w:pPr>
              <w:spacing w:after="0"/>
              <w:rPr>
                <w:rFonts w:eastAsia="Calibri"/>
                <w:noProof/>
                <w:sz w:val="20"/>
                <w:szCs w:val="20"/>
                <w:lang w:eastAsia="en-GB"/>
              </w:rPr>
            </w:pPr>
          </w:p>
        </w:tc>
        <w:tc>
          <w:tcPr>
            <w:tcW w:w="1354" w:type="pct"/>
            <w:noWrap/>
            <w:hideMark/>
          </w:tcPr>
          <w:p>
            <w:pPr>
              <w:spacing w:after="0"/>
              <w:rPr>
                <w:rFonts w:eastAsia="Calibri"/>
                <w:noProof/>
                <w:sz w:val="20"/>
                <w:szCs w:val="20"/>
                <w:lang w:eastAsia="en-GB"/>
              </w:rPr>
            </w:pPr>
          </w:p>
        </w:tc>
        <w:tc>
          <w:tcPr>
            <w:tcW w:w="634" w:type="pct"/>
            <w:noWrap/>
            <w:hideMark/>
          </w:tcPr>
          <w:p>
            <w:pPr>
              <w:spacing w:after="0"/>
              <w:rPr>
                <w:rFonts w:eastAsia="Calibri"/>
                <w:noProof/>
                <w:sz w:val="20"/>
                <w:szCs w:val="20"/>
                <w:lang w:eastAsia="en-GB"/>
              </w:rPr>
            </w:pPr>
          </w:p>
        </w:tc>
        <w:tc>
          <w:tcPr>
            <w:tcW w:w="275" w:type="pct"/>
            <w:noWrap/>
            <w:hideMark/>
          </w:tcPr>
          <w:p>
            <w:pPr>
              <w:spacing w:after="0"/>
              <w:rPr>
                <w:rFonts w:eastAsia="Calibri"/>
                <w:noProof/>
                <w:sz w:val="20"/>
                <w:szCs w:val="20"/>
                <w:lang w:eastAsia="en-GB"/>
              </w:rPr>
            </w:pPr>
          </w:p>
        </w:tc>
        <w:tc>
          <w:tcPr>
            <w:tcW w:w="906" w:type="pct"/>
            <w:noWrap/>
            <w:hideMark/>
          </w:tcPr>
          <w:p>
            <w:pPr>
              <w:spacing w:after="0"/>
              <w:rPr>
                <w:rFonts w:eastAsia="Calibri"/>
                <w:noProof/>
                <w:sz w:val="20"/>
                <w:szCs w:val="20"/>
                <w:lang w:eastAsia="en-GB"/>
              </w:rPr>
            </w:pPr>
          </w:p>
        </w:tc>
        <w:tc>
          <w:tcPr>
            <w:tcW w:w="603" w:type="pct"/>
            <w:noWrap/>
            <w:hideMark/>
          </w:tcPr>
          <w:p>
            <w:pPr>
              <w:spacing w:after="0"/>
              <w:rPr>
                <w:rFonts w:eastAsia="Calibri"/>
                <w:noProof/>
                <w:sz w:val="20"/>
                <w:szCs w:val="20"/>
                <w:lang w:eastAsia="en-GB"/>
              </w:rPr>
            </w:pPr>
          </w:p>
        </w:tc>
        <w:tc>
          <w:tcPr>
            <w:tcW w:w="571" w:type="pct"/>
            <w:noWrap/>
            <w:hideMark/>
          </w:tcPr>
          <w:p>
            <w:pPr>
              <w:spacing w:after="0"/>
              <w:rPr>
                <w:rFonts w:eastAsia="Calibri"/>
                <w:noProof/>
                <w:sz w:val="20"/>
                <w:szCs w:val="20"/>
                <w:lang w:eastAsia="en-GB"/>
              </w:rPr>
            </w:pPr>
          </w:p>
        </w:tc>
        <w:tc>
          <w:tcPr>
            <w:tcW w:w="123" w:type="pct"/>
            <w:noWrap/>
            <w:hideMark/>
          </w:tcPr>
          <w:p>
            <w:pPr>
              <w:spacing w:after="0"/>
              <w:rPr>
                <w:rFonts w:eastAsia="Calibri"/>
                <w:noProof/>
                <w:sz w:val="20"/>
                <w:szCs w:val="20"/>
                <w:lang w:eastAsia="en-GB"/>
              </w:rPr>
            </w:pPr>
          </w:p>
        </w:tc>
      </w:tr>
      <w:tr>
        <w:trPr>
          <w:trHeight w:val="20"/>
        </w:trPr>
        <w:tc>
          <w:tcPr>
            <w:tcW w:w="534" w:type="pct"/>
            <w:noWrap/>
            <w:hideMark/>
          </w:tcPr>
          <w:p>
            <w:pPr>
              <w:spacing w:after="0"/>
              <w:rPr>
                <w:noProof/>
                <w:color w:val="000000"/>
                <w:sz w:val="18"/>
                <w:szCs w:val="18"/>
                <w:lang w:eastAsia="en-GB"/>
              </w:rPr>
            </w:pPr>
            <w:r>
              <w:rPr>
                <w:noProof/>
                <w:color w:val="000000"/>
                <w:sz w:val="18"/>
                <w:szCs w:val="18"/>
                <w:lang w:eastAsia="en-GB"/>
              </w:rPr>
              <w:t>TAC</w:t>
            </w:r>
          </w:p>
        </w:tc>
        <w:tc>
          <w:tcPr>
            <w:tcW w:w="1354" w:type="pct"/>
            <w:noWrap/>
            <w:hideMark/>
          </w:tcPr>
          <w:p>
            <w:pPr>
              <w:spacing w:after="0"/>
              <w:rPr>
                <w:rFonts w:eastAsia="Calibri"/>
                <w:noProof/>
                <w:sz w:val="20"/>
                <w:szCs w:val="20"/>
                <w:lang w:eastAsia="en-GB"/>
              </w:rPr>
            </w:pPr>
          </w:p>
        </w:tc>
        <w:tc>
          <w:tcPr>
            <w:tcW w:w="634" w:type="pct"/>
            <w:noWrap/>
            <w:hideMark/>
          </w:tcPr>
          <w:p>
            <w:pPr>
              <w:spacing w:after="0"/>
              <w:jc w:val="right"/>
              <w:rPr>
                <w:noProof/>
                <w:color w:val="000000"/>
                <w:sz w:val="18"/>
                <w:szCs w:val="18"/>
                <w:lang w:eastAsia="en-GB"/>
              </w:rPr>
            </w:pPr>
            <w:r>
              <w:rPr>
                <w:noProof/>
                <w:color w:val="000000"/>
                <w:sz w:val="18"/>
                <w:szCs w:val="18"/>
                <w:lang w:eastAsia="en-GB"/>
              </w:rPr>
              <w:t>19 198</w:t>
            </w:r>
          </w:p>
        </w:tc>
        <w:tc>
          <w:tcPr>
            <w:tcW w:w="275" w:type="pct"/>
            <w:noWrap/>
            <w:hideMark/>
          </w:tcPr>
          <w:p>
            <w:pPr>
              <w:spacing w:after="0"/>
              <w:rPr>
                <w:rFonts w:eastAsia="Calibri"/>
                <w:noProof/>
                <w:sz w:val="20"/>
                <w:szCs w:val="20"/>
                <w:lang w:eastAsia="en-GB"/>
              </w:rPr>
            </w:pPr>
          </w:p>
        </w:tc>
        <w:tc>
          <w:tcPr>
            <w:tcW w:w="906" w:type="pct"/>
            <w:noWrap/>
            <w:hideMark/>
          </w:tcPr>
          <w:p>
            <w:pPr>
              <w:spacing w:after="0"/>
              <w:rPr>
                <w:rFonts w:eastAsia="Calibri"/>
                <w:noProof/>
                <w:sz w:val="20"/>
                <w:szCs w:val="20"/>
                <w:lang w:eastAsia="en-GB"/>
              </w:rPr>
            </w:pPr>
          </w:p>
        </w:tc>
        <w:tc>
          <w:tcPr>
            <w:tcW w:w="603" w:type="pct"/>
            <w:noWrap/>
            <w:hideMark/>
          </w:tcPr>
          <w:p>
            <w:pPr>
              <w:spacing w:after="0"/>
              <w:rPr>
                <w:rFonts w:eastAsia="Calibri"/>
                <w:noProof/>
                <w:sz w:val="20"/>
                <w:szCs w:val="20"/>
                <w:lang w:eastAsia="en-GB"/>
              </w:rPr>
            </w:pPr>
          </w:p>
        </w:tc>
        <w:tc>
          <w:tcPr>
            <w:tcW w:w="571" w:type="pct"/>
            <w:noWrap/>
            <w:hideMark/>
          </w:tcPr>
          <w:p>
            <w:pPr>
              <w:spacing w:after="0"/>
              <w:rPr>
                <w:rFonts w:eastAsia="Calibri"/>
                <w:noProof/>
                <w:sz w:val="20"/>
                <w:szCs w:val="20"/>
                <w:lang w:eastAsia="en-GB"/>
              </w:rPr>
            </w:pPr>
          </w:p>
        </w:tc>
        <w:tc>
          <w:tcPr>
            <w:tcW w:w="123" w:type="pct"/>
            <w:noWrap/>
            <w:hideMark/>
          </w:tcPr>
          <w:p>
            <w:pPr>
              <w:spacing w:after="0"/>
              <w:rPr>
                <w:rFonts w:eastAsia="Calibri"/>
                <w:noProof/>
                <w:sz w:val="20"/>
                <w:szCs w:val="20"/>
                <w:lang w:eastAsia="en-GB"/>
              </w:rPr>
            </w:pPr>
          </w:p>
        </w:tc>
      </w:tr>
      <w:tr>
        <w:trPr>
          <w:trHeight w:val="20"/>
        </w:trPr>
        <w:tc>
          <w:tcPr>
            <w:tcW w:w="534" w:type="pct"/>
            <w:noWrap/>
            <w:hideMark/>
          </w:tcPr>
          <w:p>
            <w:pPr>
              <w:spacing w:after="0"/>
              <w:rPr>
                <w:noProof/>
                <w:color w:val="000000"/>
                <w:sz w:val="18"/>
                <w:szCs w:val="18"/>
                <w:lang w:eastAsia="en-GB"/>
              </w:rPr>
            </w:pPr>
            <w:r>
              <w:rPr>
                <w:noProof/>
                <w:color w:val="000000"/>
                <w:sz w:val="18"/>
                <w:szCs w:val="18"/>
                <w:vertAlign w:val="superscript"/>
                <w:lang w:eastAsia="en-GB"/>
              </w:rPr>
              <w:t>(1)</w:t>
            </w:r>
          </w:p>
        </w:tc>
        <w:tc>
          <w:tcPr>
            <w:tcW w:w="2263" w:type="pct"/>
            <w:gridSpan w:val="3"/>
            <w:noWrap/>
            <w:hideMark/>
          </w:tcPr>
          <w:p>
            <w:pPr>
              <w:spacing w:after="0"/>
              <w:rPr>
                <w:noProof/>
                <w:sz w:val="18"/>
                <w:szCs w:val="18"/>
                <w:lang w:eastAsia="en-GB"/>
              </w:rPr>
            </w:pPr>
            <w:r>
              <w:rPr>
                <w:noProof/>
                <w:sz w:val="18"/>
                <w:szCs w:val="18"/>
                <w:vertAlign w:val="superscript"/>
                <w:lang w:eastAsia="en-GB"/>
              </w:rPr>
              <w:t>This zone is increased by the area bounded:</w:t>
            </w:r>
          </w:p>
        </w:tc>
        <w:tc>
          <w:tcPr>
            <w:tcW w:w="906" w:type="pct"/>
            <w:noWrap/>
            <w:hideMark/>
          </w:tcPr>
          <w:p>
            <w:pPr>
              <w:spacing w:after="0"/>
              <w:rPr>
                <w:rFonts w:eastAsia="Calibri"/>
                <w:noProof/>
                <w:sz w:val="20"/>
                <w:szCs w:val="20"/>
                <w:lang w:eastAsia="en-GB"/>
              </w:rPr>
            </w:pPr>
          </w:p>
        </w:tc>
        <w:tc>
          <w:tcPr>
            <w:tcW w:w="603" w:type="pct"/>
            <w:noWrap/>
            <w:hideMark/>
          </w:tcPr>
          <w:p>
            <w:pPr>
              <w:spacing w:after="0"/>
              <w:rPr>
                <w:rFonts w:eastAsia="Calibri"/>
                <w:noProof/>
                <w:sz w:val="20"/>
                <w:szCs w:val="20"/>
                <w:lang w:eastAsia="en-GB"/>
              </w:rPr>
            </w:pPr>
          </w:p>
        </w:tc>
        <w:tc>
          <w:tcPr>
            <w:tcW w:w="571" w:type="pct"/>
            <w:noWrap/>
            <w:hideMark/>
          </w:tcPr>
          <w:p>
            <w:pPr>
              <w:spacing w:after="0"/>
              <w:rPr>
                <w:rFonts w:eastAsia="Calibri"/>
                <w:noProof/>
                <w:sz w:val="20"/>
                <w:szCs w:val="20"/>
                <w:lang w:eastAsia="en-GB"/>
              </w:rPr>
            </w:pPr>
          </w:p>
        </w:tc>
        <w:tc>
          <w:tcPr>
            <w:tcW w:w="123" w:type="pct"/>
            <w:noWrap/>
            <w:hideMark/>
          </w:tcPr>
          <w:p>
            <w:pPr>
              <w:spacing w:after="0"/>
              <w:rPr>
                <w:rFonts w:eastAsia="Calibri"/>
                <w:noProof/>
                <w:sz w:val="20"/>
                <w:szCs w:val="20"/>
                <w:lang w:eastAsia="en-GB"/>
              </w:rPr>
            </w:pPr>
          </w:p>
        </w:tc>
      </w:tr>
      <w:tr>
        <w:trPr>
          <w:trHeight w:val="20"/>
        </w:trPr>
        <w:tc>
          <w:tcPr>
            <w:tcW w:w="534" w:type="pct"/>
            <w:noWrap/>
            <w:hideMark/>
          </w:tcPr>
          <w:p>
            <w:pPr>
              <w:spacing w:after="0"/>
              <w:rPr>
                <w:rFonts w:eastAsia="Calibri"/>
                <w:noProof/>
                <w:sz w:val="20"/>
                <w:szCs w:val="20"/>
                <w:lang w:eastAsia="en-GB"/>
              </w:rPr>
            </w:pPr>
          </w:p>
        </w:tc>
        <w:tc>
          <w:tcPr>
            <w:tcW w:w="1988" w:type="pct"/>
            <w:gridSpan w:val="2"/>
            <w:noWrap/>
            <w:hideMark/>
          </w:tcPr>
          <w:p>
            <w:pPr>
              <w:spacing w:after="0"/>
              <w:rPr>
                <w:noProof/>
                <w:sz w:val="18"/>
                <w:szCs w:val="18"/>
                <w:lang w:eastAsia="en-GB"/>
              </w:rPr>
            </w:pPr>
            <w:r>
              <w:rPr>
                <w:noProof/>
                <w:sz w:val="18"/>
                <w:szCs w:val="18"/>
                <w:vertAlign w:val="superscript"/>
                <w:lang w:eastAsia="en-GB"/>
              </w:rPr>
              <w:t>- to the north by latitude 52º 30' N,</w:t>
            </w:r>
          </w:p>
        </w:tc>
        <w:tc>
          <w:tcPr>
            <w:tcW w:w="275" w:type="pct"/>
            <w:noWrap/>
            <w:hideMark/>
          </w:tcPr>
          <w:p>
            <w:pPr>
              <w:spacing w:after="0"/>
              <w:rPr>
                <w:rFonts w:eastAsia="Calibri"/>
                <w:noProof/>
                <w:sz w:val="20"/>
                <w:szCs w:val="20"/>
                <w:lang w:eastAsia="en-GB"/>
              </w:rPr>
            </w:pPr>
          </w:p>
        </w:tc>
        <w:tc>
          <w:tcPr>
            <w:tcW w:w="906" w:type="pct"/>
            <w:noWrap/>
            <w:hideMark/>
          </w:tcPr>
          <w:p>
            <w:pPr>
              <w:spacing w:after="0"/>
              <w:rPr>
                <w:rFonts w:eastAsia="Calibri"/>
                <w:noProof/>
                <w:sz w:val="20"/>
                <w:szCs w:val="20"/>
                <w:lang w:eastAsia="en-GB"/>
              </w:rPr>
            </w:pPr>
          </w:p>
        </w:tc>
        <w:tc>
          <w:tcPr>
            <w:tcW w:w="603" w:type="pct"/>
            <w:noWrap/>
            <w:hideMark/>
          </w:tcPr>
          <w:p>
            <w:pPr>
              <w:spacing w:after="0"/>
              <w:rPr>
                <w:rFonts w:eastAsia="Calibri"/>
                <w:noProof/>
                <w:sz w:val="20"/>
                <w:szCs w:val="20"/>
                <w:lang w:eastAsia="en-GB"/>
              </w:rPr>
            </w:pPr>
          </w:p>
        </w:tc>
        <w:tc>
          <w:tcPr>
            <w:tcW w:w="571" w:type="pct"/>
            <w:noWrap/>
            <w:hideMark/>
          </w:tcPr>
          <w:p>
            <w:pPr>
              <w:spacing w:after="0"/>
              <w:rPr>
                <w:rFonts w:eastAsia="Calibri"/>
                <w:noProof/>
                <w:sz w:val="20"/>
                <w:szCs w:val="20"/>
                <w:lang w:eastAsia="en-GB"/>
              </w:rPr>
            </w:pPr>
          </w:p>
        </w:tc>
        <w:tc>
          <w:tcPr>
            <w:tcW w:w="123" w:type="pct"/>
            <w:noWrap/>
            <w:hideMark/>
          </w:tcPr>
          <w:p>
            <w:pPr>
              <w:spacing w:after="0"/>
              <w:rPr>
                <w:rFonts w:eastAsia="Calibri"/>
                <w:noProof/>
                <w:sz w:val="20"/>
                <w:szCs w:val="20"/>
                <w:lang w:eastAsia="en-GB"/>
              </w:rPr>
            </w:pPr>
          </w:p>
        </w:tc>
      </w:tr>
      <w:tr>
        <w:trPr>
          <w:trHeight w:val="20"/>
        </w:trPr>
        <w:tc>
          <w:tcPr>
            <w:tcW w:w="534" w:type="pct"/>
            <w:noWrap/>
            <w:hideMark/>
          </w:tcPr>
          <w:p>
            <w:pPr>
              <w:spacing w:after="0"/>
              <w:rPr>
                <w:rFonts w:eastAsia="Calibri"/>
                <w:noProof/>
                <w:sz w:val="20"/>
                <w:szCs w:val="20"/>
                <w:lang w:eastAsia="en-GB"/>
              </w:rPr>
            </w:pPr>
          </w:p>
        </w:tc>
        <w:tc>
          <w:tcPr>
            <w:tcW w:w="1988" w:type="pct"/>
            <w:gridSpan w:val="2"/>
            <w:noWrap/>
            <w:hideMark/>
          </w:tcPr>
          <w:p>
            <w:pPr>
              <w:spacing w:after="0"/>
              <w:rPr>
                <w:noProof/>
                <w:sz w:val="18"/>
                <w:szCs w:val="18"/>
                <w:lang w:eastAsia="en-GB"/>
              </w:rPr>
            </w:pPr>
            <w:r>
              <w:rPr>
                <w:noProof/>
                <w:sz w:val="18"/>
                <w:szCs w:val="18"/>
                <w:vertAlign w:val="superscript"/>
                <w:lang w:eastAsia="en-GB"/>
              </w:rPr>
              <w:t>- to the south by latitude 52º 00' N,</w:t>
            </w:r>
          </w:p>
        </w:tc>
        <w:tc>
          <w:tcPr>
            <w:tcW w:w="275" w:type="pct"/>
            <w:noWrap/>
            <w:hideMark/>
          </w:tcPr>
          <w:p>
            <w:pPr>
              <w:spacing w:after="0"/>
              <w:rPr>
                <w:rFonts w:eastAsia="Calibri"/>
                <w:noProof/>
                <w:sz w:val="20"/>
                <w:szCs w:val="20"/>
                <w:lang w:eastAsia="en-GB"/>
              </w:rPr>
            </w:pPr>
          </w:p>
        </w:tc>
        <w:tc>
          <w:tcPr>
            <w:tcW w:w="906" w:type="pct"/>
            <w:noWrap/>
            <w:hideMark/>
          </w:tcPr>
          <w:p>
            <w:pPr>
              <w:spacing w:after="0"/>
              <w:rPr>
                <w:rFonts w:eastAsia="Calibri"/>
                <w:noProof/>
                <w:sz w:val="20"/>
                <w:szCs w:val="20"/>
                <w:lang w:eastAsia="en-GB"/>
              </w:rPr>
            </w:pPr>
          </w:p>
        </w:tc>
        <w:tc>
          <w:tcPr>
            <w:tcW w:w="603" w:type="pct"/>
            <w:noWrap/>
            <w:hideMark/>
          </w:tcPr>
          <w:p>
            <w:pPr>
              <w:spacing w:after="0"/>
              <w:rPr>
                <w:rFonts w:eastAsia="Calibri"/>
                <w:noProof/>
                <w:sz w:val="20"/>
                <w:szCs w:val="20"/>
                <w:lang w:eastAsia="en-GB"/>
              </w:rPr>
            </w:pPr>
          </w:p>
        </w:tc>
        <w:tc>
          <w:tcPr>
            <w:tcW w:w="571" w:type="pct"/>
            <w:noWrap/>
            <w:hideMark/>
          </w:tcPr>
          <w:p>
            <w:pPr>
              <w:spacing w:after="0"/>
              <w:rPr>
                <w:rFonts w:eastAsia="Calibri"/>
                <w:noProof/>
                <w:sz w:val="20"/>
                <w:szCs w:val="20"/>
                <w:lang w:eastAsia="en-GB"/>
              </w:rPr>
            </w:pPr>
          </w:p>
        </w:tc>
        <w:tc>
          <w:tcPr>
            <w:tcW w:w="123" w:type="pct"/>
            <w:noWrap/>
            <w:hideMark/>
          </w:tcPr>
          <w:p>
            <w:pPr>
              <w:spacing w:after="0"/>
              <w:rPr>
                <w:rFonts w:eastAsia="Calibri"/>
                <w:noProof/>
                <w:sz w:val="20"/>
                <w:szCs w:val="20"/>
                <w:lang w:eastAsia="en-GB"/>
              </w:rPr>
            </w:pPr>
          </w:p>
        </w:tc>
      </w:tr>
      <w:tr>
        <w:trPr>
          <w:trHeight w:val="20"/>
        </w:trPr>
        <w:tc>
          <w:tcPr>
            <w:tcW w:w="534" w:type="pct"/>
            <w:noWrap/>
            <w:hideMark/>
          </w:tcPr>
          <w:p>
            <w:pPr>
              <w:spacing w:after="0"/>
              <w:rPr>
                <w:rFonts w:eastAsia="Calibri"/>
                <w:noProof/>
                <w:sz w:val="20"/>
                <w:szCs w:val="20"/>
                <w:lang w:eastAsia="en-GB"/>
              </w:rPr>
            </w:pPr>
          </w:p>
        </w:tc>
        <w:tc>
          <w:tcPr>
            <w:tcW w:w="1988" w:type="pct"/>
            <w:gridSpan w:val="2"/>
            <w:noWrap/>
            <w:hideMark/>
          </w:tcPr>
          <w:p>
            <w:pPr>
              <w:spacing w:after="0"/>
              <w:rPr>
                <w:noProof/>
                <w:sz w:val="18"/>
                <w:szCs w:val="18"/>
                <w:lang w:eastAsia="en-GB"/>
              </w:rPr>
            </w:pPr>
            <w:r>
              <w:rPr>
                <w:noProof/>
                <w:sz w:val="18"/>
                <w:szCs w:val="18"/>
                <w:vertAlign w:val="superscript"/>
                <w:lang w:eastAsia="en-GB"/>
              </w:rPr>
              <w:t>- to the west by the coast of Ireland,</w:t>
            </w:r>
          </w:p>
        </w:tc>
        <w:tc>
          <w:tcPr>
            <w:tcW w:w="275" w:type="pct"/>
            <w:noWrap/>
            <w:hideMark/>
          </w:tcPr>
          <w:p>
            <w:pPr>
              <w:spacing w:after="0"/>
              <w:rPr>
                <w:rFonts w:eastAsia="Calibri"/>
                <w:noProof/>
                <w:sz w:val="20"/>
                <w:szCs w:val="20"/>
                <w:lang w:eastAsia="en-GB"/>
              </w:rPr>
            </w:pPr>
          </w:p>
        </w:tc>
        <w:tc>
          <w:tcPr>
            <w:tcW w:w="906" w:type="pct"/>
            <w:noWrap/>
            <w:hideMark/>
          </w:tcPr>
          <w:p>
            <w:pPr>
              <w:spacing w:after="0"/>
              <w:rPr>
                <w:rFonts w:eastAsia="Calibri"/>
                <w:noProof/>
                <w:sz w:val="20"/>
                <w:szCs w:val="20"/>
                <w:lang w:eastAsia="en-GB"/>
              </w:rPr>
            </w:pPr>
          </w:p>
        </w:tc>
        <w:tc>
          <w:tcPr>
            <w:tcW w:w="603" w:type="pct"/>
            <w:noWrap/>
            <w:hideMark/>
          </w:tcPr>
          <w:p>
            <w:pPr>
              <w:spacing w:after="0"/>
              <w:rPr>
                <w:rFonts w:eastAsia="Calibri"/>
                <w:noProof/>
                <w:sz w:val="20"/>
                <w:szCs w:val="20"/>
                <w:lang w:eastAsia="en-GB"/>
              </w:rPr>
            </w:pPr>
          </w:p>
        </w:tc>
        <w:tc>
          <w:tcPr>
            <w:tcW w:w="571" w:type="pct"/>
            <w:noWrap/>
            <w:hideMark/>
          </w:tcPr>
          <w:p>
            <w:pPr>
              <w:spacing w:after="0"/>
              <w:rPr>
                <w:rFonts w:eastAsia="Calibri"/>
                <w:noProof/>
                <w:sz w:val="20"/>
                <w:szCs w:val="20"/>
                <w:lang w:eastAsia="en-GB"/>
              </w:rPr>
            </w:pPr>
          </w:p>
        </w:tc>
        <w:tc>
          <w:tcPr>
            <w:tcW w:w="123" w:type="pct"/>
            <w:noWrap/>
            <w:hideMark/>
          </w:tcPr>
          <w:p>
            <w:pPr>
              <w:spacing w:after="0"/>
              <w:rPr>
                <w:rFonts w:eastAsia="Calibri"/>
                <w:noProof/>
                <w:sz w:val="20"/>
                <w:szCs w:val="20"/>
                <w:lang w:eastAsia="en-GB"/>
              </w:rPr>
            </w:pPr>
          </w:p>
        </w:tc>
      </w:tr>
      <w:tr>
        <w:trPr>
          <w:trHeight w:val="20"/>
        </w:trPr>
        <w:tc>
          <w:tcPr>
            <w:tcW w:w="534" w:type="pct"/>
            <w:tcBorders>
              <w:top w:val="nil"/>
              <w:left w:val="nil"/>
              <w:bottom w:val="single" w:sz="8" w:space="0" w:color="auto"/>
              <w:right w:val="nil"/>
            </w:tcBorders>
            <w:noWrap/>
            <w:hideMark/>
          </w:tcPr>
          <w:p>
            <w:pPr>
              <w:spacing w:after="0"/>
              <w:rPr>
                <w:noProof/>
                <w:color w:val="000000"/>
                <w:sz w:val="18"/>
                <w:szCs w:val="18"/>
                <w:lang w:eastAsia="en-GB"/>
              </w:rPr>
            </w:pPr>
            <w:r>
              <w:rPr>
                <w:noProof/>
                <w:color w:val="000000"/>
                <w:sz w:val="18"/>
                <w:szCs w:val="18"/>
                <w:vertAlign w:val="superscript"/>
                <w:lang w:eastAsia="en-GB"/>
              </w:rPr>
              <w:t> </w:t>
            </w:r>
          </w:p>
        </w:tc>
        <w:tc>
          <w:tcPr>
            <w:tcW w:w="2263" w:type="pct"/>
            <w:gridSpan w:val="3"/>
            <w:tcBorders>
              <w:top w:val="nil"/>
              <w:left w:val="nil"/>
              <w:bottom w:val="single" w:sz="8" w:space="0" w:color="auto"/>
              <w:right w:val="nil"/>
            </w:tcBorders>
            <w:noWrap/>
            <w:hideMark/>
          </w:tcPr>
          <w:p>
            <w:pPr>
              <w:spacing w:after="0"/>
              <w:rPr>
                <w:noProof/>
                <w:sz w:val="18"/>
                <w:szCs w:val="18"/>
                <w:lang w:eastAsia="en-GB"/>
              </w:rPr>
            </w:pPr>
            <w:r>
              <w:rPr>
                <w:noProof/>
                <w:sz w:val="18"/>
                <w:szCs w:val="18"/>
                <w:vertAlign w:val="superscript"/>
                <w:lang w:eastAsia="en-GB"/>
              </w:rPr>
              <w:t>- to the east by the coast of the United Kingdom.</w:t>
            </w:r>
          </w:p>
        </w:tc>
        <w:tc>
          <w:tcPr>
            <w:tcW w:w="906" w:type="pct"/>
            <w:tcBorders>
              <w:top w:val="nil"/>
              <w:left w:val="nil"/>
              <w:bottom w:val="single" w:sz="8" w:space="0" w:color="auto"/>
              <w:right w:val="nil"/>
            </w:tcBorders>
            <w:noWrap/>
            <w:hideMark/>
          </w:tcPr>
          <w:p>
            <w:pPr>
              <w:spacing w:after="0"/>
              <w:rPr>
                <w:noProof/>
                <w:color w:val="000000"/>
                <w:sz w:val="18"/>
                <w:szCs w:val="18"/>
                <w:lang w:eastAsia="en-GB"/>
              </w:rPr>
            </w:pPr>
            <w:r>
              <w:rPr>
                <w:noProof/>
                <w:color w:val="000000"/>
                <w:sz w:val="18"/>
                <w:szCs w:val="18"/>
                <w:lang w:eastAsia="en-GB"/>
              </w:rPr>
              <w:t> </w:t>
            </w:r>
          </w:p>
        </w:tc>
        <w:tc>
          <w:tcPr>
            <w:tcW w:w="603" w:type="pct"/>
            <w:tcBorders>
              <w:top w:val="nil"/>
              <w:left w:val="nil"/>
              <w:bottom w:val="single" w:sz="8" w:space="0" w:color="auto"/>
              <w:right w:val="nil"/>
            </w:tcBorders>
            <w:noWrap/>
            <w:hideMark/>
          </w:tcPr>
          <w:p>
            <w:pPr>
              <w:spacing w:after="0"/>
              <w:rPr>
                <w:noProof/>
                <w:color w:val="000000"/>
                <w:sz w:val="18"/>
                <w:szCs w:val="18"/>
                <w:lang w:eastAsia="en-GB"/>
              </w:rPr>
            </w:pPr>
            <w:r>
              <w:rPr>
                <w:noProof/>
                <w:color w:val="000000"/>
                <w:sz w:val="18"/>
                <w:szCs w:val="18"/>
                <w:lang w:eastAsia="en-GB"/>
              </w:rPr>
              <w:t> </w:t>
            </w:r>
          </w:p>
        </w:tc>
        <w:tc>
          <w:tcPr>
            <w:tcW w:w="571" w:type="pct"/>
            <w:tcBorders>
              <w:top w:val="nil"/>
              <w:left w:val="nil"/>
              <w:bottom w:val="single" w:sz="8" w:space="0" w:color="auto"/>
              <w:right w:val="nil"/>
            </w:tcBorders>
            <w:noWrap/>
            <w:hideMark/>
          </w:tcPr>
          <w:p>
            <w:pPr>
              <w:spacing w:after="0"/>
              <w:rPr>
                <w:noProof/>
                <w:color w:val="000000"/>
                <w:sz w:val="18"/>
                <w:szCs w:val="18"/>
                <w:lang w:eastAsia="en-GB"/>
              </w:rPr>
            </w:pPr>
            <w:r>
              <w:rPr>
                <w:noProof/>
                <w:color w:val="000000"/>
                <w:sz w:val="18"/>
                <w:szCs w:val="18"/>
                <w:lang w:eastAsia="en-GB"/>
              </w:rPr>
              <w:t> </w:t>
            </w:r>
          </w:p>
        </w:tc>
        <w:tc>
          <w:tcPr>
            <w:tcW w:w="123" w:type="pct"/>
            <w:tcBorders>
              <w:top w:val="nil"/>
              <w:left w:val="nil"/>
              <w:bottom w:val="single" w:sz="8" w:space="0" w:color="auto"/>
              <w:right w:val="nil"/>
            </w:tcBorders>
            <w:noWrap/>
            <w:hideMark/>
          </w:tcPr>
          <w:p>
            <w:pPr>
              <w:spacing w:after="0"/>
              <w:rPr>
                <w:noProof/>
                <w:color w:val="000000"/>
                <w:sz w:val="18"/>
                <w:szCs w:val="18"/>
                <w:lang w:eastAsia="en-GB"/>
              </w:rPr>
            </w:pPr>
            <w:r>
              <w:rPr>
                <w:noProof/>
                <w:color w:val="000000"/>
                <w:sz w:val="18"/>
                <w:szCs w:val="18"/>
                <w:lang w:eastAsia="en-GB"/>
              </w:rPr>
              <w:t> </w:t>
            </w:r>
          </w:p>
        </w:tc>
      </w:tr>
    </w:tbl>
    <w:p>
      <w:pPr>
        <w:pStyle w:val="Point1letter"/>
        <w:rPr>
          <w:noProof/>
        </w:rPr>
      </w:pPr>
      <w:r>
        <w:rPr>
          <w:noProof/>
        </w:rPr>
        <w:t>the fishing opportunities table for Sprat (</w:t>
      </w:r>
      <w:r>
        <w:rPr>
          <w:i/>
          <w:iCs/>
          <w:noProof/>
          <w:szCs w:val="24"/>
        </w:rPr>
        <w:t>Sprattus sprattus</w:t>
      </w:r>
      <w:r>
        <w:rPr>
          <w:noProof/>
        </w:rPr>
        <w:t>) and associated by-catches in Union waters of IIa and IV is replaced by the following:</w:t>
      </w:r>
    </w:p>
    <w:tbl>
      <w:tblPr>
        <w:tblW w:w="9673" w:type="dxa"/>
        <w:tblInd w:w="108" w:type="dxa"/>
        <w:tblLook w:val="04A0" w:firstRow="1" w:lastRow="0" w:firstColumn="1" w:lastColumn="0" w:noHBand="0" w:noVBand="1"/>
      </w:tblPr>
      <w:tblGrid>
        <w:gridCol w:w="1701"/>
        <w:gridCol w:w="1877"/>
        <w:gridCol w:w="537"/>
        <w:gridCol w:w="485"/>
        <w:gridCol w:w="362"/>
        <w:gridCol w:w="205"/>
        <w:gridCol w:w="362"/>
        <w:gridCol w:w="1055"/>
        <w:gridCol w:w="362"/>
        <w:gridCol w:w="2190"/>
        <w:gridCol w:w="395"/>
        <w:gridCol w:w="142"/>
      </w:tblGrid>
      <w:tr>
        <w:trPr>
          <w:gridAfter w:val="1"/>
          <w:wAfter w:w="142" w:type="dxa"/>
          <w:trHeight w:val="330"/>
        </w:trPr>
        <w:tc>
          <w:tcPr>
            <w:tcW w:w="1701"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Species:</w:t>
            </w:r>
          </w:p>
        </w:tc>
        <w:tc>
          <w:tcPr>
            <w:tcW w:w="2899" w:type="dxa"/>
            <w:gridSpan w:val="3"/>
            <w:tcBorders>
              <w:top w:val="single" w:sz="8" w:space="0" w:color="000000"/>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lang w:eastAsia="en-GB"/>
              </w:rPr>
              <w:t>Sprat and associated by-catches</w:t>
            </w:r>
          </w:p>
        </w:tc>
        <w:tc>
          <w:tcPr>
            <w:tcW w:w="567" w:type="dxa"/>
            <w:gridSpan w:val="2"/>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1417" w:type="dxa"/>
            <w:gridSpan w:val="2"/>
            <w:tcBorders>
              <w:top w:val="single" w:sz="8" w:space="0" w:color="000000"/>
              <w:left w:val="single" w:sz="8" w:space="0" w:color="000000"/>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Zone:</w:t>
            </w:r>
          </w:p>
        </w:tc>
        <w:tc>
          <w:tcPr>
            <w:tcW w:w="2552" w:type="dxa"/>
            <w:gridSpan w:val="2"/>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Union waters of IIa and IV</w:t>
            </w:r>
          </w:p>
        </w:tc>
        <w:tc>
          <w:tcPr>
            <w:tcW w:w="395" w:type="dxa"/>
            <w:tcBorders>
              <w:top w:val="single" w:sz="8" w:space="0" w:color="000000"/>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r>
      <w:tr>
        <w:trPr>
          <w:gridAfter w:val="1"/>
          <w:wAfter w:w="142" w:type="dxa"/>
          <w:trHeight w:val="330"/>
        </w:trPr>
        <w:tc>
          <w:tcPr>
            <w:tcW w:w="1701" w:type="dxa"/>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2899" w:type="dxa"/>
            <w:gridSpan w:val="3"/>
            <w:tcBorders>
              <w:top w:val="nil"/>
              <w:left w:val="nil"/>
              <w:bottom w:val="single" w:sz="8" w:space="0" w:color="000000"/>
              <w:right w:val="nil"/>
            </w:tcBorders>
            <w:shd w:val="clear" w:color="auto" w:fill="auto"/>
            <w:noWrap/>
            <w:hideMark/>
          </w:tcPr>
          <w:p>
            <w:pPr>
              <w:spacing w:before="0" w:after="0"/>
              <w:jc w:val="left"/>
              <w:rPr>
                <w:rFonts w:eastAsia="Times New Roman"/>
                <w:i/>
                <w:iCs/>
                <w:noProof/>
                <w:sz w:val="18"/>
                <w:szCs w:val="18"/>
                <w:lang w:eastAsia="en-GB"/>
              </w:rPr>
            </w:pPr>
            <w:r>
              <w:rPr>
                <w:rFonts w:eastAsia="Times New Roman"/>
                <w:i/>
                <w:iCs/>
                <w:noProof/>
                <w:sz w:val="18"/>
                <w:szCs w:val="18"/>
                <w:lang w:eastAsia="en-GB"/>
              </w:rPr>
              <w:t>Sprattus sprattus</w:t>
            </w:r>
          </w:p>
        </w:tc>
        <w:tc>
          <w:tcPr>
            <w:tcW w:w="567" w:type="dxa"/>
            <w:gridSpan w:val="2"/>
            <w:tcBorders>
              <w:top w:val="nil"/>
              <w:left w:val="nil"/>
              <w:bottom w:val="single" w:sz="8" w:space="0" w:color="000000"/>
              <w:right w:val="nil"/>
            </w:tcBorders>
            <w:shd w:val="clear" w:color="auto" w:fill="auto"/>
            <w:noWrap/>
            <w:hideMark/>
          </w:tcPr>
          <w:p>
            <w:pPr>
              <w:spacing w:before="0" w:after="0"/>
              <w:jc w:val="left"/>
              <w:rPr>
                <w:rFonts w:eastAsia="Times New Roman"/>
                <w:i/>
                <w:iCs/>
                <w:noProof/>
                <w:color w:val="000000"/>
                <w:sz w:val="18"/>
                <w:szCs w:val="18"/>
                <w:lang w:eastAsia="en-GB"/>
              </w:rPr>
            </w:pPr>
            <w:r>
              <w:rPr>
                <w:rFonts w:eastAsia="Times New Roman"/>
                <w:i/>
                <w:iCs/>
                <w:noProof/>
                <w:color w:val="000000"/>
                <w:sz w:val="18"/>
                <w:szCs w:val="18"/>
                <w:lang w:eastAsia="en-GB"/>
              </w:rPr>
              <w:t> </w:t>
            </w:r>
          </w:p>
        </w:tc>
        <w:tc>
          <w:tcPr>
            <w:tcW w:w="1417" w:type="dxa"/>
            <w:gridSpan w:val="2"/>
            <w:tcBorders>
              <w:top w:val="nil"/>
              <w:left w:val="single" w:sz="8" w:space="0" w:color="000000"/>
              <w:bottom w:val="single" w:sz="8" w:space="0" w:color="000000"/>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2947" w:type="dxa"/>
            <w:gridSpan w:val="3"/>
            <w:tcBorders>
              <w:top w:val="nil"/>
              <w:left w:val="nil"/>
              <w:bottom w:val="single" w:sz="8" w:space="0" w:color="000000"/>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(SPR/2AC4-C)</w:t>
            </w: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Belgium</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lang w:eastAsia="en-GB"/>
              </w:rPr>
              <w:t> </w:t>
            </w: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lang w:eastAsia="en-GB"/>
              </w:rPr>
            </w:pPr>
            <w:r>
              <w:rPr>
                <w:rFonts w:eastAsia="Times New Roman"/>
                <w:noProof/>
                <w:sz w:val="18"/>
                <w:szCs w:val="18"/>
                <w:lang w:eastAsia="en-GB"/>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Analytical TAC</w:t>
            </w: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Denmark</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lang w:eastAsia="en-GB"/>
              </w:rPr>
            </w:pPr>
            <w:r>
              <w:rPr>
                <w:rFonts w:eastAsia="Times New Roman"/>
                <w:noProof/>
                <w:sz w:val="18"/>
                <w:szCs w:val="18"/>
                <w:lang w:eastAsia="en-GB"/>
              </w:rPr>
              <w:t>310 987</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3969"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Article 7(3) of this Regulation applies</w:t>
            </w:r>
          </w:p>
        </w:tc>
        <w:tc>
          <w:tcPr>
            <w:tcW w:w="395"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Germany</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lang w:eastAsia="en-GB"/>
              </w:rPr>
            </w:pPr>
            <w:r>
              <w:rPr>
                <w:rFonts w:eastAsia="Times New Roman"/>
                <w:noProof/>
                <w:sz w:val="18"/>
                <w:szCs w:val="18"/>
                <w:lang w:eastAsia="en-GB"/>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France</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lang w:eastAsia="en-GB"/>
              </w:rPr>
            </w:pPr>
            <w:r>
              <w:rPr>
                <w:rFonts w:eastAsia="Times New Roman"/>
                <w:noProof/>
                <w:sz w:val="18"/>
                <w:szCs w:val="18"/>
                <w:lang w:eastAsia="en-GB"/>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417" w:type="dxa"/>
            <w:gridSpan w:val="2"/>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6"/>
                <w:szCs w:val="16"/>
                <w:lang w:eastAsia="en-GB"/>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The Netherlands</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lang w:eastAsia="en-GB"/>
              </w:rPr>
            </w:pPr>
            <w:r>
              <w:rPr>
                <w:rFonts w:eastAsia="Times New Roman"/>
                <w:noProof/>
                <w:sz w:val="18"/>
                <w:szCs w:val="18"/>
                <w:lang w:eastAsia="en-GB"/>
              </w:rPr>
              <w:t>3 929</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Sweden</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lang w:eastAsia="en-GB"/>
              </w:rPr>
            </w:pPr>
            <w:r>
              <w:rPr>
                <w:rFonts w:eastAsia="Times New Roman"/>
                <w:noProof/>
                <w:sz w:val="18"/>
                <w:szCs w:val="18"/>
                <w:lang w:eastAsia="en-GB"/>
              </w:rPr>
              <w:t>1 330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 (2)</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lang w:eastAsia="en-GB"/>
              </w:rPr>
            </w:pPr>
            <w:r>
              <w:rPr>
                <w:rFonts w:eastAsia="Times New Roman"/>
                <w:noProof/>
                <w:sz w:val="18"/>
                <w:szCs w:val="18"/>
                <w:lang w:eastAsia="en-GB"/>
              </w:rPr>
              <w:t>12 967</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Union</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lang w:eastAsia="en-GB"/>
              </w:rPr>
            </w:pPr>
            <w:r>
              <w:rPr>
                <w:rFonts w:eastAsia="Times New Roman"/>
                <w:noProof/>
                <w:sz w:val="18"/>
                <w:szCs w:val="18"/>
                <w:lang w:eastAsia="en-GB"/>
              </w:rPr>
              <w:t>341 000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Norway</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lang w:eastAsia="en-GB"/>
              </w:rPr>
            </w:pPr>
            <w:r>
              <w:rPr>
                <w:rFonts w:eastAsia="Times New Roman"/>
                <w:noProof/>
                <w:sz w:val="18"/>
                <w:szCs w:val="18"/>
                <w:lang w:eastAsia="en-GB"/>
              </w:rPr>
              <w:t>9 000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color w:val="000000"/>
                <w:sz w:val="18"/>
                <w:szCs w:val="18"/>
                <w:lang w:eastAsia="en-GB"/>
              </w:rPr>
            </w:pP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lang w:eastAsia="en-GB"/>
              </w:rPr>
            </w:pP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TAC</w:t>
            </w:r>
          </w:p>
        </w:tc>
        <w:tc>
          <w:tcPr>
            <w:tcW w:w="1877" w:type="dxa"/>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p>
        </w:tc>
        <w:tc>
          <w:tcPr>
            <w:tcW w:w="1022" w:type="dxa"/>
            <w:gridSpan w:val="2"/>
            <w:tcBorders>
              <w:top w:val="nil"/>
              <w:left w:val="nil"/>
              <w:bottom w:val="nil"/>
              <w:right w:val="nil"/>
            </w:tcBorders>
            <w:shd w:val="clear" w:color="auto" w:fill="auto"/>
            <w:noWrap/>
            <w:hideMark/>
          </w:tcPr>
          <w:p>
            <w:pPr>
              <w:spacing w:before="0" w:after="0"/>
              <w:jc w:val="right"/>
              <w:rPr>
                <w:rFonts w:eastAsia="Times New Roman"/>
                <w:noProof/>
                <w:sz w:val="18"/>
                <w:szCs w:val="18"/>
                <w:lang w:eastAsia="en-GB"/>
              </w:rPr>
            </w:pPr>
            <w:r>
              <w:rPr>
                <w:rFonts w:eastAsia="Times New Roman"/>
                <w:noProof/>
                <w:sz w:val="18"/>
                <w:szCs w:val="18"/>
                <w:lang w:eastAsia="en-GB"/>
              </w:rPr>
              <w:t>350 000</w:t>
            </w:r>
          </w:p>
        </w:tc>
        <w:tc>
          <w:tcPr>
            <w:tcW w:w="56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1417" w:type="dxa"/>
            <w:gridSpan w:val="2"/>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947"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142" w:type="dxa"/>
          <w:trHeight w:val="330"/>
        </w:trPr>
        <w:tc>
          <w:tcPr>
            <w:tcW w:w="1701"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(1)</w:t>
            </w:r>
          </w:p>
        </w:tc>
        <w:tc>
          <w:tcPr>
            <w:tcW w:w="7830" w:type="dxa"/>
            <w:gridSpan w:val="10"/>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Without prejudice to the landing obligation, catches of dab and whiting may be counted against up to 2% of the quota (OTH/*2AC4C), provided that not more than 9% in total of this quota for sprat is accounted for by these catches and by-catches of those species that are accounted for under Article 15(8) of Regulation (EU) No 1380/2013.</w:t>
            </w:r>
          </w:p>
        </w:tc>
      </w:tr>
      <w:tr>
        <w:trPr>
          <w:trHeight w:val="330"/>
        </w:trPr>
        <w:tc>
          <w:tcPr>
            <w:tcW w:w="1701" w:type="dxa"/>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2414" w:type="dxa"/>
            <w:gridSpan w:val="2"/>
            <w:tcBorders>
              <w:top w:val="nil"/>
              <w:left w:val="nil"/>
              <w:bottom w:val="single" w:sz="4" w:space="0" w:color="auto"/>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Including sandeel.</w:t>
            </w:r>
          </w:p>
        </w:tc>
        <w:tc>
          <w:tcPr>
            <w:tcW w:w="847" w:type="dxa"/>
            <w:gridSpan w:val="2"/>
            <w:tcBorders>
              <w:top w:val="nil"/>
              <w:left w:val="nil"/>
              <w:bottom w:val="single" w:sz="4" w:space="0" w:color="auto"/>
              <w:right w:val="nil"/>
            </w:tcBorders>
            <w:shd w:val="clear" w:color="auto" w:fill="auto"/>
            <w:noWrap/>
            <w:hideMark/>
          </w:tcPr>
          <w:p>
            <w:pPr>
              <w:spacing w:before="0" w:after="0"/>
              <w:jc w:val="right"/>
              <w:rPr>
                <w:rFonts w:eastAsia="Times New Roman"/>
                <w:noProof/>
                <w:color w:val="000000"/>
                <w:sz w:val="18"/>
                <w:szCs w:val="18"/>
                <w:lang w:eastAsia="en-GB"/>
              </w:rPr>
            </w:pPr>
          </w:p>
        </w:tc>
        <w:tc>
          <w:tcPr>
            <w:tcW w:w="567" w:type="dxa"/>
            <w:gridSpan w:val="2"/>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lang w:eastAsia="en-GB"/>
              </w:rPr>
            </w:pPr>
          </w:p>
        </w:tc>
        <w:tc>
          <w:tcPr>
            <w:tcW w:w="1417" w:type="dxa"/>
            <w:gridSpan w:val="2"/>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lang w:eastAsia="en-GB"/>
              </w:rPr>
            </w:pPr>
          </w:p>
        </w:tc>
        <w:tc>
          <w:tcPr>
            <w:tcW w:w="2727" w:type="dxa"/>
            <w:gridSpan w:val="3"/>
            <w:tcBorders>
              <w:top w:val="nil"/>
              <w:left w:val="nil"/>
              <w:bottom w:val="single" w:sz="4" w:space="0" w:color="auto"/>
              <w:right w:val="nil"/>
            </w:tcBorders>
            <w:shd w:val="clear" w:color="auto" w:fill="auto"/>
            <w:noWrap/>
            <w:hideMark/>
          </w:tcPr>
          <w:p>
            <w:pPr>
              <w:spacing w:before="0" w:after="0"/>
              <w:jc w:val="left"/>
              <w:rPr>
                <w:rFonts w:eastAsia="Times New Roman"/>
                <w:noProof/>
                <w:color w:val="000000"/>
                <w:sz w:val="18"/>
                <w:szCs w:val="18"/>
                <w:lang w:eastAsia="en-GB"/>
              </w:rPr>
            </w:pPr>
          </w:p>
        </w:tc>
      </w:tr>
    </w:tbl>
    <w:p>
      <w:pPr>
        <w:pStyle w:val="Point1letter"/>
        <w:rPr>
          <w:noProof/>
        </w:rPr>
      </w:pPr>
      <w:r>
        <w:rPr>
          <w:noProof/>
        </w:rPr>
        <w:t>the footnote 4 in the fishing opportunities table for Norway pout (</w:t>
      </w:r>
      <w:r>
        <w:rPr>
          <w:i/>
          <w:noProof/>
        </w:rPr>
        <w:t>Trisopterus esmarki</w:t>
      </w:r>
      <w:r>
        <w:rPr>
          <w:noProof/>
        </w:rPr>
        <w:t>) and associated by-catches in IIIa; Union waters of IIa and IV shall be deleted.</w:t>
      </w:r>
    </w:p>
    <w:p>
      <w:pPr>
        <w:pStyle w:val="ManualNumPar1"/>
        <w:rPr>
          <w:noProof/>
        </w:rPr>
      </w:pPr>
      <w:r>
        <w:t>2.</w:t>
      </w:r>
      <w:r>
        <w:tab/>
      </w:r>
      <w:r>
        <w:rPr>
          <w:noProof/>
        </w:rPr>
        <w:t>In Annex IB the fishing opportunities table for redfish (</w:t>
      </w:r>
      <w:r>
        <w:rPr>
          <w:i/>
          <w:noProof/>
        </w:rPr>
        <w:t>Sebastes spp.</w:t>
      </w:r>
      <w:r>
        <w:rPr>
          <w:noProof/>
        </w:rPr>
        <w:t>) in Norwegian waters of ICES subareas I and II is replaced by the following table:</w:t>
      </w:r>
    </w:p>
    <w:tbl>
      <w:tblPr>
        <w:tblW w:w="9356" w:type="dxa"/>
        <w:tblInd w:w="108" w:type="dxa"/>
        <w:tblLook w:val="04A0" w:firstRow="1" w:lastRow="0" w:firstColumn="1" w:lastColumn="0" w:noHBand="0" w:noVBand="1"/>
      </w:tblPr>
      <w:tblGrid>
        <w:gridCol w:w="2036"/>
        <w:gridCol w:w="2036"/>
        <w:gridCol w:w="876"/>
        <w:gridCol w:w="976"/>
        <w:gridCol w:w="3432"/>
      </w:tblGrid>
      <w:tr>
        <w:trPr>
          <w:trHeight w:val="330"/>
        </w:trPr>
        <w:tc>
          <w:tcPr>
            <w:tcW w:w="203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Species:</w:t>
            </w:r>
          </w:p>
        </w:tc>
        <w:tc>
          <w:tcPr>
            <w:tcW w:w="203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Redfish</w:t>
            </w:r>
          </w:p>
        </w:tc>
        <w:tc>
          <w:tcPr>
            <w:tcW w:w="876"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976" w:type="dxa"/>
            <w:tcBorders>
              <w:top w:val="single" w:sz="8" w:space="0" w:color="auto"/>
              <w:left w:val="single" w:sz="8" w:space="0" w:color="auto"/>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Zone:</w:t>
            </w:r>
          </w:p>
        </w:tc>
        <w:tc>
          <w:tcPr>
            <w:tcW w:w="3432" w:type="dxa"/>
            <w:tcBorders>
              <w:top w:val="single" w:sz="8" w:space="0" w:color="auto"/>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Norwegian waters of I and II</w:t>
            </w:r>
          </w:p>
        </w:tc>
      </w:tr>
      <w:tr>
        <w:trPr>
          <w:trHeight w:val="330"/>
        </w:trPr>
        <w:tc>
          <w:tcPr>
            <w:tcW w:w="203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203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i/>
                <w:iCs/>
                <w:noProof/>
                <w:color w:val="000000"/>
                <w:sz w:val="18"/>
                <w:szCs w:val="18"/>
                <w:lang w:eastAsia="en-GB"/>
              </w:rPr>
            </w:pPr>
            <w:r>
              <w:rPr>
                <w:rFonts w:eastAsia="Times New Roman"/>
                <w:i/>
                <w:iCs/>
                <w:noProof/>
                <w:color w:val="000000"/>
                <w:sz w:val="18"/>
                <w:szCs w:val="18"/>
                <w:lang w:eastAsia="en-GB"/>
              </w:rPr>
              <w:t>Sebastes spp.</w:t>
            </w:r>
          </w:p>
        </w:tc>
        <w:tc>
          <w:tcPr>
            <w:tcW w:w="876"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 </w:t>
            </w:r>
          </w:p>
        </w:tc>
        <w:tc>
          <w:tcPr>
            <w:tcW w:w="976" w:type="dxa"/>
            <w:tcBorders>
              <w:top w:val="nil"/>
              <w:left w:val="single" w:sz="8" w:space="0" w:color="auto"/>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w:t>
            </w:r>
          </w:p>
        </w:tc>
        <w:tc>
          <w:tcPr>
            <w:tcW w:w="3432" w:type="dxa"/>
            <w:tcBorders>
              <w:top w:val="nil"/>
              <w:left w:val="nil"/>
              <w:bottom w:val="single" w:sz="8" w:space="0" w:color="auto"/>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(RED/1N2AB.)</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sz w:val="18"/>
                <w:szCs w:val="18"/>
                <w:lang w:eastAsia="en-GB"/>
              </w:rPr>
            </w:pPr>
            <w:r>
              <w:rPr>
                <w:rFonts w:eastAsia="Times New Roman"/>
                <w:noProof/>
                <w:sz w:val="18"/>
                <w:szCs w:val="18"/>
                <w:lang w:eastAsia="en-GB"/>
              </w:rPr>
              <w:t>Germany</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lang w:eastAsia="en-GB"/>
              </w:rPr>
            </w:pPr>
            <w:r>
              <w:rPr>
                <w:rFonts w:eastAsia="Times New Roman"/>
                <w:noProof/>
                <w:sz w:val="18"/>
                <w:szCs w:val="18"/>
                <w:lang w:eastAsia="en-GB"/>
              </w:rPr>
              <w:t xml:space="preserve">  766</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lang w:eastAsia="en-GB"/>
              </w:rPr>
            </w:pPr>
          </w:p>
        </w:tc>
        <w:tc>
          <w:tcPr>
            <w:tcW w:w="4408"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Analytical TAC</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 xml:space="preserve">Spain </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lang w:eastAsia="en-GB"/>
              </w:rPr>
            </w:pPr>
            <w:r>
              <w:rPr>
                <w:rFonts w:eastAsia="Times New Roman"/>
                <w:noProof/>
                <w:sz w:val="18"/>
                <w:szCs w:val="18"/>
                <w:lang w:eastAsia="en-GB"/>
              </w:rPr>
              <w:t xml:space="preserve">  95</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lang w:eastAsia="en-GB"/>
              </w:rPr>
            </w:pPr>
          </w:p>
        </w:tc>
        <w:tc>
          <w:tcPr>
            <w:tcW w:w="4408"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Article 3 of Regulation (EC) No 847/96 shall not apply</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sz w:val="18"/>
                <w:szCs w:val="18"/>
                <w:lang w:eastAsia="en-GB"/>
              </w:rPr>
            </w:pPr>
            <w:r>
              <w:rPr>
                <w:rFonts w:eastAsia="Times New Roman"/>
                <w:noProof/>
                <w:sz w:val="18"/>
                <w:szCs w:val="18"/>
                <w:lang w:eastAsia="en-GB"/>
              </w:rPr>
              <w:t>France</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lang w:eastAsia="en-GB"/>
              </w:rPr>
            </w:pPr>
            <w:r>
              <w:rPr>
                <w:rFonts w:eastAsia="Times New Roman"/>
                <w:noProof/>
                <w:sz w:val="18"/>
                <w:szCs w:val="18"/>
                <w:lang w:eastAsia="en-GB"/>
              </w:rPr>
              <w:t xml:space="preserve">  84</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lang w:eastAsia="en-GB"/>
              </w:rPr>
            </w:pPr>
          </w:p>
        </w:tc>
        <w:tc>
          <w:tcPr>
            <w:tcW w:w="4408" w:type="dxa"/>
            <w:gridSpan w:val="2"/>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Portugal</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lang w:eastAsia="en-GB"/>
              </w:rPr>
            </w:pPr>
            <w:r>
              <w:rPr>
                <w:rFonts w:eastAsia="Times New Roman"/>
                <w:noProof/>
                <w:sz w:val="18"/>
                <w:szCs w:val="18"/>
                <w:lang w:eastAsia="en-GB"/>
              </w:rPr>
              <w:t xml:space="preserve">  405</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lang w:eastAsia="en-GB"/>
              </w:rPr>
            </w:pPr>
          </w:p>
        </w:tc>
        <w:tc>
          <w:tcPr>
            <w:tcW w:w="976" w:type="dxa"/>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en-GB"/>
              </w:rPr>
            </w:pPr>
          </w:p>
        </w:tc>
        <w:tc>
          <w:tcPr>
            <w:tcW w:w="3432" w:type="dxa"/>
            <w:tcBorders>
              <w:top w:val="nil"/>
              <w:left w:val="nil"/>
              <w:bottom w:val="nil"/>
              <w:right w:val="nil"/>
            </w:tcBorders>
            <w:shd w:val="clear" w:color="auto" w:fill="auto"/>
            <w:noWrap/>
            <w:vAlign w:val="center"/>
            <w:hideMark/>
          </w:tcPr>
          <w:p>
            <w:pPr>
              <w:spacing w:before="0" w:after="0"/>
              <w:jc w:val="left"/>
              <w:rPr>
                <w:rFonts w:eastAsia="Times New Roman"/>
                <w:noProof/>
                <w:color w:val="000000"/>
                <w:sz w:val="18"/>
                <w:szCs w:val="18"/>
                <w:lang w:eastAsia="en-GB"/>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United Kingdom</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lang w:eastAsia="en-GB"/>
              </w:rPr>
            </w:pPr>
            <w:r>
              <w:rPr>
                <w:rFonts w:eastAsia="Times New Roman"/>
                <w:noProof/>
                <w:sz w:val="18"/>
                <w:szCs w:val="18"/>
                <w:lang w:eastAsia="en-GB"/>
              </w:rPr>
              <w:t xml:space="preserve">  150</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lang w:eastAsia="en-GB"/>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p>
        </w:tc>
        <w:tc>
          <w:tcPr>
            <w:tcW w:w="3432"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Union</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lang w:eastAsia="en-GB"/>
              </w:rPr>
            </w:pPr>
            <w:r>
              <w:rPr>
                <w:rFonts w:eastAsia="Times New Roman"/>
                <w:noProof/>
                <w:sz w:val="18"/>
                <w:szCs w:val="18"/>
                <w:lang w:eastAsia="en-GB"/>
              </w:rPr>
              <w:t>1 500</w:t>
            </w:r>
          </w:p>
        </w:tc>
        <w:tc>
          <w:tcPr>
            <w:tcW w:w="876" w:type="dxa"/>
            <w:tcBorders>
              <w:top w:val="nil"/>
              <w:left w:val="nil"/>
              <w:bottom w:val="nil"/>
              <w:right w:val="nil"/>
            </w:tcBorders>
            <w:shd w:val="clear" w:color="auto" w:fill="auto"/>
            <w:noWrap/>
            <w:vAlign w:val="bottom"/>
          </w:tcPr>
          <w:p>
            <w:pPr>
              <w:spacing w:before="0" w:after="0"/>
              <w:jc w:val="left"/>
              <w:rPr>
                <w:rFonts w:eastAsia="Times New Roman"/>
                <w:noProof/>
                <w:color w:val="000000"/>
                <w:sz w:val="18"/>
                <w:szCs w:val="18"/>
                <w:lang w:eastAsia="en-GB"/>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p>
        </w:tc>
        <w:tc>
          <w:tcPr>
            <w:tcW w:w="3432"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p>
        </w:tc>
      </w:tr>
      <w:tr>
        <w:trPr>
          <w:trHeight w:val="330"/>
        </w:trPr>
        <w:tc>
          <w:tcPr>
            <w:tcW w:w="203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TAC</w:t>
            </w:r>
          </w:p>
        </w:tc>
        <w:tc>
          <w:tcPr>
            <w:tcW w:w="2036" w:type="dxa"/>
            <w:tcBorders>
              <w:top w:val="nil"/>
              <w:left w:val="nil"/>
              <w:bottom w:val="nil"/>
              <w:right w:val="nil"/>
            </w:tcBorders>
            <w:shd w:val="clear" w:color="auto" w:fill="auto"/>
            <w:noWrap/>
            <w:vAlign w:val="center"/>
            <w:hideMark/>
          </w:tcPr>
          <w:p>
            <w:pPr>
              <w:spacing w:before="0" w:after="0"/>
              <w:jc w:val="right"/>
              <w:rPr>
                <w:rFonts w:eastAsia="Times New Roman"/>
                <w:noProof/>
                <w:sz w:val="18"/>
                <w:szCs w:val="18"/>
                <w:lang w:eastAsia="en-GB"/>
              </w:rPr>
            </w:pPr>
            <w:r>
              <w:rPr>
                <w:rFonts w:eastAsia="Times New Roman"/>
                <w:noProof/>
                <w:sz w:val="18"/>
                <w:szCs w:val="18"/>
                <w:lang w:eastAsia="en-GB"/>
              </w:rPr>
              <w:t>Not relevant</w:t>
            </w:r>
          </w:p>
        </w:tc>
        <w:tc>
          <w:tcPr>
            <w:tcW w:w="8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p>
        </w:tc>
        <w:tc>
          <w:tcPr>
            <w:tcW w:w="976"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p>
        </w:tc>
        <w:tc>
          <w:tcPr>
            <w:tcW w:w="3432" w:type="dxa"/>
            <w:tcBorders>
              <w:top w:val="nil"/>
              <w:left w:val="nil"/>
              <w:bottom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p>
        </w:tc>
      </w:tr>
      <w:tr>
        <w:trPr>
          <w:trHeight w:val="330"/>
        </w:trPr>
        <w:tc>
          <w:tcPr>
            <w:tcW w:w="2036"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p>
        </w:tc>
        <w:tc>
          <w:tcPr>
            <w:tcW w:w="2036" w:type="dxa"/>
            <w:tcBorders>
              <w:top w:val="nil"/>
              <w:left w:val="nil"/>
              <w:right w:val="nil"/>
            </w:tcBorders>
            <w:shd w:val="clear" w:color="auto" w:fill="auto"/>
            <w:noWrap/>
            <w:vAlign w:val="center"/>
            <w:hideMark/>
          </w:tcPr>
          <w:p>
            <w:pPr>
              <w:spacing w:before="0" w:after="0"/>
              <w:jc w:val="right"/>
              <w:rPr>
                <w:rFonts w:eastAsia="Times New Roman"/>
                <w:noProof/>
                <w:sz w:val="18"/>
                <w:szCs w:val="18"/>
                <w:lang w:eastAsia="en-GB"/>
              </w:rPr>
            </w:pPr>
          </w:p>
        </w:tc>
        <w:tc>
          <w:tcPr>
            <w:tcW w:w="876"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p>
        </w:tc>
        <w:tc>
          <w:tcPr>
            <w:tcW w:w="976"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p>
        </w:tc>
        <w:tc>
          <w:tcPr>
            <w:tcW w:w="3432" w:type="dxa"/>
            <w:tcBorders>
              <w:top w:val="nil"/>
              <w:left w:val="nil"/>
              <w:right w:val="nil"/>
            </w:tcBorders>
            <w:shd w:val="clear" w:color="auto" w:fill="auto"/>
            <w:noWrap/>
            <w:vAlign w:val="bottom"/>
            <w:hideMark/>
          </w:tcPr>
          <w:p>
            <w:pPr>
              <w:spacing w:before="0" w:after="0"/>
              <w:jc w:val="left"/>
              <w:rPr>
                <w:rFonts w:eastAsia="Times New Roman"/>
                <w:noProof/>
                <w:color w:val="000000"/>
                <w:sz w:val="18"/>
                <w:szCs w:val="18"/>
                <w:lang w:eastAsia="en-GB"/>
              </w:rPr>
            </w:pPr>
          </w:p>
        </w:tc>
      </w:tr>
      <w:tr>
        <w:trPr>
          <w:trHeight w:val="330"/>
        </w:trPr>
        <w:tc>
          <w:tcPr>
            <w:tcW w:w="2036" w:type="dxa"/>
            <w:tcBorders>
              <w:top w:val="nil"/>
              <w:left w:val="nil"/>
              <w:bottom w:val="single" w:sz="4" w:space="0" w:color="auto"/>
              <w:right w:val="nil"/>
            </w:tcBorders>
            <w:shd w:val="clear" w:color="auto" w:fill="auto"/>
            <w:noWrap/>
          </w:tcPr>
          <w:p>
            <w:pPr>
              <w:spacing w:before="0" w:after="0"/>
              <w:jc w:val="left"/>
              <w:rPr>
                <w:rFonts w:eastAsia="Times New Roman"/>
                <w:noProof/>
                <w:color w:val="000000"/>
                <w:sz w:val="18"/>
                <w:szCs w:val="18"/>
                <w:lang w:eastAsia="en-GB"/>
              </w:rPr>
            </w:pPr>
          </w:p>
        </w:tc>
        <w:tc>
          <w:tcPr>
            <w:tcW w:w="7320" w:type="dxa"/>
            <w:gridSpan w:val="4"/>
            <w:tcBorders>
              <w:top w:val="nil"/>
              <w:left w:val="nil"/>
              <w:bottom w:val="single" w:sz="4" w:space="0" w:color="auto"/>
              <w:right w:val="nil"/>
            </w:tcBorders>
            <w:shd w:val="clear" w:color="auto" w:fill="auto"/>
            <w:noWrap/>
          </w:tcPr>
          <w:p>
            <w:pPr>
              <w:spacing w:before="0" w:after="0"/>
              <w:jc w:val="left"/>
              <w:rPr>
                <w:rFonts w:eastAsia="Times New Roman"/>
                <w:noProof/>
                <w:color w:val="000000"/>
                <w:sz w:val="18"/>
                <w:szCs w:val="18"/>
                <w:lang w:eastAsia="en-GB"/>
              </w:rPr>
            </w:pPr>
          </w:p>
        </w:tc>
      </w:tr>
    </w:tbl>
    <w:p>
      <w:pPr>
        <w:pStyle w:val="Titrearticle"/>
        <w:rPr>
          <w:noProof/>
        </w:rPr>
      </w:pPr>
      <w:r>
        <w:rPr>
          <w:noProof/>
        </w:rPr>
        <w:lastRenderedPageBreak/>
        <w:t>Article 2</w:t>
      </w:r>
    </w:p>
    <w:p>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2">
    <w:p>
      <w:pPr>
        <w:pStyle w:val="FootnoteText"/>
      </w:pPr>
      <w:r>
        <w:rPr>
          <w:rStyle w:val="FootnoteReference"/>
        </w:rPr>
        <w:footnoteRef/>
      </w:r>
      <w:r>
        <w:tab/>
        <w:t>Council Regulation (EU) 2015/104 of 19 January 2015 fixing for 2015 the fishing opportunities for certain fish stocks and groups of fish stocks, applicable in Union waters and, for Union vessels, in certain non-Union waters, amending Regulation (EU) No 43/2014 and repealing Regulation (EU) No 779/2014 (OJ L 22, 28.1.2015,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089E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40CB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C8AA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6053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928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8828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085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D8EC58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7 10:08: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7B2BDA55A494523A685AA1D8C917301"/>
    <w:docVar w:name="LW_CROSSREFERENCE" w:val="&lt;UNUSED&gt;"/>
    <w:docVar w:name="LW_DocType" w:val="COM"/>
    <w:docVar w:name="LW_EMISSION" w:val="7.10.2015"/>
    <w:docVar w:name="LW_EMISSION_ISODATE" w:val="2015-10-07"/>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36"/>
    <w:docVar w:name="LW_REF.II.NEW.CP_YEAR" w:val="2015"/>
    <w:docVar w:name="LW_REF.INST.NEW" w:val="COM"/>
    <w:docVar w:name="LW_REF.INST.NEW_ADOPTED" w:val="final"/>
    <w:docVar w:name="LW_REF.INST.NEW_TEXT" w:val="(2015) 487"/>
    <w:docVar w:name="LW_REF.INTERNE" w:val="&lt;UNUSED&gt;"/>
    <w:docVar w:name="LW_SOUS.TITRE.OBJ.CP" w:val="&lt;UNUSED&gt;"/>
    <w:docVar w:name="LW_STATUT.CP" w:val="Proposal for a"/>
    <w:docVar w:name="LW_SUPERTITRE" w:val="&lt;UNUSED&gt;"/>
    <w:docVar w:name="LW_TITRE.OBJ.CP" w:val="amending Regulation (EU) No 2015/104 as regards certain fishing opportunitie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679">
      <w:bodyDiv w:val="1"/>
      <w:marLeft w:val="0"/>
      <w:marRight w:val="0"/>
      <w:marTop w:val="0"/>
      <w:marBottom w:val="0"/>
      <w:divBdr>
        <w:top w:val="none" w:sz="0" w:space="0" w:color="auto"/>
        <w:left w:val="none" w:sz="0" w:space="0" w:color="auto"/>
        <w:bottom w:val="none" w:sz="0" w:space="0" w:color="auto"/>
        <w:right w:val="none" w:sz="0" w:space="0" w:color="auto"/>
      </w:divBdr>
    </w:div>
    <w:div w:id="440493885">
      <w:bodyDiv w:val="1"/>
      <w:marLeft w:val="0"/>
      <w:marRight w:val="0"/>
      <w:marTop w:val="0"/>
      <w:marBottom w:val="0"/>
      <w:divBdr>
        <w:top w:val="none" w:sz="0" w:space="0" w:color="auto"/>
        <w:left w:val="none" w:sz="0" w:space="0" w:color="auto"/>
        <w:bottom w:val="none" w:sz="0" w:space="0" w:color="auto"/>
        <w:right w:val="none" w:sz="0" w:space="0" w:color="auto"/>
      </w:divBdr>
    </w:div>
    <w:div w:id="640770483">
      <w:bodyDiv w:val="1"/>
      <w:marLeft w:val="0"/>
      <w:marRight w:val="0"/>
      <w:marTop w:val="0"/>
      <w:marBottom w:val="0"/>
      <w:divBdr>
        <w:top w:val="none" w:sz="0" w:space="0" w:color="auto"/>
        <w:left w:val="none" w:sz="0" w:space="0" w:color="auto"/>
        <w:bottom w:val="none" w:sz="0" w:space="0" w:color="auto"/>
        <w:right w:val="none" w:sz="0" w:space="0" w:color="auto"/>
      </w:divBdr>
    </w:div>
    <w:div w:id="1141114681">
      <w:bodyDiv w:val="1"/>
      <w:marLeft w:val="0"/>
      <w:marRight w:val="0"/>
      <w:marTop w:val="0"/>
      <w:marBottom w:val="0"/>
      <w:divBdr>
        <w:top w:val="none" w:sz="0" w:space="0" w:color="auto"/>
        <w:left w:val="none" w:sz="0" w:space="0" w:color="auto"/>
        <w:bottom w:val="none" w:sz="0" w:space="0" w:color="auto"/>
        <w:right w:val="none" w:sz="0" w:space="0" w:color="auto"/>
      </w:divBdr>
    </w:div>
    <w:div w:id="2084448827">
      <w:bodyDiv w:val="1"/>
      <w:marLeft w:val="0"/>
      <w:marRight w:val="0"/>
      <w:marTop w:val="0"/>
      <w:marBottom w:val="0"/>
      <w:divBdr>
        <w:top w:val="none" w:sz="0" w:space="0" w:color="auto"/>
        <w:left w:val="none" w:sz="0" w:space="0" w:color="auto"/>
        <w:bottom w:val="none" w:sz="0" w:space="0" w:color="auto"/>
        <w:right w:val="none" w:sz="0" w:space="0" w:color="auto"/>
      </w:divBdr>
    </w:div>
    <w:div w:id="2088191886">
      <w:bodyDiv w:val="1"/>
      <w:marLeft w:val="0"/>
      <w:marRight w:val="0"/>
      <w:marTop w:val="0"/>
      <w:marBottom w:val="0"/>
      <w:divBdr>
        <w:top w:val="none" w:sz="0" w:space="0" w:color="auto"/>
        <w:left w:val="none" w:sz="0" w:space="0" w:color="auto"/>
        <w:bottom w:val="none" w:sz="0" w:space="0" w:color="auto"/>
        <w:right w:val="none" w:sz="0" w:space="0" w:color="auto"/>
      </w:divBdr>
    </w:div>
    <w:div w:id="21065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4183-17EB-4A0D-87C9-6CDD5C43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1771</Words>
  <Characters>8785</Characters>
  <Application>Microsoft Office Word</Application>
  <DocSecurity>0</DocSecurity>
  <Lines>488</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2015-09-16T14:14:00Z</cp:lastPrinted>
  <dcterms:created xsi:type="dcterms:W3CDTF">2015-09-18T11:29:00Z</dcterms:created>
  <dcterms:modified xsi:type="dcterms:W3CDTF">2015-10-07T08:08:00Z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