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7A724F739A14AF2B80FC6C103DDB852" style="width:450.8pt;height:338.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noProof/>
        </w:rPr>
      </w:pPr>
      <w:r>
        <w:rPr>
          <w:noProof/>
        </w:rPr>
        <w:t>Le règlement (UE) 2015/104 du Conseil établit, pour 2015, les possibilités de pêche pour certains stocks halieutiques et groupes de stocks halieutiques, applicables dans les eaux de l'Union et, pour les navires de l'Union, dans certaines eaux n'appartenant pas à l'Union. Ces possibilités de pêche sont généralement modifiées plusieurs fois au cours de la période pendant laquelle elles sont en vigueur. Les modifications proposées visent à modifier le règlement (UE) 2015/104 comme décrit ci-après.</w:t>
      </w:r>
    </w:p>
    <w:p>
      <w:pPr>
        <w:rPr>
          <w:noProof/>
        </w:rPr>
      </w:pPr>
      <w:r>
        <w:rPr>
          <w:noProof/>
        </w:rPr>
        <w:t>Le 19 janvier 2015, le Conseil a adopté le règlement (UE) 2015/104 établissant les possibilités de pêche pour certains stocks halieutiques et groupes de stocks halieutiques, applicables dans les eaux de l'Union et, pour les navires de l'Union, dans certaines eaux n'appartenant pas à l'Union. Ce règlement prévoyait pour le sprat et les prises accessoires associées dans les eaux de l’Union de la division CIEM II a et de la sous-zone CIEM IV un total admissible des captures (TAC) pour 2015 s'élevant à 227 000 tonnes, lequel était fondé sur l'avis du Conseil international pour l’exploration de la mer (CIEM) disponible au moment de la fixation des possibilités de pêche.</w:t>
      </w:r>
    </w:p>
    <w:p>
      <w:pPr>
        <w:rPr>
          <w:noProof/>
        </w:rPr>
      </w:pPr>
      <w:r>
        <w:rPr>
          <w:noProof/>
        </w:rPr>
        <w:t>Le 30 juin 2015, le CIEM a émis un avis sur le sprat de la mer du Nord, qui couvre la période allant de juillet 2015 à juin 2016 et autorise pour cette période un volume total de captures désirées de 506 000 tonnes au maximum. L’avis positif est dû principalement à un niveau record de recrutement, ainsi qu'à de nouvelles estimations de mortalité et des données d'entrée du modèle mises à jour.</w:t>
      </w:r>
    </w:p>
    <w:p>
      <w:pPr>
        <w:rPr>
          <w:noProof/>
        </w:rPr>
      </w:pPr>
      <w:r>
        <w:rPr>
          <w:noProof/>
        </w:rPr>
        <w:t>Étant donné que, dans l’Union européenne, les possibilités de pêche sont fixées annuellement, il convient que les possibilités de pêche pour 2015 soient modifiées afin de prévoir une augmentation partielle du total admissible des captures pour le sprat. Cette augmentation partielle des possibilités de pêche pour 2015 sera prise en compte dans la proposition des possibilités de pêche pour 2016.</w:t>
      </w:r>
    </w:p>
    <w:p>
      <w:pPr>
        <w:rPr>
          <w:noProof/>
        </w:rPr>
      </w:pPr>
      <w:r>
        <w:rPr>
          <w:noProof/>
        </w:rPr>
        <w:t>Selon l’avis le plus récent émis par le CIEM, le hareng dans la division CIEM III a se situe dans les limites biologiques raisonnables conformément à la définition de l’article 4, point 18), du règlement (UE) n° 1380/2013, et aux fins de l’article 15, paragraphe 8, dudit règlement.</w:t>
      </w:r>
    </w:p>
    <w:p>
      <w:pPr>
        <w:rPr>
          <w:noProof/>
        </w:rPr>
      </w:pPr>
      <w:r>
        <w:rPr>
          <w:noProof/>
        </w:rPr>
        <w:t>Le stock de hareng dans la division VII a au sud de 52° 30′ N et les divisions VII g, h, j, k (mer d’Irlande, mer Celtique et sud-ouest de l’Irlande) a été évalué en 2015 et le modèle d’évaluation a été modifié. L'évaluation a entraîné un changement dans la perception du stock et une forte augmentation du TAC est possible pour 2016 d'après l’avis du CIEM. Étant donné qu’il s’agit d’une pêcherie d’automne, il est utile pour le secteur de la pêche de prévoir une légère augmentation des possibilités de pêche dès 2015, cela ne portant pas préjudice au stock. Cette augmentation partielle des possibilités de pêche pour 2015 sera prise en compte dans la proposition des possibilités de pêche pour 2016.</w:t>
      </w:r>
    </w:p>
    <w:p>
      <w:pPr>
        <w:rPr>
          <w:noProof/>
        </w:rPr>
      </w:pPr>
      <w:r>
        <w:rPr>
          <w:noProof/>
        </w:rPr>
        <w:t>Le TAC pour le tacaud norvégien dans la division CIEM III a et dans les eaux de l'Union de la division II a et la sous-zone IV s'applique actuellement du 1</w:t>
      </w:r>
      <w:r>
        <w:rPr>
          <w:noProof/>
          <w:vertAlign w:val="superscript"/>
        </w:rPr>
        <w:t>er</w:t>
      </w:r>
      <w:r>
        <w:rPr>
          <w:noProof/>
        </w:rPr>
        <w:t xml:space="preserve"> janvier au 31 octobre 2015. Étant donné que le CIEM ne rendra son avis qu'au dernier trimestre 2015, il convient de prolonger la période d'application de ce TAC jusqu'à la fin de l'année 2015 afin d'éviter que ce stock ne soit pas couvert par un TAC entre le 1</w:t>
      </w:r>
      <w:r>
        <w:rPr>
          <w:noProof/>
          <w:vertAlign w:val="superscript"/>
        </w:rPr>
        <w:t>er</w:t>
      </w:r>
      <w:r>
        <w:rPr>
          <w:noProof/>
        </w:rPr>
        <w:t xml:space="preserve"> novembre et le 31 décembre 2015.</w:t>
      </w:r>
    </w:p>
    <w:p>
      <w:pPr>
        <w:rPr>
          <w:noProof/>
        </w:rPr>
      </w:pPr>
      <w:r>
        <w:rPr>
          <w:noProof/>
        </w:rPr>
        <w:lastRenderedPageBreak/>
        <w:t>À la suite de consultations avec la Norvège, un total admissible des captures de 1 500 tonnes peut à présent être fixé pour les sébastes de l'Atlantique dans les eaux norvégiennes des zones I et II. La proposition de la Commission intègre cet accord et établit le quota de l’Union et les quotas des États membres concernés.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proposition est cohérente avec la politique commune de la pêche, telle que définie dans le règlement (UE) n° 1380/2013.</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est cohérente avec les autres politiques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 xml:space="preserve">La base juridique de la proposition est l’article 43, paragraphe 3, du traité.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La proposition relève de la compétence exclusive de l’Union européenne.</w:t>
      </w:r>
    </w:p>
    <w:p>
      <w:pPr>
        <w:pStyle w:val="ManualHeading2"/>
        <w:rPr>
          <w:rFonts w:eastAsia="Arial Unicode MS"/>
          <w:noProof/>
          <w:u w:color="000000"/>
          <w:bdr w:val="nil"/>
        </w:rPr>
      </w:pPr>
      <w:r>
        <w:rPr>
          <w:noProof/>
        </w:rPr>
        <w:t>•</w:t>
      </w:r>
      <w:r>
        <w:rPr>
          <w:noProof/>
        </w:rPr>
        <w:tab/>
        <w:t>Proportionnalité</w:t>
      </w:r>
    </w:p>
    <w:p>
      <w:pPr>
        <w:rPr>
          <w:noProof/>
        </w:rPr>
      </w:pPr>
      <w:r>
        <w:rPr>
          <w:noProof/>
        </w:rPr>
        <w:t>La proposition relève du champ d'application des compétences prévues par l'article 43, paragraphe 3, du TFUE et ne va pas au-delà de ce qui est nécessaire pour atteindre l'objectif de cette disposition.</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Le traité prévoit un règlement du Conseil.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Consultation des acteurs concernés</w:t>
      </w:r>
    </w:p>
    <w:p>
      <w:pPr>
        <w:pBdr>
          <w:top w:val="nil"/>
          <w:left w:val="nil"/>
          <w:bottom w:val="nil"/>
          <w:right w:val="nil"/>
          <w:between w:val="nil"/>
          <w:bar w:val="nil"/>
        </w:pBdr>
        <w:spacing w:before="0" w:after="240"/>
        <w:rPr>
          <w:noProof/>
        </w:rPr>
      </w:pPr>
      <w:r>
        <w:rPr>
          <w:noProof/>
        </w:rPr>
        <w:t>La proposition est fondée sur l'avis scientifique du CIEM et aucune consultation formelle des parties prenantes n'est nécessaire en raison de l’incidence limitée de la proposition.</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La proposition est fondée sur l'avis scientifique du CIEM.</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proposition est fondée sur l'avis scientifique du CIEM et est conforme aux objectifs de la politique commune de la pêche.</w:t>
      </w:r>
    </w:p>
    <w:p>
      <w:pPr>
        <w:pStyle w:val="ManualHeading1"/>
        <w:rPr>
          <w:noProof/>
        </w:rPr>
      </w:pPr>
      <w:r>
        <w:rPr>
          <w:noProof/>
        </w:rPr>
        <w:lastRenderedPageBreak/>
        <w:t>4.</w:t>
      </w:r>
      <w:r>
        <w:rPr>
          <w:noProof/>
        </w:rPr>
        <w:tab/>
        <w:t>INCIDENCE BUDGÉTAIRE</w:t>
      </w:r>
    </w:p>
    <w:p>
      <w:pPr>
        <w:pBdr>
          <w:top w:val="nil"/>
          <w:left w:val="nil"/>
          <w:bottom w:val="nil"/>
          <w:right w:val="nil"/>
          <w:between w:val="nil"/>
          <w:bar w:val="nil"/>
        </w:pBdr>
        <w:spacing w:before="0" w:after="240"/>
        <w:rPr>
          <w:noProof/>
        </w:rPr>
      </w:pPr>
      <w:r>
        <w:rPr>
          <w:noProof/>
        </w:rPr>
        <w:t>Les mesures proposées n’auront pas d’incidence budgétaire.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2015/0236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2015/104 en ce qui concerne certaines possibilités de pêche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Selon l’avis le plus récent rendu par le CIEM, le hareng dans la division CIEM III a se situe dans les limites biologiques raisonnables conformément à la définition de l’article 4, point 18), du règlement (UE) n° 1380/2013</w:t>
      </w:r>
      <w:r>
        <w:rPr>
          <w:rStyle w:val="FootnoteReference"/>
          <w:noProof/>
        </w:rPr>
        <w:footnoteReference w:id="1"/>
      </w:r>
      <w:r>
        <w:rPr>
          <w:noProof/>
        </w:rPr>
        <w:t>. Il convient en conséquence que ce stock soit recensé à l’annexe I du règlement (UE) 2015/104 aux fins de l’application de la dérogation prévue à l’article 15, paragraphe 8, du règlement (UE) n° 1380/2013.</w:t>
      </w:r>
    </w:p>
    <w:p>
      <w:pPr>
        <w:pStyle w:val="ManualConsidrant"/>
        <w:rPr>
          <w:i/>
          <w:noProof/>
        </w:rPr>
      </w:pPr>
      <w:r>
        <w:t>(2)</w:t>
      </w:r>
      <w:r>
        <w:tab/>
      </w:r>
      <w:r>
        <w:rPr>
          <w:noProof/>
        </w:rPr>
        <w:t>L’avis scientifique indique qu’une légère augmentation du total admissible des captures (TAC) de 2015 pour le hareng dans les divisions CIEM VII g, VII h, VII j et VII k est possible et est compatible avec les objectifs de la politique commune de la pêche énoncés à l’article 2, paragraphe 2, du règlement (UE) n° 1380/2013.</w:t>
      </w:r>
    </w:p>
    <w:p>
      <w:pPr>
        <w:pStyle w:val="ManualConsidrant"/>
        <w:rPr>
          <w:noProof/>
        </w:rPr>
      </w:pPr>
      <w:r>
        <w:t>(3)</w:t>
      </w:r>
      <w:r>
        <w:tab/>
      </w:r>
      <w:r>
        <w:rPr>
          <w:noProof/>
        </w:rPr>
        <w:t>Le 30 juin 2015, le Conseil international pour l’exploration de la mer (CIEM) a émis un avis en ce qui concerne le sprat dans les eaux de l’Union de la division CIEM II a et de la sous-zone CIEM IV qui couvre la période allant de juillet 2015 à juin 2016 et prévoit un volume total de captures désirées de 506 000 tonnes. Cet avis est dû principalement à un niveau record de recrutement, à de nouvelles estimations de mortalité et à des données d'entrée du modèle mises à jour.</w:t>
      </w:r>
    </w:p>
    <w:p>
      <w:pPr>
        <w:pStyle w:val="ManualConsidrant"/>
        <w:rPr>
          <w:noProof/>
        </w:rPr>
      </w:pPr>
      <w:r>
        <w:t>(4)</w:t>
      </w:r>
      <w:r>
        <w:tab/>
      </w:r>
      <w:r>
        <w:rPr>
          <w:noProof/>
        </w:rPr>
        <w:t>Le TAC pour le sprat dans les eaux de l’Union de la division CIEM II a et de la sous-zone CIEM IV pour l’année 2015 est actuellement fixé à 227 000 tonnes par le règlement (UE) 2015/104 du Conseil</w:t>
      </w:r>
      <w:r>
        <w:rPr>
          <w:rStyle w:val="FootnoteReference"/>
          <w:noProof/>
        </w:rPr>
        <w:footnoteReference w:id="2"/>
      </w:r>
      <w:r>
        <w:rPr>
          <w:noProof/>
        </w:rPr>
        <w:t>. Il y a lieu d’augmenter ce TAC, sur la base de l’avis du CIEM du 30 juin 2015, afin de permettre une exploitation optimale de ce stock.</w:t>
      </w:r>
    </w:p>
    <w:p>
      <w:pPr>
        <w:pStyle w:val="ManualConsidrant"/>
        <w:rPr>
          <w:noProof/>
        </w:rPr>
      </w:pPr>
      <w:r>
        <w:lastRenderedPageBreak/>
        <w:t>(5)</w:t>
      </w:r>
      <w:r>
        <w:tab/>
      </w:r>
      <w:r>
        <w:rPr>
          <w:noProof/>
        </w:rPr>
        <w:t>Étant donné que l’avis du CIEM couvre la période allant de juillet 2015 à juin 2016, il convient de ne prendre en compte qu'une partie du volume maximal de captures conseillé par le CIEM aux fins de l'augmentation des possibilités de pêche pour l’année 2015.</w:t>
      </w:r>
    </w:p>
    <w:p>
      <w:pPr>
        <w:pStyle w:val="ManualConsidrant"/>
        <w:rPr>
          <w:noProof/>
        </w:rPr>
      </w:pPr>
      <w:r>
        <w:t>(6)</w:t>
      </w:r>
      <w:r>
        <w:tab/>
      </w:r>
      <w:r>
        <w:rPr>
          <w:noProof/>
        </w:rPr>
        <w:t>Le TAC pour le tacaud norvégien dans la division CIEM III a et dans les eaux de l'Union de la division II a et de la sous-zone IV s'applique actuellement du 1</w:t>
      </w:r>
      <w:r>
        <w:rPr>
          <w:noProof/>
          <w:vertAlign w:val="superscript"/>
        </w:rPr>
        <w:t>er</w:t>
      </w:r>
      <w:r>
        <w:rPr>
          <w:noProof/>
        </w:rPr>
        <w:t xml:space="preserve"> janvier au 31 octobre 2015. Étant donné que le CIEM ne rendra son avis qu'au dernier trimestre 2015, il convient de prolonger la période d'application du TAC pour le tacaud norvégien dans cette zone jusqu'à la fin de l'année 2015.</w:t>
      </w:r>
    </w:p>
    <w:p>
      <w:pPr>
        <w:pStyle w:val="ManualConsidrant"/>
        <w:rPr>
          <w:noProof/>
        </w:rPr>
      </w:pPr>
      <w:r>
        <w:t>(7)</w:t>
      </w:r>
      <w:r>
        <w:tab/>
      </w:r>
      <w:r>
        <w:rPr>
          <w:noProof/>
        </w:rPr>
        <w:t>À la suite d’un transfert en provenance de la Norvège, les navires de l’Union seront autorisés à pêcher 1 500 tonnes de sébastes de l’Atlantique dans les eaux norvégiennes des sous-zones CIEM I et II.</w:t>
      </w:r>
    </w:p>
    <w:p>
      <w:pPr>
        <w:pStyle w:val="ManualConsidrant"/>
        <w:rPr>
          <w:noProof/>
        </w:rPr>
      </w:pPr>
      <w:r>
        <w:t>(8)</w:t>
      </w:r>
      <w:r>
        <w:tab/>
      </w:r>
      <w:r>
        <w:rPr>
          <w:noProof/>
        </w:rPr>
        <w:t>Il convient dès lors de modifier le règlement (UE) n° 2015/104 en conséquence,</w:t>
      </w:r>
    </w:p>
    <w:p>
      <w:pPr>
        <w:pStyle w:val="Formuledadoption"/>
        <w:rPr>
          <w:noProof/>
        </w:rPr>
      </w:pPr>
      <w:r>
        <w:rPr>
          <w:noProof/>
        </w:rPr>
        <w:t>A ADOPTÉ LE PRÉSENT RÈGLEMENT:</w:t>
      </w:r>
    </w:p>
    <w:p>
      <w:pPr>
        <w:pStyle w:val="Titrearticle"/>
        <w:rPr>
          <w:noProof/>
        </w:rPr>
      </w:pPr>
      <w:r>
        <w:rPr>
          <w:noProof/>
        </w:rPr>
        <w:t>Article premier</w:t>
      </w:r>
      <w:r>
        <w:rPr>
          <w:noProof/>
        </w:rPr>
        <w:br/>
      </w:r>
    </w:p>
    <w:p>
      <w:pPr>
        <w:rPr>
          <w:noProof/>
        </w:rPr>
      </w:pPr>
      <w:r>
        <w:rPr>
          <w:noProof/>
        </w:rPr>
        <w:t xml:space="preserve">Le règlement (UE) 2015/104 est modifié comme suit: </w:t>
      </w:r>
    </w:p>
    <w:p>
      <w:pPr>
        <w:pStyle w:val="ManualNumPar1"/>
        <w:rPr>
          <w:noProof/>
        </w:rPr>
      </w:pPr>
      <w:r>
        <w:t>1.</w:t>
      </w:r>
      <w:r>
        <w:tab/>
      </w:r>
      <w:r>
        <w:rPr>
          <w:noProof/>
        </w:rPr>
        <w:t>L'annexe I A est modifiée comme suit:</w:t>
      </w:r>
    </w:p>
    <w:p>
      <w:pPr>
        <w:pStyle w:val="Point1"/>
        <w:rPr>
          <w:noProof/>
        </w:rPr>
      </w:pPr>
      <w:r>
        <w:rPr>
          <w:noProof/>
        </w:rPr>
        <w:t>a)</w:t>
      </w:r>
      <w:r>
        <w:rPr>
          <w:noProof/>
        </w:rPr>
        <w:tab/>
        <w:t>les possibilités de pêche pour le hareng commun (</w:t>
      </w:r>
      <w:r>
        <w:rPr>
          <w:i/>
          <w:noProof/>
        </w:rPr>
        <w:t>Clupea harengus</w:t>
      </w:r>
      <w:r>
        <w:rPr>
          <w:noProof/>
        </w:rPr>
        <w:t>) dans la zone III a sont remplacées par le texte suivant:</w:t>
      </w:r>
    </w:p>
    <w:tbl>
      <w:tblPr>
        <w:tblW w:w="9453" w:type="dxa"/>
        <w:tblInd w:w="108" w:type="dxa"/>
        <w:tblLook w:val="04A0" w:firstRow="1" w:lastRow="0" w:firstColumn="1" w:lastColumn="0" w:noHBand="0" w:noVBand="1"/>
      </w:tblPr>
      <w:tblGrid>
        <w:gridCol w:w="1316"/>
        <w:gridCol w:w="2543"/>
        <w:gridCol w:w="961"/>
        <w:gridCol w:w="425"/>
        <w:gridCol w:w="2922"/>
        <w:gridCol w:w="764"/>
        <w:gridCol w:w="261"/>
        <w:gridCol w:w="261"/>
      </w:tblGrid>
      <w:tr>
        <w:trPr>
          <w:trHeight w:val="330"/>
        </w:trPr>
        <w:tc>
          <w:tcPr>
            <w:tcW w:w="1316" w:type="dxa"/>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Espèce:</w:t>
            </w:r>
          </w:p>
        </w:tc>
        <w:tc>
          <w:tcPr>
            <w:tcW w:w="2543" w:type="dxa"/>
            <w:tcBorders>
              <w:top w:val="single" w:sz="8" w:space="0" w:color="000000"/>
              <w:left w:val="nil"/>
              <w:bottom w:val="nil"/>
              <w:right w:val="nil"/>
            </w:tcBorders>
            <w:shd w:val="clear" w:color="auto" w:fill="auto"/>
            <w:noWrap/>
            <w:hideMark/>
          </w:tcPr>
          <w:p>
            <w:pPr>
              <w:spacing w:before="0" w:after="0"/>
              <w:jc w:val="left"/>
              <w:rPr>
                <w:rFonts w:eastAsia="Times New Roman"/>
                <w:noProof/>
                <w:sz w:val="18"/>
                <w:szCs w:val="18"/>
              </w:rPr>
            </w:pPr>
            <w:r>
              <w:rPr>
                <w:noProof/>
                <w:sz w:val="18"/>
              </w:rPr>
              <w:t xml:space="preserve">Hareng commun </w:t>
            </w:r>
            <w:r>
              <w:rPr>
                <w:noProof/>
                <w:sz w:val="18"/>
                <w:vertAlign w:val="superscript"/>
              </w:rPr>
              <w:t>(1)</w:t>
            </w:r>
          </w:p>
        </w:tc>
        <w:tc>
          <w:tcPr>
            <w:tcW w:w="961" w:type="dxa"/>
            <w:tcBorders>
              <w:top w:val="single" w:sz="8" w:space="0" w:color="000000"/>
              <w:left w:val="nil"/>
              <w:bottom w:val="nil"/>
              <w:right w:val="nil"/>
            </w:tcBorders>
            <w:shd w:val="clear" w:color="auto" w:fill="auto"/>
            <w:noWrap/>
            <w:hideMark/>
          </w:tcPr>
          <w:p>
            <w:pPr>
              <w:spacing w:before="0" w:after="0"/>
              <w:jc w:val="right"/>
              <w:rPr>
                <w:rFonts w:eastAsia="Times New Roman"/>
                <w:noProof/>
                <w:color w:val="000000"/>
                <w:sz w:val="18"/>
                <w:szCs w:val="18"/>
              </w:rPr>
            </w:pPr>
            <w:r>
              <w:rPr>
                <w:noProof/>
                <w:color w:val="000000"/>
                <w:sz w:val="18"/>
              </w:rPr>
              <w:t> </w:t>
            </w:r>
          </w:p>
        </w:tc>
        <w:tc>
          <w:tcPr>
            <w:tcW w:w="425" w:type="dxa"/>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c>
          <w:tcPr>
            <w:tcW w:w="2922" w:type="dxa"/>
            <w:tcBorders>
              <w:top w:val="single" w:sz="8" w:space="0" w:color="000000"/>
              <w:left w:val="single" w:sz="8" w:space="0" w:color="000000"/>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Zone:</w:t>
            </w:r>
          </w:p>
        </w:tc>
        <w:tc>
          <w:tcPr>
            <w:tcW w:w="1286" w:type="dxa"/>
            <w:gridSpan w:val="3"/>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Zone III a </w:t>
            </w:r>
          </w:p>
          <w:p>
            <w:pPr>
              <w:spacing w:before="0" w:after="0"/>
              <w:jc w:val="left"/>
              <w:rPr>
                <w:rFonts w:eastAsia="Times New Roman"/>
                <w:noProof/>
                <w:color w:val="000000"/>
                <w:sz w:val="18"/>
                <w:szCs w:val="18"/>
              </w:rPr>
            </w:pPr>
            <w:r>
              <w:rPr>
                <w:noProof/>
                <w:color w:val="000000"/>
                <w:sz w:val="18"/>
              </w:rPr>
              <w:t> </w:t>
            </w:r>
          </w:p>
        </w:tc>
      </w:tr>
      <w:tr>
        <w:trPr>
          <w:trHeight w:val="330"/>
        </w:trPr>
        <w:tc>
          <w:tcPr>
            <w:tcW w:w="1316" w:type="dxa"/>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c>
          <w:tcPr>
            <w:tcW w:w="3504" w:type="dxa"/>
            <w:gridSpan w:val="2"/>
            <w:tcBorders>
              <w:top w:val="nil"/>
              <w:left w:val="nil"/>
              <w:bottom w:val="single" w:sz="8" w:space="0" w:color="000000"/>
              <w:right w:val="nil"/>
            </w:tcBorders>
            <w:shd w:val="clear" w:color="auto" w:fill="auto"/>
            <w:noWrap/>
            <w:hideMark/>
          </w:tcPr>
          <w:p>
            <w:pPr>
              <w:spacing w:before="0" w:after="0"/>
              <w:jc w:val="left"/>
              <w:rPr>
                <w:rFonts w:eastAsia="Times New Roman"/>
                <w:i/>
                <w:iCs/>
                <w:noProof/>
                <w:sz w:val="18"/>
                <w:szCs w:val="18"/>
              </w:rPr>
            </w:pPr>
            <w:r>
              <w:rPr>
                <w:i/>
                <w:noProof/>
                <w:sz w:val="18"/>
              </w:rPr>
              <w:t>Clupea harengus</w:t>
            </w:r>
          </w:p>
        </w:tc>
        <w:tc>
          <w:tcPr>
            <w:tcW w:w="425" w:type="dxa"/>
            <w:tcBorders>
              <w:top w:val="nil"/>
              <w:left w:val="nil"/>
              <w:bottom w:val="single" w:sz="8" w:space="0" w:color="000000"/>
              <w:right w:val="nil"/>
            </w:tcBorders>
            <w:shd w:val="clear" w:color="auto" w:fill="auto"/>
            <w:noWrap/>
            <w:hideMark/>
          </w:tcPr>
          <w:p>
            <w:pPr>
              <w:spacing w:before="0" w:after="0"/>
              <w:jc w:val="left"/>
              <w:rPr>
                <w:rFonts w:eastAsia="Times New Roman"/>
                <w:i/>
                <w:iCs/>
                <w:noProof/>
                <w:color w:val="000000"/>
                <w:sz w:val="18"/>
                <w:szCs w:val="18"/>
              </w:rPr>
            </w:pPr>
            <w:r>
              <w:rPr>
                <w:i/>
                <w:noProof/>
                <w:color w:val="000000"/>
                <w:sz w:val="18"/>
              </w:rPr>
              <w:t> </w:t>
            </w:r>
          </w:p>
        </w:tc>
        <w:tc>
          <w:tcPr>
            <w:tcW w:w="2922" w:type="dxa"/>
            <w:tcBorders>
              <w:top w:val="nil"/>
              <w:left w:val="single" w:sz="8" w:space="0" w:color="000000"/>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c>
          <w:tcPr>
            <w:tcW w:w="1286" w:type="dxa"/>
            <w:gridSpan w:val="3"/>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(HER/03A.)</w:t>
            </w:r>
          </w:p>
          <w:p>
            <w:pPr>
              <w:spacing w:before="0" w:after="0"/>
              <w:jc w:val="left"/>
              <w:rPr>
                <w:rFonts w:eastAsia="Times New Roman"/>
                <w:noProof/>
                <w:color w:val="000000"/>
                <w:sz w:val="18"/>
                <w:szCs w:val="18"/>
              </w:rPr>
            </w:pPr>
            <w:r>
              <w:rPr>
                <w:noProof/>
                <w:color w:val="000000"/>
                <w:sz w:val="18"/>
              </w:rPr>
              <w:t> </w:t>
            </w: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Danemark</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rPr>
              <w:t> </w:t>
            </w: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rPr>
            </w:pPr>
            <w:r>
              <w:rPr>
                <w:noProof/>
                <w:color w:val="000000"/>
                <w:sz w:val="18"/>
              </w:rPr>
              <w:t>18 034</w:t>
            </w:r>
          </w:p>
        </w:tc>
        <w:tc>
          <w:tcPr>
            <w:tcW w:w="42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(2)</w:t>
            </w:r>
          </w:p>
        </w:tc>
        <w:tc>
          <w:tcPr>
            <w:tcW w:w="3686" w:type="dxa"/>
            <w:gridSpan w:val="2"/>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TAC analytique</w:t>
            </w: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Allemagne</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rPr>
            </w:pPr>
            <w:r>
              <w:rPr>
                <w:noProof/>
                <w:color w:val="000000"/>
                <w:sz w:val="18"/>
              </w:rPr>
              <w:t xml:space="preserve"> 289</w:t>
            </w:r>
          </w:p>
        </w:tc>
        <w:tc>
          <w:tcPr>
            <w:tcW w:w="42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(2)</w:t>
            </w:r>
          </w:p>
        </w:tc>
        <w:tc>
          <w:tcPr>
            <w:tcW w:w="4208"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L'article 3 du règlement (CE) n° 847/96 ne s'applique pas.</w:t>
            </w: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Suède</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rPr>
            </w:pPr>
            <w:r>
              <w:rPr>
                <w:noProof/>
                <w:color w:val="000000"/>
                <w:sz w:val="18"/>
              </w:rPr>
              <w:t>18 865</w:t>
            </w:r>
          </w:p>
        </w:tc>
        <w:tc>
          <w:tcPr>
            <w:tcW w:w="42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(2)</w:t>
            </w:r>
          </w:p>
        </w:tc>
        <w:tc>
          <w:tcPr>
            <w:tcW w:w="4208"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L'article 4 du règlement (CE) n° 847/96 ne s'applique pas.</w:t>
            </w: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Union</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rPr>
            </w:pPr>
            <w:r>
              <w:rPr>
                <w:noProof/>
                <w:color w:val="000000"/>
                <w:sz w:val="18"/>
              </w:rPr>
              <w:t>37 188</w:t>
            </w:r>
          </w:p>
        </w:tc>
        <w:tc>
          <w:tcPr>
            <w:tcW w:w="42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(2)</w:t>
            </w:r>
          </w:p>
        </w:tc>
        <w:tc>
          <w:tcPr>
            <w:tcW w:w="3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L'article 7, paragraphe 3, du présent règlement s'applique.</w:t>
            </w: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Norvège</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rPr>
            </w:pPr>
            <w:r>
              <w:rPr>
                <w:noProof/>
                <w:color w:val="000000"/>
                <w:sz w:val="18"/>
              </w:rPr>
              <w:t>5 816</w:t>
            </w:r>
          </w:p>
        </w:tc>
        <w:tc>
          <w:tcPr>
            <w:tcW w:w="425"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color w:val="000000"/>
                <w:sz w:val="16"/>
                <w:szCs w:val="16"/>
              </w:rPr>
            </w:pPr>
          </w:p>
        </w:tc>
        <w:tc>
          <w:tcPr>
            <w:tcW w:w="2922"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color w:val="000000"/>
                <w:sz w:val="16"/>
                <w:szCs w:val="16"/>
              </w:rPr>
            </w:pPr>
          </w:p>
        </w:tc>
        <w:tc>
          <w:tcPr>
            <w:tcW w:w="764"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Îles Féroé</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rPr>
            </w:pPr>
            <w:r>
              <w:rPr>
                <w:noProof/>
                <w:color w:val="000000"/>
                <w:sz w:val="18"/>
              </w:rPr>
              <w:t xml:space="preserve"> 600</w:t>
            </w:r>
          </w:p>
        </w:tc>
        <w:tc>
          <w:tcPr>
            <w:tcW w:w="42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(3)</w:t>
            </w:r>
          </w:p>
        </w:tc>
        <w:tc>
          <w:tcPr>
            <w:tcW w:w="2922"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color w:val="000000"/>
                <w:sz w:val="16"/>
                <w:szCs w:val="16"/>
              </w:rPr>
            </w:pPr>
          </w:p>
        </w:tc>
        <w:tc>
          <w:tcPr>
            <w:tcW w:w="764"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TAC</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rPr>
            </w:pPr>
            <w:r>
              <w:rPr>
                <w:noProof/>
                <w:color w:val="000000"/>
                <w:sz w:val="18"/>
              </w:rPr>
              <w:t>43 604</w:t>
            </w:r>
          </w:p>
        </w:tc>
        <w:tc>
          <w:tcPr>
            <w:tcW w:w="42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922"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764"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w:t>
            </w:r>
          </w:p>
        </w:tc>
        <w:tc>
          <w:tcPr>
            <w:tcW w:w="6851" w:type="dxa"/>
            <w:gridSpan w:val="4"/>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vertAlign w:val="superscript"/>
              </w:rPr>
              <w:t>Captures de hareng commun effectuées dans des pêcheries utilisant des filets dont le maillage est supérieur ou égal à 32 mm.</w:t>
            </w:r>
          </w:p>
        </w:tc>
        <w:tc>
          <w:tcPr>
            <w:tcW w:w="764"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(2)</w:t>
            </w:r>
          </w:p>
        </w:tc>
        <w:tc>
          <w:tcPr>
            <w:tcW w:w="6851" w:type="dxa"/>
            <w:gridSpan w:val="4"/>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vertAlign w:val="superscript"/>
              </w:rPr>
              <w:t>Condition particulière: jusqu'à 50 % de cette quantité peuvent être pêchés dans les eaux de l'Union de la zone IV (HER/*04-C.).</w:t>
            </w:r>
          </w:p>
        </w:tc>
        <w:tc>
          <w:tcPr>
            <w:tcW w:w="764"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trHeight w:val="330"/>
        </w:trPr>
        <w:tc>
          <w:tcPr>
            <w:tcW w:w="1316" w:type="dxa"/>
            <w:tcBorders>
              <w:top w:val="nil"/>
              <w:left w:val="nil"/>
              <w:bottom w:val="single" w:sz="4" w:space="0" w:color="auto"/>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(3)</w:t>
            </w:r>
          </w:p>
        </w:tc>
        <w:tc>
          <w:tcPr>
            <w:tcW w:w="6851" w:type="dxa"/>
            <w:gridSpan w:val="4"/>
            <w:tcBorders>
              <w:top w:val="nil"/>
              <w:left w:val="nil"/>
              <w:bottom w:val="single" w:sz="4" w:space="0" w:color="auto"/>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vertAlign w:val="superscript"/>
              </w:rPr>
              <w:t>Ne peut être pêché que dans le Skagerrak (HER/*03AN.).</w:t>
            </w:r>
          </w:p>
          <w:p>
            <w:pPr>
              <w:spacing w:before="0" w:after="0"/>
              <w:jc w:val="left"/>
              <w:rPr>
                <w:rFonts w:eastAsia="Times New Roman"/>
                <w:noProof/>
                <w:color w:val="000000"/>
                <w:sz w:val="18"/>
                <w:szCs w:val="18"/>
              </w:rPr>
            </w:pPr>
            <w:r>
              <w:rPr>
                <w:noProof/>
                <w:color w:val="000000"/>
                <w:sz w:val="18"/>
              </w:rPr>
              <w:t> </w:t>
            </w:r>
          </w:p>
        </w:tc>
        <w:tc>
          <w:tcPr>
            <w:tcW w:w="764" w:type="dxa"/>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c>
          <w:tcPr>
            <w:tcW w:w="261" w:type="dxa"/>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c>
          <w:tcPr>
            <w:tcW w:w="261" w:type="dxa"/>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r>
    </w:tbl>
    <w:p>
      <w:pPr>
        <w:pStyle w:val="Point1"/>
        <w:rPr>
          <w:noProof/>
        </w:rPr>
      </w:pPr>
      <w:r>
        <w:rPr>
          <w:noProof/>
        </w:rPr>
        <w:t>b)</w:t>
      </w:r>
      <w:r>
        <w:rPr>
          <w:noProof/>
        </w:rPr>
        <w:tab/>
        <w:t>les possibilités de pêche pour le hareng commun (</w:t>
      </w:r>
      <w:r>
        <w:rPr>
          <w:i/>
          <w:noProof/>
        </w:rPr>
        <w:t>Clupea harengus</w:t>
      </w:r>
      <w:r>
        <w:rPr>
          <w:noProof/>
        </w:rPr>
        <w:t>) dans les zones VII g, VII h, VII j et VII k sont remplacées par le texte suivant:</w:t>
      </w:r>
    </w:p>
    <w:tbl>
      <w:tblPr>
        <w:tblW w:w="5151" w:type="pct"/>
        <w:tblLayout w:type="fixed"/>
        <w:tblLook w:val="04A0" w:firstRow="1" w:lastRow="0" w:firstColumn="1" w:lastColumn="0" w:noHBand="0" w:noVBand="1"/>
      </w:tblPr>
      <w:tblGrid>
        <w:gridCol w:w="1022"/>
        <w:gridCol w:w="2592"/>
        <w:gridCol w:w="1213"/>
        <w:gridCol w:w="526"/>
        <w:gridCol w:w="1734"/>
        <w:gridCol w:w="1154"/>
        <w:gridCol w:w="1093"/>
        <w:gridCol w:w="236"/>
      </w:tblGrid>
      <w:tr>
        <w:trPr>
          <w:trHeight w:val="20"/>
        </w:trPr>
        <w:tc>
          <w:tcPr>
            <w:tcW w:w="534" w:type="pct"/>
            <w:tcBorders>
              <w:top w:val="single" w:sz="4" w:space="0" w:color="auto"/>
            </w:tcBorders>
            <w:noWrap/>
            <w:hideMark/>
          </w:tcPr>
          <w:p>
            <w:pPr>
              <w:spacing w:after="0"/>
              <w:rPr>
                <w:noProof/>
                <w:color w:val="000000"/>
                <w:sz w:val="18"/>
                <w:szCs w:val="18"/>
              </w:rPr>
            </w:pPr>
            <w:r>
              <w:rPr>
                <w:noProof/>
                <w:color w:val="000000"/>
                <w:sz w:val="18"/>
              </w:rPr>
              <w:t>Espèce:</w:t>
            </w:r>
          </w:p>
        </w:tc>
        <w:tc>
          <w:tcPr>
            <w:tcW w:w="1354" w:type="pct"/>
            <w:tcBorders>
              <w:top w:val="single" w:sz="4" w:space="0" w:color="auto"/>
            </w:tcBorders>
            <w:noWrap/>
            <w:hideMark/>
          </w:tcPr>
          <w:p>
            <w:pPr>
              <w:spacing w:after="0"/>
              <w:rPr>
                <w:noProof/>
                <w:sz w:val="18"/>
                <w:szCs w:val="18"/>
              </w:rPr>
            </w:pPr>
            <w:r>
              <w:rPr>
                <w:noProof/>
                <w:sz w:val="18"/>
              </w:rPr>
              <w:t>Hareng commun</w:t>
            </w:r>
          </w:p>
        </w:tc>
        <w:tc>
          <w:tcPr>
            <w:tcW w:w="634" w:type="pct"/>
            <w:tcBorders>
              <w:top w:val="single" w:sz="4" w:space="0" w:color="auto"/>
            </w:tcBorders>
            <w:noWrap/>
            <w:hideMark/>
          </w:tcPr>
          <w:p>
            <w:pPr>
              <w:spacing w:after="0"/>
              <w:jc w:val="right"/>
              <w:rPr>
                <w:noProof/>
                <w:color w:val="000000"/>
                <w:sz w:val="18"/>
                <w:szCs w:val="18"/>
              </w:rPr>
            </w:pPr>
            <w:r>
              <w:rPr>
                <w:noProof/>
                <w:color w:val="000000"/>
                <w:sz w:val="18"/>
              </w:rPr>
              <w:t> </w:t>
            </w:r>
          </w:p>
        </w:tc>
        <w:tc>
          <w:tcPr>
            <w:tcW w:w="275" w:type="pct"/>
            <w:tcBorders>
              <w:top w:val="single" w:sz="4" w:space="0" w:color="auto"/>
            </w:tcBorders>
            <w:noWrap/>
            <w:hideMark/>
          </w:tcPr>
          <w:p>
            <w:pPr>
              <w:spacing w:after="0"/>
              <w:rPr>
                <w:noProof/>
                <w:color w:val="000000"/>
                <w:sz w:val="18"/>
                <w:szCs w:val="18"/>
              </w:rPr>
            </w:pPr>
            <w:r>
              <w:rPr>
                <w:noProof/>
                <w:color w:val="000000"/>
                <w:sz w:val="18"/>
              </w:rPr>
              <w:t> </w:t>
            </w:r>
          </w:p>
        </w:tc>
        <w:tc>
          <w:tcPr>
            <w:tcW w:w="906" w:type="pct"/>
            <w:tcBorders>
              <w:top w:val="single" w:sz="4" w:space="0" w:color="auto"/>
              <w:left w:val="single" w:sz="8" w:space="0" w:color="000000"/>
              <w:bottom w:val="nil"/>
              <w:right w:val="nil"/>
            </w:tcBorders>
            <w:noWrap/>
            <w:hideMark/>
          </w:tcPr>
          <w:p>
            <w:pPr>
              <w:spacing w:after="0"/>
              <w:rPr>
                <w:noProof/>
                <w:color w:val="000000"/>
                <w:sz w:val="18"/>
                <w:szCs w:val="18"/>
              </w:rPr>
            </w:pPr>
            <w:r>
              <w:rPr>
                <w:noProof/>
                <w:color w:val="000000"/>
                <w:sz w:val="18"/>
              </w:rPr>
              <w:t>Zone:</w:t>
            </w:r>
          </w:p>
        </w:tc>
        <w:tc>
          <w:tcPr>
            <w:tcW w:w="1297" w:type="pct"/>
            <w:gridSpan w:val="3"/>
            <w:tcBorders>
              <w:top w:val="single" w:sz="4" w:space="0" w:color="auto"/>
              <w:left w:val="nil"/>
              <w:bottom w:val="nil"/>
              <w:right w:val="nil"/>
            </w:tcBorders>
            <w:noWrap/>
            <w:hideMark/>
          </w:tcPr>
          <w:p>
            <w:pPr>
              <w:spacing w:after="0"/>
              <w:rPr>
                <w:noProof/>
                <w:color w:val="000000"/>
                <w:sz w:val="18"/>
                <w:szCs w:val="18"/>
              </w:rPr>
            </w:pPr>
            <w:r>
              <w:rPr>
                <w:noProof/>
                <w:color w:val="000000"/>
                <w:sz w:val="18"/>
              </w:rPr>
              <w:t>Zones VII g</w:t>
            </w:r>
            <w:r>
              <w:rPr>
                <w:noProof/>
                <w:color w:val="000000"/>
                <w:sz w:val="18"/>
                <w:vertAlign w:val="superscript"/>
              </w:rPr>
              <w:t>(1)</w:t>
            </w:r>
            <w:r>
              <w:rPr>
                <w:noProof/>
                <w:color w:val="000000"/>
                <w:sz w:val="18"/>
              </w:rPr>
              <w:t>, VII h</w:t>
            </w:r>
            <w:r>
              <w:rPr>
                <w:noProof/>
                <w:color w:val="000000"/>
                <w:sz w:val="18"/>
                <w:vertAlign w:val="superscript"/>
              </w:rPr>
              <w:t>(1)</w:t>
            </w:r>
            <w:r>
              <w:rPr>
                <w:noProof/>
                <w:color w:val="000000"/>
                <w:sz w:val="18"/>
              </w:rPr>
              <w:t>, VII j</w:t>
            </w:r>
            <w:r>
              <w:rPr>
                <w:noProof/>
                <w:color w:val="000000"/>
                <w:sz w:val="18"/>
                <w:vertAlign w:val="superscript"/>
              </w:rPr>
              <w:t>(1)</w:t>
            </w:r>
            <w:r>
              <w:rPr>
                <w:noProof/>
                <w:color w:val="000000"/>
                <w:sz w:val="18"/>
              </w:rPr>
              <w:t xml:space="preserve"> et VII k</w:t>
            </w:r>
            <w:r>
              <w:rPr>
                <w:noProof/>
                <w:color w:val="000000"/>
                <w:sz w:val="18"/>
                <w:vertAlign w:val="superscript"/>
              </w:rPr>
              <w:t>(1)</w:t>
            </w:r>
          </w:p>
        </w:tc>
      </w:tr>
      <w:tr>
        <w:trPr>
          <w:trHeight w:val="20"/>
        </w:trPr>
        <w:tc>
          <w:tcPr>
            <w:tcW w:w="534" w:type="pct"/>
            <w:tcBorders>
              <w:top w:val="nil"/>
              <w:left w:val="nil"/>
              <w:bottom w:val="single" w:sz="8" w:space="0" w:color="000000"/>
              <w:right w:val="nil"/>
            </w:tcBorders>
            <w:noWrap/>
            <w:hideMark/>
          </w:tcPr>
          <w:p>
            <w:pPr>
              <w:spacing w:after="0"/>
              <w:rPr>
                <w:noProof/>
                <w:color w:val="000000"/>
                <w:sz w:val="18"/>
                <w:szCs w:val="18"/>
              </w:rPr>
            </w:pPr>
            <w:r>
              <w:rPr>
                <w:noProof/>
                <w:color w:val="000000"/>
                <w:sz w:val="18"/>
              </w:rPr>
              <w:t> </w:t>
            </w:r>
          </w:p>
        </w:tc>
        <w:tc>
          <w:tcPr>
            <w:tcW w:w="1988" w:type="pct"/>
            <w:gridSpan w:val="2"/>
            <w:tcBorders>
              <w:top w:val="nil"/>
              <w:left w:val="nil"/>
              <w:bottom w:val="single" w:sz="8" w:space="0" w:color="000000"/>
              <w:right w:val="nil"/>
            </w:tcBorders>
            <w:noWrap/>
            <w:hideMark/>
          </w:tcPr>
          <w:p>
            <w:pPr>
              <w:spacing w:after="0"/>
              <w:rPr>
                <w:i/>
                <w:iCs/>
                <w:noProof/>
                <w:sz w:val="18"/>
                <w:szCs w:val="18"/>
              </w:rPr>
            </w:pPr>
            <w:r>
              <w:rPr>
                <w:i/>
                <w:noProof/>
                <w:sz w:val="18"/>
              </w:rPr>
              <w:t>Clupea harengus</w:t>
            </w:r>
          </w:p>
        </w:tc>
        <w:tc>
          <w:tcPr>
            <w:tcW w:w="275" w:type="pct"/>
            <w:tcBorders>
              <w:top w:val="nil"/>
              <w:left w:val="nil"/>
              <w:bottom w:val="single" w:sz="8" w:space="0" w:color="000000"/>
              <w:right w:val="nil"/>
            </w:tcBorders>
            <w:noWrap/>
            <w:hideMark/>
          </w:tcPr>
          <w:p>
            <w:pPr>
              <w:spacing w:after="0"/>
              <w:rPr>
                <w:i/>
                <w:iCs/>
                <w:noProof/>
                <w:color w:val="000000"/>
                <w:sz w:val="18"/>
                <w:szCs w:val="18"/>
              </w:rPr>
            </w:pPr>
            <w:r>
              <w:rPr>
                <w:i/>
                <w:noProof/>
                <w:color w:val="000000"/>
                <w:sz w:val="18"/>
              </w:rPr>
              <w:t> </w:t>
            </w:r>
          </w:p>
        </w:tc>
        <w:tc>
          <w:tcPr>
            <w:tcW w:w="906" w:type="pct"/>
            <w:tcBorders>
              <w:top w:val="nil"/>
              <w:left w:val="single" w:sz="8" w:space="0" w:color="000000"/>
              <w:bottom w:val="single" w:sz="8" w:space="0" w:color="000000"/>
              <w:right w:val="nil"/>
            </w:tcBorders>
            <w:noWrap/>
            <w:hideMark/>
          </w:tcPr>
          <w:p>
            <w:pPr>
              <w:spacing w:after="0"/>
              <w:rPr>
                <w:noProof/>
                <w:color w:val="000000"/>
                <w:sz w:val="18"/>
                <w:szCs w:val="18"/>
              </w:rPr>
            </w:pPr>
            <w:r>
              <w:rPr>
                <w:noProof/>
                <w:color w:val="000000"/>
                <w:sz w:val="18"/>
              </w:rPr>
              <w:t> </w:t>
            </w:r>
          </w:p>
        </w:tc>
        <w:tc>
          <w:tcPr>
            <w:tcW w:w="1174" w:type="pct"/>
            <w:gridSpan w:val="2"/>
            <w:tcBorders>
              <w:top w:val="nil"/>
              <w:left w:val="nil"/>
              <w:bottom w:val="single" w:sz="8" w:space="0" w:color="000000"/>
              <w:right w:val="nil"/>
            </w:tcBorders>
            <w:noWrap/>
            <w:hideMark/>
          </w:tcPr>
          <w:p>
            <w:pPr>
              <w:spacing w:after="0"/>
              <w:rPr>
                <w:noProof/>
                <w:color w:val="000000"/>
                <w:sz w:val="18"/>
                <w:szCs w:val="18"/>
              </w:rPr>
            </w:pPr>
            <w:r>
              <w:rPr>
                <w:noProof/>
                <w:color w:val="000000"/>
                <w:sz w:val="18"/>
              </w:rPr>
              <w:t>(HER/7G-K.)</w:t>
            </w:r>
          </w:p>
        </w:tc>
        <w:tc>
          <w:tcPr>
            <w:tcW w:w="123" w:type="pct"/>
            <w:tcBorders>
              <w:top w:val="nil"/>
              <w:left w:val="nil"/>
              <w:bottom w:val="single" w:sz="8" w:space="0" w:color="000000"/>
              <w:right w:val="nil"/>
            </w:tcBorders>
            <w:noWrap/>
            <w:hideMark/>
          </w:tcPr>
          <w:p>
            <w:pPr>
              <w:spacing w:after="0"/>
              <w:rPr>
                <w:noProof/>
                <w:color w:val="000000"/>
                <w:sz w:val="18"/>
                <w:szCs w:val="18"/>
              </w:rPr>
            </w:pPr>
            <w:r>
              <w:rPr>
                <w:noProof/>
                <w:color w:val="000000"/>
                <w:sz w:val="18"/>
              </w:rPr>
              <w:t> </w:t>
            </w:r>
          </w:p>
        </w:tc>
      </w:tr>
      <w:tr>
        <w:trPr>
          <w:trHeight w:val="20"/>
        </w:trPr>
        <w:tc>
          <w:tcPr>
            <w:tcW w:w="534" w:type="pct"/>
            <w:noWrap/>
            <w:hideMark/>
          </w:tcPr>
          <w:p>
            <w:pPr>
              <w:spacing w:after="0"/>
              <w:rPr>
                <w:noProof/>
                <w:color w:val="000000"/>
                <w:sz w:val="18"/>
                <w:szCs w:val="18"/>
              </w:rPr>
            </w:pPr>
            <w:r>
              <w:rPr>
                <w:noProof/>
                <w:color w:val="000000"/>
                <w:sz w:val="18"/>
              </w:rPr>
              <w:t>Allemagne</w:t>
            </w:r>
          </w:p>
        </w:tc>
        <w:tc>
          <w:tcPr>
            <w:tcW w:w="1354" w:type="pct"/>
            <w:noWrap/>
            <w:hideMark/>
          </w:tcPr>
          <w:p>
            <w:pPr>
              <w:spacing w:after="0"/>
              <w:rPr>
                <w:noProof/>
                <w:sz w:val="18"/>
                <w:szCs w:val="18"/>
              </w:rPr>
            </w:pPr>
            <w:r>
              <w:rPr>
                <w:noProof/>
                <w:sz w:val="18"/>
              </w:rPr>
              <w:t> </w:t>
            </w:r>
          </w:p>
        </w:tc>
        <w:tc>
          <w:tcPr>
            <w:tcW w:w="634" w:type="pct"/>
            <w:noWrap/>
            <w:hideMark/>
          </w:tcPr>
          <w:p>
            <w:pPr>
              <w:spacing w:after="0"/>
              <w:jc w:val="right"/>
              <w:rPr>
                <w:noProof/>
                <w:color w:val="000000"/>
                <w:sz w:val="18"/>
                <w:szCs w:val="18"/>
              </w:rPr>
            </w:pPr>
            <w:r>
              <w:rPr>
                <w:noProof/>
                <w:color w:val="000000"/>
                <w:sz w:val="18"/>
              </w:rPr>
              <w:t>213</w:t>
            </w:r>
          </w:p>
        </w:tc>
        <w:tc>
          <w:tcPr>
            <w:tcW w:w="275" w:type="pct"/>
            <w:noWrap/>
            <w:hideMark/>
          </w:tcPr>
          <w:p>
            <w:pPr>
              <w:spacing w:after="0"/>
              <w:rPr>
                <w:noProof/>
                <w:color w:val="000000"/>
                <w:sz w:val="18"/>
                <w:szCs w:val="18"/>
              </w:rPr>
            </w:pPr>
            <w:r>
              <w:rPr>
                <w:noProof/>
                <w:color w:val="000000"/>
                <w:sz w:val="18"/>
              </w:rPr>
              <w:t> </w:t>
            </w:r>
          </w:p>
        </w:tc>
        <w:tc>
          <w:tcPr>
            <w:tcW w:w="1509" w:type="pct"/>
            <w:gridSpan w:val="2"/>
            <w:tcBorders>
              <w:top w:val="single" w:sz="8" w:space="0" w:color="000000"/>
              <w:left w:val="nil"/>
              <w:bottom w:val="nil"/>
              <w:right w:val="nil"/>
            </w:tcBorders>
            <w:noWrap/>
            <w:hideMark/>
          </w:tcPr>
          <w:p>
            <w:pPr>
              <w:spacing w:after="0"/>
              <w:rPr>
                <w:noProof/>
                <w:color w:val="000000"/>
                <w:sz w:val="18"/>
                <w:szCs w:val="18"/>
              </w:rPr>
            </w:pPr>
            <w:r>
              <w:rPr>
                <w:noProof/>
                <w:color w:val="000000"/>
                <w:sz w:val="18"/>
              </w:rPr>
              <w:t>TAC analytique</w:t>
            </w:r>
          </w:p>
        </w:tc>
        <w:tc>
          <w:tcPr>
            <w:tcW w:w="571" w:type="pct"/>
            <w:noWrap/>
            <w:hideMark/>
          </w:tcPr>
          <w:p>
            <w:pPr>
              <w:spacing w:after="0"/>
              <w:rPr>
                <w:noProof/>
                <w:color w:val="000000"/>
                <w:sz w:val="18"/>
                <w:szCs w:val="18"/>
              </w:rPr>
            </w:pPr>
            <w:r>
              <w:rPr>
                <w:noProof/>
                <w:color w:val="000000"/>
                <w:sz w:val="18"/>
              </w:rPr>
              <w:t> </w:t>
            </w:r>
          </w:p>
        </w:tc>
        <w:tc>
          <w:tcPr>
            <w:tcW w:w="123" w:type="pct"/>
            <w:noWrap/>
            <w:hideMark/>
          </w:tcPr>
          <w:p>
            <w:pPr>
              <w:spacing w:after="0"/>
              <w:rPr>
                <w:noProof/>
                <w:color w:val="000000"/>
                <w:sz w:val="18"/>
                <w:szCs w:val="18"/>
              </w:rPr>
            </w:pPr>
            <w:r>
              <w:rPr>
                <w:noProof/>
                <w:color w:val="000000"/>
                <w:sz w:val="18"/>
              </w:rPr>
              <w:t> </w:t>
            </w:r>
          </w:p>
        </w:tc>
      </w:tr>
      <w:tr>
        <w:trPr>
          <w:trHeight w:val="20"/>
        </w:trPr>
        <w:tc>
          <w:tcPr>
            <w:tcW w:w="534" w:type="pct"/>
            <w:noWrap/>
            <w:hideMark/>
          </w:tcPr>
          <w:p>
            <w:pPr>
              <w:spacing w:after="0"/>
              <w:rPr>
                <w:noProof/>
                <w:color w:val="000000"/>
                <w:sz w:val="18"/>
                <w:szCs w:val="18"/>
              </w:rPr>
            </w:pPr>
            <w:r>
              <w:rPr>
                <w:noProof/>
                <w:color w:val="000000"/>
                <w:sz w:val="18"/>
              </w:rPr>
              <w:lastRenderedPageBreak/>
              <w:t>France</w:t>
            </w:r>
          </w:p>
        </w:tc>
        <w:tc>
          <w:tcPr>
            <w:tcW w:w="1354" w:type="pct"/>
            <w:noWrap/>
            <w:hideMark/>
          </w:tcPr>
          <w:p>
            <w:pPr>
              <w:spacing w:after="0"/>
              <w:rPr>
                <w:rFonts w:eastAsia="Calibri"/>
                <w:noProof/>
                <w:sz w:val="20"/>
                <w:szCs w:val="20"/>
              </w:rPr>
            </w:pPr>
          </w:p>
        </w:tc>
        <w:tc>
          <w:tcPr>
            <w:tcW w:w="634" w:type="pct"/>
            <w:noWrap/>
            <w:hideMark/>
          </w:tcPr>
          <w:p>
            <w:pPr>
              <w:spacing w:after="0"/>
              <w:jc w:val="right"/>
              <w:rPr>
                <w:noProof/>
                <w:color w:val="000000"/>
                <w:sz w:val="18"/>
                <w:szCs w:val="18"/>
              </w:rPr>
            </w:pPr>
            <w:r>
              <w:rPr>
                <w:noProof/>
                <w:color w:val="000000"/>
                <w:sz w:val="18"/>
              </w:rPr>
              <w:t>1 185</w:t>
            </w:r>
          </w:p>
        </w:tc>
        <w:tc>
          <w:tcPr>
            <w:tcW w:w="275" w:type="pct"/>
            <w:noWrap/>
            <w:hideMark/>
          </w:tcPr>
          <w:p>
            <w:pPr>
              <w:spacing w:after="0"/>
              <w:rPr>
                <w:rFonts w:eastAsia="Calibri"/>
                <w:noProof/>
                <w:sz w:val="20"/>
                <w:szCs w:val="20"/>
              </w:rPr>
            </w:pPr>
          </w:p>
        </w:tc>
        <w:tc>
          <w:tcPr>
            <w:tcW w:w="2080" w:type="pct"/>
            <w:gridSpan w:val="3"/>
            <w:noWrap/>
            <w:hideMark/>
          </w:tcPr>
          <w:p>
            <w:pPr>
              <w:spacing w:after="0"/>
              <w:rPr>
                <w:noProof/>
                <w:color w:val="000000"/>
                <w:sz w:val="18"/>
                <w:szCs w:val="18"/>
              </w:rPr>
            </w:pPr>
            <w:r>
              <w:rPr>
                <w:noProof/>
                <w:color w:val="000000"/>
                <w:sz w:val="18"/>
              </w:rPr>
              <w:t>L'article 7, paragraphe 3, du présent règlement s'applique.</w:t>
            </w:r>
          </w:p>
        </w:tc>
        <w:tc>
          <w:tcPr>
            <w:tcW w:w="123" w:type="pct"/>
            <w:noWrap/>
            <w:hideMark/>
          </w:tcPr>
          <w:p>
            <w:pPr>
              <w:spacing w:after="0"/>
              <w:rPr>
                <w:rFonts w:eastAsia="Calibri"/>
                <w:noProof/>
                <w:sz w:val="20"/>
                <w:szCs w:val="20"/>
              </w:rPr>
            </w:pPr>
          </w:p>
        </w:tc>
      </w:tr>
      <w:tr>
        <w:trPr>
          <w:trHeight w:val="20"/>
        </w:trPr>
        <w:tc>
          <w:tcPr>
            <w:tcW w:w="534" w:type="pct"/>
            <w:noWrap/>
            <w:hideMark/>
          </w:tcPr>
          <w:p>
            <w:pPr>
              <w:spacing w:after="0"/>
              <w:rPr>
                <w:noProof/>
                <w:color w:val="000000"/>
                <w:sz w:val="18"/>
                <w:szCs w:val="18"/>
              </w:rPr>
            </w:pPr>
            <w:r>
              <w:rPr>
                <w:noProof/>
                <w:color w:val="000000"/>
                <w:sz w:val="18"/>
              </w:rPr>
              <w:t>Irlande</w:t>
            </w:r>
          </w:p>
        </w:tc>
        <w:tc>
          <w:tcPr>
            <w:tcW w:w="1354" w:type="pct"/>
            <w:noWrap/>
            <w:hideMark/>
          </w:tcPr>
          <w:p>
            <w:pPr>
              <w:spacing w:after="0"/>
              <w:rPr>
                <w:rFonts w:eastAsia="Calibri"/>
                <w:noProof/>
                <w:sz w:val="20"/>
                <w:szCs w:val="20"/>
              </w:rPr>
            </w:pPr>
          </w:p>
        </w:tc>
        <w:tc>
          <w:tcPr>
            <w:tcW w:w="634" w:type="pct"/>
            <w:noWrap/>
            <w:hideMark/>
          </w:tcPr>
          <w:p>
            <w:pPr>
              <w:spacing w:after="0"/>
              <w:jc w:val="right"/>
              <w:rPr>
                <w:noProof/>
                <w:color w:val="000000"/>
                <w:sz w:val="18"/>
                <w:szCs w:val="18"/>
              </w:rPr>
            </w:pPr>
            <w:r>
              <w:rPr>
                <w:noProof/>
                <w:color w:val="000000"/>
                <w:sz w:val="18"/>
              </w:rPr>
              <w:t>16 591</w:t>
            </w:r>
          </w:p>
        </w:tc>
        <w:tc>
          <w:tcPr>
            <w:tcW w:w="275" w:type="pct"/>
            <w:noWrap/>
            <w:hideMark/>
          </w:tcPr>
          <w:p>
            <w:pPr>
              <w:spacing w:after="0"/>
              <w:rPr>
                <w:rFonts w:eastAsia="Calibri"/>
                <w:noProof/>
                <w:sz w:val="20"/>
                <w:szCs w:val="20"/>
              </w:rPr>
            </w:pP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1888" w:type="pct"/>
            <w:gridSpan w:val="2"/>
            <w:noWrap/>
            <w:hideMark/>
          </w:tcPr>
          <w:p>
            <w:pPr>
              <w:spacing w:after="0"/>
              <w:rPr>
                <w:noProof/>
                <w:color w:val="000000"/>
                <w:sz w:val="18"/>
                <w:szCs w:val="18"/>
              </w:rPr>
            </w:pPr>
            <w:r>
              <w:rPr>
                <w:noProof/>
                <w:color w:val="000000"/>
                <w:sz w:val="18"/>
              </w:rPr>
              <w:t>Pays-Bas</w:t>
            </w:r>
          </w:p>
        </w:tc>
        <w:tc>
          <w:tcPr>
            <w:tcW w:w="634" w:type="pct"/>
            <w:noWrap/>
            <w:hideMark/>
          </w:tcPr>
          <w:p>
            <w:pPr>
              <w:spacing w:after="0"/>
              <w:jc w:val="right"/>
              <w:rPr>
                <w:noProof/>
                <w:color w:val="000000"/>
                <w:sz w:val="18"/>
                <w:szCs w:val="18"/>
              </w:rPr>
            </w:pPr>
            <w:r>
              <w:rPr>
                <w:noProof/>
                <w:color w:val="000000"/>
                <w:sz w:val="18"/>
              </w:rPr>
              <w:t>1 185</w:t>
            </w:r>
          </w:p>
        </w:tc>
        <w:tc>
          <w:tcPr>
            <w:tcW w:w="275" w:type="pct"/>
            <w:noWrap/>
            <w:hideMark/>
          </w:tcPr>
          <w:p>
            <w:pPr>
              <w:spacing w:after="0"/>
              <w:rPr>
                <w:rFonts w:eastAsia="Calibri"/>
                <w:noProof/>
                <w:sz w:val="20"/>
                <w:szCs w:val="20"/>
              </w:rPr>
            </w:pP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1888" w:type="pct"/>
            <w:gridSpan w:val="2"/>
            <w:noWrap/>
            <w:hideMark/>
          </w:tcPr>
          <w:p>
            <w:pPr>
              <w:spacing w:after="0"/>
              <w:rPr>
                <w:noProof/>
                <w:color w:val="000000"/>
                <w:sz w:val="18"/>
                <w:szCs w:val="18"/>
              </w:rPr>
            </w:pPr>
            <w:r>
              <w:rPr>
                <w:noProof/>
                <w:color w:val="000000"/>
                <w:sz w:val="18"/>
              </w:rPr>
              <w:t>Royaume-Uni</w:t>
            </w:r>
          </w:p>
        </w:tc>
        <w:tc>
          <w:tcPr>
            <w:tcW w:w="634" w:type="pct"/>
            <w:noWrap/>
            <w:hideMark/>
          </w:tcPr>
          <w:p>
            <w:pPr>
              <w:spacing w:after="0"/>
              <w:jc w:val="right"/>
              <w:rPr>
                <w:noProof/>
                <w:color w:val="000000"/>
                <w:sz w:val="18"/>
                <w:szCs w:val="18"/>
              </w:rPr>
            </w:pPr>
            <w:r>
              <w:rPr>
                <w:noProof/>
                <w:color w:val="000000"/>
                <w:sz w:val="18"/>
              </w:rPr>
              <w:t>24</w:t>
            </w:r>
          </w:p>
        </w:tc>
        <w:tc>
          <w:tcPr>
            <w:tcW w:w="275" w:type="pct"/>
            <w:noWrap/>
            <w:hideMark/>
          </w:tcPr>
          <w:p>
            <w:pPr>
              <w:spacing w:after="0"/>
              <w:rPr>
                <w:rFonts w:eastAsia="Calibri"/>
                <w:noProof/>
                <w:sz w:val="20"/>
                <w:szCs w:val="20"/>
              </w:rPr>
            </w:pP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534" w:type="pct"/>
            <w:noWrap/>
            <w:hideMark/>
          </w:tcPr>
          <w:p>
            <w:pPr>
              <w:spacing w:after="0"/>
              <w:rPr>
                <w:noProof/>
                <w:color w:val="000000"/>
                <w:sz w:val="18"/>
                <w:szCs w:val="18"/>
              </w:rPr>
            </w:pPr>
            <w:r>
              <w:rPr>
                <w:noProof/>
                <w:color w:val="000000"/>
                <w:sz w:val="18"/>
              </w:rPr>
              <w:t>Union</w:t>
            </w:r>
          </w:p>
        </w:tc>
        <w:tc>
          <w:tcPr>
            <w:tcW w:w="1354" w:type="pct"/>
            <w:noWrap/>
            <w:hideMark/>
          </w:tcPr>
          <w:p>
            <w:pPr>
              <w:spacing w:after="0"/>
              <w:rPr>
                <w:rFonts w:eastAsia="Calibri"/>
                <w:noProof/>
                <w:sz w:val="20"/>
                <w:szCs w:val="20"/>
              </w:rPr>
            </w:pPr>
          </w:p>
        </w:tc>
        <w:tc>
          <w:tcPr>
            <w:tcW w:w="634" w:type="pct"/>
            <w:noWrap/>
            <w:hideMark/>
          </w:tcPr>
          <w:p>
            <w:pPr>
              <w:spacing w:after="0"/>
              <w:jc w:val="right"/>
              <w:rPr>
                <w:noProof/>
                <w:color w:val="000000"/>
                <w:sz w:val="18"/>
                <w:szCs w:val="18"/>
              </w:rPr>
            </w:pPr>
            <w:r>
              <w:rPr>
                <w:noProof/>
                <w:color w:val="000000"/>
                <w:sz w:val="18"/>
              </w:rPr>
              <w:t>19 198</w:t>
            </w:r>
          </w:p>
        </w:tc>
        <w:tc>
          <w:tcPr>
            <w:tcW w:w="275" w:type="pct"/>
            <w:noWrap/>
            <w:hideMark/>
          </w:tcPr>
          <w:p>
            <w:pPr>
              <w:spacing w:after="0"/>
              <w:rPr>
                <w:rFonts w:eastAsia="Calibri"/>
                <w:noProof/>
                <w:sz w:val="20"/>
                <w:szCs w:val="20"/>
              </w:rPr>
            </w:pP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534" w:type="pct"/>
            <w:noWrap/>
            <w:hideMark/>
          </w:tcPr>
          <w:p>
            <w:pPr>
              <w:spacing w:after="0"/>
              <w:rPr>
                <w:rFonts w:eastAsia="Calibri"/>
                <w:noProof/>
                <w:sz w:val="20"/>
                <w:szCs w:val="20"/>
              </w:rPr>
            </w:pPr>
          </w:p>
        </w:tc>
        <w:tc>
          <w:tcPr>
            <w:tcW w:w="1354" w:type="pct"/>
            <w:noWrap/>
            <w:hideMark/>
          </w:tcPr>
          <w:p>
            <w:pPr>
              <w:spacing w:after="0"/>
              <w:rPr>
                <w:rFonts w:eastAsia="Calibri"/>
                <w:noProof/>
                <w:sz w:val="20"/>
                <w:szCs w:val="20"/>
              </w:rPr>
            </w:pPr>
          </w:p>
        </w:tc>
        <w:tc>
          <w:tcPr>
            <w:tcW w:w="634" w:type="pct"/>
            <w:noWrap/>
            <w:hideMark/>
          </w:tcPr>
          <w:p>
            <w:pPr>
              <w:spacing w:after="0"/>
              <w:rPr>
                <w:rFonts w:eastAsia="Calibri"/>
                <w:noProof/>
                <w:sz w:val="20"/>
                <w:szCs w:val="20"/>
              </w:rPr>
            </w:pPr>
          </w:p>
        </w:tc>
        <w:tc>
          <w:tcPr>
            <w:tcW w:w="275" w:type="pct"/>
            <w:noWrap/>
            <w:hideMark/>
          </w:tcPr>
          <w:p>
            <w:pPr>
              <w:spacing w:after="0"/>
              <w:rPr>
                <w:rFonts w:eastAsia="Calibri"/>
                <w:noProof/>
                <w:sz w:val="20"/>
                <w:szCs w:val="20"/>
              </w:rPr>
            </w:pP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534" w:type="pct"/>
            <w:noWrap/>
            <w:hideMark/>
          </w:tcPr>
          <w:p>
            <w:pPr>
              <w:spacing w:after="0"/>
              <w:rPr>
                <w:noProof/>
                <w:color w:val="000000"/>
                <w:sz w:val="18"/>
                <w:szCs w:val="18"/>
              </w:rPr>
            </w:pPr>
            <w:r>
              <w:rPr>
                <w:noProof/>
                <w:color w:val="000000"/>
                <w:sz w:val="18"/>
              </w:rPr>
              <w:t>TAC</w:t>
            </w:r>
          </w:p>
        </w:tc>
        <w:tc>
          <w:tcPr>
            <w:tcW w:w="1354" w:type="pct"/>
            <w:noWrap/>
            <w:hideMark/>
          </w:tcPr>
          <w:p>
            <w:pPr>
              <w:spacing w:after="0"/>
              <w:rPr>
                <w:rFonts w:eastAsia="Calibri"/>
                <w:noProof/>
                <w:sz w:val="20"/>
                <w:szCs w:val="20"/>
              </w:rPr>
            </w:pPr>
          </w:p>
        </w:tc>
        <w:tc>
          <w:tcPr>
            <w:tcW w:w="634" w:type="pct"/>
            <w:noWrap/>
            <w:hideMark/>
          </w:tcPr>
          <w:p>
            <w:pPr>
              <w:spacing w:after="0"/>
              <w:jc w:val="right"/>
              <w:rPr>
                <w:noProof/>
                <w:color w:val="000000"/>
                <w:sz w:val="18"/>
                <w:szCs w:val="18"/>
              </w:rPr>
            </w:pPr>
            <w:r>
              <w:rPr>
                <w:noProof/>
                <w:color w:val="000000"/>
                <w:sz w:val="18"/>
              </w:rPr>
              <w:t>19 198</w:t>
            </w:r>
          </w:p>
        </w:tc>
        <w:tc>
          <w:tcPr>
            <w:tcW w:w="275" w:type="pct"/>
            <w:noWrap/>
            <w:hideMark/>
          </w:tcPr>
          <w:p>
            <w:pPr>
              <w:spacing w:after="0"/>
              <w:rPr>
                <w:rFonts w:eastAsia="Calibri"/>
                <w:noProof/>
                <w:sz w:val="20"/>
                <w:szCs w:val="20"/>
              </w:rPr>
            </w:pP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534" w:type="pct"/>
            <w:noWrap/>
            <w:hideMark/>
          </w:tcPr>
          <w:p>
            <w:pPr>
              <w:spacing w:after="0"/>
              <w:rPr>
                <w:noProof/>
                <w:color w:val="000000"/>
                <w:sz w:val="18"/>
                <w:szCs w:val="18"/>
              </w:rPr>
            </w:pPr>
            <w:r>
              <w:rPr>
                <w:noProof/>
                <w:color w:val="000000"/>
                <w:sz w:val="18"/>
                <w:vertAlign w:val="superscript"/>
              </w:rPr>
              <w:t>(1)</w:t>
            </w:r>
          </w:p>
        </w:tc>
        <w:tc>
          <w:tcPr>
            <w:tcW w:w="2263" w:type="pct"/>
            <w:gridSpan w:val="3"/>
            <w:noWrap/>
            <w:hideMark/>
          </w:tcPr>
          <w:p>
            <w:pPr>
              <w:spacing w:after="0"/>
              <w:rPr>
                <w:noProof/>
                <w:sz w:val="18"/>
                <w:szCs w:val="18"/>
              </w:rPr>
            </w:pPr>
            <w:r>
              <w:rPr>
                <w:noProof/>
                <w:sz w:val="18"/>
                <w:vertAlign w:val="superscript"/>
              </w:rPr>
              <w:t>Cette zone est augmentée du secteur délimité:</w:t>
            </w: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534" w:type="pct"/>
            <w:noWrap/>
            <w:hideMark/>
          </w:tcPr>
          <w:p>
            <w:pPr>
              <w:spacing w:after="0"/>
              <w:rPr>
                <w:rFonts w:eastAsia="Calibri"/>
                <w:noProof/>
                <w:sz w:val="20"/>
                <w:szCs w:val="20"/>
              </w:rPr>
            </w:pPr>
          </w:p>
        </w:tc>
        <w:tc>
          <w:tcPr>
            <w:tcW w:w="1988" w:type="pct"/>
            <w:gridSpan w:val="2"/>
            <w:noWrap/>
            <w:hideMark/>
          </w:tcPr>
          <w:p>
            <w:pPr>
              <w:spacing w:after="0"/>
              <w:rPr>
                <w:noProof/>
                <w:sz w:val="18"/>
                <w:szCs w:val="18"/>
              </w:rPr>
            </w:pPr>
            <w:r>
              <w:rPr>
                <w:noProof/>
                <w:sz w:val="18"/>
                <w:vertAlign w:val="superscript"/>
              </w:rPr>
              <w:t>- au nord par la latitude 52° 30′ N,</w:t>
            </w:r>
          </w:p>
        </w:tc>
        <w:tc>
          <w:tcPr>
            <w:tcW w:w="275" w:type="pct"/>
            <w:noWrap/>
            <w:hideMark/>
          </w:tcPr>
          <w:p>
            <w:pPr>
              <w:spacing w:after="0"/>
              <w:rPr>
                <w:rFonts w:eastAsia="Calibri"/>
                <w:noProof/>
                <w:sz w:val="20"/>
                <w:szCs w:val="20"/>
              </w:rPr>
            </w:pP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534" w:type="pct"/>
            <w:noWrap/>
            <w:hideMark/>
          </w:tcPr>
          <w:p>
            <w:pPr>
              <w:spacing w:after="0"/>
              <w:rPr>
                <w:rFonts w:eastAsia="Calibri"/>
                <w:noProof/>
                <w:sz w:val="20"/>
                <w:szCs w:val="20"/>
              </w:rPr>
            </w:pPr>
          </w:p>
        </w:tc>
        <w:tc>
          <w:tcPr>
            <w:tcW w:w="1988" w:type="pct"/>
            <w:gridSpan w:val="2"/>
            <w:noWrap/>
            <w:hideMark/>
          </w:tcPr>
          <w:p>
            <w:pPr>
              <w:spacing w:after="0"/>
              <w:rPr>
                <w:noProof/>
                <w:sz w:val="18"/>
                <w:szCs w:val="18"/>
              </w:rPr>
            </w:pPr>
            <w:r>
              <w:rPr>
                <w:noProof/>
                <w:sz w:val="18"/>
                <w:vertAlign w:val="superscript"/>
              </w:rPr>
              <w:t>- au sud par la latitude 52° 00′ N,</w:t>
            </w:r>
          </w:p>
        </w:tc>
        <w:tc>
          <w:tcPr>
            <w:tcW w:w="275" w:type="pct"/>
            <w:noWrap/>
            <w:hideMark/>
          </w:tcPr>
          <w:p>
            <w:pPr>
              <w:spacing w:after="0"/>
              <w:rPr>
                <w:rFonts w:eastAsia="Calibri"/>
                <w:noProof/>
                <w:sz w:val="20"/>
                <w:szCs w:val="20"/>
              </w:rPr>
            </w:pP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534" w:type="pct"/>
            <w:noWrap/>
            <w:hideMark/>
          </w:tcPr>
          <w:p>
            <w:pPr>
              <w:spacing w:after="0"/>
              <w:rPr>
                <w:rFonts w:eastAsia="Calibri"/>
                <w:noProof/>
                <w:sz w:val="20"/>
                <w:szCs w:val="20"/>
              </w:rPr>
            </w:pPr>
          </w:p>
        </w:tc>
        <w:tc>
          <w:tcPr>
            <w:tcW w:w="1988" w:type="pct"/>
            <w:gridSpan w:val="2"/>
            <w:noWrap/>
            <w:hideMark/>
          </w:tcPr>
          <w:p>
            <w:pPr>
              <w:spacing w:after="0"/>
              <w:rPr>
                <w:noProof/>
                <w:sz w:val="18"/>
                <w:szCs w:val="18"/>
              </w:rPr>
            </w:pPr>
            <w:r>
              <w:rPr>
                <w:noProof/>
                <w:sz w:val="18"/>
                <w:vertAlign w:val="superscript"/>
              </w:rPr>
              <w:t>- à l’ouest par les côtes de l’Irlande,</w:t>
            </w:r>
          </w:p>
        </w:tc>
        <w:tc>
          <w:tcPr>
            <w:tcW w:w="275" w:type="pct"/>
            <w:noWrap/>
            <w:hideMark/>
          </w:tcPr>
          <w:p>
            <w:pPr>
              <w:spacing w:after="0"/>
              <w:rPr>
                <w:rFonts w:eastAsia="Calibri"/>
                <w:noProof/>
                <w:sz w:val="20"/>
                <w:szCs w:val="20"/>
              </w:rPr>
            </w:pP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534" w:type="pct"/>
            <w:tcBorders>
              <w:top w:val="nil"/>
              <w:left w:val="nil"/>
              <w:bottom w:val="single" w:sz="8" w:space="0" w:color="auto"/>
              <w:right w:val="nil"/>
            </w:tcBorders>
            <w:noWrap/>
            <w:hideMark/>
          </w:tcPr>
          <w:p>
            <w:pPr>
              <w:spacing w:after="0"/>
              <w:rPr>
                <w:noProof/>
                <w:color w:val="000000"/>
                <w:sz w:val="18"/>
                <w:szCs w:val="18"/>
              </w:rPr>
            </w:pPr>
            <w:r>
              <w:rPr>
                <w:noProof/>
                <w:color w:val="000000"/>
                <w:sz w:val="18"/>
                <w:vertAlign w:val="superscript"/>
              </w:rPr>
              <w:t> </w:t>
            </w:r>
          </w:p>
        </w:tc>
        <w:tc>
          <w:tcPr>
            <w:tcW w:w="2263" w:type="pct"/>
            <w:gridSpan w:val="3"/>
            <w:tcBorders>
              <w:top w:val="nil"/>
              <w:left w:val="nil"/>
              <w:bottom w:val="single" w:sz="8" w:space="0" w:color="auto"/>
              <w:right w:val="nil"/>
            </w:tcBorders>
            <w:noWrap/>
            <w:hideMark/>
          </w:tcPr>
          <w:p>
            <w:pPr>
              <w:spacing w:after="0"/>
              <w:rPr>
                <w:noProof/>
                <w:sz w:val="18"/>
                <w:szCs w:val="18"/>
              </w:rPr>
            </w:pPr>
            <w:r>
              <w:rPr>
                <w:noProof/>
                <w:sz w:val="18"/>
                <w:vertAlign w:val="superscript"/>
              </w:rPr>
              <w:t>- à l’est par les côtes du Royaume-Uni.</w:t>
            </w:r>
          </w:p>
        </w:tc>
        <w:tc>
          <w:tcPr>
            <w:tcW w:w="906" w:type="pct"/>
            <w:tcBorders>
              <w:top w:val="nil"/>
              <w:left w:val="nil"/>
              <w:bottom w:val="single" w:sz="8" w:space="0" w:color="auto"/>
              <w:right w:val="nil"/>
            </w:tcBorders>
            <w:noWrap/>
            <w:hideMark/>
          </w:tcPr>
          <w:p>
            <w:pPr>
              <w:spacing w:after="0"/>
              <w:rPr>
                <w:noProof/>
                <w:color w:val="000000"/>
                <w:sz w:val="18"/>
                <w:szCs w:val="18"/>
              </w:rPr>
            </w:pPr>
            <w:r>
              <w:rPr>
                <w:noProof/>
                <w:color w:val="000000"/>
                <w:sz w:val="18"/>
              </w:rPr>
              <w:t> </w:t>
            </w:r>
          </w:p>
        </w:tc>
        <w:tc>
          <w:tcPr>
            <w:tcW w:w="603" w:type="pct"/>
            <w:tcBorders>
              <w:top w:val="nil"/>
              <w:left w:val="nil"/>
              <w:bottom w:val="single" w:sz="8" w:space="0" w:color="auto"/>
              <w:right w:val="nil"/>
            </w:tcBorders>
            <w:noWrap/>
            <w:hideMark/>
          </w:tcPr>
          <w:p>
            <w:pPr>
              <w:spacing w:after="0"/>
              <w:rPr>
                <w:noProof/>
                <w:color w:val="000000"/>
                <w:sz w:val="18"/>
                <w:szCs w:val="18"/>
              </w:rPr>
            </w:pPr>
            <w:r>
              <w:rPr>
                <w:noProof/>
                <w:color w:val="000000"/>
                <w:sz w:val="18"/>
              </w:rPr>
              <w:t> </w:t>
            </w:r>
          </w:p>
        </w:tc>
        <w:tc>
          <w:tcPr>
            <w:tcW w:w="571" w:type="pct"/>
            <w:tcBorders>
              <w:top w:val="nil"/>
              <w:left w:val="nil"/>
              <w:bottom w:val="single" w:sz="8" w:space="0" w:color="auto"/>
              <w:right w:val="nil"/>
            </w:tcBorders>
            <w:noWrap/>
            <w:hideMark/>
          </w:tcPr>
          <w:p>
            <w:pPr>
              <w:spacing w:after="0"/>
              <w:rPr>
                <w:noProof/>
                <w:color w:val="000000"/>
                <w:sz w:val="18"/>
                <w:szCs w:val="18"/>
              </w:rPr>
            </w:pPr>
            <w:r>
              <w:rPr>
                <w:noProof/>
                <w:color w:val="000000"/>
                <w:sz w:val="18"/>
              </w:rPr>
              <w:t> </w:t>
            </w:r>
          </w:p>
        </w:tc>
        <w:tc>
          <w:tcPr>
            <w:tcW w:w="123" w:type="pct"/>
            <w:tcBorders>
              <w:top w:val="nil"/>
              <w:left w:val="nil"/>
              <w:bottom w:val="single" w:sz="8" w:space="0" w:color="auto"/>
              <w:right w:val="nil"/>
            </w:tcBorders>
            <w:noWrap/>
            <w:hideMark/>
          </w:tcPr>
          <w:p>
            <w:pPr>
              <w:spacing w:after="0"/>
              <w:rPr>
                <w:noProof/>
                <w:color w:val="000000"/>
                <w:sz w:val="18"/>
                <w:szCs w:val="18"/>
              </w:rPr>
            </w:pPr>
            <w:r>
              <w:rPr>
                <w:noProof/>
                <w:color w:val="000000"/>
                <w:sz w:val="18"/>
              </w:rPr>
              <w:t> </w:t>
            </w:r>
          </w:p>
        </w:tc>
      </w:tr>
    </w:tbl>
    <w:p>
      <w:pPr>
        <w:pStyle w:val="Point1"/>
        <w:rPr>
          <w:noProof/>
        </w:rPr>
      </w:pPr>
      <w:r>
        <w:rPr>
          <w:noProof/>
        </w:rPr>
        <w:t>c)</w:t>
      </w:r>
      <w:r>
        <w:rPr>
          <w:noProof/>
        </w:rPr>
        <w:tab/>
        <w:t>les possibilités de pêche pour le sprat (</w:t>
      </w:r>
      <w:r>
        <w:rPr>
          <w:i/>
          <w:noProof/>
        </w:rPr>
        <w:t>Sprattus sprattus</w:t>
      </w:r>
      <w:r>
        <w:rPr>
          <w:noProof/>
        </w:rPr>
        <w:t>) et les prises accessoires associées dans les eaux de l’Union des zones II a et IV sont remplacées par le texte suivant:</w:t>
      </w:r>
    </w:p>
    <w:tbl>
      <w:tblPr>
        <w:tblW w:w="9673" w:type="dxa"/>
        <w:tblInd w:w="108" w:type="dxa"/>
        <w:tblLook w:val="04A0" w:firstRow="1" w:lastRow="0" w:firstColumn="1" w:lastColumn="0" w:noHBand="0" w:noVBand="1"/>
      </w:tblPr>
      <w:tblGrid>
        <w:gridCol w:w="1701"/>
        <w:gridCol w:w="1877"/>
        <w:gridCol w:w="537"/>
        <w:gridCol w:w="485"/>
        <w:gridCol w:w="362"/>
        <w:gridCol w:w="205"/>
        <w:gridCol w:w="362"/>
        <w:gridCol w:w="1055"/>
        <w:gridCol w:w="362"/>
        <w:gridCol w:w="2190"/>
        <w:gridCol w:w="395"/>
        <w:gridCol w:w="142"/>
      </w:tblGrid>
      <w:tr>
        <w:trPr>
          <w:gridAfter w:val="1"/>
          <w:wAfter w:w="142" w:type="dxa"/>
          <w:trHeight w:val="330"/>
        </w:trPr>
        <w:tc>
          <w:tcPr>
            <w:tcW w:w="1701" w:type="dxa"/>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Espèce:</w:t>
            </w:r>
          </w:p>
        </w:tc>
        <w:tc>
          <w:tcPr>
            <w:tcW w:w="2899" w:type="dxa"/>
            <w:gridSpan w:val="3"/>
            <w:tcBorders>
              <w:top w:val="single" w:sz="8" w:space="0" w:color="000000"/>
              <w:left w:val="nil"/>
              <w:bottom w:val="nil"/>
              <w:right w:val="nil"/>
            </w:tcBorders>
            <w:shd w:val="clear" w:color="auto" w:fill="auto"/>
            <w:noWrap/>
            <w:hideMark/>
          </w:tcPr>
          <w:p>
            <w:pPr>
              <w:spacing w:before="0" w:after="0"/>
              <w:jc w:val="left"/>
              <w:rPr>
                <w:rFonts w:eastAsia="Times New Roman"/>
                <w:noProof/>
                <w:sz w:val="18"/>
                <w:szCs w:val="18"/>
              </w:rPr>
            </w:pPr>
            <w:r>
              <w:rPr>
                <w:noProof/>
                <w:sz w:val="18"/>
              </w:rPr>
              <w:t>Sprat et prises accessoires associées</w:t>
            </w:r>
          </w:p>
        </w:tc>
        <w:tc>
          <w:tcPr>
            <w:tcW w:w="567" w:type="dxa"/>
            <w:gridSpan w:val="2"/>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c>
          <w:tcPr>
            <w:tcW w:w="1417" w:type="dxa"/>
            <w:gridSpan w:val="2"/>
            <w:tcBorders>
              <w:top w:val="single" w:sz="8" w:space="0" w:color="000000"/>
              <w:left w:val="single" w:sz="8" w:space="0" w:color="000000"/>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Zone:</w:t>
            </w:r>
          </w:p>
        </w:tc>
        <w:tc>
          <w:tcPr>
            <w:tcW w:w="2552" w:type="dxa"/>
            <w:gridSpan w:val="2"/>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Eaux de l'Union des zones II a et IV</w:t>
            </w:r>
          </w:p>
        </w:tc>
        <w:tc>
          <w:tcPr>
            <w:tcW w:w="395" w:type="dxa"/>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r>
      <w:tr>
        <w:trPr>
          <w:gridAfter w:val="1"/>
          <w:wAfter w:w="142" w:type="dxa"/>
          <w:trHeight w:val="330"/>
        </w:trPr>
        <w:tc>
          <w:tcPr>
            <w:tcW w:w="1701" w:type="dxa"/>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c>
          <w:tcPr>
            <w:tcW w:w="2899" w:type="dxa"/>
            <w:gridSpan w:val="3"/>
            <w:tcBorders>
              <w:top w:val="nil"/>
              <w:left w:val="nil"/>
              <w:bottom w:val="single" w:sz="8" w:space="0" w:color="000000"/>
              <w:right w:val="nil"/>
            </w:tcBorders>
            <w:shd w:val="clear" w:color="auto" w:fill="auto"/>
            <w:noWrap/>
            <w:hideMark/>
          </w:tcPr>
          <w:p>
            <w:pPr>
              <w:spacing w:before="0" w:after="0"/>
              <w:jc w:val="left"/>
              <w:rPr>
                <w:rFonts w:eastAsia="Times New Roman"/>
                <w:i/>
                <w:iCs/>
                <w:noProof/>
                <w:sz w:val="18"/>
                <w:szCs w:val="18"/>
              </w:rPr>
            </w:pPr>
            <w:r>
              <w:rPr>
                <w:i/>
                <w:noProof/>
                <w:sz w:val="18"/>
              </w:rPr>
              <w:t>Sprattus sprattus</w:t>
            </w:r>
          </w:p>
        </w:tc>
        <w:tc>
          <w:tcPr>
            <w:tcW w:w="567" w:type="dxa"/>
            <w:gridSpan w:val="2"/>
            <w:tcBorders>
              <w:top w:val="nil"/>
              <w:left w:val="nil"/>
              <w:bottom w:val="single" w:sz="8" w:space="0" w:color="000000"/>
              <w:right w:val="nil"/>
            </w:tcBorders>
            <w:shd w:val="clear" w:color="auto" w:fill="auto"/>
            <w:noWrap/>
            <w:hideMark/>
          </w:tcPr>
          <w:p>
            <w:pPr>
              <w:spacing w:before="0" w:after="0"/>
              <w:jc w:val="left"/>
              <w:rPr>
                <w:rFonts w:eastAsia="Times New Roman"/>
                <w:i/>
                <w:iCs/>
                <w:noProof/>
                <w:color w:val="000000"/>
                <w:sz w:val="18"/>
                <w:szCs w:val="18"/>
              </w:rPr>
            </w:pPr>
            <w:r>
              <w:rPr>
                <w:i/>
                <w:noProof/>
                <w:color w:val="000000"/>
                <w:sz w:val="18"/>
              </w:rPr>
              <w:t> </w:t>
            </w:r>
          </w:p>
        </w:tc>
        <w:tc>
          <w:tcPr>
            <w:tcW w:w="1417" w:type="dxa"/>
            <w:gridSpan w:val="2"/>
            <w:tcBorders>
              <w:top w:val="nil"/>
              <w:left w:val="single" w:sz="8" w:space="0" w:color="000000"/>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c>
          <w:tcPr>
            <w:tcW w:w="2947" w:type="dxa"/>
            <w:gridSpan w:val="3"/>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(SPR/2AC4-C)</w:t>
            </w: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Belgique</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rPr>
              <w:t> </w:t>
            </w: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3 929</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w:t>
            </w: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TAC analytique</w:t>
            </w: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Danemark</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310 987</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w:t>
            </w:r>
          </w:p>
        </w:tc>
        <w:tc>
          <w:tcPr>
            <w:tcW w:w="3969"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L'article 7, paragraphe 3, du présent règlement s'applique.</w:t>
            </w:r>
          </w:p>
        </w:tc>
        <w:tc>
          <w:tcPr>
            <w:tcW w:w="39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Allemagne</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3 929</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w:t>
            </w: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France</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3 929</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w:t>
            </w:r>
          </w:p>
        </w:tc>
        <w:tc>
          <w:tcPr>
            <w:tcW w:w="141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color w:val="000000"/>
                <w:sz w:val="16"/>
                <w:szCs w:val="16"/>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Pays-Bas</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3 929</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w:t>
            </w: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Suède</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1 330</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 (2)</w:t>
            </w: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Royaume-Uni</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12 967</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w:t>
            </w: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Union</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341 000</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Norvège</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9 000</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color w:val="000000"/>
                <w:sz w:val="18"/>
                <w:szCs w:val="18"/>
              </w:rPr>
            </w:pP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TAC</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350 000</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w:t>
            </w:r>
          </w:p>
        </w:tc>
        <w:tc>
          <w:tcPr>
            <w:tcW w:w="7830" w:type="dxa"/>
            <w:gridSpan w:val="10"/>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vertAlign w:val="superscript"/>
              </w:rPr>
              <w:t>Sans préjudice de l'obligation de débarquement, les prises de limande commune et de merlan peuvent être imputées jusqu'à concurrence de 2 % sur le quota (OTH/*2AC4C), pour autant que les prises et les prises accessoires des espèces comptabilisées conformément à l'article 15, paragraphe 8, du règlement (UE) n° 1380/2013 ne représentent pas plus de 9 % du total du quota de sprat.</w:t>
            </w:r>
          </w:p>
        </w:tc>
      </w:tr>
      <w:tr>
        <w:trPr>
          <w:trHeight w:val="330"/>
        </w:trPr>
        <w:tc>
          <w:tcPr>
            <w:tcW w:w="1701" w:type="dxa"/>
            <w:tcBorders>
              <w:top w:val="nil"/>
              <w:left w:val="nil"/>
              <w:bottom w:val="single" w:sz="4" w:space="0" w:color="auto"/>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(2)</w:t>
            </w:r>
          </w:p>
        </w:tc>
        <w:tc>
          <w:tcPr>
            <w:tcW w:w="2414" w:type="dxa"/>
            <w:gridSpan w:val="2"/>
            <w:tcBorders>
              <w:top w:val="nil"/>
              <w:left w:val="nil"/>
              <w:bottom w:val="single" w:sz="4" w:space="0" w:color="auto"/>
              <w:right w:val="nil"/>
            </w:tcBorders>
            <w:shd w:val="clear" w:color="auto" w:fill="auto"/>
            <w:noWrap/>
            <w:hideMark/>
          </w:tcPr>
          <w:p>
            <w:pPr>
              <w:spacing w:before="0" w:after="0"/>
              <w:jc w:val="left"/>
              <w:rPr>
                <w:rFonts w:eastAsia="Times New Roman"/>
                <w:noProof/>
                <w:sz w:val="18"/>
                <w:szCs w:val="18"/>
              </w:rPr>
            </w:pPr>
            <w:r>
              <w:rPr>
                <w:noProof/>
                <w:sz w:val="18"/>
                <w:vertAlign w:val="superscript"/>
              </w:rPr>
              <w:t>Y compris le lançon.</w:t>
            </w:r>
          </w:p>
        </w:tc>
        <w:tc>
          <w:tcPr>
            <w:tcW w:w="847" w:type="dxa"/>
            <w:gridSpan w:val="2"/>
            <w:tcBorders>
              <w:top w:val="nil"/>
              <w:left w:val="nil"/>
              <w:bottom w:val="single" w:sz="4" w:space="0" w:color="auto"/>
              <w:right w:val="nil"/>
            </w:tcBorders>
            <w:shd w:val="clear" w:color="auto" w:fill="auto"/>
            <w:noWrap/>
            <w:hideMark/>
          </w:tcPr>
          <w:p>
            <w:pPr>
              <w:spacing w:before="0" w:after="0"/>
              <w:jc w:val="right"/>
              <w:rPr>
                <w:rFonts w:eastAsia="Times New Roman"/>
                <w:noProof/>
                <w:color w:val="000000"/>
                <w:sz w:val="18"/>
                <w:szCs w:val="18"/>
              </w:rPr>
            </w:pPr>
          </w:p>
        </w:tc>
        <w:tc>
          <w:tcPr>
            <w:tcW w:w="567" w:type="dxa"/>
            <w:gridSpan w:val="2"/>
            <w:tcBorders>
              <w:top w:val="nil"/>
              <w:left w:val="nil"/>
              <w:bottom w:val="single" w:sz="4" w:space="0" w:color="auto"/>
              <w:right w:val="nil"/>
            </w:tcBorders>
            <w:shd w:val="clear" w:color="auto" w:fill="auto"/>
            <w:noWrap/>
            <w:hideMark/>
          </w:tcPr>
          <w:p>
            <w:pPr>
              <w:spacing w:before="0" w:after="0"/>
              <w:jc w:val="left"/>
              <w:rPr>
                <w:rFonts w:eastAsia="Times New Roman"/>
                <w:noProof/>
                <w:color w:val="000000"/>
                <w:sz w:val="18"/>
                <w:szCs w:val="18"/>
              </w:rPr>
            </w:pPr>
          </w:p>
        </w:tc>
        <w:tc>
          <w:tcPr>
            <w:tcW w:w="1417" w:type="dxa"/>
            <w:gridSpan w:val="2"/>
            <w:tcBorders>
              <w:top w:val="nil"/>
              <w:left w:val="nil"/>
              <w:bottom w:val="single" w:sz="4" w:space="0" w:color="auto"/>
              <w:right w:val="nil"/>
            </w:tcBorders>
            <w:shd w:val="clear" w:color="auto" w:fill="auto"/>
            <w:noWrap/>
            <w:hideMark/>
          </w:tcPr>
          <w:p>
            <w:pPr>
              <w:spacing w:before="0" w:after="0"/>
              <w:jc w:val="left"/>
              <w:rPr>
                <w:rFonts w:eastAsia="Times New Roman"/>
                <w:noProof/>
                <w:color w:val="000000"/>
                <w:sz w:val="18"/>
                <w:szCs w:val="18"/>
              </w:rPr>
            </w:pPr>
          </w:p>
        </w:tc>
        <w:tc>
          <w:tcPr>
            <w:tcW w:w="2727" w:type="dxa"/>
            <w:gridSpan w:val="3"/>
            <w:tcBorders>
              <w:top w:val="nil"/>
              <w:left w:val="nil"/>
              <w:bottom w:val="single" w:sz="4" w:space="0" w:color="auto"/>
              <w:right w:val="nil"/>
            </w:tcBorders>
            <w:shd w:val="clear" w:color="auto" w:fill="auto"/>
            <w:noWrap/>
            <w:hideMark/>
          </w:tcPr>
          <w:p>
            <w:pPr>
              <w:spacing w:before="0" w:after="0"/>
              <w:jc w:val="left"/>
              <w:rPr>
                <w:rFonts w:eastAsia="Times New Roman"/>
                <w:noProof/>
                <w:color w:val="000000"/>
                <w:sz w:val="18"/>
                <w:szCs w:val="18"/>
              </w:rPr>
            </w:pPr>
          </w:p>
        </w:tc>
      </w:tr>
    </w:tbl>
    <w:p>
      <w:pPr>
        <w:pStyle w:val="Point1"/>
        <w:rPr>
          <w:noProof/>
        </w:rPr>
      </w:pPr>
      <w:r>
        <w:rPr>
          <w:noProof/>
        </w:rPr>
        <w:t>d)</w:t>
      </w:r>
      <w:r>
        <w:rPr>
          <w:noProof/>
        </w:rPr>
        <w:tab/>
        <w:t>la note de bas de page (4) du tableau des possibilités de pêche pour le tacaud norvégien (</w:t>
      </w:r>
      <w:r>
        <w:rPr>
          <w:i/>
          <w:noProof/>
        </w:rPr>
        <w:t>Trisopterus esmarki</w:t>
      </w:r>
      <w:r>
        <w:rPr>
          <w:noProof/>
        </w:rPr>
        <w:t>) et les prises accessoires associées dans la zone III a, et dans les eaux de l'Union des zones II a et IV est supprimée</w:t>
      </w:r>
    </w:p>
    <w:p>
      <w:pPr>
        <w:pStyle w:val="ManualNumPar1"/>
        <w:rPr>
          <w:noProof/>
        </w:rPr>
      </w:pPr>
      <w:r>
        <w:t>2.</w:t>
      </w:r>
      <w:r>
        <w:tab/>
      </w:r>
      <w:r>
        <w:rPr>
          <w:noProof/>
        </w:rPr>
        <w:t>À l'annexe I B, le tableau des possibilités de pêche pour les sébastes de l'Atlantique (</w:t>
      </w:r>
      <w:r>
        <w:rPr>
          <w:i/>
          <w:noProof/>
        </w:rPr>
        <w:t>Sebastes</w:t>
      </w:r>
      <w:r>
        <w:rPr>
          <w:noProof/>
        </w:rPr>
        <w:t xml:space="preserve"> spp.) dans les eaux norvégiennes des sous-zones CIEM I et II est remplacé par le tableau suivant:</w:t>
      </w:r>
    </w:p>
    <w:tbl>
      <w:tblPr>
        <w:tblW w:w="9356" w:type="dxa"/>
        <w:tblInd w:w="108" w:type="dxa"/>
        <w:tblLook w:val="04A0" w:firstRow="1" w:lastRow="0" w:firstColumn="1" w:lastColumn="0" w:noHBand="0" w:noVBand="1"/>
      </w:tblPr>
      <w:tblGrid>
        <w:gridCol w:w="2036"/>
        <w:gridCol w:w="2036"/>
        <w:gridCol w:w="876"/>
        <w:gridCol w:w="976"/>
        <w:gridCol w:w="3432"/>
      </w:tblGrid>
      <w:tr>
        <w:trPr>
          <w:trHeight w:val="330"/>
        </w:trPr>
        <w:tc>
          <w:tcPr>
            <w:tcW w:w="2036" w:type="dxa"/>
            <w:tcBorders>
              <w:top w:val="single" w:sz="8" w:space="0" w:color="auto"/>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Espèce:</w:t>
            </w:r>
          </w:p>
        </w:tc>
        <w:tc>
          <w:tcPr>
            <w:tcW w:w="2036" w:type="dxa"/>
            <w:tcBorders>
              <w:top w:val="single" w:sz="8" w:space="0" w:color="auto"/>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Sébastes de l'Atlantique</w:t>
            </w:r>
          </w:p>
        </w:tc>
        <w:tc>
          <w:tcPr>
            <w:tcW w:w="876" w:type="dxa"/>
            <w:tcBorders>
              <w:top w:val="single" w:sz="8" w:space="0" w:color="auto"/>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vertAlign w:val="superscript"/>
              </w:rPr>
              <w:t> </w:t>
            </w:r>
          </w:p>
        </w:tc>
        <w:tc>
          <w:tcPr>
            <w:tcW w:w="976" w:type="dxa"/>
            <w:tcBorders>
              <w:top w:val="single" w:sz="8" w:space="0" w:color="auto"/>
              <w:left w:val="single" w:sz="8" w:space="0" w:color="auto"/>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Zone:</w:t>
            </w:r>
          </w:p>
        </w:tc>
        <w:tc>
          <w:tcPr>
            <w:tcW w:w="3432" w:type="dxa"/>
            <w:tcBorders>
              <w:top w:val="single" w:sz="8" w:space="0" w:color="auto"/>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Eaux norvégiennes des zones I et II</w:t>
            </w:r>
          </w:p>
        </w:tc>
      </w:tr>
      <w:tr>
        <w:trPr>
          <w:trHeight w:val="330"/>
        </w:trPr>
        <w:tc>
          <w:tcPr>
            <w:tcW w:w="2036" w:type="dxa"/>
            <w:tcBorders>
              <w:top w:val="nil"/>
              <w:left w:val="nil"/>
              <w:bottom w:val="single" w:sz="8" w:space="0" w:color="auto"/>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 </w:t>
            </w:r>
          </w:p>
        </w:tc>
        <w:tc>
          <w:tcPr>
            <w:tcW w:w="2036" w:type="dxa"/>
            <w:tcBorders>
              <w:top w:val="nil"/>
              <w:left w:val="nil"/>
              <w:bottom w:val="single" w:sz="8" w:space="0" w:color="auto"/>
              <w:right w:val="nil"/>
            </w:tcBorders>
            <w:shd w:val="clear" w:color="auto" w:fill="auto"/>
            <w:noWrap/>
            <w:vAlign w:val="bottom"/>
            <w:hideMark/>
          </w:tcPr>
          <w:p>
            <w:pPr>
              <w:spacing w:before="0" w:after="0"/>
              <w:jc w:val="left"/>
              <w:rPr>
                <w:rFonts w:eastAsia="Times New Roman"/>
                <w:i/>
                <w:iCs/>
                <w:noProof/>
                <w:color w:val="000000"/>
                <w:sz w:val="18"/>
                <w:szCs w:val="18"/>
              </w:rPr>
            </w:pPr>
            <w:r>
              <w:rPr>
                <w:i/>
                <w:noProof/>
                <w:color w:val="000000"/>
                <w:sz w:val="18"/>
              </w:rPr>
              <w:t xml:space="preserve">Sebastes </w:t>
            </w:r>
            <w:r>
              <w:rPr>
                <w:noProof/>
                <w:color w:val="000000"/>
                <w:sz w:val="18"/>
              </w:rPr>
              <w:t>spp</w:t>
            </w:r>
            <w:r>
              <w:rPr>
                <w:i/>
                <w:noProof/>
                <w:color w:val="000000"/>
                <w:sz w:val="18"/>
              </w:rPr>
              <w:t>.</w:t>
            </w:r>
          </w:p>
        </w:tc>
        <w:tc>
          <w:tcPr>
            <w:tcW w:w="876" w:type="dxa"/>
            <w:tcBorders>
              <w:top w:val="nil"/>
              <w:left w:val="nil"/>
              <w:bottom w:val="single" w:sz="8" w:space="0" w:color="auto"/>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vertAlign w:val="superscript"/>
              </w:rPr>
              <w:t> </w:t>
            </w:r>
          </w:p>
        </w:tc>
        <w:tc>
          <w:tcPr>
            <w:tcW w:w="976" w:type="dxa"/>
            <w:tcBorders>
              <w:top w:val="nil"/>
              <w:left w:val="single" w:sz="8" w:space="0" w:color="auto"/>
              <w:bottom w:val="single" w:sz="8" w:space="0" w:color="auto"/>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 </w:t>
            </w:r>
          </w:p>
        </w:tc>
        <w:tc>
          <w:tcPr>
            <w:tcW w:w="3432" w:type="dxa"/>
            <w:tcBorders>
              <w:top w:val="nil"/>
              <w:left w:val="nil"/>
              <w:bottom w:val="single" w:sz="8" w:space="0" w:color="auto"/>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(RED/1N2AB.)</w:t>
            </w: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sz w:val="18"/>
                <w:szCs w:val="18"/>
              </w:rPr>
            </w:pPr>
            <w:r>
              <w:rPr>
                <w:noProof/>
                <w:sz w:val="18"/>
              </w:rPr>
              <w:t>Allemagne</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rPr>
            </w:pPr>
            <w:r>
              <w:rPr>
                <w:noProof/>
                <w:sz w:val="18"/>
              </w:rPr>
              <w:t xml:space="preserve">  766</w:t>
            </w:r>
          </w:p>
        </w:tc>
        <w:tc>
          <w:tcPr>
            <w:tcW w:w="87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rPr>
            </w:pPr>
          </w:p>
        </w:tc>
        <w:tc>
          <w:tcPr>
            <w:tcW w:w="4408"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r>
              <w:rPr>
                <w:noProof/>
                <w:color w:val="000000"/>
                <w:sz w:val="18"/>
              </w:rPr>
              <w:t>TAC analytique</w:t>
            </w: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lastRenderedPageBreak/>
              <w:t xml:space="preserve">Espagne </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rPr>
            </w:pPr>
            <w:r>
              <w:rPr>
                <w:noProof/>
                <w:sz w:val="18"/>
              </w:rPr>
              <w:t xml:space="preserve">  95</w:t>
            </w:r>
          </w:p>
        </w:tc>
        <w:tc>
          <w:tcPr>
            <w:tcW w:w="87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rPr>
            </w:pPr>
          </w:p>
        </w:tc>
        <w:tc>
          <w:tcPr>
            <w:tcW w:w="4408"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r>
              <w:rPr>
                <w:noProof/>
                <w:color w:val="000000"/>
                <w:sz w:val="18"/>
              </w:rPr>
              <w:t>L'article 3 du règlement (CE) n° 847/96 ne s'applique pas.</w:t>
            </w: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sz w:val="18"/>
                <w:szCs w:val="18"/>
              </w:rPr>
            </w:pPr>
            <w:r>
              <w:rPr>
                <w:noProof/>
                <w:sz w:val="18"/>
              </w:rPr>
              <w:t>France</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rPr>
            </w:pPr>
            <w:r>
              <w:rPr>
                <w:noProof/>
                <w:sz w:val="18"/>
              </w:rPr>
              <w:t xml:space="preserve">  84</w:t>
            </w:r>
          </w:p>
        </w:tc>
        <w:tc>
          <w:tcPr>
            <w:tcW w:w="87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rPr>
            </w:pPr>
          </w:p>
        </w:tc>
        <w:tc>
          <w:tcPr>
            <w:tcW w:w="4408"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r>
              <w:rPr>
                <w:noProof/>
                <w:color w:val="000000"/>
                <w:sz w:val="18"/>
              </w:rPr>
              <w:t>L'article 4 du règlement (CE) n° 847/96 ne s'applique pas.</w:t>
            </w: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Portugal</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rPr>
            </w:pPr>
            <w:r>
              <w:rPr>
                <w:noProof/>
                <w:sz w:val="18"/>
              </w:rPr>
              <w:t xml:space="preserve">  405</w:t>
            </w:r>
          </w:p>
        </w:tc>
        <w:tc>
          <w:tcPr>
            <w:tcW w:w="87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rPr>
            </w:pPr>
          </w:p>
        </w:tc>
        <w:tc>
          <w:tcPr>
            <w:tcW w:w="976" w:type="dxa"/>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3432" w:type="dxa"/>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Royaume-Uni</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rPr>
            </w:pPr>
            <w:r>
              <w:rPr>
                <w:noProof/>
                <w:sz w:val="18"/>
              </w:rPr>
              <w:t xml:space="preserve">  150</w:t>
            </w:r>
          </w:p>
        </w:tc>
        <w:tc>
          <w:tcPr>
            <w:tcW w:w="87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rPr>
            </w:pPr>
          </w:p>
        </w:tc>
        <w:tc>
          <w:tcPr>
            <w:tcW w:w="9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3432"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Union</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rPr>
            </w:pPr>
            <w:r>
              <w:rPr>
                <w:noProof/>
                <w:sz w:val="18"/>
              </w:rPr>
              <w:t>1 500</w:t>
            </w:r>
          </w:p>
        </w:tc>
        <w:tc>
          <w:tcPr>
            <w:tcW w:w="87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rPr>
            </w:pPr>
          </w:p>
        </w:tc>
        <w:tc>
          <w:tcPr>
            <w:tcW w:w="9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3432"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TAC</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rPr>
            </w:pPr>
            <w:r>
              <w:rPr>
                <w:noProof/>
                <w:sz w:val="18"/>
              </w:rPr>
              <w:t>Sans objet</w:t>
            </w:r>
          </w:p>
        </w:tc>
        <w:tc>
          <w:tcPr>
            <w:tcW w:w="8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9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3432"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r>
      <w:tr>
        <w:trPr>
          <w:trHeight w:val="330"/>
        </w:trPr>
        <w:tc>
          <w:tcPr>
            <w:tcW w:w="2036" w:type="dxa"/>
            <w:tcBorders>
              <w:top w:val="nil"/>
              <w:left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2036" w:type="dxa"/>
            <w:tcBorders>
              <w:top w:val="nil"/>
              <w:left w:val="nil"/>
              <w:right w:val="nil"/>
            </w:tcBorders>
            <w:shd w:val="clear" w:color="auto" w:fill="auto"/>
            <w:noWrap/>
            <w:vAlign w:val="center"/>
            <w:hideMark/>
          </w:tcPr>
          <w:p>
            <w:pPr>
              <w:spacing w:before="0" w:after="0"/>
              <w:jc w:val="right"/>
              <w:rPr>
                <w:rFonts w:eastAsia="Times New Roman"/>
                <w:noProof/>
                <w:sz w:val="18"/>
                <w:szCs w:val="18"/>
              </w:rPr>
            </w:pPr>
          </w:p>
        </w:tc>
        <w:tc>
          <w:tcPr>
            <w:tcW w:w="876" w:type="dxa"/>
            <w:tcBorders>
              <w:top w:val="nil"/>
              <w:left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976" w:type="dxa"/>
            <w:tcBorders>
              <w:top w:val="nil"/>
              <w:left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3432" w:type="dxa"/>
            <w:tcBorders>
              <w:top w:val="nil"/>
              <w:left w:val="nil"/>
              <w:right w:val="nil"/>
            </w:tcBorders>
            <w:shd w:val="clear" w:color="auto" w:fill="auto"/>
            <w:noWrap/>
            <w:vAlign w:val="bottom"/>
            <w:hideMark/>
          </w:tcPr>
          <w:p>
            <w:pPr>
              <w:spacing w:before="0" w:after="0"/>
              <w:jc w:val="left"/>
              <w:rPr>
                <w:rFonts w:eastAsia="Times New Roman"/>
                <w:noProof/>
                <w:color w:val="000000"/>
                <w:sz w:val="18"/>
                <w:szCs w:val="18"/>
              </w:rPr>
            </w:pPr>
          </w:p>
        </w:tc>
      </w:tr>
      <w:tr>
        <w:trPr>
          <w:trHeight w:val="330"/>
        </w:trPr>
        <w:tc>
          <w:tcPr>
            <w:tcW w:w="2036" w:type="dxa"/>
            <w:tcBorders>
              <w:top w:val="nil"/>
              <w:left w:val="nil"/>
              <w:bottom w:val="single" w:sz="4" w:space="0" w:color="auto"/>
              <w:right w:val="nil"/>
            </w:tcBorders>
            <w:shd w:val="clear" w:color="auto" w:fill="auto"/>
            <w:noWrap/>
          </w:tcPr>
          <w:p>
            <w:pPr>
              <w:spacing w:before="0" w:after="0"/>
              <w:jc w:val="left"/>
              <w:rPr>
                <w:rFonts w:eastAsia="Times New Roman"/>
                <w:noProof/>
                <w:color w:val="000000"/>
                <w:sz w:val="18"/>
                <w:szCs w:val="18"/>
              </w:rPr>
            </w:pPr>
          </w:p>
        </w:tc>
        <w:tc>
          <w:tcPr>
            <w:tcW w:w="7320" w:type="dxa"/>
            <w:gridSpan w:val="4"/>
            <w:tcBorders>
              <w:top w:val="nil"/>
              <w:left w:val="nil"/>
              <w:bottom w:val="single" w:sz="4" w:space="0" w:color="auto"/>
              <w:right w:val="nil"/>
            </w:tcBorders>
            <w:shd w:val="clear" w:color="auto" w:fill="auto"/>
            <w:noWrap/>
          </w:tcPr>
          <w:p>
            <w:pPr>
              <w:spacing w:before="0" w:after="0"/>
              <w:jc w:val="left"/>
              <w:rPr>
                <w:rFonts w:eastAsia="Times New Roman"/>
                <w:noProof/>
                <w:color w:val="000000"/>
                <w:sz w:val="18"/>
                <w:szCs w:val="18"/>
              </w:rPr>
            </w:pPr>
          </w:p>
        </w:tc>
      </w:tr>
    </w:tbl>
    <w:p>
      <w:pPr>
        <w:pStyle w:val="Titrearticle"/>
        <w:rPr>
          <w:noProof/>
        </w:rPr>
      </w:pPr>
      <w:r>
        <w:rPr>
          <w:noProof/>
        </w:rPr>
        <w:t>Article 2</w:t>
      </w:r>
    </w:p>
    <w:p>
      <w:pPr>
        <w:rPr>
          <w:noProof/>
        </w:rPr>
      </w:pPr>
      <w:r>
        <w:rPr>
          <w:noProof/>
        </w:rPr>
        <w:t xml:space="preserve">Le présent règlement entre en vigueur le troisième jour suivant celui de sa publication au </w:t>
      </w:r>
      <w:r>
        <w:rPr>
          <w:i/>
          <w:noProof/>
        </w:rPr>
        <w:t>Journal officiel de l'Union européenne.</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(JO L 354 du 28.12.2013, p. 22).</w:t>
      </w:r>
    </w:p>
  </w:footnote>
  <w:footnote w:id="2">
    <w:p>
      <w:pPr>
        <w:pStyle w:val="FootnoteText"/>
      </w:pPr>
      <w:r>
        <w:rPr>
          <w:rStyle w:val="FootnoteReference"/>
        </w:rPr>
        <w:footnoteRef/>
      </w:r>
      <w:r>
        <w:tab/>
        <w:t>Règlement (UE) 2015/104 du Conseil du 19 janvier 2015 établissant, pour 2015, les possibilités de pêche pour certains stocks halieutiques et groupes de stocks halieutiques, applicables dans les eaux de l'Union et, pour les navires de l'Union, dans certaines eaux n'appartenant pas à l'Union, modifiant le règlement (UE) nº 43/2014 et abrogeant le règlement (UE) nº 779/2014 (JO L 22 du 28.1.2015,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089E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40CB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C8AA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6053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928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8828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0085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D8EC58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07 10:08: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27A724F739A14AF2B80FC6C103DDB852"/>
    <w:docVar w:name="LW_CROSSREFERENCE" w:val="&lt;UNUSED&gt;"/>
    <w:docVar w:name="LW_DocType" w:val="COM"/>
    <w:docVar w:name="LW_EMISSION" w:val="7.10.2015"/>
    <w:docVar w:name="LW_EMISSION_ISODATE" w:val="2015-10-07"/>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36"/>
    <w:docVar w:name="LW_REF.II.NEW.CP_YEAR" w:val="2015"/>
    <w:docVar w:name="LW_REF.INST.NEW" w:val="COM"/>
    <w:docVar w:name="LW_REF.INST.NEW_ADOPTED" w:val="final"/>
    <w:docVar w:name="LW_REF.INST.NEW_TEXT" w:val="(2015) 487"/>
    <w:docVar w:name="LW_REF.INTERNE" w:val="&lt;UNUSED&gt;"/>
    <w:docVar w:name="LW_SOUS.TITRE.OBJ.CP" w:val="&lt;UNUSED&gt;"/>
    <w:docVar w:name="LW_STATUT.CP" w:val="Proposition de"/>
    <w:docVar w:name="LW_SUPERTITRE" w:val="&lt;UNUSED&gt;"/>
    <w:docVar w:name="LW_TITRE.OBJ.CP" w:val="modifiant le règlement (UE) 2015/104 en ce qui concerne certaines possibilités de pêch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7679">
      <w:bodyDiv w:val="1"/>
      <w:marLeft w:val="0"/>
      <w:marRight w:val="0"/>
      <w:marTop w:val="0"/>
      <w:marBottom w:val="0"/>
      <w:divBdr>
        <w:top w:val="none" w:sz="0" w:space="0" w:color="auto"/>
        <w:left w:val="none" w:sz="0" w:space="0" w:color="auto"/>
        <w:bottom w:val="none" w:sz="0" w:space="0" w:color="auto"/>
        <w:right w:val="none" w:sz="0" w:space="0" w:color="auto"/>
      </w:divBdr>
    </w:div>
    <w:div w:id="440493885">
      <w:bodyDiv w:val="1"/>
      <w:marLeft w:val="0"/>
      <w:marRight w:val="0"/>
      <w:marTop w:val="0"/>
      <w:marBottom w:val="0"/>
      <w:divBdr>
        <w:top w:val="none" w:sz="0" w:space="0" w:color="auto"/>
        <w:left w:val="none" w:sz="0" w:space="0" w:color="auto"/>
        <w:bottom w:val="none" w:sz="0" w:space="0" w:color="auto"/>
        <w:right w:val="none" w:sz="0" w:space="0" w:color="auto"/>
      </w:divBdr>
    </w:div>
    <w:div w:id="640770483">
      <w:bodyDiv w:val="1"/>
      <w:marLeft w:val="0"/>
      <w:marRight w:val="0"/>
      <w:marTop w:val="0"/>
      <w:marBottom w:val="0"/>
      <w:divBdr>
        <w:top w:val="none" w:sz="0" w:space="0" w:color="auto"/>
        <w:left w:val="none" w:sz="0" w:space="0" w:color="auto"/>
        <w:bottom w:val="none" w:sz="0" w:space="0" w:color="auto"/>
        <w:right w:val="none" w:sz="0" w:space="0" w:color="auto"/>
      </w:divBdr>
    </w:div>
    <w:div w:id="1141114681">
      <w:bodyDiv w:val="1"/>
      <w:marLeft w:val="0"/>
      <w:marRight w:val="0"/>
      <w:marTop w:val="0"/>
      <w:marBottom w:val="0"/>
      <w:divBdr>
        <w:top w:val="none" w:sz="0" w:space="0" w:color="auto"/>
        <w:left w:val="none" w:sz="0" w:space="0" w:color="auto"/>
        <w:bottom w:val="none" w:sz="0" w:space="0" w:color="auto"/>
        <w:right w:val="none" w:sz="0" w:space="0" w:color="auto"/>
      </w:divBdr>
    </w:div>
    <w:div w:id="2084448827">
      <w:bodyDiv w:val="1"/>
      <w:marLeft w:val="0"/>
      <w:marRight w:val="0"/>
      <w:marTop w:val="0"/>
      <w:marBottom w:val="0"/>
      <w:divBdr>
        <w:top w:val="none" w:sz="0" w:space="0" w:color="auto"/>
        <w:left w:val="none" w:sz="0" w:space="0" w:color="auto"/>
        <w:bottom w:val="none" w:sz="0" w:space="0" w:color="auto"/>
        <w:right w:val="none" w:sz="0" w:space="0" w:color="auto"/>
      </w:divBdr>
    </w:div>
    <w:div w:id="2088191886">
      <w:bodyDiv w:val="1"/>
      <w:marLeft w:val="0"/>
      <w:marRight w:val="0"/>
      <w:marTop w:val="0"/>
      <w:marBottom w:val="0"/>
      <w:divBdr>
        <w:top w:val="none" w:sz="0" w:space="0" w:color="auto"/>
        <w:left w:val="none" w:sz="0" w:space="0" w:color="auto"/>
        <w:bottom w:val="none" w:sz="0" w:space="0" w:color="auto"/>
        <w:right w:val="none" w:sz="0" w:space="0" w:color="auto"/>
      </w:divBdr>
    </w:div>
    <w:div w:id="210652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AE109-9EAC-49BB-8870-FD22D0D7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2068</Words>
  <Characters>10154</Characters>
  <Application>Microsoft Office Word</Application>
  <DocSecurity>0</DocSecurity>
  <Lines>507</Lines>
  <Paragraphs>235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2015-09-16T14:14:00Z</cp:lastPrinted>
  <dcterms:created xsi:type="dcterms:W3CDTF">2015-09-21T07:44:00Z</dcterms:created>
  <dcterms:modified xsi:type="dcterms:W3CDTF">2015-10-07T08:08:00Z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