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4146C25DE64608AD65FEFFD3DF5B83"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Регламент (ЕС) 2015/104 на Съвета се установяват възможностите за риболов за 2015 г. на определени рибни запаси и групи от рибни запаси, приложими във водите на Съюза, както и за корабите на Съюза в някои води извън Съюза. Обикновено тези възможности за риболов се изменят неколкократно по време на периода, в който са в сила. Целта на предложените изменения е Регламент (ЕС) 2015/104 да бъде изменен, както е описано по-долу.</w:t>
      </w:r>
    </w:p>
    <w:p>
      <w:pPr>
        <w:rPr>
          <w:noProof/>
        </w:rPr>
      </w:pPr>
      <w:r>
        <w:rPr>
          <w:noProof/>
        </w:rPr>
        <w:t>На 19 януари 2015 г. Съветът прие Регламент (ЕС) 2015/104, с който се установяват възможностите за риболов на определени рибни запаси и групи от рибни запаси, приложими във водите на Съюза, както и за корабите на Съюза в някои води извън Съюза. Регламентът предвижда общият допустим улов за цаца и свързан с нея прилов във водите на Съюза от участък IIa на ICES и подзона IV на ICES за 2015 г. да бъде 227 000 тона въз основа на становището на Международния съвет за изследване на морето (ICES), налично към момента на определяне на възможностите за риболов.</w:t>
      </w:r>
    </w:p>
    <w:p>
      <w:pPr>
        <w:rPr>
          <w:noProof/>
        </w:rPr>
      </w:pPr>
      <w:r>
        <w:rPr>
          <w:noProof/>
        </w:rPr>
        <w:t>На 30 юни 2015 г. ICES публикува становище относно цацата в Северно море, което обхваща периода от юли 2015 г. до юни 2016 г. и допуска общ желан улов за този период от не повече от 506 000 тона. Положителното становище се дължи основно на рекордното ниво на попълване на запасите, новите оценки на смъртността и актуализираните входни данни за модела.</w:t>
      </w:r>
    </w:p>
    <w:p>
      <w:pPr>
        <w:rPr>
          <w:noProof/>
        </w:rPr>
      </w:pPr>
      <w:r>
        <w:rPr>
          <w:noProof/>
        </w:rPr>
        <w:t>Тъй като в Европейския съюз възможностите за риболов се определят ежегодно, възможностите за риболов за 2015 г. следва да бъдат изменени, за да се предвиди частично увеличение на общия допустим улов за цаца.  Това частично увеличение на възможностите за риболов за 2015 г. ще бъде взето предвид при представянето на предложение за възможностите за риболов за 2016 г.</w:t>
      </w:r>
    </w:p>
    <w:p>
      <w:pPr>
        <w:rPr>
          <w:noProof/>
        </w:rPr>
      </w:pPr>
      <w:r>
        <w:rPr>
          <w:noProof/>
        </w:rPr>
        <w:t>Според последното становище на ICES херингата в участък IIIa на ICES е в безопасните биологични граници, определени в член 4, параграф 18 от Регламент (ЕС) № 1380/2013, както и за целите на член 15, параграф 8 от същия регламент.</w:t>
      </w:r>
    </w:p>
    <w:p>
      <w:pPr>
        <w:rPr>
          <w:noProof/>
        </w:rPr>
      </w:pPr>
      <w:r>
        <w:rPr>
          <w:noProof/>
        </w:rPr>
        <w:t>Референтните стойности за запасите от херинга в участък VIIa на ICES, южно от 52° 30 ′ с.ш. и участъци VIIg, h, j, k (Ирландско море, Келтско море, югозападно от Ирландия) бяха определени през 2015 г. и моделът за оценка беше променен. Референтната стойност доведе до промяна в оценката за запаса, поради което е възможно значително увеличение на ОДУ за 2016 г., в съответствие със становището. Тъй като това е есенен риболов, ограниченото увеличение на възможностите за риболов още през 2015 г. ще бъде от полза за риболовната индустрия и няма да накърни запаса. Това частично увеличение на възможностите за риболов за 2015 г. ще бъде взето предвид при представянето на предложение за възможностите за риболов за 2016 г.</w:t>
      </w:r>
    </w:p>
    <w:p>
      <w:pPr>
        <w:rPr>
          <w:noProof/>
        </w:rPr>
      </w:pPr>
      <w:r>
        <w:rPr>
          <w:noProof/>
        </w:rPr>
        <w:t>ОДУ на норвежки паут в участък IIIa на ICES и водите на Съюза от участък IIa и подзона IV понастоящем се прилага от 1 януари до 31 октомври 2015 г. Тъй като становището на ICES ще бъде издадено едва през последното тримесечие на 2015 г., срокът на прилагане на този ОДУ следва да бъде удължен до края на 2015 г., за да не остане този запас извън ОДУ между 1 ноември и 31 декември 2015 г.</w:t>
      </w:r>
    </w:p>
    <w:p>
      <w:pPr>
        <w:rPr>
          <w:noProof/>
        </w:rPr>
      </w:pPr>
      <w:r>
        <w:rPr>
          <w:noProof/>
        </w:rPr>
        <w:lastRenderedPageBreak/>
        <w:t>В резултат на консултации с Норвегия може да се определи общ допустим улов от 1500 t за морски костур в норвежки води от подзони I и II. Предложението на Комисията включва това споразумение и установява квотата на ЕС и квотите на съответните държави членки.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Предложението е съгласувано с общата политика в областта на рибарството, установена в Регламент (ЕС) № 1380/2013.</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други политики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Предложението се основава на член 43, параграф 3 от Договора.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е в рамките на правомощията, предвидени в член 43, параграф 3 от ДФЕС, и не надхвърля необходимото за постигане на целта на тази разпоредба.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Договорът предвижда регламент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Предложението е основано на научното становище на ICES, официална консултация със заинтересованите страни не е необходима  поради ограниченото въздействие на предложението.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е основано на научното становище на ICES.</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е основано на научното становище на ICES и е в съответствие с целите на общата политика в областта на рибарството.</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rPr>
      </w:pPr>
      <w:r>
        <w:rPr>
          <w:noProof/>
        </w:rPr>
        <w:t>Измененото предложение няма да има отражение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2015/0236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2015/104 по отношение на някои възможности за риболов</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Според последното становище на ICES херингата в подучастък IIIa на ICES е в безопасните биологични граници, както са определени в член 4, параграф 18 от Регламент (ЕС) № 1380/2013</w:t>
      </w:r>
      <w:r>
        <w:rPr>
          <w:rStyle w:val="FootnoteReference"/>
          <w:noProof/>
        </w:rPr>
        <w:footnoteReference w:id="1"/>
      </w:r>
      <w:r>
        <w:rPr>
          <w:noProof/>
        </w:rPr>
        <w:t>. Поради това този рибен запас следва да бъде посочен в приложение I към Регламент (ЕС) 2015/104 за целите на прилагането на дерогацията, предвидена в член 15, параграф 8 от Регламент (ЕС) № 1380/2013.</w:t>
      </w:r>
    </w:p>
    <w:p>
      <w:pPr>
        <w:pStyle w:val="ManualConsidrant"/>
        <w:rPr>
          <w:i/>
          <w:noProof/>
        </w:rPr>
      </w:pPr>
      <w:r>
        <w:t>(2)</w:t>
      </w:r>
      <w:r>
        <w:tab/>
      </w:r>
      <w:r>
        <w:rPr>
          <w:noProof/>
        </w:rPr>
        <w:t>Научното становище сочи, че ограниченото увеличение на общия допустим улов за 2015 г. за херинга в участъци VIIg, VIIh, VIIj и VIIk на ICES е възможно и е в съответствие с целите на общата политика в областта на рибарството, определени в член 2, параграф 2 от Регламент (ЕС) № 1380/2013.</w:t>
      </w:r>
    </w:p>
    <w:p>
      <w:pPr>
        <w:pStyle w:val="ManualConsidrant"/>
        <w:rPr>
          <w:noProof/>
        </w:rPr>
      </w:pPr>
      <w:r>
        <w:t>(3)</w:t>
      </w:r>
      <w:r>
        <w:tab/>
      </w:r>
      <w:r>
        <w:rPr>
          <w:noProof/>
        </w:rPr>
        <w:t>На 30 юни 2015 г. Международният съвет за изследване на морето (ICES) издаде становище за цацата във водите на Съюза от участък IIa на ICES и подзона IV на ICES, обхващащо периода от юли 2015 г. до юни 2016 г., което допуска общ желан улов от 506 000 тона. Това становище се дължи основно на рекордното ниво на попълване на запасите, на новите оценки на смъртността и актуализираните входни данни за модела.</w:t>
      </w:r>
    </w:p>
    <w:p>
      <w:pPr>
        <w:pStyle w:val="ManualConsidrant"/>
        <w:rPr>
          <w:noProof/>
        </w:rPr>
      </w:pPr>
      <w:r>
        <w:t>(4)</w:t>
      </w:r>
      <w:r>
        <w:tab/>
      </w:r>
      <w:r>
        <w:rPr>
          <w:noProof/>
        </w:rPr>
        <w:t>ОДУ на цаца във водите на Съюза от участък IIa на ICES и подзона IV на ICES за 2015 г. понастоящем е определен на 227 000 тона по силата на Регламент (ЕС) 2015/104 на Съвета</w:t>
      </w:r>
      <w:r>
        <w:rPr>
          <w:rStyle w:val="FootnoteReference"/>
          <w:noProof/>
        </w:rPr>
        <w:footnoteReference w:id="2"/>
      </w:r>
      <w:r>
        <w:rPr>
          <w:noProof/>
        </w:rPr>
        <w:t>. Той следва да бъде увеличен въз основа на становището на ICES от 30 юни 2015 г., за да се даде възможност за оптимална експлоатация на този запас.</w:t>
      </w:r>
    </w:p>
    <w:p>
      <w:pPr>
        <w:pStyle w:val="ManualConsidrant"/>
        <w:rPr>
          <w:noProof/>
        </w:rPr>
      </w:pPr>
      <w:r>
        <w:lastRenderedPageBreak/>
        <w:t>(5)</w:t>
      </w:r>
      <w:r>
        <w:tab/>
      </w:r>
      <w:r>
        <w:rPr>
          <w:noProof/>
        </w:rPr>
        <w:t>Тъй като становището на ICES обхваща периода от юли 2015 г. до юни 2016 г., за повишаване на възможностите за риболов за 2015 г. следва да бъде взета предвид само част от максималния улов, препоръчан от ICES.</w:t>
      </w:r>
    </w:p>
    <w:p>
      <w:pPr>
        <w:pStyle w:val="ManualConsidrant"/>
        <w:rPr>
          <w:noProof/>
        </w:rPr>
      </w:pPr>
      <w:r>
        <w:t>(6)</w:t>
      </w:r>
      <w:r>
        <w:tab/>
      </w:r>
      <w:r>
        <w:rPr>
          <w:noProof/>
        </w:rPr>
        <w:t>ОДУ на норвежки паут в участък IIIa на ICES и водите на Съюза от участък IIa и подзона IV понастоящем се прилага от 1 януари до 31 октомври 2015 г. Тъй като становището на ICES ще бъде издадено едва през последното тримесечие на 2015 г., срокът на прилагане на актуалния общ допустим улов за норвежки паут в тази зона следва да бъде удължен до края на 2015 г.</w:t>
      </w:r>
    </w:p>
    <w:p>
      <w:pPr>
        <w:pStyle w:val="ManualConsidrant"/>
        <w:rPr>
          <w:noProof/>
        </w:rPr>
      </w:pPr>
      <w:r>
        <w:t>(7)</w:t>
      </w:r>
      <w:r>
        <w:tab/>
      </w:r>
      <w:r>
        <w:rPr>
          <w:noProof/>
        </w:rPr>
        <w:t>В резултат на прехвърляне от Норвегия корабите на ЕС ще могат да извършат риболов на 1500 тона морски костур в норвежки води от подзони I и II на ICES.</w:t>
      </w:r>
    </w:p>
    <w:p>
      <w:pPr>
        <w:pStyle w:val="ManualConsidrant"/>
        <w:rPr>
          <w:noProof/>
        </w:rPr>
      </w:pPr>
      <w:r>
        <w:t>(8)</w:t>
      </w:r>
      <w:r>
        <w:tab/>
      </w:r>
      <w:r>
        <w:rPr>
          <w:noProof/>
        </w:rPr>
        <w:t>Поради това Регламент (ЕС) 2015/104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r>
        <w:rPr>
          <w:noProof/>
        </w:rPr>
        <w:br/>
      </w:r>
    </w:p>
    <w:p>
      <w:pPr>
        <w:rPr>
          <w:noProof/>
        </w:rPr>
      </w:pPr>
      <w:r>
        <w:rPr>
          <w:noProof/>
        </w:rPr>
        <w:t xml:space="preserve">Регламент (ЕС) 2015/104 се изменя, както следва: </w:t>
      </w:r>
    </w:p>
    <w:p>
      <w:pPr>
        <w:pStyle w:val="ManualNumPar1"/>
        <w:rPr>
          <w:noProof/>
        </w:rPr>
      </w:pPr>
      <w:r>
        <w:t>1.</w:t>
      </w:r>
      <w:r>
        <w:tab/>
      </w:r>
      <w:r>
        <w:rPr>
          <w:noProof/>
        </w:rPr>
        <w:t>Приложение IA се изменя, както следва:</w:t>
      </w:r>
    </w:p>
    <w:p>
      <w:pPr>
        <w:pStyle w:val="Point1"/>
        <w:rPr>
          <w:noProof/>
        </w:rPr>
      </w:pPr>
      <w:r>
        <w:rPr>
          <w:noProof/>
        </w:rPr>
        <w:t>а)</w:t>
      </w:r>
      <w:r>
        <w:rPr>
          <w:noProof/>
        </w:rPr>
        <w:tab/>
        <w:t>Таблицата за възможностите за риболов на херинга (</w:t>
      </w:r>
      <w:r>
        <w:rPr>
          <w:i/>
          <w:noProof/>
        </w:rPr>
        <w:t>Clupea harengus</w:t>
      </w:r>
      <w:r>
        <w:rPr>
          <w:noProof/>
        </w:rPr>
        <w:t>) в участък IIIa се заменя със следната таблица:</w:t>
      </w:r>
    </w:p>
    <w:tbl>
      <w:tblPr>
        <w:tblW w:w="9453" w:type="dxa"/>
        <w:tblInd w:w="108" w:type="dxa"/>
        <w:tblLook w:val="04A0" w:firstRow="1" w:lastRow="0" w:firstColumn="1" w:lastColumn="0" w:noHBand="0" w:noVBand="1"/>
      </w:tblPr>
      <w:tblGrid>
        <w:gridCol w:w="1316"/>
        <w:gridCol w:w="2543"/>
        <w:gridCol w:w="961"/>
        <w:gridCol w:w="425"/>
        <w:gridCol w:w="2922"/>
        <w:gridCol w:w="764"/>
        <w:gridCol w:w="261"/>
        <w:gridCol w:w="261"/>
      </w:tblGrid>
      <w:tr>
        <w:trPr>
          <w:trHeight w:val="330"/>
        </w:trPr>
        <w:tc>
          <w:tcPr>
            <w:tcW w:w="1316"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Вид:</w:t>
            </w:r>
          </w:p>
        </w:tc>
        <w:tc>
          <w:tcPr>
            <w:tcW w:w="2543" w:type="dxa"/>
            <w:tcBorders>
              <w:top w:val="single" w:sz="8" w:space="0" w:color="000000"/>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 xml:space="preserve">Херинга </w:t>
            </w:r>
            <w:r>
              <w:rPr>
                <w:noProof/>
                <w:sz w:val="18"/>
                <w:vertAlign w:val="superscript"/>
              </w:rPr>
              <w:t>(1)</w:t>
            </w:r>
          </w:p>
        </w:tc>
        <w:tc>
          <w:tcPr>
            <w:tcW w:w="961" w:type="dxa"/>
            <w:tcBorders>
              <w:top w:val="single" w:sz="8" w:space="0" w:color="000000"/>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 </w:t>
            </w:r>
          </w:p>
        </w:tc>
        <w:tc>
          <w:tcPr>
            <w:tcW w:w="425"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922" w:type="dxa"/>
            <w:tcBorders>
              <w:top w:val="single" w:sz="8" w:space="0" w:color="000000"/>
              <w:left w:val="single" w:sz="8" w:space="0" w:color="000000"/>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Зона:</w:t>
            </w:r>
          </w:p>
        </w:tc>
        <w:tc>
          <w:tcPr>
            <w:tcW w:w="1286" w:type="dxa"/>
            <w:gridSpan w:val="3"/>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IIIа </w:t>
            </w:r>
          </w:p>
          <w:p>
            <w:pPr>
              <w:spacing w:before="0" w:after="0"/>
              <w:jc w:val="left"/>
              <w:rPr>
                <w:rFonts w:eastAsia="Times New Roman"/>
                <w:noProof/>
                <w:color w:val="000000"/>
                <w:sz w:val="18"/>
                <w:szCs w:val="18"/>
              </w:rPr>
            </w:pPr>
            <w:r>
              <w:rPr>
                <w:noProof/>
                <w:color w:val="000000"/>
                <w:sz w:val="18"/>
              </w:rPr>
              <w:t> </w:t>
            </w:r>
          </w:p>
        </w:tc>
      </w:tr>
      <w:tr>
        <w:trPr>
          <w:trHeight w:val="330"/>
        </w:trPr>
        <w:tc>
          <w:tcPr>
            <w:tcW w:w="1316"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3504"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i/>
                <w:iCs/>
                <w:noProof/>
                <w:sz w:val="18"/>
                <w:szCs w:val="18"/>
              </w:rPr>
            </w:pPr>
            <w:r>
              <w:rPr>
                <w:i/>
                <w:noProof/>
                <w:sz w:val="18"/>
              </w:rPr>
              <w:t>Clupea harengus</w:t>
            </w:r>
          </w:p>
        </w:tc>
        <w:tc>
          <w:tcPr>
            <w:tcW w:w="425" w:type="dxa"/>
            <w:tcBorders>
              <w:top w:val="nil"/>
              <w:left w:val="nil"/>
              <w:bottom w:val="single" w:sz="8" w:space="0" w:color="000000"/>
              <w:right w:val="nil"/>
            </w:tcBorders>
            <w:shd w:val="clear" w:color="auto" w:fill="auto"/>
            <w:noWrap/>
            <w:hideMark/>
          </w:tcPr>
          <w:p>
            <w:pPr>
              <w:spacing w:before="0" w:after="0"/>
              <w:jc w:val="left"/>
              <w:rPr>
                <w:rFonts w:eastAsia="Times New Roman"/>
                <w:i/>
                <w:iCs/>
                <w:noProof/>
                <w:color w:val="000000"/>
                <w:sz w:val="18"/>
                <w:szCs w:val="18"/>
              </w:rPr>
            </w:pPr>
            <w:r>
              <w:rPr>
                <w:i/>
                <w:noProof/>
                <w:color w:val="000000"/>
                <w:sz w:val="18"/>
              </w:rPr>
              <w:t> </w:t>
            </w:r>
          </w:p>
        </w:tc>
        <w:tc>
          <w:tcPr>
            <w:tcW w:w="2922" w:type="dxa"/>
            <w:tcBorders>
              <w:top w:val="nil"/>
              <w:left w:val="single" w:sz="8" w:space="0" w:color="000000"/>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1286"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(HER/03A.)</w:t>
            </w:r>
          </w:p>
          <w:p>
            <w:pPr>
              <w:spacing w:before="0" w:after="0"/>
              <w:jc w:val="left"/>
              <w:rPr>
                <w:rFonts w:eastAsia="Times New Roman"/>
                <w:noProof/>
                <w:color w:val="000000"/>
                <w:sz w:val="18"/>
                <w:szCs w:val="18"/>
              </w:rPr>
            </w:pPr>
            <w:r>
              <w:rPr>
                <w:noProof/>
                <w:color w:val="000000"/>
                <w:sz w:val="18"/>
              </w:rPr>
              <w:t> </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Дания</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 </w:t>
            </w: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18 034</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3686"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Аналитичен ОДУ</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Германия</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 xml:space="preserve"> 289</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4208"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Член 3 от Регламент (ЕО) № 847/96 не се прилага.</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Швеция</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18 865</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4208"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Член 4 от Регламент (ЕО) № 847/96 не се прилага.</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Съюз</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37 188</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3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Прилага се член 7, параграф 3 от настоящия регламент</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Норвегия</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5816</w:t>
            </w:r>
          </w:p>
        </w:tc>
        <w:tc>
          <w:tcPr>
            <w:tcW w:w="425"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2922"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Фарьорски острови</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 xml:space="preserve"> 600</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(3)</w:t>
            </w:r>
          </w:p>
        </w:tc>
        <w:tc>
          <w:tcPr>
            <w:tcW w:w="2922"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ОДУ</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r>
              <w:rPr>
                <w:noProof/>
                <w:color w:val="000000"/>
                <w:sz w:val="18"/>
              </w:rPr>
              <w:t>43 604</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22"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6851" w:type="dxa"/>
            <w:gridSpan w:val="4"/>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vertAlign w:val="superscript"/>
              </w:rPr>
              <w:t>Разтоварвания на херинга, добита при риболов с мрежи с размери на окото ≥ 32 mm.</w:t>
            </w: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6851" w:type="dxa"/>
            <w:gridSpan w:val="4"/>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vertAlign w:val="superscript"/>
              </w:rPr>
              <w:t>Специално условие: до 50 % от това количество може да се лови във водите на Съюза от IV (HER/*04-C.).</w:t>
            </w: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trHeight w:val="330"/>
        </w:trPr>
        <w:tc>
          <w:tcPr>
            <w:tcW w:w="1316" w:type="dxa"/>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(3)</w:t>
            </w:r>
          </w:p>
        </w:tc>
        <w:tc>
          <w:tcPr>
            <w:tcW w:w="6851" w:type="dxa"/>
            <w:gridSpan w:val="4"/>
            <w:tcBorders>
              <w:top w:val="nil"/>
              <w:left w:val="nil"/>
              <w:bottom w:val="single" w:sz="4"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Може да се лови само в Скагерак (HER/*03AN.).</w:t>
            </w:r>
          </w:p>
          <w:p>
            <w:pPr>
              <w:spacing w:before="0" w:after="0"/>
              <w:jc w:val="left"/>
              <w:rPr>
                <w:rFonts w:eastAsia="Times New Roman"/>
                <w:noProof/>
                <w:color w:val="000000"/>
                <w:sz w:val="18"/>
                <w:szCs w:val="18"/>
              </w:rPr>
            </w:pPr>
            <w:r>
              <w:rPr>
                <w:noProof/>
                <w:color w:val="000000"/>
                <w:sz w:val="18"/>
              </w:rPr>
              <w:t> </w:t>
            </w:r>
          </w:p>
        </w:tc>
        <w:tc>
          <w:tcPr>
            <w:tcW w:w="764"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6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6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bl>
    <w:p>
      <w:pPr>
        <w:pStyle w:val="Point1"/>
        <w:rPr>
          <w:noProof/>
        </w:rPr>
      </w:pPr>
      <w:r>
        <w:rPr>
          <w:noProof/>
        </w:rPr>
        <w:t>б)</w:t>
      </w:r>
      <w:r>
        <w:rPr>
          <w:noProof/>
        </w:rPr>
        <w:tab/>
        <w:t>Таблицата за възможностите за риболов на херинга (</w:t>
      </w:r>
      <w:r>
        <w:rPr>
          <w:i/>
          <w:noProof/>
        </w:rPr>
        <w:t>Clupea harengus</w:t>
      </w:r>
      <w:r>
        <w:rPr>
          <w:noProof/>
        </w:rPr>
        <w:t>) в участъци VIIg, VIIh, VIIj и VIIk се заменя със следната таблица:</w:t>
      </w:r>
    </w:p>
    <w:tbl>
      <w:tblPr>
        <w:tblW w:w="5151" w:type="pct"/>
        <w:tblLayout w:type="fixed"/>
        <w:tblLook w:val="04A0" w:firstRow="1" w:lastRow="0" w:firstColumn="1" w:lastColumn="0" w:noHBand="0" w:noVBand="1"/>
      </w:tblPr>
      <w:tblGrid>
        <w:gridCol w:w="1022"/>
        <w:gridCol w:w="2592"/>
        <w:gridCol w:w="1213"/>
        <w:gridCol w:w="526"/>
        <w:gridCol w:w="1734"/>
        <w:gridCol w:w="1154"/>
        <w:gridCol w:w="1093"/>
        <w:gridCol w:w="236"/>
      </w:tblGrid>
      <w:tr>
        <w:trPr>
          <w:trHeight w:val="20"/>
        </w:trPr>
        <w:tc>
          <w:tcPr>
            <w:tcW w:w="534" w:type="pct"/>
            <w:tcBorders>
              <w:top w:val="single" w:sz="4" w:space="0" w:color="auto"/>
            </w:tcBorders>
            <w:noWrap/>
            <w:hideMark/>
          </w:tcPr>
          <w:p>
            <w:pPr>
              <w:spacing w:after="0"/>
              <w:rPr>
                <w:noProof/>
                <w:color w:val="000000"/>
                <w:sz w:val="18"/>
                <w:szCs w:val="18"/>
              </w:rPr>
            </w:pPr>
            <w:r>
              <w:rPr>
                <w:noProof/>
                <w:color w:val="000000"/>
                <w:sz w:val="18"/>
              </w:rPr>
              <w:t>Вид:</w:t>
            </w:r>
          </w:p>
        </w:tc>
        <w:tc>
          <w:tcPr>
            <w:tcW w:w="1354" w:type="pct"/>
            <w:tcBorders>
              <w:top w:val="single" w:sz="4" w:space="0" w:color="auto"/>
            </w:tcBorders>
            <w:noWrap/>
            <w:hideMark/>
          </w:tcPr>
          <w:p>
            <w:pPr>
              <w:spacing w:after="0"/>
              <w:rPr>
                <w:noProof/>
                <w:sz w:val="18"/>
                <w:szCs w:val="18"/>
              </w:rPr>
            </w:pPr>
            <w:r>
              <w:rPr>
                <w:noProof/>
                <w:sz w:val="18"/>
              </w:rPr>
              <w:t>Херинга</w:t>
            </w:r>
          </w:p>
        </w:tc>
        <w:tc>
          <w:tcPr>
            <w:tcW w:w="634" w:type="pct"/>
            <w:tcBorders>
              <w:top w:val="single" w:sz="4" w:space="0" w:color="auto"/>
            </w:tcBorders>
            <w:noWrap/>
            <w:hideMark/>
          </w:tcPr>
          <w:p>
            <w:pPr>
              <w:spacing w:after="0"/>
              <w:jc w:val="right"/>
              <w:rPr>
                <w:noProof/>
                <w:color w:val="000000"/>
                <w:sz w:val="18"/>
                <w:szCs w:val="18"/>
              </w:rPr>
            </w:pPr>
            <w:r>
              <w:rPr>
                <w:noProof/>
                <w:color w:val="000000"/>
                <w:sz w:val="18"/>
              </w:rPr>
              <w:t> </w:t>
            </w:r>
          </w:p>
        </w:tc>
        <w:tc>
          <w:tcPr>
            <w:tcW w:w="275" w:type="pct"/>
            <w:tcBorders>
              <w:top w:val="single" w:sz="4" w:space="0" w:color="auto"/>
            </w:tcBorders>
            <w:noWrap/>
            <w:hideMark/>
          </w:tcPr>
          <w:p>
            <w:pPr>
              <w:spacing w:after="0"/>
              <w:rPr>
                <w:noProof/>
                <w:color w:val="000000"/>
                <w:sz w:val="18"/>
                <w:szCs w:val="18"/>
              </w:rPr>
            </w:pPr>
            <w:r>
              <w:rPr>
                <w:noProof/>
                <w:color w:val="000000"/>
                <w:sz w:val="18"/>
              </w:rPr>
              <w:t> </w:t>
            </w:r>
          </w:p>
        </w:tc>
        <w:tc>
          <w:tcPr>
            <w:tcW w:w="906" w:type="pct"/>
            <w:tcBorders>
              <w:top w:val="single" w:sz="4" w:space="0" w:color="auto"/>
              <w:left w:val="single" w:sz="8" w:space="0" w:color="000000"/>
              <w:bottom w:val="nil"/>
              <w:right w:val="nil"/>
            </w:tcBorders>
            <w:noWrap/>
            <w:hideMark/>
          </w:tcPr>
          <w:p>
            <w:pPr>
              <w:spacing w:after="0"/>
              <w:rPr>
                <w:noProof/>
                <w:color w:val="000000"/>
                <w:sz w:val="18"/>
                <w:szCs w:val="18"/>
              </w:rPr>
            </w:pPr>
            <w:r>
              <w:rPr>
                <w:noProof/>
                <w:color w:val="000000"/>
                <w:sz w:val="18"/>
              </w:rPr>
              <w:t>Зона:</w:t>
            </w:r>
          </w:p>
        </w:tc>
        <w:tc>
          <w:tcPr>
            <w:tcW w:w="1297" w:type="pct"/>
            <w:gridSpan w:val="3"/>
            <w:tcBorders>
              <w:top w:val="single" w:sz="4" w:space="0" w:color="auto"/>
              <w:left w:val="nil"/>
              <w:bottom w:val="nil"/>
              <w:right w:val="nil"/>
            </w:tcBorders>
            <w:noWrap/>
            <w:hideMark/>
          </w:tcPr>
          <w:p>
            <w:pPr>
              <w:spacing w:after="0"/>
              <w:rPr>
                <w:noProof/>
                <w:color w:val="000000"/>
                <w:sz w:val="18"/>
                <w:szCs w:val="18"/>
              </w:rPr>
            </w:pPr>
            <w:r>
              <w:rPr>
                <w:noProof/>
                <w:color w:val="000000"/>
                <w:sz w:val="18"/>
              </w:rPr>
              <w:t>VIIg</w:t>
            </w:r>
            <w:r>
              <w:rPr>
                <w:noProof/>
                <w:color w:val="000000"/>
                <w:sz w:val="18"/>
                <w:vertAlign w:val="superscript"/>
              </w:rPr>
              <w:t>(1)</w:t>
            </w:r>
            <w:r>
              <w:rPr>
                <w:noProof/>
                <w:color w:val="000000"/>
                <w:sz w:val="18"/>
              </w:rPr>
              <w:t>, VIIh</w:t>
            </w:r>
            <w:r>
              <w:rPr>
                <w:noProof/>
                <w:color w:val="000000"/>
                <w:sz w:val="18"/>
                <w:vertAlign w:val="superscript"/>
              </w:rPr>
              <w:t>(1)</w:t>
            </w:r>
            <w:r>
              <w:rPr>
                <w:noProof/>
                <w:color w:val="000000"/>
                <w:sz w:val="18"/>
              </w:rPr>
              <w:t>, VIIj</w:t>
            </w:r>
            <w:r>
              <w:rPr>
                <w:noProof/>
                <w:color w:val="000000"/>
                <w:sz w:val="18"/>
                <w:vertAlign w:val="superscript"/>
              </w:rPr>
              <w:t>(1)</w:t>
            </w:r>
            <w:r>
              <w:rPr>
                <w:noProof/>
                <w:color w:val="000000"/>
                <w:sz w:val="18"/>
              </w:rPr>
              <w:t xml:space="preserve"> и VIIk</w:t>
            </w:r>
            <w:r>
              <w:rPr>
                <w:noProof/>
                <w:color w:val="000000"/>
                <w:sz w:val="18"/>
                <w:vertAlign w:val="superscript"/>
              </w:rPr>
              <w:t>(1)</w:t>
            </w:r>
          </w:p>
        </w:tc>
      </w:tr>
      <w:tr>
        <w:trPr>
          <w:trHeight w:val="20"/>
        </w:trPr>
        <w:tc>
          <w:tcPr>
            <w:tcW w:w="534" w:type="pct"/>
            <w:tcBorders>
              <w:top w:val="nil"/>
              <w:left w:val="nil"/>
              <w:bottom w:val="single" w:sz="8" w:space="0" w:color="000000"/>
              <w:right w:val="nil"/>
            </w:tcBorders>
            <w:noWrap/>
            <w:hideMark/>
          </w:tcPr>
          <w:p>
            <w:pPr>
              <w:spacing w:after="0"/>
              <w:rPr>
                <w:noProof/>
                <w:color w:val="000000"/>
                <w:sz w:val="18"/>
                <w:szCs w:val="18"/>
              </w:rPr>
            </w:pPr>
            <w:r>
              <w:rPr>
                <w:noProof/>
                <w:color w:val="000000"/>
                <w:sz w:val="18"/>
              </w:rPr>
              <w:t> </w:t>
            </w:r>
          </w:p>
        </w:tc>
        <w:tc>
          <w:tcPr>
            <w:tcW w:w="1988" w:type="pct"/>
            <w:gridSpan w:val="2"/>
            <w:tcBorders>
              <w:top w:val="nil"/>
              <w:left w:val="nil"/>
              <w:bottom w:val="single" w:sz="8" w:space="0" w:color="000000"/>
              <w:right w:val="nil"/>
            </w:tcBorders>
            <w:noWrap/>
            <w:hideMark/>
          </w:tcPr>
          <w:p>
            <w:pPr>
              <w:spacing w:after="0"/>
              <w:rPr>
                <w:i/>
                <w:iCs/>
                <w:noProof/>
                <w:sz w:val="18"/>
                <w:szCs w:val="18"/>
              </w:rPr>
            </w:pPr>
            <w:r>
              <w:rPr>
                <w:i/>
                <w:noProof/>
                <w:sz w:val="18"/>
              </w:rPr>
              <w:t>Clupea harengus</w:t>
            </w:r>
          </w:p>
        </w:tc>
        <w:tc>
          <w:tcPr>
            <w:tcW w:w="275" w:type="pct"/>
            <w:tcBorders>
              <w:top w:val="nil"/>
              <w:left w:val="nil"/>
              <w:bottom w:val="single" w:sz="8" w:space="0" w:color="000000"/>
              <w:right w:val="nil"/>
            </w:tcBorders>
            <w:noWrap/>
            <w:hideMark/>
          </w:tcPr>
          <w:p>
            <w:pPr>
              <w:spacing w:after="0"/>
              <w:rPr>
                <w:i/>
                <w:iCs/>
                <w:noProof/>
                <w:color w:val="000000"/>
                <w:sz w:val="18"/>
                <w:szCs w:val="18"/>
              </w:rPr>
            </w:pPr>
            <w:r>
              <w:rPr>
                <w:i/>
                <w:noProof/>
                <w:color w:val="000000"/>
                <w:sz w:val="18"/>
              </w:rPr>
              <w:t> </w:t>
            </w:r>
          </w:p>
        </w:tc>
        <w:tc>
          <w:tcPr>
            <w:tcW w:w="906" w:type="pct"/>
            <w:tcBorders>
              <w:top w:val="nil"/>
              <w:left w:val="single" w:sz="8" w:space="0" w:color="000000"/>
              <w:bottom w:val="single" w:sz="8" w:space="0" w:color="000000"/>
              <w:right w:val="nil"/>
            </w:tcBorders>
            <w:noWrap/>
            <w:hideMark/>
          </w:tcPr>
          <w:p>
            <w:pPr>
              <w:spacing w:after="0"/>
              <w:rPr>
                <w:noProof/>
                <w:color w:val="000000"/>
                <w:sz w:val="18"/>
                <w:szCs w:val="18"/>
              </w:rPr>
            </w:pPr>
            <w:r>
              <w:rPr>
                <w:noProof/>
                <w:color w:val="000000"/>
                <w:sz w:val="18"/>
              </w:rPr>
              <w:t> </w:t>
            </w:r>
          </w:p>
        </w:tc>
        <w:tc>
          <w:tcPr>
            <w:tcW w:w="1174" w:type="pct"/>
            <w:gridSpan w:val="2"/>
            <w:tcBorders>
              <w:top w:val="nil"/>
              <w:left w:val="nil"/>
              <w:bottom w:val="single" w:sz="8" w:space="0" w:color="000000"/>
              <w:right w:val="nil"/>
            </w:tcBorders>
            <w:noWrap/>
            <w:hideMark/>
          </w:tcPr>
          <w:p>
            <w:pPr>
              <w:spacing w:after="0"/>
              <w:rPr>
                <w:noProof/>
                <w:color w:val="000000"/>
                <w:sz w:val="18"/>
                <w:szCs w:val="18"/>
              </w:rPr>
            </w:pPr>
            <w:r>
              <w:rPr>
                <w:noProof/>
                <w:color w:val="000000"/>
                <w:sz w:val="18"/>
              </w:rPr>
              <w:t>(HER/7G-K.)</w:t>
            </w:r>
          </w:p>
        </w:tc>
        <w:tc>
          <w:tcPr>
            <w:tcW w:w="123" w:type="pct"/>
            <w:tcBorders>
              <w:top w:val="nil"/>
              <w:left w:val="nil"/>
              <w:bottom w:val="single" w:sz="8" w:space="0" w:color="000000"/>
              <w:right w:val="nil"/>
            </w:tcBorders>
            <w:noWrap/>
            <w:hideMark/>
          </w:tcPr>
          <w:p>
            <w:pPr>
              <w:spacing w:after="0"/>
              <w:rPr>
                <w:noProof/>
                <w:color w:val="000000"/>
                <w:sz w:val="18"/>
                <w:szCs w:val="18"/>
              </w:rPr>
            </w:pPr>
            <w:r>
              <w:rPr>
                <w:noProof/>
                <w:color w:val="000000"/>
                <w:sz w:val="18"/>
              </w:rPr>
              <w:t> </w:t>
            </w:r>
          </w:p>
        </w:tc>
      </w:tr>
      <w:tr>
        <w:trPr>
          <w:trHeight w:val="20"/>
        </w:trPr>
        <w:tc>
          <w:tcPr>
            <w:tcW w:w="534" w:type="pct"/>
            <w:noWrap/>
            <w:hideMark/>
          </w:tcPr>
          <w:p>
            <w:pPr>
              <w:spacing w:after="0"/>
              <w:rPr>
                <w:noProof/>
                <w:color w:val="000000"/>
                <w:sz w:val="18"/>
                <w:szCs w:val="18"/>
              </w:rPr>
            </w:pPr>
            <w:r>
              <w:rPr>
                <w:noProof/>
                <w:color w:val="000000"/>
                <w:sz w:val="18"/>
              </w:rPr>
              <w:t>Германия</w:t>
            </w:r>
          </w:p>
        </w:tc>
        <w:tc>
          <w:tcPr>
            <w:tcW w:w="1354" w:type="pct"/>
            <w:noWrap/>
            <w:hideMark/>
          </w:tcPr>
          <w:p>
            <w:pPr>
              <w:spacing w:after="0"/>
              <w:rPr>
                <w:noProof/>
                <w:sz w:val="18"/>
                <w:szCs w:val="18"/>
              </w:rPr>
            </w:pPr>
            <w:r>
              <w:rPr>
                <w:noProof/>
                <w:sz w:val="18"/>
              </w:rPr>
              <w:t> </w:t>
            </w:r>
          </w:p>
        </w:tc>
        <w:tc>
          <w:tcPr>
            <w:tcW w:w="634" w:type="pct"/>
            <w:noWrap/>
            <w:hideMark/>
          </w:tcPr>
          <w:p>
            <w:pPr>
              <w:spacing w:after="0"/>
              <w:jc w:val="right"/>
              <w:rPr>
                <w:noProof/>
                <w:color w:val="000000"/>
                <w:sz w:val="18"/>
                <w:szCs w:val="18"/>
              </w:rPr>
            </w:pPr>
            <w:r>
              <w:rPr>
                <w:noProof/>
                <w:color w:val="000000"/>
                <w:sz w:val="18"/>
              </w:rPr>
              <w:t>213</w:t>
            </w:r>
          </w:p>
        </w:tc>
        <w:tc>
          <w:tcPr>
            <w:tcW w:w="275" w:type="pct"/>
            <w:noWrap/>
            <w:hideMark/>
          </w:tcPr>
          <w:p>
            <w:pPr>
              <w:spacing w:after="0"/>
              <w:rPr>
                <w:noProof/>
                <w:color w:val="000000"/>
                <w:sz w:val="18"/>
                <w:szCs w:val="18"/>
              </w:rPr>
            </w:pPr>
            <w:r>
              <w:rPr>
                <w:noProof/>
                <w:color w:val="000000"/>
                <w:sz w:val="18"/>
              </w:rPr>
              <w:t> </w:t>
            </w:r>
          </w:p>
        </w:tc>
        <w:tc>
          <w:tcPr>
            <w:tcW w:w="1509" w:type="pct"/>
            <w:gridSpan w:val="2"/>
            <w:tcBorders>
              <w:top w:val="single" w:sz="8" w:space="0" w:color="000000"/>
              <w:left w:val="nil"/>
              <w:bottom w:val="nil"/>
              <w:right w:val="nil"/>
            </w:tcBorders>
            <w:noWrap/>
            <w:hideMark/>
          </w:tcPr>
          <w:p>
            <w:pPr>
              <w:spacing w:after="0"/>
              <w:rPr>
                <w:noProof/>
                <w:color w:val="000000"/>
                <w:sz w:val="18"/>
                <w:szCs w:val="18"/>
              </w:rPr>
            </w:pPr>
            <w:r>
              <w:rPr>
                <w:noProof/>
                <w:color w:val="000000"/>
                <w:sz w:val="18"/>
              </w:rPr>
              <w:t>Аналитичен ОДУ</w:t>
            </w:r>
          </w:p>
        </w:tc>
        <w:tc>
          <w:tcPr>
            <w:tcW w:w="571" w:type="pct"/>
            <w:noWrap/>
            <w:hideMark/>
          </w:tcPr>
          <w:p>
            <w:pPr>
              <w:spacing w:after="0"/>
              <w:rPr>
                <w:noProof/>
                <w:color w:val="000000"/>
                <w:sz w:val="18"/>
                <w:szCs w:val="18"/>
              </w:rPr>
            </w:pPr>
            <w:r>
              <w:rPr>
                <w:noProof/>
                <w:color w:val="000000"/>
                <w:sz w:val="18"/>
              </w:rPr>
              <w:t> </w:t>
            </w:r>
          </w:p>
        </w:tc>
        <w:tc>
          <w:tcPr>
            <w:tcW w:w="123" w:type="pct"/>
            <w:noWrap/>
            <w:hideMark/>
          </w:tcPr>
          <w:p>
            <w:pPr>
              <w:spacing w:after="0"/>
              <w:rPr>
                <w:noProof/>
                <w:color w:val="000000"/>
                <w:sz w:val="18"/>
                <w:szCs w:val="18"/>
              </w:rPr>
            </w:pPr>
            <w:r>
              <w:rPr>
                <w:noProof/>
                <w:color w:val="000000"/>
                <w:sz w:val="18"/>
              </w:rPr>
              <w:t> </w:t>
            </w:r>
          </w:p>
        </w:tc>
      </w:tr>
      <w:tr>
        <w:trPr>
          <w:trHeight w:val="20"/>
        </w:trPr>
        <w:tc>
          <w:tcPr>
            <w:tcW w:w="534" w:type="pct"/>
            <w:noWrap/>
            <w:hideMark/>
          </w:tcPr>
          <w:p>
            <w:pPr>
              <w:spacing w:after="0"/>
              <w:rPr>
                <w:noProof/>
                <w:color w:val="000000"/>
                <w:sz w:val="18"/>
                <w:szCs w:val="18"/>
              </w:rPr>
            </w:pPr>
            <w:r>
              <w:rPr>
                <w:noProof/>
                <w:color w:val="000000"/>
                <w:sz w:val="18"/>
              </w:rPr>
              <w:t>Франция</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1185</w:t>
            </w:r>
          </w:p>
        </w:tc>
        <w:tc>
          <w:tcPr>
            <w:tcW w:w="275" w:type="pct"/>
            <w:noWrap/>
            <w:hideMark/>
          </w:tcPr>
          <w:p>
            <w:pPr>
              <w:spacing w:after="0"/>
              <w:rPr>
                <w:rFonts w:eastAsia="Calibri"/>
                <w:noProof/>
                <w:sz w:val="20"/>
                <w:szCs w:val="20"/>
              </w:rPr>
            </w:pPr>
          </w:p>
        </w:tc>
        <w:tc>
          <w:tcPr>
            <w:tcW w:w="2080" w:type="pct"/>
            <w:gridSpan w:val="3"/>
            <w:noWrap/>
            <w:hideMark/>
          </w:tcPr>
          <w:p>
            <w:pPr>
              <w:spacing w:after="0"/>
              <w:rPr>
                <w:noProof/>
                <w:color w:val="000000"/>
                <w:sz w:val="18"/>
                <w:szCs w:val="18"/>
              </w:rPr>
            </w:pPr>
            <w:r>
              <w:rPr>
                <w:noProof/>
                <w:color w:val="000000"/>
                <w:sz w:val="18"/>
              </w:rPr>
              <w:t>Прилага се член 7, параграф 3 от настоящия регламент</w:t>
            </w: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rPr>
              <w:t>Ирландия</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16 591</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1888" w:type="pct"/>
            <w:gridSpan w:val="2"/>
            <w:noWrap/>
            <w:hideMark/>
          </w:tcPr>
          <w:p>
            <w:pPr>
              <w:spacing w:after="0"/>
              <w:rPr>
                <w:noProof/>
                <w:color w:val="000000"/>
                <w:sz w:val="18"/>
                <w:szCs w:val="18"/>
              </w:rPr>
            </w:pPr>
            <w:r>
              <w:rPr>
                <w:noProof/>
                <w:color w:val="000000"/>
                <w:sz w:val="18"/>
              </w:rPr>
              <w:lastRenderedPageBreak/>
              <w:t>Нидерландия</w:t>
            </w:r>
          </w:p>
        </w:tc>
        <w:tc>
          <w:tcPr>
            <w:tcW w:w="634" w:type="pct"/>
            <w:noWrap/>
            <w:hideMark/>
          </w:tcPr>
          <w:p>
            <w:pPr>
              <w:spacing w:after="0"/>
              <w:jc w:val="right"/>
              <w:rPr>
                <w:noProof/>
                <w:color w:val="000000"/>
                <w:sz w:val="18"/>
                <w:szCs w:val="18"/>
              </w:rPr>
            </w:pPr>
            <w:r>
              <w:rPr>
                <w:noProof/>
                <w:color w:val="000000"/>
                <w:sz w:val="18"/>
              </w:rPr>
              <w:t>1185</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1888" w:type="pct"/>
            <w:gridSpan w:val="2"/>
            <w:noWrap/>
            <w:hideMark/>
          </w:tcPr>
          <w:p>
            <w:pPr>
              <w:spacing w:after="0"/>
              <w:rPr>
                <w:noProof/>
                <w:color w:val="000000"/>
                <w:sz w:val="18"/>
                <w:szCs w:val="18"/>
              </w:rPr>
            </w:pPr>
            <w:r>
              <w:rPr>
                <w:noProof/>
                <w:color w:val="000000"/>
                <w:sz w:val="18"/>
              </w:rPr>
              <w:t>Обединено кралство</w:t>
            </w:r>
          </w:p>
        </w:tc>
        <w:tc>
          <w:tcPr>
            <w:tcW w:w="634" w:type="pct"/>
            <w:noWrap/>
            <w:hideMark/>
          </w:tcPr>
          <w:p>
            <w:pPr>
              <w:spacing w:after="0"/>
              <w:jc w:val="right"/>
              <w:rPr>
                <w:noProof/>
                <w:color w:val="000000"/>
                <w:sz w:val="18"/>
                <w:szCs w:val="18"/>
              </w:rPr>
            </w:pPr>
            <w:r>
              <w:rPr>
                <w:noProof/>
                <w:color w:val="000000"/>
                <w:sz w:val="18"/>
              </w:rPr>
              <w:t>24</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rPr>
              <w:t>Съюз</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19 198</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354" w:type="pct"/>
            <w:noWrap/>
            <w:hideMark/>
          </w:tcPr>
          <w:p>
            <w:pPr>
              <w:spacing w:after="0"/>
              <w:rPr>
                <w:rFonts w:eastAsia="Calibri"/>
                <w:noProof/>
                <w:sz w:val="20"/>
                <w:szCs w:val="20"/>
              </w:rPr>
            </w:pPr>
          </w:p>
        </w:tc>
        <w:tc>
          <w:tcPr>
            <w:tcW w:w="634" w:type="pct"/>
            <w:noWrap/>
            <w:hideMark/>
          </w:tcPr>
          <w:p>
            <w:pPr>
              <w:spacing w:after="0"/>
              <w:rPr>
                <w:rFonts w:eastAsia="Calibri"/>
                <w:noProof/>
                <w:sz w:val="20"/>
                <w:szCs w:val="20"/>
              </w:rPr>
            </w:pP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rPr>
              <w:t>ОДУ</w:t>
            </w:r>
          </w:p>
        </w:tc>
        <w:tc>
          <w:tcPr>
            <w:tcW w:w="1354" w:type="pct"/>
            <w:noWrap/>
            <w:hideMark/>
          </w:tcPr>
          <w:p>
            <w:pPr>
              <w:spacing w:after="0"/>
              <w:rPr>
                <w:rFonts w:eastAsia="Calibri"/>
                <w:noProof/>
                <w:sz w:val="20"/>
                <w:szCs w:val="20"/>
              </w:rPr>
            </w:pPr>
          </w:p>
        </w:tc>
        <w:tc>
          <w:tcPr>
            <w:tcW w:w="634" w:type="pct"/>
            <w:noWrap/>
            <w:hideMark/>
          </w:tcPr>
          <w:p>
            <w:pPr>
              <w:spacing w:after="0"/>
              <w:jc w:val="right"/>
              <w:rPr>
                <w:noProof/>
                <w:color w:val="000000"/>
                <w:sz w:val="18"/>
                <w:szCs w:val="18"/>
              </w:rPr>
            </w:pPr>
            <w:r>
              <w:rPr>
                <w:noProof/>
                <w:color w:val="000000"/>
                <w:sz w:val="18"/>
              </w:rPr>
              <w:t>19 198</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noProof/>
                <w:color w:val="000000"/>
                <w:sz w:val="18"/>
                <w:szCs w:val="18"/>
              </w:rPr>
            </w:pPr>
            <w:r>
              <w:rPr>
                <w:noProof/>
                <w:color w:val="000000"/>
                <w:sz w:val="18"/>
                <w:vertAlign w:val="superscript"/>
              </w:rPr>
              <w:t>(1)</w:t>
            </w:r>
          </w:p>
        </w:tc>
        <w:tc>
          <w:tcPr>
            <w:tcW w:w="2263" w:type="pct"/>
            <w:gridSpan w:val="3"/>
            <w:noWrap/>
            <w:hideMark/>
          </w:tcPr>
          <w:p>
            <w:pPr>
              <w:spacing w:after="0"/>
              <w:rPr>
                <w:noProof/>
                <w:sz w:val="18"/>
                <w:szCs w:val="18"/>
              </w:rPr>
            </w:pPr>
            <w:r>
              <w:rPr>
                <w:noProof/>
                <w:sz w:val="18"/>
                <w:vertAlign w:val="superscript"/>
              </w:rPr>
              <w:t>Тази зона се увеличава с района, ограничен:</w:t>
            </w: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988" w:type="pct"/>
            <w:gridSpan w:val="2"/>
            <w:noWrap/>
            <w:hideMark/>
          </w:tcPr>
          <w:p>
            <w:pPr>
              <w:spacing w:after="0"/>
              <w:rPr>
                <w:noProof/>
                <w:sz w:val="18"/>
                <w:szCs w:val="18"/>
              </w:rPr>
            </w:pPr>
            <w:r>
              <w:rPr>
                <w:noProof/>
                <w:sz w:val="18"/>
                <w:vertAlign w:val="superscript"/>
              </w:rPr>
              <w:t>- на север от 52° 30′ с.ш.,</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988" w:type="pct"/>
            <w:gridSpan w:val="2"/>
            <w:noWrap/>
            <w:hideMark/>
          </w:tcPr>
          <w:p>
            <w:pPr>
              <w:spacing w:after="0"/>
              <w:rPr>
                <w:noProof/>
                <w:sz w:val="18"/>
                <w:szCs w:val="18"/>
              </w:rPr>
            </w:pPr>
            <w:r>
              <w:rPr>
                <w:noProof/>
                <w:sz w:val="18"/>
                <w:vertAlign w:val="superscript"/>
              </w:rPr>
              <w:t>- на юг от 52° 00′ с.ш.,</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noWrap/>
            <w:hideMark/>
          </w:tcPr>
          <w:p>
            <w:pPr>
              <w:spacing w:after="0"/>
              <w:rPr>
                <w:rFonts w:eastAsia="Calibri"/>
                <w:noProof/>
                <w:sz w:val="20"/>
                <w:szCs w:val="20"/>
              </w:rPr>
            </w:pPr>
          </w:p>
        </w:tc>
        <w:tc>
          <w:tcPr>
            <w:tcW w:w="1988" w:type="pct"/>
            <w:gridSpan w:val="2"/>
            <w:noWrap/>
            <w:hideMark/>
          </w:tcPr>
          <w:p>
            <w:pPr>
              <w:spacing w:after="0"/>
              <w:rPr>
                <w:noProof/>
                <w:sz w:val="18"/>
                <w:szCs w:val="18"/>
              </w:rPr>
            </w:pPr>
            <w:r>
              <w:rPr>
                <w:noProof/>
                <w:sz w:val="18"/>
                <w:vertAlign w:val="superscript"/>
              </w:rPr>
              <w:t>- на запад от крайбрежието на Ирландия</w:t>
            </w:r>
          </w:p>
        </w:tc>
        <w:tc>
          <w:tcPr>
            <w:tcW w:w="275" w:type="pct"/>
            <w:noWrap/>
            <w:hideMark/>
          </w:tcPr>
          <w:p>
            <w:pPr>
              <w:spacing w:after="0"/>
              <w:rPr>
                <w:rFonts w:eastAsia="Calibri"/>
                <w:noProof/>
                <w:sz w:val="20"/>
                <w:szCs w:val="20"/>
              </w:rPr>
            </w:pPr>
          </w:p>
        </w:tc>
        <w:tc>
          <w:tcPr>
            <w:tcW w:w="906" w:type="pct"/>
            <w:noWrap/>
            <w:hideMark/>
          </w:tcPr>
          <w:p>
            <w:pPr>
              <w:spacing w:after="0"/>
              <w:rPr>
                <w:rFonts w:eastAsia="Calibri"/>
                <w:noProof/>
                <w:sz w:val="20"/>
                <w:szCs w:val="20"/>
              </w:rPr>
            </w:pPr>
          </w:p>
        </w:tc>
        <w:tc>
          <w:tcPr>
            <w:tcW w:w="603" w:type="pct"/>
            <w:noWrap/>
            <w:hideMark/>
          </w:tcPr>
          <w:p>
            <w:pPr>
              <w:spacing w:after="0"/>
              <w:rPr>
                <w:rFonts w:eastAsia="Calibri"/>
                <w:noProof/>
                <w:sz w:val="20"/>
                <w:szCs w:val="20"/>
              </w:rPr>
            </w:pPr>
          </w:p>
        </w:tc>
        <w:tc>
          <w:tcPr>
            <w:tcW w:w="571" w:type="pct"/>
            <w:noWrap/>
            <w:hideMark/>
          </w:tcPr>
          <w:p>
            <w:pPr>
              <w:spacing w:after="0"/>
              <w:rPr>
                <w:rFonts w:eastAsia="Calibri"/>
                <w:noProof/>
                <w:sz w:val="20"/>
                <w:szCs w:val="20"/>
              </w:rPr>
            </w:pPr>
          </w:p>
        </w:tc>
        <w:tc>
          <w:tcPr>
            <w:tcW w:w="123" w:type="pct"/>
            <w:noWrap/>
            <w:hideMark/>
          </w:tcPr>
          <w:p>
            <w:pPr>
              <w:spacing w:after="0"/>
              <w:rPr>
                <w:rFonts w:eastAsia="Calibri"/>
                <w:noProof/>
                <w:sz w:val="20"/>
                <w:szCs w:val="20"/>
              </w:rPr>
            </w:pPr>
          </w:p>
        </w:tc>
      </w:tr>
      <w:tr>
        <w:trPr>
          <w:trHeight w:val="20"/>
        </w:trPr>
        <w:tc>
          <w:tcPr>
            <w:tcW w:w="534" w:type="pct"/>
            <w:tcBorders>
              <w:top w:val="nil"/>
              <w:left w:val="nil"/>
              <w:bottom w:val="single" w:sz="8" w:space="0" w:color="auto"/>
              <w:right w:val="nil"/>
            </w:tcBorders>
            <w:noWrap/>
            <w:hideMark/>
          </w:tcPr>
          <w:p>
            <w:pPr>
              <w:spacing w:after="0"/>
              <w:rPr>
                <w:noProof/>
                <w:color w:val="000000"/>
                <w:sz w:val="18"/>
                <w:szCs w:val="18"/>
              </w:rPr>
            </w:pPr>
            <w:r>
              <w:rPr>
                <w:noProof/>
                <w:color w:val="000000"/>
                <w:sz w:val="18"/>
                <w:vertAlign w:val="superscript"/>
              </w:rPr>
              <w:t> </w:t>
            </w:r>
          </w:p>
        </w:tc>
        <w:tc>
          <w:tcPr>
            <w:tcW w:w="2263" w:type="pct"/>
            <w:gridSpan w:val="3"/>
            <w:tcBorders>
              <w:top w:val="nil"/>
              <w:left w:val="nil"/>
              <w:bottom w:val="single" w:sz="8" w:space="0" w:color="auto"/>
              <w:right w:val="nil"/>
            </w:tcBorders>
            <w:noWrap/>
            <w:hideMark/>
          </w:tcPr>
          <w:p>
            <w:pPr>
              <w:spacing w:after="0"/>
              <w:rPr>
                <w:noProof/>
                <w:sz w:val="18"/>
                <w:szCs w:val="18"/>
              </w:rPr>
            </w:pPr>
            <w:r>
              <w:rPr>
                <w:noProof/>
                <w:sz w:val="18"/>
                <w:vertAlign w:val="superscript"/>
              </w:rPr>
              <w:t>- на изток от крайбрежието на Обединеното кралство.</w:t>
            </w:r>
          </w:p>
        </w:tc>
        <w:tc>
          <w:tcPr>
            <w:tcW w:w="906"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c>
          <w:tcPr>
            <w:tcW w:w="603"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c>
          <w:tcPr>
            <w:tcW w:w="571"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c>
          <w:tcPr>
            <w:tcW w:w="123" w:type="pct"/>
            <w:tcBorders>
              <w:top w:val="nil"/>
              <w:left w:val="nil"/>
              <w:bottom w:val="single" w:sz="8" w:space="0" w:color="auto"/>
              <w:right w:val="nil"/>
            </w:tcBorders>
            <w:noWrap/>
            <w:hideMark/>
          </w:tcPr>
          <w:p>
            <w:pPr>
              <w:spacing w:after="0"/>
              <w:rPr>
                <w:noProof/>
                <w:color w:val="000000"/>
                <w:sz w:val="18"/>
                <w:szCs w:val="18"/>
              </w:rPr>
            </w:pPr>
            <w:r>
              <w:rPr>
                <w:noProof/>
                <w:color w:val="000000"/>
                <w:sz w:val="18"/>
              </w:rPr>
              <w:t> </w:t>
            </w:r>
          </w:p>
        </w:tc>
      </w:tr>
    </w:tbl>
    <w:p>
      <w:pPr>
        <w:pStyle w:val="Point1"/>
        <w:rPr>
          <w:noProof/>
        </w:rPr>
      </w:pPr>
      <w:r>
        <w:rPr>
          <w:noProof/>
        </w:rPr>
        <w:t>в)</w:t>
      </w:r>
      <w:r>
        <w:rPr>
          <w:noProof/>
        </w:rPr>
        <w:tab/>
        <w:t>Таблицата за възможностите за риболов на цаца (</w:t>
      </w:r>
      <w:r>
        <w:rPr>
          <w:i/>
          <w:noProof/>
        </w:rPr>
        <w:t>Sprattus sprattus</w:t>
      </w:r>
      <w:r>
        <w:rPr>
          <w:noProof/>
        </w:rPr>
        <w:t>) и свързания с нея прилов във води на Съюза от IIа и IV се заменя със следната таблица:</w:t>
      </w:r>
    </w:p>
    <w:tbl>
      <w:tblPr>
        <w:tblW w:w="9673" w:type="dxa"/>
        <w:tblInd w:w="108" w:type="dxa"/>
        <w:tblLook w:val="04A0" w:firstRow="1" w:lastRow="0" w:firstColumn="1" w:lastColumn="0" w:noHBand="0" w:noVBand="1"/>
      </w:tblPr>
      <w:tblGrid>
        <w:gridCol w:w="1701"/>
        <w:gridCol w:w="1877"/>
        <w:gridCol w:w="537"/>
        <w:gridCol w:w="485"/>
        <w:gridCol w:w="362"/>
        <w:gridCol w:w="205"/>
        <w:gridCol w:w="362"/>
        <w:gridCol w:w="1055"/>
        <w:gridCol w:w="362"/>
        <w:gridCol w:w="2190"/>
        <w:gridCol w:w="395"/>
        <w:gridCol w:w="142"/>
      </w:tblGrid>
      <w:tr>
        <w:trPr>
          <w:gridAfter w:val="1"/>
          <w:wAfter w:w="142" w:type="dxa"/>
          <w:trHeight w:val="330"/>
        </w:trPr>
        <w:tc>
          <w:tcPr>
            <w:tcW w:w="1701"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Вид:</w:t>
            </w:r>
          </w:p>
        </w:tc>
        <w:tc>
          <w:tcPr>
            <w:tcW w:w="2899" w:type="dxa"/>
            <w:gridSpan w:val="3"/>
            <w:tcBorders>
              <w:top w:val="single" w:sz="8" w:space="0" w:color="000000"/>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Цаца и свързан прилов</w:t>
            </w:r>
          </w:p>
        </w:tc>
        <w:tc>
          <w:tcPr>
            <w:tcW w:w="567"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1417" w:type="dxa"/>
            <w:gridSpan w:val="2"/>
            <w:tcBorders>
              <w:top w:val="single" w:sz="8" w:space="0" w:color="000000"/>
              <w:left w:val="single" w:sz="8" w:space="0" w:color="000000"/>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Зона:</w:t>
            </w:r>
          </w:p>
        </w:tc>
        <w:tc>
          <w:tcPr>
            <w:tcW w:w="2552"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Води на Съюза от IIa и IV</w:t>
            </w:r>
          </w:p>
        </w:tc>
        <w:tc>
          <w:tcPr>
            <w:tcW w:w="395"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r>
        <w:trPr>
          <w:gridAfter w:val="1"/>
          <w:wAfter w:w="142" w:type="dxa"/>
          <w:trHeight w:val="330"/>
        </w:trPr>
        <w:tc>
          <w:tcPr>
            <w:tcW w:w="170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899"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i/>
                <w:iCs/>
                <w:noProof/>
                <w:sz w:val="18"/>
                <w:szCs w:val="18"/>
              </w:rPr>
            </w:pPr>
            <w:r>
              <w:rPr>
                <w:i/>
                <w:noProof/>
                <w:sz w:val="18"/>
              </w:rPr>
              <w:t>Sprattus sprattus</w:t>
            </w:r>
          </w:p>
        </w:tc>
        <w:tc>
          <w:tcPr>
            <w:tcW w:w="567"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i/>
                <w:iCs/>
                <w:noProof/>
                <w:color w:val="000000"/>
                <w:sz w:val="18"/>
                <w:szCs w:val="18"/>
              </w:rPr>
            </w:pPr>
            <w:r>
              <w:rPr>
                <w:i/>
                <w:noProof/>
                <w:color w:val="000000"/>
                <w:sz w:val="18"/>
              </w:rPr>
              <w:t> </w:t>
            </w:r>
          </w:p>
        </w:tc>
        <w:tc>
          <w:tcPr>
            <w:tcW w:w="1417" w:type="dxa"/>
            <w:gridSpan w:val="2"/>
            <w:tcBorders>
              <w:top w:val="nil"/>
              <w:left w:val="single" w:sz="8" w:space="0" w:color="000000"/>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c>
          <w:tcPr>
            <w:tcW w:w="2947"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(SPR/2AC4-C)</w:t>
            </w: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Белгия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rPr>
              <w:t> </w:t>
            </w: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Аналитичен ОДУ</w:t>
            </w: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 </w:t>
            </w: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Дания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310 987</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3969"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Прилага се член 7, параграф 3 от настоящия регламент</w:t>
            </w:r>
          </w:p>
        </w:tc>
        <w:tc>
          <w:tcPr>
            <w:tcW w:w="39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Германия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Франция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Нидерландия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Швеция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1330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 (2)</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Обединено кралство</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12 967</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Съюз</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341 000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Норвегия</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9 000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8"/>
                <w:szCs w:val="18"/>
              </w:rPr>
            </w:pP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rPr>
              <w:t>ОДУ</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rPr>
            </w:pPr>
            <w:r>
              <w:rPr>
                <w:noProof/>
                <w:sz w:val="18"/>
              </w:rPr>
              <w:t>350 000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7830" w:type="dxa"/>
            <w:gridSpan w:val="10"/>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vertAlign w:val="superscript"/>
              </w:rPr>
              <w:t>Без това да засяга задължението за разтоварване, уловът на лиманда и меджид може да се приспада до 2 % от квотата (OTH/*2AC4C), при условие че не повече от 9 % общо от тази квота за цаца се образува от уловите и приловите на тези видове, които се отчитат съгласно член 15, параграф 8 от Регламент (ЕС) № 1380/2013.</w:t>
            </w:r>
          </w:p>
        </w:tc>
      </w:tr>
      <w:tr>
        <w:trPr>
          <w:trHeight w:val="330"/>
        </w:trPr>
        <w:tc>
          <w:tcPr>
            <w:tcW w:w="1701" w:type="dxa"/>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2414"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sz w:val="18"/>
                <w:szCs w:val="18"/>
              </w:rPr>
            </w:pPr>
            <w:r>
              <w:rPr>
                <w:noProof/>
                <w:sz w:val="18"/>
                <w:vertAlign w:val="superscript"/>
              </w:rPr>
              <w:t>Включително пясъчница.</w:t>
            </w:r>
          </w:p>
        </w:tc>
        <w:tc>
          <w:tcPr>
            <w:tcW w:w="847" w:type="dxa"/>
            <w:gridSpan w:val="2"/>
            <w:tcBorders>
              <w:top w:val="nil"/>
              <w:left w:val="nil"/>
              <w:bottom w:val="single" w:sz="4" w:space="0" w:color="auto"/>
              <w:right w:val="nil"/>
            </w:tcBorders>
            <w:shd w:val="clear" w:color="auto" w:fill="auto"/>
            <w:noWrap/>
            <w:hideMark/>
          </w:tcPr>
          <w:p>
            <w:pPr>
              <w:spacing w:before="0" w:after="0"/>
              <w:jc w:val="right"/>
              <w:rPr>
                <w:rFonts w:eastAsia="Times New Roman"/>
                <w:noProof/>
                <w:color w:val="000000"/>
                <w:sz w:val="18"/>
                <w:szCs w:val="18"/>
              </w:rPr>
            </w:pPr>
          </w:p>
        </w:tc>
        <w:tc>
          <w:tcPr>
            <w:tcW w:w="567"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p>
        </w:tc>
        <w:tc>
          <w:tcPr>
            <w:tcW w:w="1417"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p>
        </w:tc>
        <w:tc>
          <w:tcPr>
            <w:tcW w:w="2727" w:type="dxa"/>
            <w:gridSpan w:val="3"/>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rPr>
            </w:pPr>
          </w:p>
        </w:tc>
      </w:tr>
    </w:tbl>
    <w:p>
      <w:pPr>
        <w:pStyle w:val="Point1"/>
        <w:rPr>
          <w:noProof/>
        </w:rPr>
      </w:pPr>
      <w:r>
        <w:rPr>
          <w:noProof/>
        </w:rPr>
        <w:t>г)</w:t>
      </w:r>
      <w:r>
        <w:rPr>
          <w:noProof/>
        </w:rPr>
        <w:tab/>
        <w:t>Бележка под линия 4 в таблицата на възможностите за риболов за норвежки паут (</w:t>
      </w:r>
      <w:r>
        <w:rPr>
          <w:i/>
          <w:noProof/>
        </w:rPr>
        <w:t>Trisopterus esmarki</w:t>
      </w:r>
      <w:r>
        <w:rPr>
          <w:noProof/>
        </w:rPr>
        <w:t>) и свързания с него прилов в участък IIIa; води на Съюза от участък IIa и подзона IV се заличава.</w:t>
      </w:r>
    </w:p>
    <w:p>
      <w:pPr>
        <w:pStyle w:val="ManualNumPar1"/>
        <w:rPr>
          <w:noProof/>
        </w:rPr>
      </w:pPr>
      <w:r>
        <w:t>2.</w:t>
      </w:r>
      <w:r>
        <w:tab/>
      </w:r>
      <w:r>
        <w:rPr>
          <w:noProof/>
        </w:rPr>
        <w:t>В приложение IБ таблицата за възможностите за риболов на морски костур (</w:t>
      </w:r>
      <w:r>
        <w:rPr>
          <w:i/>
          <w:noProof/>
        </w:rPr>
        <w:t>Sebastes spp.</w:t>
      </w:r>
      <w:r>
        <w:rPr>
          <w:noProof/>
        </w:rPr>
        <w:t>) в норвежки води от подзони I и II на ICES се заменя със следната таблица:</w:t>
      </w:r>
    </w:p>
    <w:tbl>
      <w:tblPr>
        <w:tblW w:w="9356" w:type="dxa"/>
        <w:tblInd w:w="108" w:type="dxa"/>
        <w:tblLook w:val="04A0" w:firstRow="1" w:lastRow="0" w:firstColumn="1" w:lastColumn="0" w:noHBand="0" w:noVBand="1"/>
      </w:tblPr>
      <w:tblGrid>
        <w:gridCol w:w="2036"/>
        <w:gridCol w:w="2036"/>
        <w:gridCol w:w="876"/>
        <w:gridCol w:w="976"/>
        <w:gridCol w:w="3432"/>
      </w:tblGrid>
      <w:tr>
        <w:trPr>
          <w:trHeight w:val="330"/>
        </w:trPr>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Вид:</w:t>
            </w:r>
          </w:p>
        </w:tc>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Морски костур</w:t>
            </w:r>
          </w:p>
        </w:tc>
        <w:tc>
          <w:tcPr>
            <w:tcW w:w="87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 </w:t>
            </w:r>
          </w:p>
        </w:tc>
        <w:tc>
          <w:tcPr>
            <w:tcW w:w="976"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Зона:</w:t>
            </w:r>
          </w:p>
        </w:tc>
        <w:tc>
          <w:tcPr>
            <w:tcW w:w="3432"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Норвежки води от подзони I и II</w:t>
            </w:r>
          </w:p>
        </w:tc>
      </w:tr>
      <w:tr>
        <w:trPr>
          <w:trHeight w:val="330"/>
        </w:trPr>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w:t>
            </w:r>
          </w:p>
        </w:tc>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i/>
                <w:iCs/>
                <w:noProof/>
                <w:color w:val="000000"/>
                <w:sz w:val="18"/>
                <w:szCs w:val="18"/>
              </w:rPr>
            </w:pPr>
            <w:r>
              <w:rPr>
                <w:i/>
                <w:noProof/>
                <w:color w:val="000000"/>
                <w:sz w:val="18"/>
              </w:rPr>
              <w:t>Sebastes spp.</w:t>
            </w:r>
          </w:p>
        </w:tc>
        <w:tc>
          <w:tcPr>
            <w:tcW w:w="87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 </w:t>
            </w:r>
          </w:p>
        </w:tc>
        <w:tc>
          <w:tcPr>
            <w:tcW w:w="976"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w:t>
            </w:r>
          </w:p>
        </w:tc>
        <w:tc>
          <w:tcPr>
            <w:tcW w:w="3432"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(RED/1N2AB.)</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sz w:val="18"/>
                <w:szCs w:val="18"/>
              </w:rPr>
            </w:pPr>
            <w:r>
              <w:rPr>
                <w:noProof/>
                <w:sz w:val="18"/>
              </w:rPr>
              <w:t>Германия</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766</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Аналитичен ОДУ</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xml:space="preserve">Испания </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95</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Член 3 от Регламент (ЕО) № 847/96 не се прилага.</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sz w:val="18"/>
                <w:szCs w:val="18"/>
              </w:rPr>
            </w:pPr>
            <w:r>
              <w:rPr>
                <w:noProof/>
                <w:sz w:val="18"/>
              </w:rPr>
              <w:lastRenderedPageBreak/>
              <w:t>Франция</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84</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Член 4 от Регламент (ЕО) № 847/96 не се прилага.</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Португалия</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405</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Обединено кралство</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 xml:space="preserve">  150</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Съюз</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1500</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ОДУ</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rPr>
            </w:pPr>
            <w:r>
              <w:rPr>
                <w:noProof/>
                <w:sz w:val="18"/>
              </w:rPr>
              <w:t>Не се прилага</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2036" w:type="dxa"/>
            <w:tcBorders>
              <w:top w:val="nil"/>
              <w:left w:val="nil"/>
              <w:right w:val="nil"/>
            </w:tcBorders>
            <w:shd w:val="clear" w:color="auto" w:fill="auto"/>
            <w:noWrap/>
            <w:vAlign w:val="center"/>
            <w:hideMark/>
          </w:tcPr>
          <w:p>
            <w:pPr>
              <w:spacing w:before="0" w:after="0"/>
              <w:jc w:val="right"/>
              <w:rPr>
                <w:rFonts w:eastAsia="Times New Roman"/>
                <w:noProof/>
                <w:sz w:val="18"/>
                <w:szCs w:val="18"/>
              </w:rPr>
            </w:pPr>
          </w:p>
        </w:tc>
        <w:tc>
          <w:tcPr>
            <w:tcW w:w="87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432"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single" w:sz="4" w:space="0" w:color="auto"/>
              <w:right w:val="nil"/>
            </w:tcBorders>
            <w:shd w:val="clear" w:color="auto" w:fill="auto"/>
            <w:noWrap/>
          </w:tcPr>
          <w:p>
            <w:pPr>
              <w:spacing w:before="0" w:after="0"/>
              <w:jc w:val="left"/>
              <w:rPr>
                <w:rFonts w:eastAsia="Times New Roman"/>
                <w:noProof/>
                <w:color w:val="000000"/>
                <w:sz w:val="18"/>
                <w:szCs w:val="18"/>
              </w:rPr>
            </w:pPr>
          </w:p>
        </w:tc>
        <w:tc>
          <w:tcPr>
            <w:tcW w:w="7320" w:type="dxa"/>
            <w:gridSpan w:val="4"/>
            <w:tcBorders>
              <w:top w:val="nil"/>
              <w:left w:val="nil"/>
              <w:bottom w:val="single" w:sz="4" w:space="0" w:color="auto"/>
              <w:right w:val="nil"/>
            </w:tcBorders>
            <w:shd w:val="clear" w:color="auto" w:fill="auto"/>
            <w:noWrap/>
          </w:tcPr>
          <w:p>
            <w:pPr>
              <w:spacing w:before="0" w:after="0"/>
              <w:jc w:val="left"/>
              <w:rPr>
                <w:rFonts w:eastAsia="Times New Roman"/>
                <w:noProof/>
                <w:color w:val="000000"/>
                <w:sz w:val="18"/>
                <w:szCs w:val="18"/>
              </w:rPr>
            </w:pPr>
          </w:p>
        </w:tc>
      </w:tr>
    </w:tbl>
    <w:p>
      <w:pPr>
        <w:pStyle w:val="Titrearticle"/>
        <w:rPr>
          <w:noProof/>
        </w:rPr>
      </w:pPr>
      <w:r>
        <w:rPr>
          <w:noProof/>
        </w:rPr>
        <w:t>Член 2</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1380/2013 на Европейския парламент и на Съвета от 11 декември 2013 година относно общата политика в областта на рибарството, за изменение на регламенти (ЕО) № 1954/2003 и (ЕО) № 1224/2009 на Съвета и за отмяна на регламенти (ЕО) № 2371/2002 и (ЕО) № 639/2004 и Решение 2004/585/ЕО на Съвета (ОВ L 354, 28.12.2013 г., стр. 22).</w:t>
      </w:r>
    </w:p>
  </w:footnote>
  <w:footnote w:id="2">
    <w:p>
      <w:pPr>
        <w:pStyle w:val="FootnoteText"/>
      </w:pPr>
      <w:r>
        <w:rPr>
          <w:rStyle w:val="FootnoteReference"/>
        </w:rPr>
        <w:footnoteRef/>
      </w:r>
      <w:r>
        <w:tab/>
        <w:t>Регламент (ЕС) 2015/104 на Съвета от 19 януари 2015 г. за определяне за 2015 г. на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 за изменение на Регламент (ЕС) № 43/2014 и за отмяна на Регламент (ЕС) № 779/2014 (ОВ L 22, 28.1.2015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7 10:09: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E4146C25DE64608AD65FEFFD3DF5B83"/>
    <w:docVar w:name="LW_CROSSREFERENCE" w:val="&lt;UNUSED&gt;"/>
    <w:docVar w:name="LW_DocType" w:val="COM"/>
    <w:docVar w:name="LW_EMISSION" w:val="7.10.2015"/>
    <w:docVar w:name="LW_EMISSION_ISODATE" w:val="2015-10-07"/>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6"/>
    <w:docVar w:name="LW_REF.II.NEW.CP_YEAR" w:val="2015"/>
    <w:docVar w:name="LW_REF.INST.NEW" w:val="COM"/>
    <w:docVar w:name="LW_REF.INST.NEW_ADOPTED" w:val="final"/>
    <w:docVar w:name="LW_REF.INST.NEW_TEXT" w:val="(2015) 48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5/104 \u1087?\u1086? \u1086?\u1090?\u1085?\u1086?\u1096?\u1077?\u1085?\u1080?\u1077? \u1085?\u1072? \u1085?\u1103?\u1082?\u1086?\u1080? \u1074?\u1098?\u1079?\u1084?\u1086?\u1078?\u1085?\u1086?\u1089?\u1090?\u1080? \u1079?\u1072? \u1088?\u1080?\u1073?\u1086?\u1083?\u1086?\u1074?"/>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679">
      <w:bodyDiv w:val="1"/>
      <w:marLeft w:val="0"/>
      <w:marRight w:val="0"/>
      <w:marTop w:val="0"/>
      <w:marBottom w:val="0"/>
      <w:divBdr>
        <w:top w:val="none" w:sz="0" w:space="0" w:color="auto"/>
        <w:left w:val="none" w:sz="0" w:space="0" w:color="auto"/>
        <w:bottom w:val="none" w:sz="0" w:space="0" w:color="auto"/>
        <w:right w:val="none" w:sz="0" w:space="0" w:color="auto"/>
      </w:divBdr>
    </w:div>
    <w:div w:id="440493885">
      <w:bodyDiv w:val="1"/>
      <w:marLeft w:val="0"/>
      <w:marRight w:val="0"/>
      <w:marTop w:val="0"/>
      <w:marBottom w:val="0"/>
      <w:divBdr>
        <w:top w:val="none" w:sz="0" w:space="0" w:color="auto"/>
        <w:left w:val="none" w:sz="0" w:space="0" w:color="auto"/>
        <w:bottom w:val="none" w:sz="0" w:space="0" w:color="auto"/>
        <w:right w:val="none" w:sz="0" w:space="0" w:color="auto"/>
      </w:divBdr>
    </w:div>
    <w:div w:id="640770483">
      <w:bodyDiv w:val="1"/>
      <w:marLeft w:val="0"/>
      <w:marRight w:val="0"/>
      <w:marTop w:val="0"/>
      <w:marBottom w:val="0"/>
      <w:divBdr>
        <w:top w:val="none" w:sz="0" w:space="0" w:color="auto"/>
        <w:left w:val="none" w:sz="0" w:space="0" w:color="auto"/>
        <w:bottom w:val="none" w:sz="0" w:space="0" w:color="auto"/>
        <w:right w:val="none" w:sz="0" w:space="0" w:color="auto"/>
      </w:divBdr>
    </w:div>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 w:id="2084448827">
      <w:bodyDiv w:val="1"/>
      <w:marLeft w:val="0"/>
      <w:marRight w:val="0"/>
      <w:marTop w:val="0"/>
      <w:marBottom w:val="0"/>
      <w:divBdr>
        <w:top w:val="none" w:sz="0" w:space="0" w:color="auto"/>
        <w:left w:val="none" w:sz="0" w:space="0" w:color="auto"/>
        <w:bottom w:val="none" w:sz="0" w:space="0" w:color="auto"/>
        <w:right w:val="none" w:sz="0" w:space="0" w:color="auto"/>
      </w:divBdr>
    </w:div>
    <w:div w:id="2088191886">
      <w:bodyDiv w:val="1"/>
      <w:marLeft w:val="0"/>
      <w:marRight w:val="0"/>
      <w:marTop w:val="0"/>
      <w:marBottom w:val="0"/>
      <w:divBdr>
        <w:top w:val="none" w:sz="0" w:space="0" w:color="auto"/>
        <w:left w:val="none" w:sz="0" w:space="0" w:color="auto"/>
        <w:bottom w:val="none" w:sz="0" w:space="0" w:color="auto"/>
        <w:right w:val="none" w:sz="0" w:space="0" w:color="auto"/>
      </w:divBdr>
    </w:div>
    <w:div w:id="21065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267A-A35E-4781-BCB9-D87CEED3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1844</Words>
  <Characters>9166</Characters>
  <Application>Microsoft Office Word</Application>
  <DocSecurity>0</DocSecurity>
  <Lines>509</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2015-09-16T14:14:00Z</cp:lastPrinted>
  <dcterms:created xsi:type="dcterms:W3CDTF">2015-09-21T09:06:00Z</dcterms:created>
  <dcterms:modified xsi:type="dcterms:W3CDTF">2015-10-07T08:09:00Z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