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93" w:rsidRDefault="00AB549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00998FF34094D61BCE31C8901251768" style="width:450.75pt;height:334.5pt">
            <v:imagedata r:id="rId9" o:title=""/>
          </v:shape>
        </w:pict>
      </w:r>
    </w:p>
    <w:bookmarkEnd w:id="0"/>
    <w:p w:rsidR="00AE7993" w:rsidRDefault="00AE7993">
      <w:pPr>
        <w:pStyle w:val="Pagedecouverture"/>
        <w:rPr>
          <w:noProof/>
        </w:rPr>
        <w:sectPr w:rsidR="00AE799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AE7993" w:rsidRDefault="00AB549A">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Gestion de la crise des réfugiés: état d'avancement de la mise en œuvre des actions prioritaires </w:t>
      </w:r>
      <w:r>
        <w:rPr>
          <w:rFonts w:ascii="Times New Roman" w:hAnsi="Times New Roman" w:cs="Times New Roman"/>
          <w:b/>
          <w:noProof/>
          <w:sz w:val="24"/>
          <w:szCs w:val="24"/>
        </w:rPr>
        <w:t>prévues par l'agenda européen en matière de migration</w:t>
      </w:r>
    </w:p>
    <w:p w:rsidR="00AE7993" w:rsidRDefault="00AE7993">
      <w:pPr>
        <w:pStyle w:val="ManualHeading1"/>
        <w:ind w:left="0" w:firstLine="0"/>
        <w:rPr>
          <w:noProof/>
          <w:szCs w:val="24"/>
        </w:rPr>
      </w:pPr>
    </w:p>
    <w:p w:rsidR="00AE7993" w:rsidRDefault="00AB549A">
      <w:pPr>
        <w:pStyle w:val="ManualHeading1"/>
        <w:spacing w:before="240" w:after="200"/>
        <w:ind w:left="851" w:hanging="851"/>
        <w:rPr>
          <w:noProof/>
          <w:szCs w:val="24"/>
        </w:rPr>
      </w:pPr>
      <w:r>
        <w:rPr>
          <w:noProof/>
        </w:rPr>
        <w:t xml:space="preserve">I. </w:t>
      </w:r>
      <w:r>
        <w:rPr>
          <w:noProof/>
        </w:rPr>
        <w:tab/>
        <w:t>Introduction</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Plus de 710 000 personnes</w:t>
      </w:r>
      <w:r>
        <w:rPr>
          <w:rStyle w:val="FootnoteReference"/>
          <w:rFonts w:ascii="Times New Roman" w:hAnsi="Times New Roman"/>
          <w:noProof/>
          <w:sz w:val="24"/>
        </w:rPr>
        <w:footnoteReference w:id="1"/>
      </w:r>
      <w:r>
        <w:rPr>
          <w:rFonts w:ascii="Times New Roman" w:hAnsi="Times New Roman"/>
          <w:noProof/>
          <w:sz w:val="24"/>
        </w:rPr>
        <w:t xml:space="preserve"> – réfugiés, personnes déplacées et autres migrants – ont gagné l’Europe au cours des neuf premiers mois de l’année, et cette tendance est appelée à se poursu</w:t>
      </w:r>
      <w:r>
        <w:rPr>
          <w:rFonts w:ascii="Times New Roman" w:hAnsi="Times New Roman"/>
          <w:noProof/>
          <w:sz w:val="24"/>
        </w:rPr>
        <w:t>ivre. Cet afflux a valeur de test pour l'Union européenne. L’agenda européen en matière de migration présenté par la Commission en mai 2015</w:t>
      </w:r>
      <w:r>
        <w:rPr>
          <w:rStyle w:val="FootnoteReference"/>
          <w:rFonts w:ascii="Times New Roman" w:hAnsi="Times New Roman"/>
          <w:noProof/>
          <w:sz w:val="24"/>
        </w:rPr>
        <w:footnoteReference w:id="2"/>
      </w:r>
      <w:r>
        <w:rPr>
          <w:rFonts w:ascii="Times New Roman" w:hAnsi="Times New Roman"/>
          <w:noProof/>
          <w:sz w:val="24"/>
        </w:rPr>
        <w:t xml:space="preserve"> a souligné la nécessité d'une approche globale de la gestion des migrations. Depuis, un certain nombre de mesures i</w:t>
      </w:r>
      <w:r>
        <w:rPr>
          <w:rFonts w:ascii="Times New Roman" w:hAnsi="Times New Roman"/>
          <w:noProof/>
          <w:sz w:val="24"/>
        </w:rPr>
        <w:t>mportantes ont été prises, notamment l’adoption de deux programmes d’urgence visant à relocaliser 160 000 personnes ayant manifestement besoin d'une protection internationale, au départ des États membres les plus touchés vers d’autres États membres de l’UE</w:t>
      </w:r>
      <w:r>
        <w:rPr>
          <w:rFonts w:ascii="Times New Roman" w:hAnsi="Times New Roman"/>
          <w:noProof/>
          <w:sz w:val="24"/>
        </w:rPr>
        <w:t>. La crise actuelle des réfugiés appelle toutefois à prendre immédiatement des initiatives supplémentaires.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C'est la raison pour laquelle, le 23 septembre dernier, la Commission européenne a détaillé une série d'</w:t>
      </w:r>
      <w:r>
        <w:rPr>
          <w:rFonts w:ascii="Times New Roman" w:hAnsi="Times New Roman"/>
          <w:b/>
          <w:noProof/>
          <w:sz w:val="24"/>
        </w:rPr>
        <w:t>actions prioritaires</w:t>
      </w:r>
      <w:r>
        <w:rPr>
          <w:rFonts w:ascii="Times New Roman" w:hAnsi="Times New Roman"/>
          <w:noProof/>
          <w:sz w:val="24"/>
        </w:rPr>
        <w:t xml:space="preserve"> à réaliser dans les six</w:t>
      </w:r>
      <w:r>
        <w:rPr>
          <w:rFonts w:ascii="Times New Roman" w:hAnsi="Times New Roman"/>
          <w:noProof/>
          <w:sz w:val="24"/>
        </w:rPr>
        <w:t xml:space="preserve"> mois à venir pour mettre en œuvre l'agenda européen en matière de migration</w:t>
      </w:r>
      <w:r>
        <w:rPr>
          <w:rStyle w:val="FootnoteReference"/>
          <w:rFonts w:ascii="Times New Roman" w:hAnsi="Times New Roman"/>
          <w:noProof/>
          <w:sz w:val="24"/>
        </w:rPr>
        <w:footnoteReference w:id="3"/>
      </w:r>
      <w:r>
        <w:rPr>
          <w:rFonts w:ascii="Times New Roman" w:hAnsi="Times New Roman"/>
          <w:noProof/>
          <w:sz w:val="24"/>
        </w:rPr>
        <w:t>. Parmi elles figurent à la fois des mesures à court terme visant à stabiliser la situation actuelle et des mesures à plus long terme destinées à mettre en place un système solide</w:t>
      </w:r>
      <w:r>
        <w:rPr>
          <w:rFonts w:ascii="Times New Roman" w:hAnsi="Times New Roman"/>
          <w:noProof/>
          <w:sz w:val="24"/>
        </w:rPr>
        <w:t xml:space="preserve"> qui résistera à l’épreuve du temps.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La liste des actions prioritaires énumère les mesures clés requises dans l'immédiat au niveau des points suivants: i) </w:t>
      </w:r>
      <w:r>
        <w:rPr>
          <w:rFonts w:ascii="Times New Roman" w:hAnsi="Times New Roman"/>
          <w:b/>
          <w:noProof/>
          <w:sz w:val="24"/>
        </w:rPr>
        <w:t>mesures opérationnelles</w:t>
      </w:r>
      <w:r>
        <w:rPr>
          <w:rFonts w:ascii="Times New Roman" w:hAnsi="Times New Roman"/>
          <w:noProof/>
          <w:sz w:val="24"/>
        </w:rPr>
        <w:t xml:space="preserve">; ii) </w:t>
      </w:r>
      <w:r>
        <w:rPr>
          <w:rFonts w:ascii="Times New Roman" w:hAnsi="Times New Roman"/>
          <w:b/>
          <w:noProof/>
          <w:sz w:val="24"/>
        </w:rPr>
        <w:t>appui budgétaire</w:t>
      </w:r>
      <w:r>
        <w:rPr>
          <w:rFonts w:ascii="Times New Roman" w:hAnsi="Times New Roman"/>
          <w:noProof/>
          <w:sz w:val="24"/>
        </w:rPr>
        <w:t xml:space="preserve"> et iii) </w:t>
      </w:r>
      <w:r>
        <w:rPr>
          <w:rFonts w:ascii="Times New Roman" w:hAnsi="Times New Roman"/>
          <w:b/>
          <w:noProof/>
          <w:sz w:val="24"/>
        </w:rPr>
        <w:t>mise en œuvre du droit de l'UE</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Cette liste a é</w:t>
      </w:r>
      <w:r>
        <w:rPr>
          <w:rFonts w:ascii="Times New Roman" w:hAnsi="Times New Roman"/>
          <w:noProof/>
          <w:sz w:val="24"/>
        </w:rPr>
        <w:t>té adoptée lors de la réunion informelle des chefs d'État ou de gouvernement du 23 septembre 2015</w:t>
      </w:r>
      <w:r>
        <w:rPr>
          <w:rStyle w:val="FootnoteReference"/>
          <w:rFonts w:ascii="Times New Roman" w:hAnsi="Times New Roman"/>
          <w:noProof/>
          <w:sz w:val="24"/>
        </w:rPr>
        <w:footnoteReference w:id="4"/>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Trois semaines plus tard, la présente communication fait le point des progrès réalisés dans la mise en œuvre des actions prioritaires (voir l'annexe 1). Le </w:t>
      </w:r>
      <w:r>
        <w:rPr>
          <w:rFonts w:ascii="Times New Roman" w:hAnsi="Times New Roman"/>
          <w:noProof/>
          <w:sz w:val="24"/>
        </w:rPr>
        <w:t>Conseil européen de cette semaine est l'occasion, pour les chefs d'État ou de gouvernement, de s'engager clairement et sans ambiguïté à entamer une nouvelle phase de la réponse de l'UE à la crise des réfugiés, celle d'une mise en œuvre rapide et résolue.</w:t>
      </w:r>
    </w:p>
    <w:p w:rsidR="00AE7993" w:rsidRDefault="00AB549A">
      <w:pPr>
        <w:pStyle w:val="ManualHeading1"/>
        <w:spacing w:before="240" w:after="200"/>
        <w:ind w:left="851" w:hanging="851"/>
        <w:rPr>
          <w:noProof/>
          <w:szCs w:val="24"/>
        </w:rPr>
      </w:pPr>
      <w:r>
        <w:rPr>
          <w:noProof/>
        </w:rPr>
        <w:t>I</w:t>
      </w:r>
      <w:r>
        <w:rPr>
          <w:noProof/>
        </w:rPr>
        <w:t xml:space="preserve">I. </w:t>
      </w:r>
      <w:r>
        <w:rPr>
          <w:noProof/>
        </w:rPr>
        <w:tab/>
        <w:t>Mesures opérationnelles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Pour que la pression exercée par les flux migratoires en certains points de la frontière extérieure commune de l'espace Schengen puisse être gérée de manière efficace, tous les États membres devront consentir un effort à la fois</w:t>
      </w:r>
      <w:r>
        <w:rPr>
          <w:rFonts w:ascii="Times New Roman" w:hAnsi="Times New Roman"/>
          <w:noProof/>
          <w:sz w:val="24"/>
        </w:rPr>
        <w:t xml:space="preserve"> de responsabilité et de solidarité. La mise en place rapide de l'approche des zones et centres de crise (approche des hotspots) aide les États membres qui se trouvent en première ligne à accueillir les arrivants, et à procéder à leur identification et au </w:t>
      </w:r>
      <w:r>
        <w:rPr>
          <w:rFonts w:ascii="Times New Roman" w:hAnsi="Times New Roman"/>
          <w:noProof/>
          <w:sz w:val="24"/>
        </w:rPr>
        <w:t xml:space="preserve">traitement de leurs dossiers dans de bonnes conditions. Parallèlement, les </w:t>
      </w:r>
      <w:r>
        <w:rPr>
          <w:rFonts w:ascii="Times New Roman" w:hAnsi="Times New Roman"/>
          <w:noProof/>
          <w:sz w:val="24"/>
        </w:rPr>
        <w:lastRenderedPageBreak/>
        <w:t xml:space="preserve">mesures proposées par la Commission et adoptées par le Conseil pour </w:t>
      </w:r>
      <w:r>
        <w:rPr>
          <w:rFonts w:ascii="Times New Roman" w:hAnsi="Times New Roman"/>
          <w:b/>
          <w:noProof/>
          <w:sz w:val="24"/>
        </w:rPr>
        <w:t>relocaliser 160 000 personnes ayant manifestement besoin d'une protection internationale</w:t>
      </w:r>
      <w:r>
        <w:rPr>
          <w:rFonts w:ascii="Times New Roman" w:hAnsi="Times New Roman"/>
          <w:noProof/>
          <w:sz w:val="24"/>
        </w:rPr>
        <w:t xml:space="preserve"> permettront de réduire s</w:t>
      </w:r>
      <w:r>
        <w:rPr>
          <w:rFonts w:ascii="Times New Roman" w:hAnsi="Times New Roman"/>
          <w:noProof/>
          <w:sz w:val="24"/>
        </w:rPr>
        <w:t>ensiblement, bien que partiellement, la pression exercée sur les États membres les plus touchés. Il est maintenant indispensable de veiller à la mise en œuvre intégrale de ces mesures parallèles, en relevant les empreintes digitales de tous les migrants, e</w:t>
      </w:r>
      <w:r>
        <w:rPr>
          <w:rFonts w:ascii="Times New Roman" w:hAnsi="Times New Roman"/>
          <w:noProof/>
          <w:sz w:val="24"/>
        </w:rPr>
        <w:t>n procédant à une sélection et à une relocalisation rapides des demandeurs d'asile et en ouvrant des capacités d'accueil adaptées, tout en prenant des dispositions pour prévenir les mouvements secondaires et renvoyer immédiatement dans le pays de relocalis</w:t>
      </w:r>
      <w:r>
        <w:rPr>
          <w:rFonts w:ascii="Times New Roman" w:hAnsi="Times New Roman"/>
          <w:noProof/>
          <w:sz w:val="24"/>
        </w:rPr>
        <w:t>ation les personnes relocalisées dont il est constaté qu'elles se trouvent dans un autre État membre. Il est également essentiel de prendre des mesures pour garantir le retour rapide, volontaire ou forcé, des personnes qui n'ont pas besoin d'une protection</w:t>
      </w:r>
      <w:r>
        <w:rPr>
          <w:rFonts w:ascii="Times New Roman" w:hAnsi="Times New Roman"/>
          <w:noProof/>
          <w:sz w:val="24"/>
        </w:rPr>
        <w:t xml:space="preserve"> internationale et qui ne peuvent donc pas prétendre à une relocalisation. Les actions prioritaires définies par la Commission portent principalement sur le fonctionnement opérationnel de ces mesures.</w:t>
      </w:r>
    </w:p>
    <w:p w:rsidR="00AE7993" w:rsidRDefault="00AB549A">
      <w:pPr>
        <w:pStyle w:val="Heading2"/>
        <w:spacing w:after="200"/>
        <w:rPr>
          <w:color w:val="auto"/>
        </w:rPr>
      </w:pPr>
      <w:r>
        <w:rPr>
          <w:color w:val="auto"/>
        </w:rPr>
        <w:t xml:space="preserve">II.1 </w:t>
      </w:r>
      <w:r>
        <w:tab/>
      </w:r>
      <w:r>
        <w:rPr>
          <w:color w:val="auto"/>
        </w:rPr>
        <w:t xml:space="preserve">Mise en œuvre de l'approche des zones et centres </w:t>
      </w:r>
      <w:r>
        <w:rPr>
          <w:color w:val="auto"/>
        </w:rPr>
        <w:t>de crise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Une gestion effective et efficace des flux migratoires aux frontières extérieures où la pression est la plus forte est indispensable pour rétablir la confiance dans le système tout entier et en particulier dans l'espace de libre circulation sans c</w:t>
      </w:r>
      <w:r>
        <w:rPr>
          <w:rFonts w:ascii="Times New Roman" w:hAnsi="Times New Roman"/>
          <w:noProof/>
          <w:sz w:val="24"/>
        </w:rPr>
        <w:t xml:space="preserve">ontrôles aux frontières intérieures qu'est l'espace Schengen. Il est essentiel pour la crédibilité et la stratégie de l'UE de démontrer qu'il est possible de rétablir le bon fonctionnement du système de migration, notamment en faisant appel aux </w:t>
      </w:r>
      <w:r>
        <w:rPr>
          <w:rFonts w:ascii="Times New Roman" w:hAnsi="Times New Roman"/>
          <w:b/>
          <w:noProof/>
          <w:sz w:val="24"/>
        </w:rPr>
        <w:t>équipes d'a</w:t>
      </w:r>
      <w:r>
        <w:rPr>
          <w:rFonts w:ascii="Times New Roman" w:hAnsi="Times New Roman"/>
          <w:b/>
          <w:noProof/>
          <w:sz w:val="24"/>
        </w:rPr>
        <w:t>ppui à la gestion des flux migratoires dépêchées dans les zones de crise</w:t>
      </w:r>
      <w:r>
        <w:rPr>
          <w:rStyle w:val="FootnoteReference"/>
          <w:rFonts w:ascii="Times New Roman" w:hAnsi="Times New Roman"/>
          <w:noProof/>
          <w:sz w:val="24"/>
        </w:rPr>
        <w:footnoteReference w:id="5"/>
      </w:r>
      <w:r>
        <w:rPr>
          <w:rFonts w:ascii="Times New Roman" w:hAnsi="Times New Roman"/>
          <w:noProof/>
          <w:sz w:val="24"/>
        </w:rPr>
        <w:t xml:space="preserve"> pour aider les États membres qui se trouvent en première ligne à respecter leurs obligations et à s'acquitter de leurs responsabilités. Pour mener à bien leur mission, ces équipes d'</w:t>
      </w:r>
      <w:r>
        <w:rPr>
          <w:rFonts w:ascii="Times New Roman" w:hAnsi="Times New Roman"/>
          <w:noProof/>
          <w:sz w:val="24"/>
        </w:rPr>
        <w:t>appui doivent pouvoir compter sur un noyau solide d'agences de l'UE, sur la coopération la plus étroite possible des autorités grecques et italiennes, ainsi que sur le soutien des autres États membres.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La Commission a dépêché des envoyés spéciaux à la fois</w:t>
      </w:r>
      <w:r>
        <w:rPr>
          <w:rFonts w:ascii="Times New Roman" w:hAnsi="Times New Roman"/>
          <w:noProof/>
          <w:sz w:val="24"/>
        </w:rPr>
        <w:t xml:space="preserve"> en Italie et en Grèce pour prêter main-forte et assurer une coordination pratique. En Grèce, une équipe spécialisée opère sous la conduite du directeur général de la Commission chargé du service d'appui à la réforme structurelle, qui rend compte directeme</w:t>
      </w:r>
      <w:r>
        <w:rPr>
          <w:rFonts w:ascii="Times New Roman" w:hAnsi="Times New Roman"/>
          <w:noProof/>
          <w:sz w:val="24"/>
        </w:rPr>
        <w:t>nt au président. Cette équipe a adopté une approche par étapes pour désigner les zones de crise, déployer les équipes d'appui, procéder aux premières relocalisations, reprendre les retours et renforcer la frontière. Le même type de coordination et d'aide d</w:t>
      </w:r>
      <w:r>
        <w:rPr>
          <w:rFonts w:ascii="Times New Roman" w:hAnsi="Times New Roman"/>
          <w:noProof/>
          <w:sz w:val="24"/>
        </w:rPr>
        <w:t>irecte en temps réel est en place en Italie. Ce soutien permanent et intensif de la Commission a véritablement aidé les deux États membres à passer à la phase de mise en œuvre de la relocalisation (voir les annexes 2 et 3).</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Tant en Grèce qu'en Italie, les </w:t>
      </w:r>
      <w:r>
        <w:rPr>
          <w:rFonts w:ascii="Times New Roman" w:hAnsi="Times New Roman"/>
          <w:noProof/>
          <w:sz w:val="24"/>
        </w:rPr>
        <w:t>équipes d'appui à la gestion des flux migratoires se mettent en place et sont coordonnées par les tasks forces régionales de l'Union européenne, à la suite du renforcement de la présence des agences prévu par l'agenda européen en matière de migration. Fron</w:t>
      </w:r>
      <w:r>
        <w:rPr>
          <w:rFonts w:ascii="Times New Roman" w:hAnsi="Times New Roman"/>
          <w:noProof/>
          <w:sz w:val="24"/>
        </w:rPr>
        <w:t>tex, le Bureau européen d’appui en matière d’asile (EASO), Europol et Eurojust sont tous associés au processus</w:t>
      </w:r>
      <w:r>
        <w:rPr>
          <w:rStyle w:val="FootnoteReference"/>
          <w:rFonts w:ascii="Times New Roman" w:hAnsi="Times New Roman"/>
          <w:noProof/>
          <w:sz w:val="24"/>
        </w:rPr>
        <w:footnoteReference w:id="6"/>
      </w:r>
      <w:r>
        <w:rPr>
          <w:rFonts w:ascii="Times New Roman" w:hAnsi="Times New Roman"/>
          <w:noProof/>
          <w:sz w:val="24"/>
        </w:rPr>
        <w:t xml:space="preserve"> et peuvent donc répondre immédiatement aux besoins recensés dans les feuilles de route présentées par l'Italie et la Grèce.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Les activités de ces</w:t>
      </w:r>
      <w:r>
        <w:rPr>
          <w:rFonts w:ascii="Times New Roman" w:hAnsi="Times New Roman"/>
          <w:noProof/>
          <w:sz w:val="24"/>
        </w:rPr>
        <w:t xml:space="preserve"> agences sont néanmoins largement tributaires de l'aide des États membres. </w:t>
      </w:r>
      <w:r>
        <w:rPr>
          <w:rFonts w:ascii="Times New Roman" w:hAnsi="Times New Roman"/>
          <w:b/>
          <w:noProof/>
          <w:sz w:val="24"/>
        </w:rPr>
        <w:t>Frontex et l'EASO ont tous deux lancé des appels à contributions</w:t>
      </w:r>
      <w:r>
        <w:rPr>
          <w:rFonts w:ascii="Times New Roman" w:hAnsi="Times New Roman"/>
          <w:noProof/>
          <w:sz w:val="24"/>
        </w:rPr>
        <w:t xml:space="preserve"> aux États membres afin d'obtenir du personnel et du matériel technique. Dans les deux cas, les moyens demandés sont </w:t>
      </w:r>
      <w:r>
        <w:rPr>
          <w:rFonts w:ascii="Times New Roman" w:hAnsi="Times New Roman"/>
          <w:noProof/>
          <w:sz w:val="24"/>
        </w:rPr>
        <w:t>sans précédent, à la mesure de la nature exceptionnelle des défis auxquels les États membres qui se trouvent en première ligne doivent actuellement faire face: il est essentiel que les autres États membres répondent positivement, concrètement et rapidement</w:t>
      </w:r>
      <w:r>
        <w:rPr>
          <w:rFonts w:ascii="Times New Roman" w:hAnsi="Times New Roman"/>
          <w:noProof/>
          <w:sz w:val="24"/>
        </w:rPr>
        <w:t xml:space="preserve"> à ces appels.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Dans son dernier appel à contributions, Frontex a demandé 775 gardes-frontières, interprètes et experts en filtrage et en débriefing supplémentaires - les tâches concernées étant toutes indispensables pour gérer efficacement les frontières e</w:t>
      </w:r>
      <w:r>
        <w:rPr>
          <w:rFonts w:ascii="Times New Roman" w:hAnsi="Times New Roman"/>
          <w:noProof/>
          <w:sz w:val="24"/>
        </w:rPr>
        <w:t>xtérieures de l'Union européenne. L'appel portait, d'une part, sur 670 agents destinés à fournir une aide directe dans le cadre de l'approche des zones et centres de crise en Italie et en Grèce et à couvrir les besoins estimés d'ici à la fin de janvier 201</w:t>
      </w:r>
      <w:r>
        <w:rPr>
          <w:rFonts w:ascii="Times New Roman" w:hAnsi="Times New Roman"/>
          <w:noProof/>
          <w:sz w:val="24"/>
        </w:rPr>
        <w:t>6 et, d'autre part, sur 105 agents invités appelés à être déployés en divers points de la frontière extérieure terrestre de l'Union européenne.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Dans son dernier appel à contributions, l'EASO a demandé plus de 370 experts pour couvrir les besoins en Italie </w:t>
      </w:r>
      <w:r>
        <w:rPr>
          <w:rFonts w:ascii="Times New Roman" w:hAnsi="Times New Roman"/>
          <w:noProof/>
          <w:sz w:val="24"/>
        </w:rPr>
        <w:t>et en Grèce jusqu'au troisième trimestre de 2017. Ces experts aideraient les autorités chargées de la gestion de l'asile dans les deux États membres à procéder à l'enregistrement des migrants, à mener à bien les tâches d'information liées à la relocalisati</w:t>
      </w:r>
      <w:r>
        <w:rPr>
          <w:rFonts w:ascii="Times New Roman" w:hAnsi="Times New Roman"/>
          <w:noProof/>
          <w:sz w:val="24"/>
        </w:rPr>
        <w:t>on et à détecter les documents frauduleux éventuels.</w:t>
      </w:r>
    </w:p>
    <w:p w:rsidR="00AE7993" w:rsidRDefault="00AB549A">
      <w:pPr>
        <w:spacing w:line="240" w:lineRule="auto"/>
        <w:jc w:val="both"/>
        <w:rPr>
          <w:rFonts w:ascii="Times New Roman" w:hAnsi="Times New Roman" w:cs="Times New Roman"/>
          <w:i/>
          <w:noProof/>
          <w:sz w:val="24"/>
          <w:szCs w:val="24"/>
        </w:rPr>
      </w:pPr>
      <w:r>
        <w:rPr>
          <w:rFonts w:ascii="Times New Roman" w:hAnsi="Times New Roman"/>
          <w:noProof/>
          <w:sz w:val="24"/>
        </w:rPr>
        <w:t xml:space="preserve">Lors de leur réunion informelle de septembre, les chefs d'État ou de gouvernement ont expressément reconnu les besoins en personnel et en matériel et sont convenus qu'il fallait y répondre pour novembre </w:t>
      </w:r>
      <w:r>
        <w:rPr>
          <w:rFonts w:ascii="Times New Roman" w:hAnsi="Times New Roman"/>
          <w:noProof/>
          <w:sz w:val="24"/>
        </w:rPr>
        <w:t>au plus tard.</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À ce jour, toutefois, les engagements des États membres sont loin de correspondre aux besoins réels. Au 8 octobre, seuls six États membres</w:t>
      </w:r>
      <w:r>
        <w:rPr>
          <w:rStyle w:val="FootnoteReference"/>
          <w:rFonts w:ascii="Times New Roman" w:hAnsi="Times New Roman"/>
          <w:noProof/>
          <w:sz w:val="24"/>
        </w:rPr>
        <w:footnoteReference w:id="7"/>
      </w:r>
      <w:r>
        <w:rPr>
          <w:rFonts w:ascii="Times New Roman" w:hAnsi="Times New Roman"/>
          <w:noProof/>
          <w:sz w:val="24"/>
        </w:rPr>
        <w:t xml:space="preserve"> avaient répondu à l'appel à contributions de l'EASO, proposant 81 experts sur les 374 demandés. Jusqu'</w:t>
      </w:r>
      <w:r>
        <w:rPr>
          <w:rFonts w:ascii="Times New Roman" w:hAnsi="Times New Roman"/>
          <w:noProof/>
          <w:sz w:val="24"/>
        </w:rPr>
        <w:t>ici, six États membres</w:t>
      </w:r>
      <w:r>
        <w:rPr>
          <w:rStyle w:val="FootnoteReference"/>
          <w:rFonts w:ascii="Times New Roman" w:hAnsi="Times New Roman"/>
          <w:noProof/>
          <w:sz w:val="24"/>
        </w:rPr>
        <w:footnoteReference w:id="8"/>
      </w:r>
      <w:r>
        <w:rPr>
          <w:rFonts w:ascii="Times New Roman" w:hAnsi="Times New Roman"/>
          <w:noProof/>
          <w:sz w:val="24"/>
        </w:rPr>
        <w:t xml:space="preserve"> ont répondu à l’appel de Frontex en mettant 48 gardes-frontières à disposition. </w:t>
      </w:r>
      <w:r>
        <w:rPr>
          <w:rFonts w:ascii="Times New Roman" w:hAnsi="Times New Roman"/>
          <w:b/>
          <w:noProof/>
          <w:sz w:val="24"/>
        </w:rPr>
        <w:t>Les États membres devraient annoncer rapidement leurs contributions pour répondre aux besoins évalués par les agences.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Italie</w:t>
      </w:r>
      <w:r>
        <w:rPr>
          <w:rFonts w:ascii="Times New Roman" w:hAnsi="Times New Roman"/>
          <w:noProof/>
          <w:sz w:val="24"/>
        </w:rPr>
        <w:t xml:space="preserve"> a désigné Augusta, Lampe</w:t>
      </w:r>
      <w:r>
        <w:rPr>
          <w:rFonts w:ascii="Times New Roman" w:hAnsi="Times New Roman"/>
          <w:noProof/>
          <w:sz w:val="24"/>
        </w:rPr>
        <w:t>dusa, Porte Empedocle, Pozallo, Taranto et Trapani comme zones de crise (voir l'annexe 5). La première équipe d'appui à la gestion des flux migratoires, qui s'appuie sur une task force régionale de l'Union européenne créée en juin 2015 à Catania, en Sicile</w:t>
      </w:r>
      <w:r>
        <w:rPr>
          <w:rStyle w:val="FootnoteReference"/>
          <w:rFonts w:ascii="Times New Roman" w:hAnsi="Times New Roman"/>
          <w:noProof/>
          <w:sz w:val="24"/>
        </w:rPr>
        <w:footnoteReference w:id="9"/>
      </w:r>
      <w:r>
        <w:rPr>
          <w:rFonts w:ascii="Times New Roman" w:hAnsi="Times New Roman"/>
          <w:noProof/>
          <w:sz w:val="24"/>
        </w:rPr>
        <w:t>, a été mise sur pied et opère à Lampedusa. Cette équipe d'appui est actuellement constituée de deux équipes de débriefing de Frontex et d'experts de l'EASO affectés au centre de crise et à un centre voisin utilisé pour la relocalisation. Frontex a déjà d</w:t>
      </w:r>
      <w:r>
        <w:rPr>
          <w:rFonts w:ascii="Times New Roman" w:hAnsi="Times New Roman"/>
          <w:noProof/>
          <w:sz w:val="24"/>
        </w:rPr>
        <w:t>éployé 42 agents invités et l'EASO a envoyé six experts.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Pour que l'approche des zones et centres de crise soit efficace, il est essentiel d'augmenter les capacités d'accueil pour pouvoir héberger les demandeurs d'asile en attente de relocalisation. Il fau</w:t>
      </w:r>
      <w:r>
        <w:rPr>
          <w:rFonts w:ascii="Times New Roman" w:hAnsi="Times New Roman"/>
          <w:noProof/>
          <w:sz w:val="24"/>
        </w:rPr>
        <w:t xml:space="preserve">t également des capacités de rétention adaptées pour accueillir les migrants en situation irrégulière avant que les décisions de retour ne soient exécutées. L'Italie a renforcé ses capacités d'accueil et a ouvert, dans quatre des zones de crise recensées, </w:t>
      </w:r>
      <w:r>
        <w:rPr>
          <w:rFonts w:ascii="Times New Roman" w:hAnsi="Times New Roman"/>
          <w:noProof/>
          <w:sz w:val="24"/>
        </w:rPr>
        <w:t>des centres de premier accueil pouvant héberger 1 500 personnes environ. Un millier de places supplémentaires seront disponibles d'ici la fin de l'année, ce qui portera la capacité de premier accueil à 2 500 personnes au total.</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La</w:t>
      </w:r>
      <w:r>
        <w:rPr>
          <w:noProof/>
        </w:rPr>
        <w:t xml:space="preserve"> </w:t>
      </w:r>
      <w:r>
        <w:rPr>
          <w:rFonts w:ascii="Times New Roman" w:hAnsi="Times New Roman"/>
          <w:b/>
          <w:noProof/>
          <w:sz w:val="24"/>
        </w:rPr>
        <w:t xml:space="preserve">Grèce </w:t>
      </w:r>
      <w:r>
        <w:rPr>
          <w:rFonts w:ascii="Times New Roman" w:hAnsi="Times New Roman"/>
          <w:noProof/>
          <w:sz w:val="24"/>
        </w:rPr>
        <w:t>a désigné cinq zone</w:t>
      </w:r>
      <w:r>
        <w:rPr>
          <w:rFonts w:ascii="Times New Roman" w:hAnsi="Times New Roman"/>
          <w:noProof/>
          <w:sz w:val="24"/>
        </w:rPr>
        <w:t>s de crise, à savoir Lesbos, Chios, Leros, Samos et Kos (voir l'annexe 4). La task force régionale de l'Union européenne, basée au Pirée, est pleinement opérationnelle. La première équipe d'appui à la gestion des flux migratoires sera affectée à la zone de</w:t>
      </w:r>
      <w:r>
        <w:rPr>
          <w:rFonts w:ascii="Times New Roman" w:hAnsi="Times New Roman"/>
          <w:noProof/>
          <w:sz w:val="24"/>
        </w:rPr>
        <w:t xml:space="preserve"> crise de Lesbos. Frontex a déjà déployé 53 experts: à l'heure actuelle un seul agent de l'EASO a été dépêché de manière permanente en Grèce pour aider à organiser le déploiement des experts de l'EASO.</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La Grèce a augmenté ses capacités d'accueil et dispose</w:t>
      </w:r>
      <w:r>
        <w:rPr>
          <w:rFonts w:ascii="Times New Roman" w:hAnsi="Times New Roman"/>
          <w:noProof/>
          <w:sz w:val="24"/>
        </w:rPr>
        <w:t xml:space="preserve"> à présent de sept centres de premier accueil, centres de filtrage et installations temporaires dans quatre de ses zones de crise (Lesbos, Chios, Samos et Leros), ce qui lui permet d'héberger quelque 2 000 personnes. Le renforcement des capacités se poursu</w:t>
      </w:r>
      <w:r>
        <w:rPr>
          <w:rFonts w:ascii="Times New Roman" w:hAnsi="Times New Roman"/>
          <w:noProof/>
          <w:sz w:val="24"/>
        </w:rPr>
        <w:t>it</w:t>
      </w:r>
      <w:r>
        <w:rPr>
          <w:rStyle w:val="FootnoteReference"/>
          <w:rFonts w:ascii="Times New Roman" w:hAnsi="Times New Roman"/>
          <w:noProof/>
          <w:sz w:val="24"/>
        </w:rPr>
        <w:footnoteReference w:id="10"/>
      </w:r>
      <w:r>
        <w:rPr>
          <w:noProof/>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Une partie des besoins en matière d'accueil dans les zones de crise est liée à l'identification et à l'enregistrement des migrants en situation irrégulière qui n'ont pas manifestement besoin d'une protection internationale et ne peuvent par conséquent</w:t>
      </w:r>
      <w:r>
        <w:rPr>
          <w:rFonts w:ascii="Times New Roman" w:hAnsi="Times New Roman"/>
          <w:noProof/>
          <w:sz w:val="24"/>
        </w:rPr>
        <w:t xml:space="preserve"> pas prétendre à une relocalisation. Il faut donc que des capacités suffisantes soient disponibles, notamment des installations permettant d'éviter la fuite des migrants en situation irrégulière.</w:t>
      </w:r>
    </w:p>
    <w:p w:rsidR="00AE7993" w:rsidRDefault="00AB549A">
      <w:pPr>
        <w:pStyle w:val="Heading2"/>
        <w:spacing w:after="200"/>
        <w:rPr>
          <w:color w:val="auto"/>
        </w:rPr>
      </w:pPr>
      <w:r>
        <w:rPr>
          <w:color w:val="auto"/>
        </w:rPr>
        <w:t xml:space="preserve">II.2 </w:t>
      </w:r>
      <w:r>
        <w:tab/>
      </w:r>
      <w:r>
        <w:rPr>
          <w:color w:val="auto"/>
        </w:rPr>
        <w:t>Déploiement du programme de relocalisation</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Le 14 </w:t>
      </w:r>
      <w:r>
        <w:rPr>
          <w:rFonts w:ascii="Times New Roman" w:hAnsi="Times New Roman"/>
          <w:noProof/>
          <w:sz w:val="24"/>
        </w:rPr>
        <w:t>septembre, le Conseil a adopté la proposition de décision de la Commission</w:t>
      </w:r>
      <w:r>
        <w:rPr>
          <w:rStyle w:val="FootnoteReference"/>
          <w:rFonts w:ascii="Times New Roman" w:hAnsi="Times New Roman"/>
          <w:noProof/>
          <w:sz w:val="24"/>
        </w:rPr>
        <w:footnoteReference w:id="11"/>
      </w:r>
      <w:r>
        <w:rPr>
          <w:rFonts w:ascii="Times New Roman" w:hAnsi="Times New Roman"/>
          <w:noProof/>
          <w:sz w:val="24"/>
        </w:rPr>
        <w:t xml:space="preserve"> portant sur la relocalisation, depuis l'Italie et la Grèce, de 40 000 personnes ayant manifestement besoin d'une protection internationale. Cette adoption a été suivie, une semaine</w:t>
      </w:r>
      <w:r>
        <w:rPr>
          <w:rFonts w:ascii="Times New Roman" w:hAnsi="Times New Roman"/>
          <w:noProof/>
          <w:sz w:val="24"/>
        </w:rPr>
        <w:t xml:space="preserve"> plus tard, par celle d'une décision</w:t>
      </w:r>
      <w:r>
        <w:rPr>
          <w:rStyle w:val="FootnoteReference"/>
          <w:rFonts w:ascii="Times New Roman" w:hAnsi="Times New Roman"/>
          <w:noProof/>
          <w:sz w:val="24"/>
        </w:rPr>
        <w:footnoteReference w:id="12"/>
      </w:r>
      <w:r>
        <w:rPr>
          <w:rFonts w:ascii="Times New Roman" w:hAnsi="Times New Roman"/>
          <w:noProof/>
          <w:sz w:val="24"/>
        </w:rPr>
        <w:t>, elle aussi fondée sur une proposition de la Commission, visant à relocaliser 120 000 personnes ayant manifestement besoin d'une protection internationale à partir de l'Italie, de la Grèce et d'autres États membres dir</w:t>
      </w:r>
      <w:r>
        <w:rPr>
          <w:rFonts w:ascii="Times New Roman" w:hAnsi="Times New Roman"/>
          <w:noProof/>
          <w:sz w:val="24"/>
        </w:rPr>
        <w:t>ectement touchés par la crise des réfugiés. Les équipes d'appui à la gestion des flux migratoires sont les instruments qui permettent de procéder à cette relocalisation aux frontières extérieures de l'Union.</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Il faut que les institutions de l'UE, les États </w:t>
      </w:r>
      <w:r>
        <w:rPr>
          <w:rFonts w:ascii="Times New Roman" w:hAnsi="Times New Roman"/>
          <w:noProof/>
          <w:sz w:val="24"/>
        </w:rPr>
        <w:t>membres qui se trouvent en première ligne et ceux qui se sont engagés à accueillir des personnes relocalisées donnent immédiatement suite à ces deux décisions.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xml:space="preserve"> octobre, la Commission européenne a réuni plus de 80 délégués des États membres, des agen</w:t>
      </w:r>
      <w:r>
        <w:rPr>
          <w:rFonts w:ascii="Times New Roman" w:hAnsi="Times New Roman"/>
          <w:noProof/>
          <w:sz w:val="24"/>
        </w:rPr>
        <w:t xml:space="preserve">ces de l'UE, de l’Organisation internationale pour les migrations (OIM), du Haut-Commissariat des Nations unies pour les réfugiés (HCR) dans le cadre d'un </w:t>
      </w:r>
      <w:r>
        <w:rPr>
          <w:rFonts w:ascii="Times New Roman" w:hAnsi="Times New Roman"/>
          <w:b/>
          <w:noProof/>
          <w:sz w:val="24"/>
        </w:rPr>
        <w:t>forum sur la relocalisation et la réinstallation</w:t>
      </w:r>
      <w:r>
        <w:rPr>
          <w:rFonts w:ascii="Times New Roman" w:hAnsi="Times New Roman"/>
          <w:noProof/>
          <w:sz w:val="24"/>
        </w:rPr>
        <w:t xml:space="preserve"> afin de faire progresser concrètement la mise en œuv</w:t>
      </w:r>
      <w:r>
        <w:rPr>
          <w:rFonts w:ascii="Times New Roman" w:hAnsi="Times New Roman"/>
          <w:noProof/>
          <w:sz w:val="24"/>
        </w:rPr>
        <w:t>re du programme de relocalisation. Lors de ce forum, l'Italie et la Grèce ont présenté leurs feuilles de route relatives à la relocalisation qui énoncent des mesures en matière d’asile, de premier accueil et de retour, ainsi que les dispositions qu'elles e</w:t>
      </w:r>
      <w:r>
        <w:rPr>
          <w:rFonts w:ascii="Times New Roman" w:hAnsi="Times New Roman"/>
          <w:noProof/>
          <w:sz w:val="24"/>
        </w:rPr>
        <w:t>nvisagent de prendre dans les semaines à venir pour garantir le déploiement intégral du programme.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Les relocalisations de personnes ayant manifestement besoin de protection ont commencé, mais il reste fort à faire pour atteindre rapidement un rythme de plu</w:t>
      </w:r>
      <w:r>
        <w:rPr>
          <w:rFonts w:ascii="Times New Roman" w:hAnsi="Times New Roman"/>
          <w:noProof/>
          <w:sz w:val="24"/>
        </w:rPr>
        <w:t>sieurs centaines de transferts par mois. Tous les États membres ont été invités à désigner des points de contacts nationaux: à ce jour 21 d'entre eux l'ont fait</w:t>
      </w:r>
      <w:r>
        <w:rPr>
          <w:rStyle w:val="FootnoteReference"/>
          <w:rFonts w:ascii="Times New Roman" w:hAnsi="Times New Roman"/>
          <w:noProof/>
          <w:sz w:val="24"/>
        </w:rPr>
        <w:footnoteReference w:id="13"/>
      </w:r>
      <w:r>
        <w:rPr>
          <w:rFonts w:ascii="Times New Roman" w:hAnsi="Times New Roman"/>
          <w:noProof/>
          <w:sz w:val="24"/>
        </w:rPr>
        <w:t>. Il leur a également été demandé d'envoyer, si nécessaire, des officiers de liaison en Grèce e</w:t>
      </w:r>
      <w:r>
        <w:rPr>
          <w:rFonts w:ascii="Times New Roman" w:hAnsi="Times New Roman"/>
          <w:noProof/>
          <w:sz w:val="24"/>
        </w:rPr>
        <w:t>t en Italie. Jusqu'ici, 22 États membres ont donné suite à cette requête</w:t>
      </w:r>
      <w:r>
        <w:rPr>
          <w:rStyle w:val="FootnoteReference"/>
          <w:rFonts w:ascii="Times New Roman" w:hAnsi="Times New Roman"/>
          <w:noProof/>
          <w:sz w:val="24"/>
        </w:rPr>
        <w:footnoteReference w:id="14"/>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L'existence, dans les États membres de destination, de capacités d'accueil permettant d'héberger les personnes relocalisées constitue l'un des maillons essentiels de la chaîne de re</w:t>
      </w:r>
      <w:r>
        <w:rPr>
          <w:rFonts w:ascii="Times New Roman" w:hAnsi="Times New Roman"/>
          <w:noProof/>
          <w:sz w:val="24"/>
        </w:rPr>
        <w:t>localisation. Jusqu'ici, six États membres seulement ont notifié la capacité d'accueil qu'ils ont libérée à cet effet</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b/>
          <w:noProof/>
          <w:sz w:val="24"/>
        </w:rPr>
        <w:t>Tous les États membres devraient procéder à cette notification d'ici la fin du mois d'octobre</w:t>
      </w:r>
      <w:r>
        <w:rPr>
          <w:rFonts w:ascii="Times New Roman" w:hAnsi="Times New Roman"/>
          <w:noProof/>
          <w:sz w:val="24"/>
        </w:rPr>
        <w:t>.</w:t>
      </w:r>
    </w:p>
    <w:tbl>
      <w:tblPr>
        <w:tblStyle w:val="TableGrid"/>
        <w:tblW w:w="0" w:type="auto"/>
        <w:tblLook w:val="04A0" w:firstRow="1" w:lastRow="0" w:firstColumn="1" w:lastColumn="0" w:noHBand="0" w:noVBand="1"/>
      </w:tblPr>
      <w:tblGrid>
        <w:gridCol w:w="9288"/>
      </w:tblGrid>
      <w:tr w:rsidR="00AE7993">
        <w:tc>
          <w:tcPr>
            <w:tcW w:w="9288" w:type="dxa"/>
          </w:tcPr>
          <w:p w:rsidR="00AE7993" w:rsidRDefault="00AB549A">
            <w:pPr>
              <w:spacing w:after="200"/>
              <w:jc w:val="both"/>
              <w:rPr>
                <w:rFonts w:ascii="Times New Roman" w:hAnsi="Times New Roman" w:cs="Times New Roman"/>
                <w:b/>
                <w:noProof/>
                <w:sz w:val="24"/>
                <w:szCs w:val="24"/>
              </w:rPr>
            </w:pPr>
            <w:r>
              <w:rPr>
                <w:rFonts w:ascii="Times New Roman" w:hAnsi="Times New Roman"/>
                <w:b/>
                <w:noProof/>
                <w:sz w:val="24"/>
              </w:rPr>
              <w:t>Première relocalisation effective de pers</w:t>
            </w:r>
            <w:r>
              <w:rPr>
                <w:rFonts w:ascii="Times New Roman" w:hAnsi="Times New Roman"/>
                <w:b/>
                <w:noProof/>
                <w:sz w:val="24"/>
              </w:rPr>
              <w:t>onnes ayant manifestement besoin d'une protection internationale</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 xml:space="preserve">Le 9 octobre 2015, un premier vol a décollé de Rome avec à son bord 19 Érythréens à destination de la Suède où ils pourront commencer une nouvelle vie. Cinq femmes et 14 hommes ont quitté </w:t>
            </w:r>
            <w:r>
              <w:rPr>
                <w:rFonts w:ascii="Times New Roman" w:hAnsi="Times New Roman"/>
                <w:noProof/>
                <w:sz w:val="24"/>
              </w:rPr>
              <w:t>l'Italie par l'aéroport de Ciampino en présence de M. Dimitris Avramopoulos, commissaire pour la migration et les affaires intérieures, de M. Jean Asselborn, ministre luxembourgeois des affaires étrangères, et de M. Angelino Alfano, ministre italien de l'i</w:t>
            </w:r>
            <w:r>
              <w:rPr>
                <w:rFonts w:ascii="Times New Roman" w:hAnsi="Times New Roman"/>
                <w:noProof/>
                <w:sz w:val="24"/>
              </w:rPr>
              <w:t>ntérieur. Ce moment hautement symbolique a consacré l'avènement d'une nouvelle approche européenne du traitement des demandes d'asile. Toutefois, au-delà du symbole, les relocalisations doivent maintenant devenir une pratique systématique en Italie et en G</w:t>
            </w:r>
            <w:r>
              <w:rPr>
                <w:rFonts w:ascii="Times New Roman" w:hAnsi="Times New Roman"/>
                <w:noProof/>
                <w:sz w:val="24"/>
              </w:rPr>
              <w:t>rèce.</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Ce premier vol a été l'aboutissement d’un travail préparatoire intense accompli sur le terrain par les autorités italiennes et suédoises, Frontex et d’autres agences de l’Union, des ONG locales et les envoyés spéciaux de la Commission européenne. Leu</w:t>
            </w:r>
            <w:r>
              <w:rPr>
                <w:rFonts w:ascii="Times New Roman" w:hAnsi="Times New Roman"/>
                <w:noProof/>
                <w:sz w:val="24"/>
              </w:rPr>
              <w:t>r détermination a permis de rendre le dispositif opérationnel et d'assurer l’enregistrement et le traitement nécessaires à chaque étape du processus.</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L’information de la communauté érythréenne a également joué un rôle essentiel dans la réussite de cette pr</w:t>
            </w:r>
            <w:r>
              <w:rPr>
                <w:rFonts w:ascii="Times New Roman" w:hAnsi="Times New Roman"/>
                <w:noProof/>
                <w:sz w:val="24"/>
              </w:rPr>
              <w:t>emière opération. Dans un premier temps, les demandeurs d'asile rechignaient à se faire enregistrer, car ils se méfiaient du système. Ces dernières semaines, les envoyés de la Commission sur le terrain, en coopération avec le HCR et des ONG locales, ont dû</w:t>
            </w:r>
            <w:r>
              <w:rPr>
                <w:rFonts w:ascii="Times New Roman" w:hAnsi="Times New Roman"/>
                <w:noProof/>
                <w:sz w:val="24"/>
              </w:rPr>
              <w:t xml:space="preserve"> déployer des trésors de persuasion pour convaincre le premier groupe de personnes qu'elles allaient réellement être relocalisées.</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La confiance dans le système augmente toutefois, surtout depuis la première opération. Les gens font désormais la file pour s</w:t>
            </w:r>
            <w:r>
              <w:rPr>
                <w:rFonts w:ascii="Times New Roman" w:hAnsi="Times New Roman"/>
                <w:noProof/>
                <w:sz w:val="24"/>
              </w:rPr>
              <w:t>e faire enregistrer à Lampedusa et à Villa Sikania. Plus d'une centaine d'Érythréens candidats à la relocalisation ont déjà été enregistrés.</w:t>
            </w:r>
          </w:p>
          <w:p w:rsidR="00AE7993" w:rsidRDefault="00AB549A">
            <w:pPr>
              <w:jc w:val="both"/>
              <w:rPr>
                <w:rFonts w:ascii="Times New Roman" w:hAnsi="Times New Roman" w:cs="Times New Roman"/>
                <w:noProof/>
                <w:sz w:val="24"/>
                <w:szCs w:val="24"/>
              </w:rPr>
            </w:pPr>
            <w:r>
              <w:rPr>
                <w:rFonts w:ascii="Times New Roman" w:hAnsi="Times New Roman"/>
                <w:noProof/>
                <w:sz w:val="24"/>
              </w:rPr>
              <w:t>Il est maintenant essentiel que d'autres opérations de relocalisation suivent, surtout pour éviter que les rangs de</w:t>
            </w:r>
            <w:r>
              <w:rPr>
                <w:rFonts w:ascii="Times New Roman" w:hAnsi="Times New Roman"/>
                <w:noProof/>
                <w:sz w:val="24"/>
              </w:rPr>
              <w:t>s candidats à la relocalisation grossissent au point de provoquer un «goulet d'étranglement».</w:t>
            </w:r>
          </w:p>
        </w:tc>
      </w:tr>
    </w:tbl>
    <w:p w:rsidR="00AE7993" w:rsidRDefault="00AB549A">
      <w:pPr>
        <w:pStyle w:val="Heading2"/>
        <w:spacing w:after="200"/>
        <w:jc w:val="both"/>
        <w:rPr>
          <w:color w:val="auto"/>
        </w:rPr>
      </w:pPr>
      <w:r>
        <w:rPr>
          <w:b w:val="0"/>
          <w:color w:val="auto"/>
        </w:rPr>
        <w:t>La réussite du transfert des premiers groupes de personnes dans le cadre des opérations de relocalisation marque une première étape importante. Ces opérations do</w:t>
      </w:r>
      <w:r>
        <w:rPr>
          <w:b w:val="0"/>
          <w:color w:val="auto"/>
        </w:rPr>
        <w:t xml:space="preserve">ivent à présent se poursuivre à un rythme soutenu et à une échelle suffisante. </w:t>
      </w:r>
      <w:r>
        <w:rPr>
          <w:color w:val="auto"/>
        </w:rPr>
        <w:t>Tous les États membres devraient maintenant communiquer clairement à la Commission le nombre de personnes qu'ils s'engagent à relocaliser d'ici la fin de l'année</w:t>
      </w:r>
      <w:r>
        <w:rPr>
          <w:b w:val="0"/>
          <w:color w:val="auto"/>
        </w:rPr>
        <w:t>, en gardant à l</w:t>
      </w:r>
      <w:r>
        <w:rPr>
          <w:b w:val="0"/>
          <w:color w:val="auto"/>
        </w:rPr>
        <w:t>'esprit l'urgence du problème.</w:t>
      </w:r>
    </w:p>
    <w:p w:rsidR="00AE7993" w:rsidRDefault="00AB549A">
      <w:pPr>
        <w:pStyle w:val="Heading2"/>
        <w:spacing w:after="200"/>
        <w:rPr>
          <w:color w:val="auto"/>
        </w:rPr>
      </w:pPr>
      <w:r>
        <w:rPr>
          <w:color w:val="auto"/>
        </w:rPr>
        <w:t>II.3</w:t>
      </w:r>
      <w:r>
        <w:tab/>
      </w:r>
      <w:r>
        <w:rPr>
          <w:color w:val="auto"/>
        </w:rPr>
        <w:t>Réinstallation</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Par la réinstallation des personnes ayant besoin d'une protection internationale directement au départ de pays tiers, l'UE s'acquitte de ses obligations humanitaires; les réfugiés se voient ainsi offrir un</w:t>
      </w:r>
      <w:r>
        <w:rPr>
          <w:rFonts w:ascii="Times New Roman" w:hAnsi="Times New Roman"/>
          <w:noProof/>
          <w:sz w:val="24"/>
        </w:rPr>
        <w:t>e solution sûre qui leur évite d'entreprendre par leurs propres moyens le périlleux voyage vers l'Europe. Lors du forum sur la relocalisation et la réinstallation du 1</w:t>
      </w:r>
      <w:r>
        <w:rPr>
          <w:rFonts w:ascii="Times New Roman" w:hAnsi="Times New Roman"/>
          <w:noProof/>
          <w:sz w:val="24"/>
          <w:vertAlign w:val="superscript"/>
        </w:rPr>
        <w:t>er</w:t>
      </w:r>
      <w:r>
        <w:rPr>
          <w:rFonts w:ascii="Times New Roman" w:hAnsi="Times New Roman"/>
          <w:noProof/>
          <w:sz w:val="24"/>
        </w:rPr>
        <w:t xml:space="preserve"> octobre, les États membres ont confirmé l'engagement pris en juillet d'accueillir de c</w:t>
      </w:r>
      <w:r>
        <w:rPr>
          <w:rFonts w:ascii="Times New Roman" w:hAnsi="Times New Roman"/>
          <w:noProof/>
          <w:sz w:val="24"/>
        </w:rPr>
        <w:t xml:space="preserve">ette façon plus de 20 000 réfugiés au cours des deux prochaines années. Un atelier sur la réinstallation organisé le 2 octobre a permis de dégager des solutions pratiques pour garantir le bon déroulement des opérations. Les premières réinstallations ont à </w:t>
      </w:r>
      <w:r>
        <w:rPr>
          <w:rFonts w:ascii="Times New Roman" w:hAnsi="Times New Roman"/>
          <w:noProof/>
          <w:sz w:val="24"/>
        </w:rPr>
        <w:t>présent eu lieu</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Les États membres devraient maintenant communiquer à la Commission le nombre de personnes qu'ils vont réinstaller au cours des six prochains mois, en précisant à partir de quels pays.</w:t>
      </w:r>
    </w:p>
    <w:p w:rsidR="00AE7993" w:rsidRDefault="00AB549A">
      <w:pPr>
        <w:pStyle w:val="Heading2"/>
        <w:spacing w:after="200"/>
        <w:rPr>
          <w:color w:val="auto"/>
        </w:rPr>
      </w:pPr>
      <w:r>
        <w:rPr>
          <w:color w:val="auto"/>
        </w:rPr>
        <w:t>II.4</w:t>
      </w:r>
      <w:r>
        <w:tab/>
      </w:r>
      <w:r>
        <w:rPr>
          <w:color w:val="auto"/>
        </w:rPr>
        <w:t>Retour et réadmission</w:t>
      </w:r>
    </w:p>
    <w:p w:rsidR="00AE7993" w:rsidRDefault="00AB549A">
      <w:pPr>
        <w:pStyle w:val="Heading2"/>
        <w:spacing w:before="0" w:after="200"/>
        <w:jc w:val="both"/>
        <w:rPr>
          <w:b w:val="0"/>
          <w:color w:val="auto"/>
        </w:rPr>
      </w:pPr>
      <w:r>
        <w:rPr>
          <w:b w:val="0"/>
          <w:color w:val="auto"/>
        </w:rPr>
        <w:t xml:space="preserve">L'un des aspects essentiels des mécanismes interdépendants constituant le système d'asile de l'UE est la garantie que ceux qui n'ont pas droit à une protection internationale seront effectivement </w:t>
      </w:r>
      <w:r>
        <w:rPr>
          <w:color w:val="auto"/>
        </w:rPr>
        <w:t>renvoyés</w:t>
      </w:r>
      <w:r>
        <w:t>.</w:t>
      </w:r>
      <w:r>
        <w:rPr>
          <w:color w:val="auto"/>
        </w:rPr>
        <w:t xml:space="preserve"> </w:t>
      </w:r>
      <w:r>
        <w:rPr>
          <w:b w:val="0"/>
          <w:color w:val="auto"/>
        </w:rPr>
        <w:t>À l'heure actuelle, le nombre de décisions de reto</w:t>
      </w:r>
      <w:r>
        <w:rPr>
          <w:b w:val="0"/>
          <w:color w:val="auto"/>
        </w:rPr>
        <w:t>ur mises à exécution est beaucoup trop faible et les réseaux de trafiquants en jouent pour attirer des migrants qui n'ont pas besoin d'une protection internationale. Plus le système de retour sera efficace, moins les trafiquants auront de chances de persua</w:t>
      </w:r>
      <w:r>
        <w:rPr>
          <w:b w:val="0"/>
          <w:color w:val="auto"/>
        </w:rPr>
        <w:t>der les gens qu'ils pourront «se faufiler à travers les mailles du filet» s'ils sont identifiés comme n'ayant pas besoin d'une protection internationale.</w:t>
      </w:r>
    </w:p>
    <w:p w:rsidR="00AE7993" w:rsidRDefault="00AB549A">
      <w:pPr>
        <w:spacing w:line="240" w:lineRule="auto"/>
        <w:jc w:val="both"/>
        <w:rPr>
          <w:rFonts w:ascii="Times New Roman" w:eastAsiaTheme="majorEastAsia" w:hAnsi="Times New Roman" w:cs="Times New Roman"/>
          <w:b/>
          <w:bCs/>
          <w:noProof/>
          <w:sz w:val="24"/>
          <w:szCs w:val="24"/>
        </w:rPr>
      </w:pPr>
      <w:r>
        <w:rPr>
          <w:rFonts w:ascii="Times New Roman" w:eastAsiaTheme="majorEastAsia" w:hAnsi="Times New Roman"/>
          <w:noProof/>
          <w:sz w:val="24"/>
        </w:rPr>
        <w:t>Lors du Conseil de la justice et des affaires intérieures d'octobre 2015, les États membres ont adopté</w:t>
      </w:r>
      <w:r>
        <w:rPr>
          <w:rFonts w:ascii="Times New Roman" w:eastAsiaTheme="majorEastAsia" w:hAnsi="Times New Roman"/>
          <w:noProof/>
          <w:sz w:val="24"/>
        </w:rPr>
        <w:t xml:space="preserve"> le plan d'action de l'UE en matière de retour proposé par la Commission</w:t>
      </w:r>
      <w:r>
        <w:rPr>
          <w:rStyle w:val="FootnoteReference"/>
          <w:rFonts w:ascii="Times New Roman" w:eastAsiaTheme="majorEastAsia" w:hAnsi="Times New Roman"/>
          <w:noProof/>
          <w:sz w:val="24"/>
        </w:rPr>
        <w:footnoteReference w:id="17"/>
      </w:r>
      <w:r>
        <w:rPr>
          <w:rFonts w:ascii="Times New Roman" w:eastAsiaTheme="majorEastAsia" w:hAnsi="Times New Roman"/>
          <w:noProof/>
          <w:sz w:val="24"/>
        </w:rPr>
        <w:t xml:space="preserve">. </w:t>
      </w:r>
      <w:r>
        <w:rPr>
          <w:rFonts w:ascii="Times New Roman" w:eastAsiaTheme="majorEastAsia" w:hAnsi="Times New Roman"/>
          <w:b/>
          <w:noProof/>
          <w:sz w:val="24"/>
        </w:rPr>
        <w:t>Il est maintenant important de lui donner suite rapidement et efficacement.</w:t>
      </w:r>
    </w:p>
    <w:p w:rsidR="00AE7993" w:rsidRDefault="00AB549A">
      <w:pPr>
        <w:pStyle w:val="Heading2"/>
        <w:spacing w:before="0" w:after="200"/>
        <w:jc w:val="both"/>
        <w:rPr>
          <w:b w:val="0"/>
          <w:color w:val="auto"/>
        </w:rPr>
      </w:pPr>
      <w:r>
        <w:rPr>
          <w:b w:val="0"/>
          <w:color w:val="auto"/>
        </w:rPr>
        <w:t>L'Italie a récemment procédé à deux opérations de retour: 28 Tunisiens et 35 Égyptiens ont été renvoyés v</w:t>
      </w:r>
      <w:r>
        <w:rPr>
          <w:b w:val="0"/>
          <w:color w:val="auto"/>
        </w:rPr>
        <w:t>ers leur pays d'origine. Une opération de retour conjointe, coordonnée par Frontex, est prévue en octobre à partir de l'Italie. Deux autres sont prévues à la même période à partir de la Grèce. La fréquence de ces opérations doit augmenter.</w:t>
      </w:r>
    </w:p>
    <w:p w:rsidR="00AE7993" w:rsidRDefault="00AB549A">
      <w:pPr>
        <w:pStyle w:val="Heading2"/>
        <w:spacing w:before="0" w:after="200"/>
        <w:jc w:val="both"/>
        <w:rPr>
          <w:b w:val="0"/>
          <w:color w:val="auto"/>
        </w:rPr>
      </w:pPr>
      <w:r>
        <w:rPr>
          <w:b w:val="0"/>
          <w:color w:val="auto"/>
        </w:rPr>
        <w:t>Veiller au bon d</w:t>
      </w:r>
      <w:r>
        <w:rPr>
          <w:b w:val="0"/>
          <w:color w:val="auto"/>
        </w:rPr>
        <w:t>éroulement des retours constitue une part essentielle de la mission des équipes d'appui à la gestion des flux migratoires dans les zones de crise.</w:t>
      </w:r>
    </w:p>
    <w:p w:rsidR="00AE7993" w:rsidRDefault="00AB549A">
      <w:pPr>
        <w:pStyle w:val="Heading2"/>
        <w:spacing w:before="0" w:after="200"/>
        <w:jc w:val="both"/>
        <w:rPr>
          <w:b w:val="0"/>
          <w:color w:val="auto"/>
        </w:rPr>
      </w:pPr>
      <w:r>
        <w:rPr>
          <w:b w:val="0"/>
          <w:color w:val="auto"/>
        </w:rPr>
        <w:t>Pour ce faire, il faut également que des procédures efficaces d'adoption et d'exécution des décisions de reto</w:t>
      </w:r>
      <w:r>
        <w:rPr>
          <w:b w:val="0"/>
          <w:color w:val="auto"/>
        </w:rPr>
        <w:t>ur soient en place dans l'UE. Des mesures concrètes ont été prises ces derniers mois pour instaurer un système intégré de gestion des retours et pour introduire les décisions de retour et les interdictions d'entrée dans les systèmes européens d'échange d'i</w:t>
      </w:r>
      <w:r>
        <w:rPr>
          <w:b w:val="0"/>
          <w:color w:val="auto"/>
        </w:rPr>
        <w:t>nformations. Les agences des États membres chargées de mettre en œuvre le programme de retour doivent disposer des ressources nécessaires pour remplir leur rôle.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Il ne saurait y avoir de retours que si les pays d'origine acceptent de réadmettre les personn</w:t>
      </w:r>
      <w:r>
        <w:rPr>
          <w:rFonts w:ascii="Times New Roman" w:hAnsi="Times New Roman"/>
          <w:noProof/>
          <w:sz w:val="24"/>
        </w:rPr>
        <w:t>es concernées.</w:t>
      </w:r>
      <w:r>
        <w:rPr>
          <w:rFonts w:ascii="Times New Roman" w:hAnsi="Times New Roman"/>
          <w:b/>
          <w:noProof/>
          <w:sz w:val="24"/>
        </w:rPr>
        <w:t xml:space="preserve"> </w:t>
      </w:r>
      <w:r>
        <w:rPr>
          <w:rFonts w:ascii="Times New Roman" w:hAnsi="Times New Roman"/>
          <w:noProof/>
          <w:sz w:val="24"/>
        </w:rPr>
        <w:t xml:space="preserve">La </w:t>
      </w:r>
      <w:r>
        <w:rPr>
          <w:rFonts w:ascii="Times New Roman" w:hAnsi="Times New Roman"/>
          <w:b/>
          <w:noProof/>
          <w:sz w:val="24"/>
        </w:rPr>
        <w:t xml:space="preserve">réadmission </w:t>
      </w:r>
      <w:r>
        <w:rPr>
          <w:rFonts w:ascii="Times New Roman" w:hAnsi="Times New Roman"/>
          <w:noProof/>
          <w:sz w:val="24"/>
        </w:rPr>
        <w:t xml:space="preserve">est une composante indispensable de toute politique efficace en matière de migration. Les personnes qui retournent dans leurs pays d'origine doivent être réadmises par ceux-ci. L'UE doit pour ce faire entretenir des relations </w:t>
      </w:r>
      <w:r>
        <w:rPr>
          <w:rFonts w:ascii="Times New Roman" w:hAnsi="Times New Roman"/>
          <w:noProof/>
          <w:sz w:val="24"/>
        </w:rPr>
        <w:t>étroites de partenariat avec les pays tiers et utiliser tous les outils dont elle dispose. Les États membres et la Commission devraient œuvrer de concert pour trouver le juste équilibre entre pressions et mesures incitatives dans leurs relations avec les p</w:t>
      </w:r>
      <w:r>
        <w:rPr>
          <w:rFonts w:ascii="Times New Roman" w:hAnsi="Times New Roman"/>
          <w:noProof/>
          <w:sz w:val="24"/>
        </w:rPr>
        <w:t xml:space="preserve">ays tiers afin d'augmenter le nombre de retours. Pour soutenir ce processus, </w:t>
      </w:r>
      <w:r>
        <w:rPr>
          <w:rFonts w:ascii="Times New Roman" w:hAnsi="Times New Roman"/>
          <w:b/>
          <w:noProof/>
          <w:sz w:val="24"/>
        </w:rPr>
        <w:t>il a été convenu que les États membres dépêchent des officiers de liaison «migration» européens dans onze pays d'ici la fin de 2015, ce qui n'a pas encore été fait</w:t>
      </w:r>
      <w:r>
        <w:rPr>
          <w:rStyle w:val="FootnoteReference"/>
          <w:rFonts w:ascii="Times New Roman" w:hAnsi="Times New Roman"/>
          <w:noProof/>
          <w:sz w:val="24"/>
        </w:rPr>
        <w:footnoteReference w:id="18"/>
      </w:r>
      <w:r>
        <w:rPr>
          <w:rFonts w:ascii="Times New Roman" w:hAnsi="Times New Roman"/>
          <w:noProof/>
          <w:sz w:val="24"/>
        </w:rPr>
        <w:t>. La haute repr</w:t>
      </w:r>
      <w:r>
        <w:rPr>
          <w:rFonts w:ascii="Times New Roman" w:hAnsi="Times New Roman"/>
          <w:noProof/>
          <w:sz w:val="24"/>
        </w:rPr>
        <w:t>ésentante/vice-présidente a donné le coup d'envoi des premiers dialogues à haut niveau avec les principaux pays d'origine des migrants en situation irrégulière. Ils seront suivis de divers dialogues plus larges avec l'Éthiopie, la Somalie, l'Union africain</w:t>
      </w:r>
      <w:r>
        <w:rPr>
          <w:rFonts w:ascii="Times New Roman" w:hAnsi="Times New Roman"/>
          <w:noProof/>
          <w:sz w:val="24"/>
        </w:rPr>
        <w:t xml:space="preserve">e et les pays du Sahel. </w:t>
      </w:r>
      <w:r>
        <w:rPr>
          <w:rFonts w:ascii="Times New Roman" w:hAnsi="Times New Roman"/>
          <w:b/>
          <w:noProof/>
          <w:sz w:val="24"/>
        </w:rPr>
        <w:t>La priorité immédiate est de faire en sorte que les accords de réadmission existants soient effectivement appliqués.</w:t>
      </w:r>
    </w:p>
    <w:tbl>
      <w:tblPr>
        <w:tblStyle w:val="TableGrid"/>
        <w:tblW w:w="0" w:type="auto"/>
        <w:tblLook w:val="04A0" w:firstRow="1" w:lastRow="0" w:firstColumn="1" w:lastColumn="0" w:noHBand="0" w:noVBand="1"/>
      </w:tblPr>
      <w:tblGrid>
        <w:gridCol w:w="9288"/>
      </w:tblGrid>
      <w:tr w:rsidR="00AE7993">
        <w:tc>
          <w:tcPr>
            <w:tcW w:w="9288" w:type="dxa"/>
          </w:tcPr>
          <w:p w:rsidR="00AE7993" w:rsidRDefault="00AB549A">
            <w:pPr>
              <w:spacing w:after="200"/>
              <w:rPr>
                <w:rFonts w:ascii="Times New Roman" w:hAnsi="Times New Roman" w:cs="Times New Roman"/>
                <w:noProof/>
                <w:sz w:val="24"/>
                <w:szCs w:val="24"/>
              </w:rPr>
            </w:pPr>
            <w:r>
              <w:rPr>
                <w:rFonts w:ascii="Times New Roman" w:hAnsi="Times New Roman"/>
                <w:b/>
                <w:noProof/>
                <w:sz w:val="24"/>
              </w:rPr>
              <w:t>Faire en sorte que la réadmission fonctionne: coopération pratique avec le Pakistan</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 xml:space="preserve">L’UE et le Pakistan ont un </w:t>
            </w:r>
            <w:r>
              <w:rPr>
                <w:rFonts w:ascii="Times New Roman" w:hAnsi="Times New Roman"/>
                <w:noProof/>
                <w:sz w:val="24"/>
              </w:rPr>
              <w:t>accord de réadmission depuis 2012. Vu le nombre élevé de personnes concernées (voir l'annexe 9) - depuis de nombreuses années, le Pakistan est la quatrième source de ressortissants de pays tiers en situation irrégulière dans l'UE - cet accord est particuli</w:t>
            </w:r>
            <w:r>
              <w:rPr>
                <w:rFonts w:ascii="Times New Roman" w:hAnsi="Times New Roman"/>
                <w:noProof/>
                <w:sz w:val="24"/>
              </w:rPr>
              <w:t>èrement important. Néanmoins, selon les estimations, 54 % seulement des citoyens pakistanais ayant reçu l'ordre de quitter le territoire de l'UE sont effectivement renvoyés dans leur pays. L’efficacité de la mise en œuvre de l’accord varie sensiblement d'u</w:t>
            </w:r>
            <w:r>
              <w:rPr>
                <w:rFonts w:ascii="Times New Roman" w:hAnsi="Times New Roman"/>
                <w:noProof/>
                <w:sz w:val="24"/>
              </w:rPr>
              <w:t>n État membre à l'autre. Un blocage particulier a été constaté en Grèce à la suite de différends portant sur des documents. Les discussions consacrées spécifiquement à la réadmission qui se sont tenues ce mois-ci entre la Commission, la Grèce et les autori</w:t>
            </w:r>
            <w:r>
              <w:rPr>
                <w:rFonts w:ascii="Times New Roman" w:hAnsi="Times New Roman"/>
                <w:noProof/>
                <w:sz w:val="24"/>
              </w:rPr>
              <w:t>tés pakistanaises visent principalement à relancer le processus de retour:</w:t>
            </w:r>
          </w:p>
          <w:p w:rsidR="00AE7993" w:rsidRDefault="00AB549A">
            <w:pPr>
              <w:pStyle w:val="ListParagraph"/>
              <w:numPr>
                <w:ilvl w:val="0"/>
                <w:numId w:val="10"/>
              </w:numPr>
              <w:spacing w:after="200"/>
              <w:contextualSpacing/>
              <w:jc w:val="both"/>
              <w:rPr>
                <w:rFonts w:ascii="Times New Roman" w:hAnsi="Times New Roman" w:cs="Times New Roman"/>
                <w:noProof/>
                <w:sz w:val="24"/>
                <w:szCs w:val="24"/>
              </w:rPr>
            </w:pPr>
            <w:r>
              <w:rPr>
                <w:rFonts w:ascii="Times New Roman" w:hAnsi="Times New Roman"/>
                <w:noProof/>
                <w:sz w:val="24"/>
              </w:rPr>
              <w:t>des fonctionnaires de la Commission et des fonctionnaires grecs et pakistanais se sont rencontrés à Athènes pour discuter de l'application de l'accord de réadmission entre l'UE et l</w:t>
            </w:r>
            <w:r>
              <w:rPr>
                <w:rFonts w:ascii="Times New Roman" w:hAnsi="Times New Roman"/>
                <w:noProof/>
                <w:sz w:val="24"/>
              </w:rPr>
              <w:t>e Pakistan;</w:t>
            </w:r>
          </w:p>
          <w:p w:rsidR="00AE7993" w:rsidRDefault="00AB549A">
            <w:pPr>
              <w:pStyle w:val="ListParagraph"/>
              <w:numPr>
                <w:ilvl w:val="0"/>
                <w:numId w:val="10"/>
              </w:numPr>
              <w:spacing w:after="200"/>
              <w:jc w:val="both"/>
              <w:rPr>
                <w:rFonts w:ascii="Times New Roman" w:hAnsi="Times New Roman" w:cs="Times New Roman"/>
                <w:noProof/>
                <w:sz w:val="24"/>
                <w:szCs w:val="24"/>
              </w:rPr>
            </w:pPr>
            <w:r>
              <w:rPr>
                <w:rFonts w:ascii="Times New Roman" w:hAnsi="Times New Roman"/>
                <w:noProof/>
                <w:sz w:val="24"/>
              </w:rPr>
              <w:t>des contacts ont eu lieu le même jour entre la délégation de l’UE à Islamabad et le ministère pakistanais des affaires étrangères;</w:t>
            </w:r>
          </w:p>
          <w:p w:rsidR="00AE7993" w:rsidRDefault="00AB549A">
            <w:pPr>
              <w:pStyle w:val="ListParagraph"/>
              <w:numPr>
                <w:ilvl w:val="0"/>
                <w:numId w:val="10"/>
              </w:numPr>
              <w:spacing w:after="200"/>
              <w:ind w:left="714" w:hanging="357"/>
              <w:jc w:val="both"/>
              <w:rPr>
                <w:rFonts w:ascii="Times New Roman" w:hAnsi="Times New Roman" w:cs="Times New Roman"/>
                <w:noProof/>
                <w:sz w:val="24"/>
                <w:szCs w:val="24"/>
              </w:rPr>
            </w:pPr>
            <w:r>
              <w:rPr>
                <w:rFonts w:ascii="Times New Roman" w:hAnsi="Times New Roman"/>
                <w:noProof/>
                <w:sz w:val="24"/>
              </w:rPr>
              <w:t xml:space="preserve">le commissaire Avramopoulos se rendra à Islamabad le 29 octobre pour discuter d'un plan commun sur les </w:t>
            </w:r>
            <w:r>
              <w:rPr>
                <w:rFonts w:ascii="Times New Roman" w:hAnsi="Times New Roman"/>
                <w:noProof/>
                <w:sz w:val="24"/>
              </w:rPr>
              <w:t>migrations.</w:t>
            </w:r>
          </w:p>
          <w:p w:rsidR="00AE7993" w:rsidRDefault="00AB549A">
            <w:pPr>
              <w:spacing w:after="200"/>
              <w:jc w:val="both"/>
              <w:rPr>
                <w:rFonts w:ascii="Times New Roman" w:hAnsi="Times New Roman" w:cs="Times New Roman"/>
                <w:noProof/>
                <w:sz w:val="24"/>
                <w:szCs w:val="24"/>
              </w:rPr>
            </w:pPr>
            <w:r>
              <w:rPr>
                <w:rFonts w:ascii="Times New Roman" w:hAnsi="Times New Roman"/>
                <w:noProof/>
                <w:sz w:val="24"/>
              </w:rPr>
              <w:t>Il devrait en résulter:</w:t>
            </w:r>
          </w:p>
          <w:p w:rsidR="00AE7993" w:rsidRDefault="00AB549A">
            <w:pPr>
              <w:pStyle w:val="Pagedecouverture"/>
              <w:numPr>
                <w:ilvl w:val="0"/>
                <w:numId w:val="10"/>
              </w:numPr>
              <w:spacing w:after="200"/>
              <w:contextualSpacing/>
              <w:rPr>
                <w:noProof/>
                <w:szCs w:val="24"/>
              </w:rPr>
            </w:pPr>
            <w:r>
              <w:rPr>
                <w:noProof/>
              </w:rPr>
              <w:t xml:space="preserve">une même conception, par la Grèce et le Pakistan, de l'application de l'accord de réadmission de l'UE; </w:t>
            </w:r>
          </w:p>
          <w:p w:rsidR="00AE7993" w:rsidRDefault="00AB549A">
            <w:pPr>
              <w:pStyle w:val="ListParagraph"/>
              <w:numPr>
                <w:ilvl w:val="0"/>
                <w:numId w:val="10"/>
              </w:numPr>
              <w:spacing w:after="200"/>
              <w:rPr>
                <w:noProof/>
                <w:szCs w:val="24"/>
              </w:rPr>
            </w:pPr>
            <w:r>
              <w:rPr>
                <w:rFonts w:ascii="Times New Roman" w:hAnsi="Times New Roman"/>
                <w:noProof/>
                <w:sz w:val="24"/>
              </w:rPr>
              <w:t>une opération conjointe de retour de la Grèce vers le Pakistan, menée par Frontex en novembre;</w:t>
            </w:r>
          </w:p>
          <w:p w:rsidR="00AE7993" w:rsidRDefault="00AB549A">
            <w:pPr>
              <w:pStyle w:val="Pagedecouverture"/>
              <w:numPr>
                <w:ilvl w:val="0"/>
                <w:numId w:val="10"/>
              </w:numPr>
              <w:spacing w:after="200"/>
              <w:ind w:left="714" w:hanging="357"/>
              <w:contextualSpacing/>
              <w:rPr>
                <w:noProof/>
                <w:szCs w:val="24"/>
              </w:rPr>
            </w:pPr>
            <w:r>
              <w:rPr>
                <w:noProof/>
              </w:rPr>
              <w:t xml:space="preserve">la présentation, par </w:t>
            </w:r>
            <w:r>
              <w:rPr>
                <w:noProof/>
              </w:rPr>
              <w:t xml:space="preserve">la Commission, d'un plan d'action opérationnel pour une meilleure gestion des migrations avec le Pakistan. </w:t>
            </w:r>
          </w:p>
        </w:tc>
      </w:tr>
    </w:tbl>
    <w:p w:rsidR="00AE7993" w:rsidRDefault="00AB549A">
      <w:pPr>
        <w:pStyle w:val="Heading2"/>
        <w:spacing w:after="200"/>
        <w:rPr>
          <w:color w:val="auto"/>
        </w:rPr>
      </w:pPr>
      <w:r>
        <w:rPr>
          <w:color w:val="auto"/>
        </w:rPr>
        <w:t>II.5</w:t>
      </w:r>
      <w:r>
        <w:rPr>
          <w:color w:val="auto"/>
        </w:rPr>
        <w:tab/>
        <w:t xml:space="preserve">Autres moyens de soutenir les États membres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Les États membres disposent de plusieurs autres possibilités pour faire appel au soutien de l'UE </w:t>
      </w:r>
      <w:r>
        <w:rPr>
          <w:rFonts w:ascii="Times New Roman" w:hAnsi="Times New Roman"/>
          <w:noProof/>
          <w:sz w:val="24"/>
        </w:rPr>
        <w:t>en matière de gestion des frontières et des migrations, mais ces moyens n'ont pas encore été exploités pleinement.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Les États membres peuvent demander le déploiement d’</w:t>
      </w:r>
      <w:r>
        <w:rPr>
          <w:rFonts w:ascii="Times New Roman" w:hAnsi="Times New Roman"/>
          <w:b/>
          <w:noProof/>
          <w:sz w:val="24"/>
        </w:rPr>
        <w:t>équipes d’intervention rapide aux frontières</w:t>
      </w:r>
      <w:r>
        <w:rPr>
          <w:rFonts w:ascii="Times New Roman" w:hAnsi="Times New Roman"/>
          <w:noProof/>
          <w:sz w:val="24"/>
        </w:rPr>
        <w:t xml:space="preserve"> (RABIT), en vue de fournir l'assistance immé</w:t>
      </w:r>
      <w:r>
        <w:rPr>
          <w:rFonts w:ascii="Times New Roman" w:hAnsi="Times New Roman"/>
          <w:noProof/>
          <w:sz w:val="24"/>
        </w:rPr>
        <w:t>diate de garde-frontières en cas de pression migratoire urgente ou exceptionnelle. La Commission considère que la situation à laquelle la Grèce s'est retrouvée confrontée ces derniers mois répond parfaitement aux critères qui ont présidé à la création de c</w:t>
      </w:r>
      <w:r>
        <w:rPr>
          <w:rFonts w:ascii="Times New Roman" w:hAnsi="Times New Roman"/>
          <w:noProof/>
          <w:sz w:val="24"/>
        </w:rPr>
        <w:t>es équipes. À ce jour, ni la Grèce ni l'Italie n'ont activé ce mécanisme.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mécanisme de protection civile de l'UE</w:t>
      </w:r>
      <w:r>
        <w:rPr>
          <w:rStyle w:val="FootnoteReference"/>
          <w:rFonts w:ascii="Times New Roman" w:hAnsi="Times New Roman"/>
          <w:noProof/>
          <w:sz w:val="24"/>
        </w:rPr>
        <w:footnoteReference w:id="19"/>
      </w:r>
      <w:r>
        <w:rPr>
          <w:rFonts w:ascii="Times New Roman" w:hAnsi="Times New Roman"/>
          <w:noProof/>
          <w:sz w:val="24"/>
        </w:rPr>
        <w:t xml:space="preserve"> peut être activé par un État qui se sent dépassé par une crise. Ce mécanisme repose sur des contributions volontaires des États membres (no</w:t>
      </w:r>
      <w:r>
        <w:rPr>
          <w:rFonts w:ascii="Times New Roman" w:hAnsi="Times New Roman"/>
          <w:noProof/>
          <w:sz w:val="24"/>
        </w:rPr>
        <w:t>tamment expertise, équipements, abris et fournitures médicales). Le mois dernier, les États membres ont été invités à notifier à la Commission les moyens susceptibles d'être déployés sur-le-champ pour venir en aide aux réfugiés. Seuls huit États membres</w:t>
      </w:r>
      <w:r>
        <w:rPr>
          <w:rStyle w:val="FootnoteReference"/>
          <w:rFonts w:ascii="Times New Roman" w:hAnsi="Times New Roman"/>
          <w:noProof/>
          <w:sz w:val="24"/>
        </w:rPr>
        <w:footnoteReference w:id="20"/>
      </w:r>
      <w:r>
        <w:rPr>
          <w:rFonts w:ascii="Times New Roman" w:hAnsi="Times New Roman"/>
          <w:noProof/>
          <w:sz w:val="24"/>
        </w:rPr>
        <w:t xml:space="preserve"> o</w:t>
      </w:r>
      <w:r>
        <w:rPr>
          <w:rFonts w:ascii="Times New Roman" w:hAnsi="Times New Roman"/>
          <w:noProof/>
          <w:sz w:val="24"/>
        </w:rPr>
        <w:t xml:space="preserve">nt fait savoir qu'ils disposaient de moyens de protection civile ou d'experts - en nombres limités - qu'ils seraient prêts à déployer cette année encore en cas de demande. </w:t>
      </w:r>
      <w:r>
        <w:rPr>
          <w:rFonts w:ascii="Times New Roman" w:hAnsi="Times New Roman"/>
          <w:b/>
          <w:noProof/>
          <w:sz w:val="24"/>
        </w:rPr>
        <w:t>La Commission rappelle qu'il est nécessaire que les États membres soutiennent ce méc</w:t>
      </w:r>
      <w:r>
        <w:rPr>
          <w:rFonts w:ascii="Times New Roman" w:hAnsi="Times New Roman"/>
          <w:b/>
          <w:noProof/>
          <w:sz w:val="24"/>
        </w:rPr>
        <w:t>anisme en apportant des contributions substantielles.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En 2015, le mécanisme de protection civile de l'UE a été activé à deux reprises pour aider la Hongrie</w:t>
      </w:r>
      <w:r>
        <w:rPr>
          <w:rStyle w:val="FootnoteReference"/>
          <w:rFonts w:ascii="Times New Roman" w:hAnsi="Times New Roman"/>
          <w:noProof/>
          <w:sz w:val="24"/>
        </w:rPr>
        <w:footnoteReference w:id="21"/>
      </w:r>
      <w:r>
        <w:rPr>
          <w:rFonts w:ascii="Times New Roman" w:hAnsi="Times New Roman"/>
          <w:noProof/>
          <w:sz w:val="24"/>
        </w:rPr>
        <w:t xml:space="preserve"> et une fois pour aider la Serbie</w:t>
      </w:r>
      <w:r>
        <w:rPr>
          <w:rStyle w:val="FootnoteReference"/>
          <w:rFonts w:ascii="Times New Roman" w:hAnsi="Times New Roman"/>
          <w:noProof/>
          <w:sz w:val="24"/>
        </w:rPr>
        <w:footnoteReference w:id="22"/>
      </w:r>
      <w:r>
        <w:rPr>
          <w:rFonts w:ascii="Times New Roman" w:hAnsi="Times New Roman"/>
          <w:noProof/>
          <w:sz w:val="24"/>
        </w:rPr>
        <w:t xml:space="preserve"> à faire face aux besoins urgents découlant d'un afflux sans précé</w:t>
      </w:r>
      <w:r>
        <w:rPr>
          <w:rFonts w:ascii="Times New Roman" w:hAnsi="Times New Roman"/>
          <w:noProof/>
          <w:sz w:val="24"/>
        </w:rPr>
        <w:t xml:space="preserve">dent de réfugiés et de migrants.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Il convient également de rappeler que l'aide apportée par les États membres dans le cadre des </w:t>
      </w:r>
      <w:r>
        <w:rPr>
          <w:rFonts w:ascii="Times New Roman" w:hAnsi="Times New Roman"/>
          <w:b/>
          <w:noProof/>
          <w:sz w:val="24"/>
        </w:rPr>
        <w:t>opérations conjointes TRITON et POSEIDON de Frontex</w:t>
      </w:r>
      <w:r>
        <w:rPr>
          <w:rFonts w:ascii="Times New Roman" w:hAnsi="Times New Roman"/>
          <w:noProof/>
          <w:sz w:val="24"/>
        </w:rPr>
        <w:t xml:space="preserve"> continue de permettre de soutenir, au quotidien, la gestion des frontières e</w:t>
      </w:r>
      <w:r>
        <w:rPr>
          <w:rFonts w:ascii="Times New Roman" w:hAnsi="Times New Roman"/>
          <w:noProof/>
          <w:sz w:val="24"/>
        </w:rPr>
        <w:t>xtérieures, sauvant par la même occasion la vie à des milliers de migrants et de réfugiés. À l'heure actuelle, 17 États membres fournissent des moyens à TRITON, POSEIDON bénéficiant des moyens de 18 États membres</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Toutefois, les </w:t>
      </w:r>
      <w:r>
        <w:rPr>
          <w:rFonts w:ascii="Times New Roman" w:hAnsi="Times New Roman"/>
          <w:b/>
          <w:noProof/>
          <w:sz w:val="24"/>
        </w:rPr>
        <w:t>moyens débloqués ne permet</w:t>
      </w:r>
      <w:r>
        <w:rPr>
          <w:rFonts w:ascii="Times New Roman" w:hAnsi="Times New Roman"/>
          <w:b/>
          <w:noProof/>
          <w:sz w:val="24"/>
        </w:rPr>
        <w:t>tent toujours pas de répondre aux besoins</w:t>
      </w:r>
      <w:r>
        <w:rPr>
          <w:rFonts w:ascii="Times New Roman" w:hAnsi="Times New Roman"/>
          <w:noProof/>
          <w:sz w:val="24"/>
        </w:rPr>
        <w:t>.</w:t>
      </w:r>
    </w:p>
    <w:p w:rsidR="00AE7993" w:rsidRDefault="00AE7993">
      <w:pPr>
        <w:spacing w:line="240" w:lineRule="auto"/>
        <w:jc w:val="both"/>
        <w:rPr>
          <w:noProof/>
        </w:rPr>
      </w:pPr>
    </w:p>
    <w:tbl>
      <w:tblPr>
        <w:tblStyle w:val="TableGrid"/>
        <w:tblW w:w="0" w:type="auto"/>
        <w:tblLook w:val="04A0" w:firstRow="1" w:lastRow="0" w:firstColumn="1" w:lastColumn="0" w:noHBand="0" w:noVBand="1"/>
      </w:tblPr>
      <w:tblGrid>
        <w:gridCol w:w="1668"/>
        <w:gridCol w:w="7620"/>
      </w:tblGrid>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Progrès accomplis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Premier centre de crise opérationnel à Lampedusa (Italie).</w:t>
            </w:r>
          </w:p>
          <w:p w:rsidR="00AE7993" w:rsidRDefault="00AB549A">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Un premier centre de crise à Lesbos (Grèce) devrait être opérationnel dans les jours à venir.</w:t>
            </w:r>
          </w:p>
          <w:p w:rsidR="00AE7993" w:rsidRDefault="00AB549A">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Les relocalisations vers d'autres États m</w:t>
            </w:r>
            <w:r>
              <w:rPr>
                <w:rFonts w:ascii="Times New Roman" w:hAnsi="Times New Roman"/>
                <w:noProof/>
                <w:sz w:val="24"/>
              </w:rPr>
              <w:t>embres ont commencé.</w:t>
            </w:r>
          </w:p>
          <w:p w:rsidR="00AE7993" w:rsidRDefault="00AB549A">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Les équipes d'appui à la gestion des flux migratoires sont opérationnelles. </w:t>
            </w:r>
          </w:p>
          <w:p w:rsidR="00AE7993" w:rsidRDefault="00AB549A">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Les premières réinstallations ont eu lieu. </w:t>
            </w:r>
          </w:p>
          <w:p w:rsidR="00AE7993" w:rsidRDefault="00AB549A">
            <w:pPr>
              <w:pStyle w:val="ListParagraph"/>
              <w:numPr>
                <w:ilvl w:val="0"/>
                <w:numId w:val="1"/>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 xml:space="preserve">Frontex soutient les missions de retour. </w:t>
            </w:r>
          </w:p>
        </w:tc>
      </w:tr>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Prochaines étapes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Pagedecouverture"/>
              <w:numPr>
                <w:ilvl w:val="0"/>
                <w:numId w:val="1"/>
              </w:numPr>
              <w:spacing w:after="120"/>
              <w:ind w:left="318" w:hanging="284"/>
              <w:contextualSpacing/>
              <w:rPr>
                <w:noProof/>
                <w:szCs w:val="24"/>
              </w:rPr>
            </w:pPr>
            <w:r>
              <w:rPr>
                <w:noProof/>
              </w:rPr>
              <w:t>Six centres de crise au total seront opérationnels en</w:t>
            </w:r>
            <w:r>
              <w:rPr>
                <w:noProof/>
              </w:rPr>
              <w:t xml:space="preserve"> Italie d'ici la fin de l'année.</w:t>
            </w:r>
          </w:p>
          <w:p w:rsidR="00AE7993" w:rsidRDefault="00AB549A">
            <w:pPr>
              <w:pStyle w:val="Pagedecouverture"/>
              <w:numPr>
                <w:ilvl w:val="0"/>
                <w:numId w:val="1"/>
              </w:numPr>
              <w:spacing w:after="120"/>
              <w:ind w:left="318" w:hanging="284"/>
              <w:contextualSpacing/>
              <w:rPr>
                <w:noProof/>
                <w:szCs w:val="24"/>
              </w:rPr>
            </w:pPr>
            <w:r>
              <w:rPr>
                <w:noProof/>
              </w:rPr>
              <w:t>Cinq centres de crise au total seront opérationnels en Grèce d'ici la fin de l'année.</w:t>
            </w:r>
          </w:p>
          <w:p w:rsidR="00AE7993" w:rsidRDefault="00AB549A">
            <w:pPr>
              <w:pStyle w:val="Pagedecouverture"/>
              <w:numPr>
                <w:ilvl w:val="0"/>
                <w:numId w:val="1"/>
              </w:numPr>
              <w:spacing w:after="120"/>
              <w:ind w:left="318" w:hanging="284"/>
              <w:contextualSpacing/>
              <w:rPr>
                <w:noProof/>
                <w:szCs w:val="24"/>
              </w:rPr>
            </w:pPr>
            <w:r>
              <w:rPr>
                <w:noProof/>
              </w:rPr>
              <w:t>Les États membres doivent répondre aux demandes en experts et en équipements pour aider les équipes d'appui à la gestion des flux migrato</w:t>
            </w:r>
            <w:r>
              <w:rPr>
                <w:noProof/>
              </w:rPr>
              <w:t>ires en vue de leur déploiement intégral.</w:t>
            </w:r>
          </w:p>
          <w:p w:rsidR="00AE7993" w:rsidRDefault="00AB549A">
            <w:pPr>
              <w:pStyle w:val="Pagedecouverture"/>
              <w:numPr>
                <w:ilvl w:val="0"/>
                <w:numId w:val="1"/>
              </w:numPr>
              <w:ind w:left="317" w:hanging="284"/>
              <w:contextualSpacing/>
              <w:rPr>
                <w:noProof/>
                <w:szCs w:val="24"/>
              </w:rPr>
            </w:pPr>
            <w:r>
              <w:rPr>
                <w:noProof/>
              </w:rPr>
              <w:t>Les États membres doivent notifier le nombre de places qu'ils mettront à disposition à des fins de relocalisation et de réinstallation, ainsi que préciser leurs capacités d'accueil.</w:t>
            </w:r>
          </w:p>
          <w:p w:rsidR="00AE7993" w:rsidRDefault="00AB549A">
            <w:pPr>
              <w:pStyle w:val="ListParagraph"/>
              <w:numPr>
                <w:ilvl w:val="0"/>
                <w:numId w:val="1"/>
              </w:numPr>
              <w:ind w:left="317" w:hanging="284"/>
              <w:contextualSpacing/>
              <w:rPr>
                <w:rFonts w:ascii="Times New Roman" w:hAnsi="Times New Roman" w:cs="Times New Roman"/>
                <w:noProof/>
                <w:sz w:val="24"/>
                <w:szCs w:val="24"/>
              </w:rPr>
            </w:pPr>
            <w:r>
              <w:rPr>
                <w:rFonts w:ascii="Times New Roman" w:hAnsi="Times New Roman"/>
                <w:noProof/>
                <w:sz w:val="24"/>
              </w:rPr>
              <w:t xml:space="preserve">Les retours vers le Pakistan au </w:t>
            </w:r>
            <w:r>
              <w:rPr>
                <w:rFonts w:ascii="Times New Roman" w:hAnsi="Times New Roman"/>
                <w:noProof/>
                <w:sz w:val="24"/>
              </w:rPr>
              <w:t>départ de la Grèce doivent reprendre.</w:t>
            </w:r>
          </w:p>
          <w:p w:rsidR="00AE7993" w:rsidRDefault="00AB549A">
            <w:pPr>
              <w:pStyle w:val="ListParagraph"/>
              <w:numPr>
                <w:ilvl w:val="0"/>
                <w:numId w:val="1"/>
              </w:numPr>
              <w:spacing w:after="120"/>
              <w:ind w:left="318" w:hanging="284"/>
              <w:contextualSpacing/>
              <w:rPr>
                <w:rFonts w:ascii="Times New Roman" w:hAnsi="Times New Roman" w:cs="Times New Roman"/>
                <w:noProof/>
                <w:sz w:val="24"/>
                <w:szCs w:val="24"/>
              </w:rPr>
            </w:pPr>
            <w:r>
              <w:rPr>
                <w:rFonts w:ascii="Times New Roman" w:hAnsi="Times New Roman"/>
                <w:noProof/>
                <w:sz w:val="24"/>
              </w:rPr>
              <w:t>Les États membres doivent fournir des ressources adéquates en faveur des opérations conjointes TRITON et POSEIDON de Frontex.</w:t>
            </w:r>
          </w:p>
        </w:tc>
      </w:tr>
    </w:tbl>
    <w:p w:rsidR="00AE7993" w:rsidRDefault="00AB549A">
      <w:pPr>
        <w:pStyle w:val="ManualHeading1"/>
        <w:spacing w:before="240" w:after="200"/>
        <w:ind w:left="851" w:hanging="851"/>
        <w:rPr>
          <w:noProof/>
          <w:szCs w:val="24"/>
        </w:rPr>
      </w:pPr>
      <w:r>
        <w:rPr>
          <w:noProof/>
        </w:rPr>
        <w:t xml:space="preserve">III. </w:t>
      </w:r>
      <w:r>
        <w:rPr>
          <w:noProof/>
        </w:rPr>
        <w:tab/>
        <w:t>Soutien budgétaire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Il y a trois semaines, la Commission s'est engagée à renforcer son aide financière immédiatement. Depuis, elle a proposé des budgets rectificatifs afin d'accroître les ressources financières consacrées à la gestion de la crise des réfugiés, et ce d'un mont</w:t>
      </w:r>
      <w:r>
        <w:rPr>
          <w:rFonts w:ascii="Times New Roman" w:hAnsi="Times New Roman"/>
          <w:noProof/>
          <w:sz w:val="24"/>
        </w:rPr>
        <w:t xml:space="preserve">ant supplémentaire de </w:t>
      </w:r>
      <w:r>
        <w:rPr>
          <w:rFonts w:ascii="Times New Roman" w:hAnsi="Times New Roman"/>
          <w:b/>
          <w:noProof/>
          <w:sz w:val="24"/>
        </w:rPr>
        <w:t>1,7 milliard d'euros pour 2015 et 2016</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Cette somme inclut:</w:t>
      </w:r>
    </w:p>
    <w:p w:rsidR="00AE7993" w:rsidRDefault="00AB549A">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une aide d'urgence supplémentaire pour 2015 déjà, au titre du Fonds «Asile, migration et intégration» et du Fonds pour la sécurité intérieure - Frontières (100 millions d'eur</w:t>
      </w:r>
      <w:r>
        <w:rPr>
          <w:rFonts w:ascii="Times New Roman" w:hAnsi="Times New Roman"/>
          <w:noProof/>
          <w:sz w:val="24"/>
        </w:rPr>
        <w:t xml:space="preserve">os) (voir annexe 8); </w:t>
      </w:r>
    </w:p>
    <w:p w:rsidR="00AE7993" w:rsidRDefault="00AB549A">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le renforcement des trois agences clés, qui se verront attribuer 120 postes supplémentaires (60 pour FRONTEX, 30 pour l'EASO et 30 pour EUROPOL);</w:t>
      </w:r>
    </w:p>
    <w:p w:rsidR="00AE7993" w:rsidRDefault="00AB549A">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des fonds supplémentaires pour l'instrument européen de voisinage (300 millions d'euros)</w:t>
      </w:r>
      <w:r>
        <w:rPr>
          <w:rFonts w:ascii="Times New Roman" w:hAnsi="Times New Roman"/>
          <w:noProof/>
          <w:sz w:val="24"/>
        </w:rPr>
        <w:t xml:space="preserve"> et le redéploiement d'autres fonds de l'UE de sorte que le Fonds d'affectation spéciale de l'UE pour la Syrie puisse atteindre au moins 500 millions d'euros cette année;</w:t>
      </w:r>
    </w:p>
    <w:p w:rsidR="00AE7993" w:rsidRDefault="00AB549A">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une augmentation des fonds en faveur de l'aide humanitaire de  500 millions d'euros (</w:t>
      </w:r>
      <w:r>
        <w:rPr>
          <w:rFonts w:ascii="Times New Roman" w:hAnsi="Times New Roman"/>
          <w:noProof/>
          <w:sz w:val="24"/>
        </w:rPr>
        <w:t>200 millions d'euros en 2015 et 300 millions d'euros en 2016) afin d'aider directement les réfugiés, notamment dans le cadre du HCR, du Programme alimentaire mondial et d'autres organisations actives dans le domaine pour subvenir aux besoins essentiels des</w:t>
      </w:r>
      <w:r>
        <w:rPr>
          <w:rFonts w:ascii="Times New Roman" w:hAnsi="Times New Roman"/>
          <w:noProof/>
          <w:sz w:val="24"/>
        </w:rPr>
        <w:t xml:space="preserve"> réfugiés, tels que nourriture et logement;</w:t>
      </w:r>
    </w:p>
    <w:p w:rsidR="00AE7993" w:rsidRDefault="00AB549A">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des engagements supplémentaires pour 2016, d'un montant de 600 millions d'euros, en vue d'accroître les fonds d'urgence alloués aux questions migratoires (94 millions d'euros), de soutenir l'ensemble de mesures d</w:t>
      </w:r>
      <w:r>
        <w:rPr>
          <w:rFonts w:ascii="Times New Roman" w:hAnsi="Times New Roman"/>
          <w:noProof/>
          <w:sz w:val="24"/>
        </w:rPr>
        <w:t>e relocalisation (110 millions d'euros), l'accroissement des ressources humaines et financières pour FRONTEX, l'EASO et EUROPOL (environ 86 millions d'euros pour apporter une aide aux retours et dans les zones de crise, de même que pour renforcer les agenc</w:t>
      </w:r>
      <w:r>
        <w:rPr>
          <w:rFonts w:ascii="Times New Roman" w:hAnsi="Times New Roman"/>
          <w:noProof/>
          <w:sz w:val="24"/>
        </w:rPr>
        <w:t>es), et l'octroi de fonds supplémentaires pour aider les États membres les plus touchés par la crise des réfugiés (310 millions d'euros).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Au total, cela signifie que les fonds disponibles pour la gestion de la crise des réfugiés s'élèveront à </w:t>
      </w:r>
      <w:r>
        <w:rPr>
          <w:rFonts w:ascii="Times New Roman" w:hAnsi="Times New Roman"/>
          <w:b/>
          <w:noProof/>
          <w:sz w:val="24"/>
        </w:rPr>
        <w:t>9,2 milliards</w:t>
      </w:r>
      <w:r>
        <w:rPr>
          <w:rFonts w:ascii="Times New Roman" w:hAnsi="Times New Roman"/>
          <w:b/>
          <w:noProof/>
          <w:sz w:val="24"/>
        </w:rPr>
        <w:t xml:space="preserve"> d'euros en 2015 et 2016</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Le Parlement européen et le Conseil ont agi promptement rapidement pour adopter les modifications au budget 2015. La Commission a désormais adopté les modifications au budget 2016 et </w:t>
      </w:r>
      <w:r>
        <w:rPr>
          <w:rFonts w:ascii="Times New Roman" w:hAnsi="Times New Roman"/>
          <w:b/>
          <w:noProof/>
          <w:sz w:val="24"/>
        </w:rPr>
        <w:t xml:space="preserve">invite l'autorité budgétaire à s'engager de la </w:t>
      </w:r>
      <w:r>
        <w:rPr>
          <w:rFonts w:ascii="Times New Roman" w:hAnsi="Times New Roman"/>
          <w:b/>
          <w:noProof/>
          <w:sz w:val="24"/>
        </w:rPr>
        <w:t>même manière à accélérer la procédure budgétaire 2016</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Il est fondamental que les États membres débloquent maintenant des fonds sur leurs budgets afin de renforcer l'effort européen global, en plus de cette hausse considérable des dépenses relatives aux qu</w:t>
      </w:r>
      <w:r>
        <w:rPr>
          <w:rFonts w:ascii="Times New Roman" w:hAnsi="Times New Roman"/>
          <w:noProof/>
          <w:sz w:val="24"/>
        </w:rPr>
        <w:t xml:space="preserve">estions migratoires auxquelles l'Union européenne consent sur son budget. Les chefs d'État ou de gouvernement ont reconnu cet état de fait le 23 septembre dernier, lorsqu'ils ont souligné la nécessité que </w:t>
      </w:r>
      <w:r>
        <w:rPr>
          <w:rFonts w:ascii="Times New Roman" w:hAnsi="Times New Roman"/>
          <w:b/>
          <w:noProof/>
          <w:sz w:val="24"/>
        </w:rPr>
        <w:t xml:space="preserve">les États membres apportent leurs contributions de </w:t>
      </w:r>
      <w:r>
        <w:rPr>
          <w:rFonts w:ascii="Times New Roman" w:hAnsi="Times New Roman"/>
          <w:b/>
          <w:noProof/>
          <w:sz w:val="24"/>
        </w:rPr>
        <w:t>manière à égaler le financement de l'UE</w:t>
      </w:r>
      <w:r>
        <w:rPr>
          <w:rFonts w:ascii="Times New Roman" w:hAnsi="Times New Roman"/>
          <w:noProof/>
          <w:sz w:val="24"/>
        </w:rPr>
        <w:t xml:space="preserve"> dans le cadre des efforts visant à:</w:t>
      </w:r>
    </w:p>
    <w:p w:rsidR="00AE7993" w:rsidRDefault="00AB549A">
      <w:pPr>
        <w:pStyle w:val="ListParagraph"/>
        <w:numPr>
          <w:ilvl w:val="0"/>
          <w:numId w:val="5"/>
        </w:numPr>
        <w:spacing w:after="200"/>
        <w:ind w:left="567"/>
        <w:jc w:val="both"/>
        <w:rPr>
          <w:rFonts w:ascii="Times New Roman" w:hAnsi="Times New Roman" w:cs="Times New Roman"/>
          <w:noProof/>
          <w:sz w:val="24"/>
          <w:szCs w:val="24"/>
        </w:rPr>
      </w:pPr>
      <w:r>
        <w:rPr>
          <w:rFonts w:ascii="Times New Roman" w:hAnsi="Times New Roman"/>
          <w:noProof/>
          <w:sz w:val="24"/>
        </w:rPr>
        <w:t xml:space="preserve">Répondre aux besoins urgents des réfugiés en aidant </w:t>
      </w:r>
      <w:r>
        <w:rPr>
          <w:rFonts w:ascii="Times New Roman" w:hAnsi="Times New Roman"/>
          <w:b/>
          <w:noProof/>
          <w:sz w:val="24"/>
        </w:rPr>
        <w:t>le Haut Commissariat des Nations unies pour les réfugiés, le Programme alimentaire mondial</w:t>
      </w:r>
      <w:r>
        <w:rPr>
          <w:rStyle w:val="FootnoteReference"/>
          <w:rFonts w:ascii="Times New Roman" w:hAnsi="Times New Roman"/>
          <w:noProof/>
          <w:sz w:val="24"/>
        </w:rPr>
        <w:footnoteReference w:id="24"/>
      </w:r>
      <w:r>
        <w:rPr>
          <w:rFonts w:ascii="Times New Roman" w:hAnsi="Times New Roman"/>
          <w:b/>
          <w:noProof/>
          <w:sz w:val="24"/>
        </w:rPr>
        <w:t xml:space="preserve"> et d'autres organismes</w:t>
      </w:r>
      <w:r>
        <w:rPr>
          <w:rFonts w:ascii="Times New Roman" w:hAnsi="Times New Roman"/>
          <w:noProof/>
          <w:sz w:val="24"/>
        </w:rPr>
        <w:t xml:space="preserve"> à hauteur d'u</w:t>
      </w:r>
      <w:r>
        <w:rPr>
          <w:rFonts w:ascii="Times New Roman" w:hAnsi="Times New Roman"/>
          <w:noProof/>
          <w:sz w:val="24"/>
        </w:rPr>
        <w:t xml:space="preserve">n milliard d'euros supplémentaire au moins; 200 millions d'euros de soutien supplémentaire étant alloués sur le budget de l'UE cette année et 300 millions l'année prochaine, les États membres sont appelés à s'engager à hauteur de 500 millions d'euros.   </w:t>
      </w:r>
    </w:p>
    <w:p w:rsidR="00AE7993" w:rsidRDefault="00AB549A">
      <w:pPr>
        <w:spacing w:line="240" w:lineRule="auto"/>
        <w:ind w:left="567"/>
        <w:jc w:val="both"/>
        <w:rPr>
          <w:rFonts w:ascii="Times New Roman" w:hAnsi="Times New Roman" w:cs="Times New Roman"/>
          <w:noProof/>
          <w:sz w:val="24"/>
          <w:szCs w:val="24"/>
        </w:rPr>
      </w:pPr>
      <w:r>
        <w:rPr>
          <w:rFonts w:ascii="Times New Roman" w:hAnsi="Times New Roman"/>
          <w:noProof/>
          <w:sz w:val="24"/>
        </w:rPr>
        <w:t>D</w:t>
      </w:r>
      <w:r>
        <w:rPr>
          <w:rFonts w:ascii="Times New Roman" w:hAnsi="Times New Roman"/>
          <w:noProof/>
          <w:sz w:val="24"/>
        </w:rPr>
        <w:t>epuis le 23 septembre, dix États membres</w:t>
      </w:r>
      <w:r>
        <w:rPr>
          <w:rStyle w:val="FootnoteReference"/>
          <w:rFonts w:ascii="Times New Roman" w:hAnsi="Times New Roman"/>
          <w:noProof/>
          <w:sz w:val="24"/>
        </w:rPr>
        <w:footnoteReference w:id="25"/>
      </w:r>
      <w:r>
        <w:rPr>
          <w:rFonts w:ascii="Times New Roman" w:hAnsi="Times New Roman"/>
          <w:noProof/>
          <w:sz w:val="24"/>
        </w:rPr>
        <w:t xml:space="preserve"> se sont engagés à apporter une contribution supplémentaire, pour un montant avoisinant 275 millions d'euros au total. Cependant, en réalité, plus de 80 % de ce montant a été promis par seulement deux États membres,</w:t>
      </w:r>
      <w:r>
        <w:rPr>
          <w:rFonts w:ascii="Times New Roman" w:hAnsi="Times New Roman"/>
          <w:noProof/>
          <w:sz w:val="24"/>
        </w:rPr>
        <w:t xml:space="preserve"> le Royaume-Uni et l'Allemagne. </w:t>
      </w:r>
      <w:r>
        <w:rPr>
          <w:rFonts w:ascii="Times New Roman" w:hAnsi="Times New Roman"/>
          <w:b/>
          <w:noProof/>
          <w:sz w:val="24"/>
        </w:rPr>
        <w:t>Il reste donc un manque à combler de 225 millions d'euros.</w:t>
      </w:r>
    </w:p>
    <w:p w:rsidR="00AE7993" w:rsidRDefault="00AB549A">
      <w:pPr>
        <w:pStyle w:val="ListParagraph"/>
        <w:numPr>
          <w:ilvl w:val="0"/>
          <w:numId w:val="6"/>
        </w:numPr>
        <w:spacing w:after="200"/>
        <w:ind w:left="567"/>
        <w:jc w:val="both"/>
        <w:rPr>
          <w:rFonts w:ascii="Times New Roman" w:hAnsi="Times New Roman" w:cs="Times New Roman"/>
          <w:noProof/>
          <w:sz w:val="24"/>
          <w:szCs w:val="24"/>
        </w:rPr>
      </w:pPr>
      <w:r>
        <w:rPr>
          <w:rFonts w:ascii="Times New Roman" w:hAnsi="Times New Roman"/>
          <w:noProof/>
          <w:sz w:val="24"/>
        </w:rPr>
        <w:t xml:space="preserve">Soutenir une hausse considérable des moyens alloués au </w:t>
      </w:r>
      <w:r>
        <w:rPr>
          <w:rFonts w:ascii="Times New Roman" w:hAnsi="Times New Roman"/>
          <w:b/>
          <w:noProof/>
          <w:sz w:val="24"/>
        </w:rPr>
        <w:t>Fonds régional d'affectation spéciale de l'UE en réponse à la crise syrienne</w:t>
      </w:r>
      <w:r>
        <w:rPr>
          <w:rFonts w:ascii="Times New Roman" w:hAnsi="Times New Roman"/>
          <w:noProof/>
          <w:sz w:val="24"/>
        </w:rPr>
        <w:t xml:space="preserve">. La Commission appelle les États membres à égaler les 500 millions d'euros affectés sur le budget de l'UE. </w:t>
      </w:r>
    </w:p>
    <w:p w:rsidR="00AE7993" w:rsidRDefault="00AB549A">
      <w:pPr>
        <w:spacing w:line="240" w:lineRule="auto"/>
        <w:ind w:left="567"/>
        <w:jc w:val="both"/>
        <w:rPr>
          <w:rFonts w:ascii="Times New Roman" w:hAnsi="Times New Roman" w:cs="Times New Roman"/>
          <w:noProof/>
          <w:sz w:val="24"/>
          <w:szCs w:val="24"/>
        </w:rPr>
      </w:pPr>
      <w:r>
        <w:rPr>
          <w:rFonts w:ascii="Times New Roman" w:hAnsi="Times New Roman"/>
          <w:noProof/>
          <w:sz w:val="24"/>
        </w:rPr>
        <w:t>Toutefois, bien que la Syrie soit au cœur de la crise actuelle et que ce fonds constitue un outil de mise en œuvre souple et rapide, la réponse des</w:t>
      </w:r>
      <w:r>
        <w:rPr>
          <w:rFonts w:ascii="Times New Roman" w:hAnsi="Times New Roman"/>
          <w:noProof/>
          <w:sz w:val="24"/>
        </w:rPr>
        <w:t xml:space="preserve"> États membres aux demandes de contribution est à ce jour très faible, seuls deux d'entre eux s'étant engagés, l'Italie pour 3 millions d'euros et l'Allemagne pour 5 millions d'euros, </w:t>
      </w:r>
      <w:r>
        <w:rPr>
          <w:rFonts w:ascii="Times New Roman" w:hAnsi="Times New Roman"/>
          <w:b/>
          <w:noProof/>
          <w:sz w:val="24"/>
        </w:rPr>
        <w:t>ce qui laisse un manque de ressources financières de  492 millions d'eur</w:t>
      </w:r>
      <w:r>
        <w:rPr>
          <w:rFonts w:ascii="Times New Roman" w:hAnsi="Times New Roman"/>
          <w:b/>
          <w:noProof/>
          <w:sz w:val="24"/>
        </w:rPr>
        <w:t>os, soit la quasi</w:t>
      </w:r>
      <w:r>
        <w:rPr>
          <w:noProof/>
        </w:rPr>
        <w:noBreakHyphen/>
      </w:r>
      <w:r>
        <w:rPr>
          <w:rFonts w:ascii="Times New Roman" w:hAnsi="Times New Roman"/>
          <w:b/>
          <w:noProof/>
          <w:sz w:val="24"/>
        </w:rPr>
        <w:t>totalité.</w:t>
      </w:r>
    </w:p>
    <w:p w:rsidR="00AE7993" w:rsidRDefault="00AB549A">
      <w:pPr>
        <w:pStyle w:val="ListParagraph"/>
        <w:numPr>
          <w:ilvl w:val="0"/>
          <w:numId w:val="5"/>
        </w:numPr>
        <w:spacing w:after="200"/>
        <w:ind w:left="567"/>
        <w:jc w:val="both"/>
        <w:rPr>
          <w:rFonts w:ascii="Times New Roman" w:hAnsi="Times New Roman" w:cs="Times New Roman"/>
          <w:noProof/>
          <w:sz w:val="24"/>
          <w:szCs w:val="24"/>
        </w:rPr>
      </w:pPr>
      <w:r>
        <w:rPr>
          <w:rFonts w:ascii="Times New Roman" w:hAnsi="Times New Roman"/>
          <w:noProof/>
          <w:sz w:val="24"/>
        </w:rPr>
        <w:t xml:space="preserve">Soutenir, par des contributions nationales, le </w:t>
      </w:r>
      <w:r>
        <w:rPr>
          <w:rFonts w:ascii="Times New Roman" w:hAnsi="Times New Roman"/>
          <w:b/>
          <w:noProof/>
          <w:sz w:val="24"/>
        </w:rPr>
        <w:t>Fonds fiduciaire d’urgence de l’Union européenne en faveur de la stabilité et de la lutte contre les causes profondes de la migration irrégulière et du phénomène des personnes dépla</w:t>
      </w:r>
      <w:r>
        <w:rPr>
          <w:rFonts w:ascii="Times New Roman" w:hAnsi="Times New Roman"/>
          <w:b/>
          <w:noProof/>
          <w:sz w:val="24"/>
        </w:rPr>
        <w:t>cées en Afrique</w:t>
      </w:r>
      <w:r>
        <w:rPr>
          <w:rFonts w:ascii="Times New Roman" w:hAnsi="Times New Roman"/>
          <w:noProof/>
          <w:sz w:val="24"/>
        </w:rPr>
        <w:t>. La Commission estime que les contributions nationales devraient égaler le financement de l'UE, qui atteint 1,8 milliard d'euros. Une fois de plus, le soutien engagé à ce jour est négligeable, seuls trois États membres, Luxembourg, Allemagn</w:t>
      </w:r>
      <w:r>
        <w:rPr>
          <w:rFonts w:ascii="Times New Roman" w:hAnsi="Times New Roman"/>
          <w:noProof/>
          <w:sz w:val="24"/>
        </w:rPr>
        <w:t>e et Espagne, ayant actuellement promis 3 millions d'euros chacun. Six États membres</w:t>
      </w:r>
      <w:r>
        <w:rPr>
          <w:rStyle w:val="FootnoteReference"/>
          <w:rFonts w:ascii="Times New Roman" w:hAnsi="Times New Roman"/>
          <w:noProof/>
          <w:sz w:val="24"/>
        </w:rPr>
        <w:footnoteReference w:id="26"/>
      </w:r>
      <w:r>
        <w:rPr>
          <w:rFonts w:ascii="Times New Roman" w:hAnsi="Times New Roman"/>
          <w:noProof/>
          <w:sz w:val="24"/>
        </w:rPr>
        <w:t xml:space="preserve"> ont confirmé de manière informelle leurs contributions,  sans toutefois en préciser clairement le montant. Quatre autres</w:t>
      </w:r>
      <w:r>
        <w:rPr>
          <w:rStyle w:val="FootnoteReference"/>
          <w:rFonts w:ascii="Times New Roman" w:hAnsi="Times New Roman"/>
          <w:noProof/>
          <w:sz w:val="24"/>
        </w:rPr>
        <w:footnoteReference w:id="27"/>
      </w:r>
      <w:r>
        <w:rPr>
          <w:rFonts w:ascii="Times New Roman" w:hAnsi="Times New Roman"/>
          <w:noProof/>
          <w:sz w:val="24"/>
        </w:rPr>
        <w:t xml:space="preserve"> ont déclaré qu'il était «très probable» qu'ils c</w:t>
      </w:r>
      <w:r>
        <w:rPr>
          <w:rFonts w:ascii="Times New Roman" w:hAnsi="Times New Roman"/>
          <w:noProof/>
          <w:sz w:val="24"/>
        </w:rPr>
        <w:t>ontribuent et quatre autres</w:t>
      </w:r>
      <w:r>
        <w:rPr>
          <w:rStyle w:val="FootnoteReference"/>
          <w:rFonts w:ascii="Times New Roman" w:hAnsi="Times New Roman"/>
          <w:noProof/>
          <w:sz w:val="24"/>
        </w:rPr>
        <w:footnoteReference w:id="28"/>
      </w:r>
      <w:r>
        <w:rPr>
          <w:rFonts w:ascii="Times New Roman" w:hAnsi="Times New Roman"/>
          <w:noProof/>
          <w:sz w:val="24"/>
        </w:rPr>
        <w:t xml:space="preserve"> y réfléchissent toujours. Deux pays tiers</w:t>
      </w:r>
      <w:r>
        <w:rPr>
          <w:rStyle w:val="FootnoteReference"/>
          <w:rFonts w:ascii="Times New Roman" w:hAnsi="Times New Roman"/>
          <w:noProof/>
          <w:sz w:val="24"/>
        </w:rPr>
        <w:footnoteReference w:id="29"/>
      </w:r>
      <w:r>
        <w:rPr>
          <w:rFonts w:ascii="Times New Roman" w:hAnsi="Times New Roman"/>
          <w:noProof/>
          <w:sz w:val="24"/>
        </w:rPr>
        <w:t xml:space="preserve"> ont laissé entendre de manière informelle qu'ils pourraient promettre quelque 9 millions d'euros au total. </w:t>
      </w:r>
      <w:r>
        <w:rPr>
          <w:rFonts w:ascii="Times New Roman" w:hAnsi="Times New Roman"/>
          <w:b/>
          <w:noProof/>
          <w:sz w:val="24"/>
        </w:rPr>
        <w:t>Il manque donc la somme énorme de 1 791 millions d'euros.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b/>
          <w:noProof/>
          <w:sz w:val="24"/>
        </w:rPr>
        <w:t>Les ressources fina</w:t>
      </w:r>
      <w:r>
        <w:rPr>
          <w:rFonts w:ascii="Times New Roman" w:hAnsi="Times New Roman"/>
          <w:b/>
          <w:noProof/>
          <w:sz w:val="24"/>
        </w:rPr>
        <w:t xml:space="preserve">ncières constituent un outil indispensable de l'arsenal dont nous disposons pour à la fois soulager la détresse actuelle des réfugiés et commencer à nous atteler aux causes profondes. Il est impératif que le fossé entre les besoins recensés par le Conseil </w:t>
      </w:r>
      <w:r>
        <w:rPr>
          <w:rFonts w:ascii="Times New Roman" w:hAnsi="Times New Roman"/>
          <w:b/>
          <w:noProof/>
          <w:sz w:val="24"/>
        </w:rPr>
        <w:t xml:space="preserve">européen et les engagements concrets de seulement quelques États membres soit rapidement comblé </w:t>
      </w:r>
      <w:r>
        <w:rPr>
          <w:rFonts w:ascii="Times New Roman" w:hAnsi="Times New Roman"/>
          <w:noProof/>
          <w:sz w:val="24"/>
        </w:rPr>
        <w:t>(voir annexe 7).</w:t>
      </w:r>
    </w:p>
    <w:p w:rsidR="00AE7993" w:rsidRDefault="00AE7993">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668"/>
        <w:gridCol w:w="7620"/>
      </w:tblGrid>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Progrès accomplis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Adoption par le Parlement européen et le Conseil de la mobilisation de 800 millions d'euros supplémentaires pour soutenir </w:t>
            </w:r>
            <w:r>
              <w:rPr>
                <w:rFonts w:ascii="Times New Roman" w:hAnsi="Times New Roman"/>
                <w:noProof/>
                <w:sz w:val="24"/>
              </w:rPr>
              <w:t>les politiques des réfugiés et des questions migratoires en 2015, conformément à la proposition de la Commission.</w:t>
            </w:r>
          </w:p>
          <w:p w:rsidR="00AE7993" w:rsidRDefault="00AB549A">
            <w:pPr>
              <w:pStyle w:val="FooterCoverPage"/>
              <w:numPr>
                <w:ilvl w:val="0"/>
                <w:numId w:val="1"/>
              </w:numPr>
              <w:tabs>
                <w:tab w:val="clear" w:pos="4535"/>
                <w:tab w:val="clear" w:pos="9071"/>
                <w:tab w:val="clear" w:pos="9921"/>
              </w:tabs>
              <w:spacing w:before="0" w:after="120"/>
              <w:ind w:left="318" w:right="0" w:hanging="284"/>
              <w:contextualSpacing/>
              <w:jc w:val="both"/>
              <w:rPr>
                <w:noProof/>
                <w:szCs w:val="24"/>
              </w:rPr>
            </w:pPr>
            <w:r>
              <w:rPr>
                <w:noProof/>
              </w:rPr>
              <w:t>Autre mobilisation de 900 millions d'euros supplémentaires pour 2016 actuellement examinée par l'autorité budgétaire</w:t>
            </w:r>
          </w:p>
        </w:tc>
      </w:tr>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Prochaines étapes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Pagedecouverture"/>
              <w:numPr>
                <w:ilvl w:val="0"/>
                <w:numId w:val="1"/>
              </w:numPr>
              <w:ind w:left="317" w:hanging="284"/>
              <w:contextualSpacing/>
              <w:rPr>
                <w:noProof/>
                <w:szCs w:val="24"/>
              </w:rPr>
            </w:pPr>
            <w:r>
              <w:rPr>
                <w:noProof/>
              </w:rPr>
              <w:t>Le Par</w:t>
            </w:r>
            <w:r>
              <w:rPr>
                <w:noProof/>
              </w:rPr>
              <w:t>lement européen et le Conseil devraient adopter les modifications au budget 2016, conformément à la proposition de la Commission.</w:t>
            </w:r>
          </w:p>
          <w:p w:rsidR="00AE7993" w:rsidRDefault="00AB549A">
            <w:pPr>
              <w:pStyle w:val="Pagedecouverture"/>
              <w:numPr>
                <w:ilvl w:val="0"/>
                <w:numId w:val="1"/>
              </w:numPr>
              <w:ind w:left="317" w:hanging="284"/>
              <w:contextualSpacing/>
              <w:rPr>
                <w:noProof/>
                <w:szCs w:val="24"/>
              </w:rPr>
            </w:pPr>
            <w:r>
              <w:rPr>
                <w:noProof/>
              </w:rPr>
              <w:t>Les États membres doivent concrétiser l'engagement de 500 millions d'euros en appui de l'aide humanitaire en faveur des réfugi</w:t>
            </w:r>
            <w:r>
              <w:rPr>
                <w:noProof/>
              </w:rPr>
              <w:t xml:space="preserve">és pour atteindre 1 milliard d'euros. </w:t>
            </w:r>
          </w:p>
          <w:p w:rsidR="00AE7993" w:rsidRDefault="00AB549A">
            <w:pPr>
              <w:pStyle w:val="Pagedecouverture"/>
              <w:numPr>
                <w:ilvl w:val="0"/>
                <w:numId w:val="1"/>
              </w:numPr>
              <w:spacing w:after="120"/>
              <w:ind w:left="318" w:hanging="284"/>
              <w:contextualSpacing/>
              <w:rPr>
                <w:noProof/>
                <w:szCs w:val="24"/>
              </w:rPr>
            </w:pPr>
            <w:r>
              <w:rPr>
                <w:noProof/>
              </w:rPr>
              <w:t>Les États membres doivent égaler les 500 millions d'euros de fonds dégagés sur le budget de l'UE en faveur du Fonds régional d'affectation spéciale de l'UE en réponse à la crise syrienne et les 1,8 milliard d'euros de</w:t>
            </w:r>
            <w:r>
              <w:rPr>
                <w:noProof/>
              </w:rPr>
              <w:t xml:space="preserve"> fonds de l'UE en faveur du Fonds d'affectation spéciale de l'UE pour l'Afrique. </w:t>
            </w:r>
          </w:p>
        </w:tc>
      </w:tr>
    </w:tbl>
    <w:p w:rsidR="00AE7993" w:rsidRDefault="00AE7993">
      <w:pPr>
        <w:spacing w:after="0" w:line="240" w:lineRule="auto"/>
        <w:jc w:val="both"/>
        <w:rPr>
          <w:rFonts w:ascii="Times New Roman" w:hAnsi="Times New Roman" w:cs="Times New Roman"/>
          <w:noProof/>
          <w:sz w:val="24"/>
          <w:szCs w:val="24"/>
        </w:rPr>
      </w:pPr>
    </w:p>
    <w:p w:rsidR="00AE7993" w:rsidRDefault="00AB549A">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ce contexte, des questions se sont posées au sujet du traitement, </w:t>
      </w:r>
      <w:r>
        <w:rPr>
          <w:rFonts w:ascii="Times New Roman" w:hAnsi="Times New Roman"/>
          <w:b/>
          <w:noProof/>
          <w:sz w:val="24"/>
        </w:rPr>
        <w:t>dans le cadre du pacte de stabilité et de croissance</w:t>
      </w:r>
      <w:r>
        <w:rPr>
          <w:rFonts w:ascii="Times New Roman" w:hAnsi="Times New Roman"/>
          <w:noProof/>
          <w:sz w:val="24"/>
        </w:rPr>
        <w:t>, des dépenses engagées pour gérer la crise des réfugiés. La Commission a confirmé que si elle était saisie d'une demande spécifique d'un État membre, elle examinerait si et comment ce traitement pourrait être concilié avec les règles du pacte de stabilité</w:t>
      </w:r>
      <w:r>
        <w:rPr>
          <w:rFonts w:ascii="Times New Roman" w:hAnsi="Times New Roman"/>
          <w:noProof/>
          <w:sz w:val="24"/>
        </w:rPr>
        <w:t xml:space="preserve"> et de croissance en vigueur. Ceci inclut la flexibilité ancrée dans le pacte afin de réagir aux circonstances imprévues et inhabituelles.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Cette évaluation devrait être effectuée au cas par cas dans le cadre de l'analyse des documents budgétaires nationau</w:t>
      </w:r>
      <w:r>
        <w:rPr>
          <w:rFonts w:ascii="Times New Roman" w:hAnsi="Times New Roman"/>
          <w:noProof/>
          <w:sz w:val="24"/>
        </w:rPr>
        <w:t>x. Elle devrait reposer sur des éléments attestant des coûts nets occasionnés, conformément à la méthode convenue pour l'application du pacte.</w:t>
      </w:r>
    </w:p>
    <w:p w:rsidR="00AE7993" w:rsidRDefault="00AB549A">
      <w:pPr>
        <w:pStyle w:val="ManualHeading1"/>
        <w:spacing w:before="240" w:after="200"/>
        <w:ind w:left="851" w:hanging="851"/>
        <w:rPr>
          <w:noProof/>
          <w:szCs w:val="24"/>
        </w:rPr>
      </w:pPr>
      <w:r>
        <w:rPr>
          <w:noProof/>
        </w:rPr>
        <w:t xml:space="preserve">IV. </w:t>
      </w:r>
      <w:r>
        <w:rPr>
          <w:noProof/>
        </w:rPr>
        <w:tab/>
        <w:t>Mise en œuvre du droit de l'Union européenne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 régime d'asile européen commun consiste à aider les migrants ayant besoin d’une protection internationale et à renvoyer les personnes qui ne bénéficient pas d'un droit de séjour sur le territoire de l’UE. Afin de concrétiser cet objectif, l'Union europé</w:t>
      </w:r>
      <w:r>
        <w:rPr>
          <w:rFonts w:ascii="Times New Roman" w:hAnsi="Times New Roman"/>
          <w:noProof/>
          <w:sz w:val="24"/>
        </w:rPr>
        <w:t xml:space="preserve">enne dispose à présent d'un ensemble solide de règles communes en matière d’asile et de migration clandestine. Mais ces règles doivent être appliquées correctement. </w:t>
      </w:r>
    </w:p>
    <w:p w:rsidR="00AE7993" w:rsidRDefault="00AB549A">
      <w:pPr>
        <w:pStyle w:val="Heading2"/>
        <w:spacing w:before="0" w:after="200"/>
        <w:jc w:val="both"/>
        <w:rPr>
          <w:b w:val="0"/>
          <w:color w:val="auto"/>
        </w:rPr>
      </w:pPr>
      <w:r>
        <w:rPr>
          <w:b w:val="0"/>
          <w:color w:val="auto"/>
        </w:rPr>
        <w:t>Les efforts de la Commission visant à promouvoir une mise en œuvre effective trouvent leur</w:t>
      </w:r>
      <w:r>
        <w:rPr>
          <w:b w:val="0"/>
          <w:color w:val="auto"/>
        </w:rPr>
        <w:t xml:space="preserve"> illustration dans le domaine des opérations de retour, où la Commission aide les États membres à comprendre les conséquences des règles. La Commission a tenu des dialogues spécifiques avec les États membres afin de mettre en évidence les mesures à prendre</w:t>
      </w:r>
      <w:r>
        <w:rPr>
          <w:b w:val="0"/>
          <w:color w:val="auto"/>
        </w:rPr>
        <w:t xml:space="preserve"> pour satisfaire à l'obligation de faire exécuter les décisions de retour. Les États membres doivent veiller à ce que les migrants en situation irrégulière soient présents physiquement en vue de leur retour et recourir à la rétention, en tant que mesure lé</w:t>
      </w:r>
      <w:r>
        <w:rPr>
          <w:b w:val="0"/>
          <w:color w:val="auto"/>
        </w:rPr>
        <w:t>gitime de dernier ressort, lorsqu'il faut éviter que ces migrants ne prennent la fuite. Tant qu'une perspective raisonnable d'éloignement existe, cette dernière ne devrait pas être compromise par une cessation prématurée de la rétention. Enfin, tant la rap</w:t>
      </w:r>
      <w:r>
        <w:rPr>
          <w:b w:val="0"/>
          <w:color w:val="auto"/>
        </w:rPr>
        <w:t>idité de la prise de décisions que la disponibilité de personnel et de capacités de rétention suffisantes peuvent avoir un impact majeur sur la mise en œuvre concrète des décisions de retour.</w:t>
      </w:r>
    </w:p>
    <w:p w:rsidR="00AE7993" w:rsidRDefault="00AB549A">
      <w:pPr>
        <w:spacing w:line="240" w:lineRule="auto"/>
        <w:jc w:val="both"/>
        <w:rPr>
          <w:rFonts w:ascii="Times New Roman" w:hAnsi="Times New Roman" w:cs="Times New Roman"/>
          <w:noProof/>
          <w:sz w:val="24"/>
          <w:szCs w:val="24"/>
        </w:rPr>
      </w:pPr>
      <w:r>
        <w:rPr>
          <w:rFonts w:ascii="Times New Roman" w:hAnsi="Times New Roman"/>
          <w:b/>
          <w:noProof/>
          <w:sz w:val="24"/>
        </w:rPr>
        <w:t>Depuis août</w:t>
      </w:r>
      <w:r>
        <w:rPr>
          <w:rFonts w:ascii="Times New Roman" w:hAnsi="Times New Roman"/>
          <w:noProof/>
          <w:sz w:val="24"/>
        </w:rPr>
        <w:t xml:space="preserve">, la Commission a envoyé des </w:t>
      </w:r>
      <w:r>
        <w:rPr>
          <w:rFonts w:ascii="Times New Roman" w:hAnsi="Times New Roman"/>
          <w:b/>
          <w:noProof/>
          <w:sz w:val="24"/>
        </w:rPr>
        <w:t xml:space="preserve">lettres administratives </w:t>
      </w:r>
      <w:r>
        <w:rPr>
          <w:rFonts w:ascii="Times New Roman" w:hAnsi="Times New Roman"/>
          <w:noProof/>
          <w:sz w:val="24"/>
        </w:rPr>
        <w:t>à cinq États membres au sujet du règlement Eurodac pour la comparaison des empreintes digitales et dix autres au sujet de la mise en œuvre correcte de la directive relative au retour. Tous les États membres concernés ont envoyé leur réponse au sujet du règ</w:t>
      </w:r>
      <w:r>
        <w:rPr>
          <w:rFonts w:ascii="Times New Roman" w:hAnsi="Times New Roman"/>
          <w:noProof/>
          <w:sz w:val="24"/>
        </w:rPr>
        <w:t>lement Eurodac, réponses que la Commission examine en ce moment pour voir si elles suffisent ou si des procédures d'infraction doivent être lancées. En ce qui concerne la directive relative au retour, une seule réponse</w:t>
      </w:r>
      <w:r>
        <w:rPr>
          <w:rStyle w:val="FootnoteReference"/>
          <w:rFonts w:ascii="Times New Roman" w:hAnsi="Times New Roman"/>
          <w:noProof/>
          <w:sz w:val="24"/>
        </w:rPr>
        <w:footnoteReference w:id="30"/>
      </w:r>
      <w:r>
        <w:rPr>
          <w:rFonts w:ascii="Times New Roman" w:hAnsi="Times New Roman"/>
          <w:noProof/>
          <w:sz w:val="24"/>
        </w:rPr>
        <w:t xml:space="preserve"> a été reçue à ce jour: la Commission</w:t>
      </w:r>
      <w:r>
        <w:rPr>
          <w:rFonts w:ascii="Times New Roman" w:hAnsi="Times New Roman"/>
          <w:noProof/>
          <w:sz w:val="24"/>
        </w:rPr>
        <w:t xml:space="preserve"> attend les autres réponses et évaluera rapidement la situation. Une autre lettre administrative a été envoyée à un État membre au sujet du respect de la directive sur les procédures d'asile, de la directive relative aux conditions d'accueil et du code fro</w:t>
      </w:r>
      <w:r>
        <w:rPr>
          <w:rFonts w:ascii="Times New Roman" w:hAnsi="Times New Roman"/>
          <w:noProof/>
          <w:sz w:val="24"/>
        </w:rPr>
        <w:t xml:space="preserve">ntières Schengen.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S'agissant de la décision relative aux </w:t>
      </w:r>
      <w:r>
        <w:rPr>
          <w:rFonts w:ascii="Times New Roman" w:hAnsi="Times New Roman"/>
          <w:b/>
          <w:noProof/>
          <w:sz w:val="24"/>
        </w:rPr>
        <w:t>40 décisions en matière d'infractions réelles ou potentielles adoptées en septembre</w:t>
      </w:r>
      <w:r>
        <w:rPr>
          <w:rFonts w:ascii="Times New Roman" w:hAnsi="Times New Roman"/>
          <w:noProof/>
          <w:sz w:val="24"/>
        </w:rPr>
        <w:t xml:space="preserve">, en ce qui concerne la directive sur les procédures d'asile, la directive relative aux conditions d'accueil et la </w:t>
      </w:r>
      <w:r>
        <w:rPr>
          <w:rFonts w:ascii="Times New Roman" w:hAnsi="Times New Roman"/>
          <w:noProof/>
          <w:sz w:val="24"/>
        </w:rPr>
        <w:t>directive relative aux conditions que doivent remplir les demandeurs d'asile, en plus des 34 dossiers ouverts avant cela, la Commission n'a pas encore reçu de réponse. Compte tenu de l'importance particulière de ce corpus législatif, les États membres sont</w:t>
      </w:r>
      <w:r>
        <w:rPr>
          <w:rFonts w:ascii="Times New Roman" w:hAnsi="Times New Roman"/>
          <w:noProof/>
          <w:sz w:val="24"/>
        </w:rPr>
        <w:t xml:space="preserve"> instamment priés de répondre le plus rapidement possible, dans les deux mois.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b/>
          <w:noProof/>
          <w:sz w:val="24"/>
        </w:rPr>
        <w:t>La Commission continuera d'engager des procédures d'infraction rapidement et efficacement, en cas de besoin, pour garantir le respect, en tous points, de la législation de l'Uni</w:t>
      </w:r>
      <w:r>
        <w:rPr>
          <w:rFonts w:ascii="Times New Roman" w:hAnsi="Times New Roman"/>
          <w:b/>
          <w:noProof/>
          <w:sz w:val="24"/>
        </w:rPr>
        <w:t xml:space="preserve">on dans ce domaine </w:t>
      </w:r>
      <w:r>
        <w:rPr>
          <w:rFonts w:ascii="Times New Roman" w:hAnsi="Times New Roman"/>
          <w:noProof/>
          <w:sz w:val="24"/>
        </w:rPr>
        <w:t xml:space="preserve"> (voir annexe 6).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Les actions prioritaires définies en septembre ont mis en évidence la nécessité d'accorder une attention particulière à la </w:t>
      </w:r>
      <w:r>
        <w:rPr>
          <w:rFonts w:ascii="Times New Roman" w:hAnsi="Times New Roman"/>
          <w:b/>
          <w:noProof/>
          <w:sz w:val="24"/>
        </w:rPr>
        <w:t>Grèce</w:t>
      </w:r>
      <w:r>
        <w:rPr>
          <w:rFonts w:ascii="Times New Roman" w:hAnsi="Times New Roman"/>
          <w:noProof/>
          <w:sz w:val="24"/>
        </w:rPr>
        <w:t>. Les États membres ne peuvent plus renvoyer les demandeurs d'asile vers la Grèce depuis 2</w:t>
      </w:r>
      <w:r>
        <w:rPr>
          <w:rFonts w:ascii="Times New Roman" w:hAnsi="Times New Roman"/>
          <w:noProof/>
          <w:sz w:val="24"/>
        </w:rPr>
        <w:t>010-2011. En 2010, la Cour européenne des droits de l'homme a constaté plusieurs violations de la convention européenne des droits de l'homme. La Cour de justice de l'Union européenne a confirmé à l'époque qu'il ne saurait être présumé que les États membre</w:t>
      </w:r>
      <w:r>
        <w:rPr>
          <w:rFonts w:ascii="Times New Roman" w:hAnsi="Times New Roman"/>
          <w:noProof/>
          <w:sz w:val="24"/>
        </w:rPr>
        <w:t xml:space="preserve">s respectent les droits fondamentaux des demandeurs d'asile s'ils renvoient ces personnes vers la Grèce en application du système de Dublin.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Comme il a été observé ci-dessus, la Commission a alloué des ressources considérables pour aider la Grèce. Les Ét</w:t>
      </w:r>
      <w:r>
        <w:rPr>
          <w:rFonts w:ascii="Times New Roman" w:hAnsi="Times New Roman"/>
          <w:noProof/>
          <w:sz w:val="24"/>
        </w:rPr>
        <w:t xml:space="preserve">ats membres s'unissent désormais à cet effort. Des progrès considérables ont été accomplis en peu de temps. Maintenant que les équipes d'appui à la gestion des flux migratoires sont en place et opérationnelles, les principales insuffisances à l'origine de </w:t>
      </w:r>
      <w:r>
        <w:rPr>
          <w:rFonts w:ascii="Times New Roman" w:hAnsi="Times New Roman"/>
          <w:noProof/>
          <w:sz w:val="24"/>
        </w:rPr>
        <w:t xml:space="preserve">la suspension effective des transferts au titre de Dublin sont en cours de traitement - les infrastructures d'accueil étant renforcées et un système solide de traitement des demandes d'asile étant réinstauré. </w:t>
      </w:r>
    </w:p>
    <w:p w:rsidR="00AE7993" w:rsidRDefault="00AB549A">
      <w:pPr>
        <w:spacing w:line="240" w:lineRule="auto"/>
        <w:jc w:val="both"/>
        <w:rPr>
          <w:rFonts w:ascii="Times New Roman" w:hAnsi="Times New Roman" w:cs="Times New Roman"/>
          <w:bCs/>
          <w:iCs/>
          <w:noProof/>
          <w:sz w:val="24"/>
          <w:szCs w:val="24"/>
        </w:rPr>
      </w:pPr>
      <w:r>
        <w:rPr>
          <w:rStyle w:val="s9"/>
          <w:rFonts w:ascii="Times New Roman" w:hAnsi="Times New Roman"/>
          <w:noProof/>
          <w:sz w:val="24"/>
        </w:rPr>
        <w:t>Les progrès réalisés à ce jour sont encouragea</w:t>
      </w:r>
      <w:r>
        <w:rPr>
          <w:rStyle w:val="s9"/>
          <w:rFonts w:ascii="Times New Roman" w:hAnsi="Times New Roman"/>
          <w:noProof/>
          <w:sz w:val="24"/>
        </w:rPr>
        <w:t xml:space="preserve">nts et doivent être poursuivis. C'est sur cette base que </w:t>
      </w:r>
      <w:r>
        <w:rPr>
          <w:rStyle w:val="s9"/>
          <w:rFonts w:ascii="Times New Roman" w:hAnsi="Times New Roman"/>
          <w:b/>
          <w:noProof/>
          <w:sz w:val="24"/>
        </w:rPr>
        <w:t xml:space="preserve">la Commission examinera la situation au 30 novembre 2015 et, si toutes les conditions sont réunies, </w:t>
      </w:r>
      <w:r>
        <w:rPr>
          <w:rFonts w:ascii="Times New Roman" w:hAnsi="Times New Roman"/>
          <w:b/>
          <w:noProof/>
          <w:sz w:val="24"/>
        </w:rPr>
        <w:t xml:space="preserve"> recommandera au Conseil européen, en décembre 2015 ou en mars 2016, de confirmer le rétablissement</w:t>
      </w:r>
      <w:r>
        <w:rPr>
          <w:rFonts w:ascii="Times New Roman" w:hAnsi="Times New Roman"/>
          <w:b/>
          <w:noProof/>
          <w:sz w:val="24"/>
        </w:rPr>
        <w:t xml:space="preserve"> des transferts vers la Grèce au titre de Dublin</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Plusieurs États membres ont récemment demandé la </w:t>
      </w:r>
      <w:r>
        <w:rPr>
          <w:rFonts w:ascii="Times New Roman" w:hAnsi="Times New Roman"/>
          <w:b/>
          <w:noProof/>
          <w:sz w:val="24"/>
        </w:rPr>
        <w:t>réintroduction temporaire des contrôles aux frontières</w:t>
      </w:r>
      <w:r>
        <w:rPr>
          <w:rFonts w:ascii="Times New Roman" w:hAnsi="Times New Roman"/>
          <w:noProof/>
          <w:sz w:val="24"/>
        </w:rPr>
        <w:t>, en vertu du code frontières Schengen. Une telle réintroduction peut être justifiée en situation de cr</w:t>
      </w:r>
      <w:r>
        <w:rPr>
          <w:rFonts w:ascii="Times New Roman" w:hAnsi="Times New Roman"/>
          <w:noProof/>
          <w:sz w:val="24"/>
        </w:rPr>
        <w:t>ise exceptionnelle, notamment dans le cas de menaces graves pour l'ordre public  ou la sécurité intérieure dans un État membre donné. Elle ne saurait toutefois jamais être davantage qu’une mesure à court terme, dans l'attente d'un retour à la normale.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b/>
          <w:noProof/>
          <w:sz w:val="24"/>
        </w:rPr>
        <w:t>La C</w:t>
      </w:r>
      <w:r>
        <w:rPr>
          <w:rFonts w:ascii="Times New Roman" w:hAnsi="Times New Roman"/>
          <w:b/>
          <w:noProof/>
          <w:sz w:val="24"/>
        </w:rPr>
        <w:t>ommission achève en ce moment son évaluation de la situation, en adoptant un avis sur la prolongation des contrôles temporaires aux frontières</w:t>
      </w:r>
      <w:r>
        <w:rPr>
          <w:rFonts w:ascii="Times New Roman" w:hAnsi="Times New Roman"/>
          <w:noProof/>
          <w:sz w:val="24"/>
        </w:rPr>
        <w:t xml:space="preserve"> par l'Allemagne, l'Autriche et la Slovénie, sur la base du code frontières Schengen. </w:t>
      </w:r>
    </w:p>
    <w:tbl>
      <w:tblPr>
        <w:tblStyle w:val="TableGrid"/>
        <w:tblW w:w="0" w:type="auto"/>
        <w:tblLook w:val="04A0" w:firstRow="1" w:lastRow="0" w:firstColumn="1" w:lastColumn="0" w:noHBand="0" w:noVBand="1"/>
      </w:tblPr>
      <w:tblGrid>
        <w:gridCol w:w="1668"/>
        <w:gridCol w:w="7620"/>
      </w:tblGrid>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Progrès accomplis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ListParagraph"/>
              <w:numPr>
                <w:ilvl w:val="0"/>
                <w:numId w:val="2"/>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rPr>
              <w:t>Commission s'attaque actuellement aux défaillances constatées dans la transposition et la mise en œuvre intégrales de la législation de l'Union par les États membres.</w:t>
            </w:r>
          </w:p>
          <w:p w:rsidR="00AE7993" w:rsidRDefault="00AB549A">
            <w:pPr>
              <w:pStyle w:val="ListParagraph"/>
              <w:numPr>
                <w:ilvl w:val="0"/>
                <w:numId w:val="2"/>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Les infrastructures d'accueil sont en train d'être renforcées et les conditions préalable</w:t>
            </w:r>
            <w:r>
              <w:rPr>
                <w:rFonts w:ascii="Times New Roman" w:hAnsi="Times New Roman"/>
                <w:noProof/>
                <w:sz w:val="24"/>
              </w:rPr>
              <w:t>s à un régime d'asile et à un traitement des demandes d'asile corrects sont mises en place en Grèce.</w:t>
            </w:r>
          </w:p>
        </w:tc>
      </w:tr>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jc w:val="center"/>
              <w:rPr>
                <w:rFonts w:ascii="Times New Roman" w:hAnsi="Times New Roman" w:cs="Times New Roman"/>
                <w:b/>
                <w:i/>
                <w:noProof/>
                <w:sz w:val="24"/>
                <w:szCs w:val="24"/>
              </w:rPr>
            </w:pPr>
            <w:r>
              <w:rPr>
                <w:rFonts w:ascii="Times New Roman" w:hAnsi="Times New Roman"/>
                <w:b/>
                <w:i/>
                <w:noProof/>
                <w:sz w:val="24"/>
              </w:rPr>
              <w:t>Prochaines étapes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ListParagraph"/>
              <w:numPr>
                <w:ilvl w:val="0"/>
                <w:numId w:val="2"/>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La Commission garantira le suivi actif et rapide de toutes les procédures d'infraction dans le domaine de l'asile et des opérations de </w:t>
            </w:r>
            <w:r>
              <w:rPr>
                <w:rFonts w:ascii="Times New Roman" w:hAnsi="Times New Roman"/>
                <w:noProof/>
                <w:sz w:val="24"/>
              </w:rPr>
              <w:t>retour.</w:t>
            </w:r>
          </w:p>
          <w:p w:rsidR="00AE7993" w:rsidRDefault="00AB549A">
            <w:pPr>
              <w:pStyle w:val="ListParagraph"/>
              <w:numPr>
                <w:ilvl w:val="0"/>
                <w:numId w:val="2"/>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 xml:space="preserve">La Commission examinera, pour le 30 novembre 2015, la situation en ce qui concerne les transferts vers la Grèce au titre de Dublin. </w:t>
            </w:r>
          </w:p>
        </w:tc>
      </w:tr>
    </w:tbl>
    <w:p w:rsidR="00AE7993" w:rsidRDefault="00AB549A">
      <w:pPr>
        <w:pStyle w:val="ManualHeading1"/>
        <w:spacing w:before="240" w:after="200"/>
        <w:ind w:left="851" w:hanging="851"/>
        <w:rPr>
          <w:noProof/>
          <w:szCs w:val="24"/>
        </w:rPr>
      </w:pPr>
      <w:r>
        <w:rPr>
          <w:noProof/>
        </w:rPr>
        <w:t xml:space="preserve">V. </w:t>
      </w:r>
      <w:r>
        <w:rPr>
          <w:noProof/>
        </w:rPr>
        <w:tab/>
        <w:t>La dimension extérieure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L'agenda européen en matière de migration soulignait qu'une politique migratoire réuss</w:t>
      </w:r>
      <w:r>
        <w:rPr>
          <w:rFonts w:ascii="Times New Roman" w:hAnsi="Times New Roman"/>
          <w:noProof/>
          <w:sz w:val="24"/>
        </w:rPr>
        <w:t>ie devait inévitablement fonctionner tant à l'extérieur qu'à l'intérieur de l'Union. L'Europe se doit d'accueillir, en toutes circonstances, les personnes ayant besoin de protection. Mais il est dans l'intérêt de tous que les crises qui contraignent les ré</w:t>
      </w:r>
      <w:r>
        <w:rPr>
          <w:rFonts w:ascii="Times New Roman" w:hAnsi="Times New Roman"/>
          <w:noProof/>
          <w:sz w:val="24"/>
        </w:rPr>
        <w:t xml:space="preserve">fugiés à quitter leur pays et à prendre la route au péril de leur vie soient traitées à la racine.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Dans leur communication conjointe le mois dernier</w:t>
      </w:r>
      <w:r>
        <w:rPr>
          <w:rStyle w:val="FootnoteReference"/>
          <w:rFonts w:ascii="Times New Roman" w:hAnsi="Times New Roman"/>
          <w:noProof/>
          <w:sz w:val="24"/>
        </w:rPr>
        <w:footnoteReference w:id="31"/>
      </w:r>
      <w:r>
        <w:rPr>
          <w:rFonts w:ascii="Times New Roman" w:hAnsi="Times New Roman"/>
          <w:noProof/>
          <w:sz w:val="24"/>
        </w:rPr>
        <w:t xml:space="preserve">, la Commission et la haute représentante/vice-présidente ont placé les questions migratoires en tête des </w:t>
      </w:r>
      <w:r>
        <w:rPr>
          <w:rFonts w:ascii="Times New Roman" w:hAnsi="Times New Roman"/>
          <w:noProof/>
          <w:sz w:val="24"/>
        </w:rPr>
        <w:t xml:space="preserve">préoccupations de l'UE sur le plan extérieur et au cœur des actions prioritaires, comme en attestent les engagements en vue de fonds supplémentaires exposés ci-dessus. Cependant, l'offensive diplomatique maintenant en cours a également placé les questions </w:t>
      </w:r>
      <w:r>
        <w:rPr>
          <w:rFonts w:ascii="Times New Roman" w:hAnsi="Times New Roman"/>
          <w:noProof/>
          <w:sz w:val="24"/>
        </w:rPr>
        <w:t>migratoires au centre du dialogue bilatéral, régional et multilatéral.</w:t>
      </w:r>
    </w:p>
    <w:p w:rsidR="00AE7993" w:rsidRDefault="00AB549A">
      <w:pPr>
        <w:spacing w:line="240" w:lineRule="auto"/>
        <w:jc w:val="both"/>
        <w:rPr>
          <w:rFonts w:ascii="Times New Roman" w:hAnsi="Times New Roman" w:cs="Times New Roman"/>
          <w:noProof/>
          <w:sz w:val="24"/>
          <w:szCs w:val="24"/>
        </w:rPr>
      </w:pPr>
      <w:r>
        <w:rPr>
          <w:rFonts w:ascii="Times New Roman" w:hAnsi="Times New Roman"/>
          <w:b/>
          <w:noProof/>
          <w:sz w:val="24"/>
        </w:rPr>
        <w:t xml:space="preserve">La Turquie </w:t>
      </w:r>
      <w:r>
        <w:rPr>
          <w:rFonts w:ascii="Times New Roman" w:hAnsi="Times New Roman"/>
          <w:noProof/>
          <w:sz w:val="24"/>
        </w:rPr>
        <w:t>est un partenaire central. C'est elle qui, avec le Liban et la Jordanie, supporte le plus gros de l'effort humanitaire afin de fournir un abri aux réfugiés syriens. Du fait d</w:t>
      </w:r>
      <w:r>
        <w:rPr>
          <w:rFonts w:ascii="Times New Roman" w:hAnsi="Times New Roman"/>
          <w:noProof/>
          <w:sz w:val="24"/>
        </w:rPr>
        <w:t>e sa position géographique, elle constitue la principale porte d'entrée vers les Balkans occidentaux. La Turquie a montré qu'elle était capable de prendre des mesures décisives pour lutter contre la traite des êtres humains. Le plan d'action détaillé sur l</w:t>
      </w:r>
      <w:r>
        <w:rPr>
          <w:rFonts w:ascii="Times New Roman" w:hAnsi="Times New Roman"/>
          <w:noProof/>
          <w:sz w:val="24"/>
        </w:rPr>
        <w:t>a migration  remis par le président Juncker au président Erdoğan le 5 octobre définit une série de mesures concrètes englobant à la fois l'aide aux réfugiés, aux migrants et à leurs communautés d'accueil et le renforcement de la coopération afin d'empêcher</w:t>
      </w:r>
      <w:r>
        <w:rPr>
          <w:rFonts w:ascii="Times New Roman" w:hAnsi="Times New Roman"/>
          <w:noProof/>
          <w:sz w:val="24"/>
        </w:rPr>
        <w:t xml:space="preserve"> la migration clandestine. Il expose des actions à court, à moyen et à long terme. </w:t>
      </w:r>
      <w:r>
        <w:rPr>
          <w:rFonts w:ascii="Times New Roman" w:hAnsi="Times New Roman"/>
          <w:b/>
          <w:noProof/>
          <w:sz w:val="24"/>
        </w:rPr>
        <w:t>À l'heure actuelle, la Commission dialogue activement avec les autorités turques afin de finaliser le plan d'action</w:t>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La coopération avec la Turquie était également un aspect</w:t>
      </w:r>
      <w:r>
        <w:rPr>
          <w:rFonts w:ascii="Times New Roman" w:hAnsi="Times New Roman"/>
          <w:noProof/>
          <w:sz w:val="24"/>
        </w:rPr>
        <w:t xml:space="preserve"> fondamental de la </w:t>
      </w:r>
      <w:r>
        <w:rPr>
          <w:rFonts w:ascii="Times New Roman" w:hAnsi="Times New Roman"/>
          <w:b/>
          <w:noProof/>
          <w:sz w:val="24"/>
        </w:rPr>
        <w:t>conférence de haut niveau sur la route de la Méditerranée orientale et des Balkans occidentaux</w:t>
      </w:r>
      <w:r>
        <w:rPr>
          <w:rFonts w:ascii="Times New Roman" w:hAnsi="Times New Roman"/>
          <w:noProof/>
          <w:sz w:val="24"/>
        </w:rPr>
        <w:t xml:space="preserve"> convoquée le 8 octobre par la haute représentante/vice</w:t>
      </w:r>
      <w:r>
        <w:rPr>
          <w:noProof/>
        </w:rPr>
        <w:noBreakHyphen/>
      </w:r>
      <w:r>
        <w:rPr>
          <w:rFonts w:ascii="Times New Roman" w:hAnsi="Times New Roman"/>
          <w:noProof/>
          <w:sz w:val="24"/>
        </w:rPr>
        <w:t>présidente et la présidence luxembourgeoise. Les participants à cette réunion se sont m</w:t>
      </w:r>
      <w:r>
        <w:rPr>
          <w:rFonts w:ascii="Times New Roman" w:hAnsi="Times New Roman"/>
          <w:noProof/>
          <w:sz w:val="24"/>
        </w:rPr>
        <w:t>is d'accord sur toute une série de mesures pratiques visant à promouvoir une coopération plus efficace avec les pays partenaires situés le long de cette route, y compris en soutenant les pays de premier asile et les pays de transit, et en soulignant les qu</w:t>
      </w:r>
      <w:r>
        <w:rPr>
          <w:rFonts w:ascii="Times New Roman" w:hAnsi="Times New Roman"/>
          <w:noProof/>
          <w:sz w:val="24"/>
        </w:rPr>
        <w:t>estions plus larges que sont le traitement des causes profondes et la lutte contre la traite des êtres humains</w:t>
      </w:r>
      <w:r>
        <w:rPr>
          <w:rFonts w:ascii="Times New Roman" w:hAnsi="Times New Roman"/>
          <w:noProof/>
          <w:sz w:val="24"/>
          <w:vertAlign w:val="superscript"/>
        </w:rPr>
        <w:footnoteReference w:id="32"/>
      </w:r>
      <w:r>
        <w:rPr>
          <w:rFonts w:ascii="Times New Roman" w:hAnsi="Times New Roman"/>
          <w:noProof/>
          <w:sz w:val="24"/>
        </w:rPr>
        <w: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La haute représentante/vice-présidente a noué de nombreux contacts diplomatiques dans le but de trouver un accord sur la crise en </w:t>
      </w:r>
      <w:r>
        <w:rPr>
          <w:rFonts w:ascii="Times New Roman" w:hAnsi="Times New Roman"/>
          <w:b/>
          <w:noProof/>
          <w:sz w:val="24"/>
        </w:rPr>
        <w:t>Libye</w:t>
      </w:r>
      <w:r>
        <w:rPr>
          <w:rFonts w:ascii="Times New Roman" w:hAnsi="Times New Roman"/>
          <w:noProof/>
          <w:sz w:val="24"/>
        </w:rPr>
        <w:t xml:space="preserve">. Ces </w:t>
      </w:r>
      <w:r>
        <w:rPr>
          <w:rFonts w:ascii="Times New Roman" w:hAnsi="Times New Roman"/>
          <w:noProof/>
          <w:sz w:val="24"/>
        </w:rPr>
        <w:t xml:space="preserve">efforts, politiques et financiers, ont été déployés en appui de l'action du représentant spécial du secrétaire général des Nations unies, Bernardino Léon, qui, le 8 octobre, a présenté une version définitive de l'accord politique en Libye à l'ensemble des </w:t>
      </w:r>
      <w:r>
        <w:rPr>
          <w:rFonts w:ascii="Times New Roman" w:hAnsi="Times New Roman"/>
          <w:noProof/>
          <w:sz w:val="24"/>
        </w:rPr>
        <w:t>participants au dialogue politique. Il convient maintenant de s'attacher à ce que cet accord soit approuvé par les parties, auquel cas l'UE est prête à octroyer une aide immédiate et substantielle à un nouveau gouvernement d'entente nationale, qui profiter</w:t>
      </w:r>
      <w:r>
        <w:rPr>
          <w:rFonts w:ascii="Times New Roman" w:hAnsi="Times New Roman"/>
          <w:noProof/>
          <w:sz w:val="24"/>
        </w:rPr>
        <w:t>a au peuple libyen. Le Conseil des affaires étrangères du 12 octobre a adopté des conclusions sur ce point.</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 7 octobre, l'</w:t>
      </w:r>
      <w:r>
        <w:rPr>
          <w:rFonts w:ascii="Times New Roman" w:hAnsi="Times New Roman"/>
          <w:b/>
          <w:noProof/>
          <w:sz w:val="24"/>
        </w:rPr>
        <w:t>opération militaire de l'Union européenne dans la partie sud de la Méditerranée - opération EUNAVFOR MED Sophia</w:t>
      </w:r>
      <w:r>
        <w:rPr>
          <w:rFonts w:ascii="Times New Roman" w:hAnsi="Times New Roman"/>
          <w:noProof/>
          <w:sz w:val="24"/>
        </w:rPr>
        <w:t xml:space="preserve"> - est entrée dans le</w:t>
      </w:r>
      <w:r>
        <w:rPr>
          <w:rFonts w:ascii="Times New Roman" w:hAnsi="Times New Roman"/>
          <w:noProof/>
          <w:sz w:val="24"/>
        </w:rPr>
        <w:t xml:space="preserve">s eaux internationales, conformément à la deuxième phase de ses opérations, après avoir rempli les objectifs de sa première phase (surveillance et évaluation des réseaux de trafic et de traite d'êtres humains) et après avoir contribué au sauvetage de plus </w:t>
      </w:r>
      <w:r>
        <w:rPr>
          <w:rFonts w:ascii="Times New Roman" w:hAnsi="Times New Roman"/>
          <w:noProof/>
          <w:sz w:val="24"/>
        </w:rPr>
        <w:t>de 3 000 personnes. Elle pourra désormais procéder à l'arraisonnement, à la fouille, à la saisie et au déroutement en haute mer des navires et des embarcations soupçonnés d'être utilisés pour la traite des êtres humains ou le trafic illicite de migrants et</w:t>
      </w:r>
      <w:r>
        <w:rPr>
          <w:rFonts w:ascii="Times New Roman" w:hAnsi="Times New Roman"/>
          <w:noProof/>
          <w:sz w:val="24"/>
        </w:rPr>
        <w:t xml:space="preserve"> contribuera à la traduction en justice les passeurs présumés. Il s'agit d'une évolution fondamentale pour démanteler le modèle économique des trafiquants/passeurs, qui a reçu l'aval politique important du Conseil de sécurité des Nations unies, au moyen de</w:t>
      </w:r>
      <w:r>
        <w:rPr>
          <w:rFonts w:ascii="Times New Roman" w:hAnsi="Times New Roman"/>
          <w:noProof/>
          <w:sz w:val="24"/>
        </w:rPr>
        <w:t xml:space="preserve"> la résolution 2240 adoptée le 9 octobre.</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Sous la présidence de la haute représentante/vice-présidente, le Conseil des affaires étrangères a adopté des conclusions sur la crise </w:t>
      </w:r>
      <w:r>
        <w:rPr>
          <w:rFonts w:ascii="Times New Roman" w:hAnsi="Times New Roman"/>
          <w:b/>
          <w:noProof/>
          <w:sz w:val="24"/>
        </w:rPr>
        <w:t>syrienne</w:t>
      </w:r>
      <w:r>
        <w:rPr>
          <w:rFonts w:ascii="Times New Roman" w:hAnsi="Times New Roman"/>
          <w:noProof/>
          <w:sz w:val="24"/>
        </w:rPr>
        <w:t xml:space="preserve"> le 12 octobre, sur la base desquelles l'UE relèvera son niveau d'engag</w:t>
      </w:r>
      <w:r>
        <w:rPr>
          <w:rFonts w:ascii="Times New Roman" w:hAnsi="Times New Roman"/>
          <w:noProof/>
          <w:sz w:val="24"/>
        </w:rPr>
        <w:t>ement pour soutenir les efforts menés par les Nations unies à l'échelon international afin de trouver une solution politique au conflit. La haute représentante/vice-présidente multiplie les contacts avec tous les acteurs régionaux et internationaux clés, y</w:t>
      </w:r>
      <w:r>
        <w:rPr>
          <w:rFonts w:ascii="Times New Roman" w:hAnsi="Times New Roman"/>
          <w:noProof/>
          <w:sz w:val="24"/>
        </w:rPr>
        <w:t xml:space="preserve"> compris la Russie, les États-Unis, l'Arabie Saoudite, l'Iran, la Turquie et l'Iraq. Le SEAE a pris des mesures pour soutenir davantage l'opposition politique à l'intérieur et à l'extérieur de la Syrie, en tant que partie à un processus de transition  et p</w:t>
      </w:r>
      <w:r>
        <w:rPr>
          <w:rFonts w:ascii="Times New Roman" w:hAnsi="Times New Roman"/>
          <w:noProof/>
          <w:sz w:val="24"/>
        </w:rPr>
        <w:t>our poursuivre la facilitation du rapprochement et de l'union de ses nombreuses factions politiques et militaires derrière une stratégie commune. Les 7 et 9 septembre, le SEAE et l'envoyé spécial des Nations unies, Staffan de Mistura, ont mené des consulta</w:t>
      </w:r>
      <w:r>
        <w:rPr>
          <w:rFonts w:ascii="Times New Roman" w:hAnsi="Times New Roman"/>
          <w:noProof/>
          <w:sz w:val="24"/>
        </w:rPr>
        <w:t>tions approfondies auprès de médiateurs, notamment russes, iraniens, égyptiens et saoudiens et auprès d'envoyés des États membres en charge de la Syrie. L'UE est également active dans certains des groupes de travail établis par le groupe restreint des pays</w:t>
      </w:r>
      <w:r>
        <w:rPr>
          <w:rFonts w:ascii="Times New Roman" w:hAnsi="Times New Roman"/>
          <w:noProof/>
          <w:sz w:val="24"/>
        </w:rPr>
        <w:t xml:space="preserve"> de la coalition internationale contre Daech, notamment sur les sujets de la stabilisation, des combattants terroristes étrangers et de la lutte contre le financement du terrorisme. La mise en œuvre de la stratégie régionale de l'UE pour la Syrie et l'Iraq</w:t>
      </w:r>
      <w:r>
        <w:rPr>
          <w:rFonts w:ascii="Times New Roman" w:hAnsi="Times New Roman"/>
          <w:noProof/>
          <w:sz w:val="24"/>
        </w:rPr>
        <w:t>, ainsi que pour la menace que représente Daech est en cours.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Les migrations figuraient parmi les sujets prioritaires débattus par les représentants des institutions de l'Union et des États membres lors de la 70</w:t>
      </w:r>
      <w:r>
        <w:rPr>
          <w:rFonts w:ascii="Times New Roman" w:hAnsi="Times New Roman"/>
          <w:noProof/>
          <w:sz w:val="24"/>
          <w:vertAlign w:val="superscript"/>
        </w:rPr>
        <w:t>e</w:t>
      </w:r>
      <w:r>
        <w:rPr>
          <w:rFonts w:ascii="Times New Roman" w:hAnsi="Times New Roman"/>
          <w:noProof/>
          <w:sz w:val="24"/>
        </w:rPr>
        <w:t xml:space="preserve"> </w:t>
      </w:r>
      <w:r>
        <w:rPr>
          <w:rFonts w:ascii="Times New Roman" w:hAnsi="Times New Roman"/>
          <w:b/>
          <w:noProof/>
          <w:sz w:val="24"/>
        </w:rPr>
        <w:t>Assemblée générale des Nations unies</w:t>
      </w:r>
      <w:r>
        <w:rPr>
          <w:rFonts w:ascii="Times New Roman" w:hAnsi="Times New Roman"/>
          <w:noProof/>
          <w:sz w:val="24"/>
        </w:rPr>
        <w:t xml:space="preserve"> à la f</w:t>
      </w:r>
      <w:r>
        <w:rPr>
          <w:rFonts w:ascii="Times New Roman" w:hAnsi="Times New Roman"/>
          <w:noProof/>
          <w:sz w:val="24"/>
        </w:rPr>
        <w:t>in du mois de septembre. Dans ce contexte, il a été souligné que la communauté internationale devait apporter une réponse plus proactive et s'engager davantage pour relever les défis que posent les migrations et la mobilité, notamment en ce qui concerne la</w:t>
      </w:r>
      <w:r>
        <w:rPr>
          <w:rFonts w:ascii="Times New Roman" w:hAnsi="Times New Roman"/>
          <w:noProof/>
          <w:sz w:val="24"/>
        </w:rPr>
        <w:t xml:space="preserve"> crise des réfugiés syriens.</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 plan d’action de l’UE contre</w:t>
      </w:r>
      <w:r>
        <w:rPr>
          <w:rFonts w:ascii="Times New Roman" w:hAnsi="Times New Roman"/>
          <w:b/>
          <w:noProof/>
          <w:sz w:val="24"/>
        </w:rPr>
        <w:t xml:space="preserve"> le trafic de migrants</w:t>
      </w:r>
      <w:r>
        <w:rPr>
          <w:rFonts w:ascii="Times New Roman" w:hAnsi="Times New Roman"/>
          <w:noProof/>
          <w:sz w:val="24"/>
        </w:rPr>
        <w:t>, présenté en mai</w:t>
      </w:r>
      <w:r>
        <w:rPr>
          <w:rStyle w:val="FootnoteReference"/>
          <w:rFonts w:ascii="Times New Roman" w:hAnsi="Times New Roman"/>
          <w:noProof/>
          <w:sz w:val="24"/>
        </w:rPr>
        <w:footnoteReference w:id="33"/>
      </w:r>
      <w:r>
        <w:rPr>
          <w:rFonts w:ascii="Times New Roman" w:hAnsi="Times New Roman"/>
          <w:noProof/>
          <w:sz w:val="24"/>
        </w:rPr>
        <w:t>, est en cours de mise en œuvre - ainsi que les opérations visant à faire appliquer la loi tant à l'intérieur qu'à l'extérieur de l'UE. À titre d'exemple, d</w:t>
      </w:r>
      <w:r>
        <w:rPr>
          <w:rFonts w:ascii="Times New Roman" w:hAnsi="Times New Roman"/>
          <w:noProof/>
          <w:sz w:val="24"/>
        </w:rPr>
        <w:t xml:space="preserve">es campagnes sont actuellement menées en Éthiopie et au Niger afin de prévenir le trafic de migrants à la source. </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 xml:space="preserve">L'événement phare de la nouvelle priorité sur les questions migratoires le mois prochain sera le </w:t>
      </w:r>
      <w:r>
        <w:rPr>
          <w:rFonts w:ascii="Times New Roman" w:hAnsi="Times New Roman"/>
          <w:b/>
          <w:noProof/>
          <w:sz w:val="24"/>
        </w:rPr>
        <w:t>sommet de la Valette sur la migration</w:t>
      </w:r>
      <w:r>
        <w:rPr>
          <w:rFonts w:ascii="Times New Roman" w:hAnsi="Times New Roman"/>
          <w:noProof/>
          <w:sz w:val="24"/>
        </w:rPr>
        <w:t xml:space="preserve"> (11-12 novembre). Ce sommet fait l'objet d'intenses préparatifs avec les partenaires africains. Il sera l'occasion de démontrer que tant l'Union que ses partenaires africains peuvent entreprendre des actions concrètes afin de s'attaquer aux causes profond</w:t>
      </w:r>
      <w:r>
        <w:rPr>
          <w:rFonts w:ascii="Times New Roman" w:hAnsi="Times New Roman"/>
          <w:noProof/>
          <w:sz w:val="24"/>
        </w:rPr>
        <w:t>es de la migration clandestine et d'assurer une migration et une mobilité ordonnées, sûres, légales et responsables.  L'aspect fondamental de ce type de partenariats est que l'Union doit soutenir ses partenaires - par son assistance financière, son experti</w:t>
      </w:r>
      <w:r>
        <w:rPr>
          <w:rFonts w:ascii="Times New Roman" w:hAnsi="Times New Roman"/>
          <w:noProof/>
          <w:sz w:val="24"/>
        </w:rPr>
        <w:t>se, sa confiance dans la collaboration et la démonstration d'un effort commun. Aussi la réussite de ses actions est-elle inextricablement liée à un effort commun pour que le Fonds d'affectation spéciale pour l’Afrique bénéficie d'un engagement financier de</w:t>
      </w:r>
      <w:r>
        <w:rPr>
          <w:rFonts w:ascii="Times New Roman" w:hAnsi="Times New Roman"/>
          <w:noProof/>
          <w:sz w:val="24"/>
        </w:rPr>
        <w:t xml:space="preserve"> premier plan (voir le point III ci-dessus). </w:t>
      </w:r>
    </w:p>
    <w:tbl>
      <w:tblPr>
        <w:tblStyle w:val="TableGrid"/>
        <w:tblW w:w="0" w:type="auto"/>
        <w:tblLook w:val="04A0" w:firstRow="1" w:lastRow="0" w:firstColumn="1" w:lastColumn="0" w:noHBand="0" w:noVBand="1"/>
      </w:tblPr>
      <w:tblGrid>
        <w:gridCol w:w="1668"/>
        <w:gridCol w:w="7620"/>
      </w:tblGrid>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spacing w:after="200"/>
              <w:jc w:val="both"/>
              <w:rPr>
                <w:rFonts w:ascii="Times New Roman" w:hAnsi="Times New Roman" w:cs="Times New Roman"/>
                <w:b/>
                <w:i/>
                <w:noProof/>
                <w:sz w:val="24"/>
                <w:szCs w:val="24"/>
              </w:rPr>
            </w:pPr>
            <w:r>
              <w:rPr>
                <w:rFonts w:ascii="Times New Roman" w:hAnsi="Times New Roman"/>
                <w:b/>
                <w:i/>
                <w:noProof/>
                <w:sz w:val="24"/>
              </w:rPr>
              <w:t>Progrès accomplis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pStyle w:val="ListParagraph"/>
              <w:numPr>
                <w:ilvl w:val="0"/>
                <w:numId w:val="8"/>
              </w:numPr>
              <w:ind w:left="453" w:hanging="357"/>
              <w:jc w:val="both"/>
              <w:rPr>
                <w:rFonts w:ascii="Times New Roman" w:hAnsi="Times New Roman" w:cs="Times New Roman"/>
                <w:noProof/>
                <w:sz w:val="24"/>
                <w:szCs w:val="24"/>
              </w:rPr>
            </w:pPr>
            <w:r>
              <w:rPr>
                <w:rFonts w:ascii="Times New Roman" w:hAnsi="Times New Roman"/>
                <w:noProof/>
                <w:sz w:val="24"/>
              </w:rPr>
              <w:t>Une série de réunions de haut niveau tenues par la haute représentante/vice-présidente et les commissaires ont donné corps à la nouvelle offensive diplomatique sur les questions migratoires.</w:t>
            </w:r>
          </w:p>
          <w:p w:rsidR="00AE7993" w:rsidRDefault="00AB549A">
            <w:pPr>
              <w:pStyle w:val="ListParagraph"/>
              <w:numPr>
                <w:ilvl w:val="0"/>
                <w:numId w:val="8"/>
              </w:numPr>
              <w:spacing w:after="120"/>
              <w:ind w:left="453" w:hanging="357"/>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noProof/>
                <w:sz w:val="24"/>
              </w:rPr>
              <w:t>'opération EUNAVFOR MED Sophia a rempli les objectifs de la première phase.</w:t>
            </w:r>
          </w:p>
        </w:tc>
      </w:tr>
      <w:tr w:rsidR="00AE799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993" w:rsidRDefault="00AB549A">
            <w:pPr>
              <w:spacing w:after="200"/>
              <w:jc w:val="both"/>
              <w:rPr>
                <w:rFonts w:ascii="Times New Roman" w:hAnsi="Times New Roman" w:cs="Times New Roman"/>
                <w:b/>
                <w:i/>
                <w:noProof/>
                <w:sz w:val="24"/>
                <w:szCs w:val="24"/>
              </w:rPr>
            </w:pPr>
            <w:r>
              <w:rPr>
                <w:rFonts w:ascii="Times New Roman" w:hAnsi="Times New Roman"/>
                <w:b/>
                <w:i/>
                <w:noProof/>
                <w:sz w:val="24"/>
              </w:rPr>
              <w:t>Prochaines étapes</w:t>
            </w:r>
          </w:p>
        </w:tc>
        <w:tc>
          <w:tcPr>
            <w:tcW w:w="7620" w:type="dxa"/>
            <w:tcBorders>
              <w:top w:val="single" w:sz="4" w:space="0" w:color="auto"/>
              <w:left w:val="single" w:sz="4" w:space="0" w:color="auto"/>
              <w:bottom w:val="single" w:sz="4" w:space="0" w:color="auto"/>
              <w:right w:val="single" w:sz="4" w:space="0" w:color="auto"/>
            </w:tcBorders>
          </w:tcPr>
          <w:p w:rsidR="00AE7993" w:rsidRDefault="00AB549A">
            <w:pPr>
              <w:numPr>
                <w:ilvl w:val="0"/>
                <w:numId w:val="1"/>
              </w:numPr>
              <w:ind w:left="459"/>
              <w:jc w:val="both"/>
              <w:rPr>
                <w:rFonts w:ascii="Times New Roman" w:hAnsi="Times New Roman" w:cs="Times New Roman"/>
                <w:noProof/>
                <w:sz w:val="24"/>
                <w:szCs w:val="24"/>
              </w:rPr>
            </w:pPr>
            <w:r>
              <w:rPr>
                <w:rFonts w:ascii="Times New Roman" w:hAnsi="Times New Roman"/>
                <w:noProof/>
                <w:sz w:val="24"/>
              </w:rPr>
              <w:t>Finaliser le plan d'action avec la Turquie.</w:t>
            </w:r>
          </w:p>
          <w:p w:rsidR="00AE7993" w:rsidRDefault="00AB549A">
            <w:pPr>
              <w:numPr>
                <w:ilvl w:val="0"/>
                <w:numId w:val="1"/>
              </w:numPr>
              <w:ind w:left="459"/>
              <w:jc w:val="both"/>
              <w:rPr>
                <w:rFonts w:ascii="Times New Roman" w:hAnsi="Times New Roman" w:cs="Times New Roman"/>
                <w:noProof/>
                <w:sz w:val="24"/>
                <w:szCs w:val="24"/>
              </w:rPr>
            </w:pPr>
            <w:r>
              <w:rPr>
                <w:rFonts w:ascii="Times New Roman" w:hAnsi="Times New Roman"/>
                <w:noProof/>
                <w:sz w:val="24"/>
              </w:rPr>
              <w:t xml:space="preserve">Dialogues de haut niveau prévus par la haute représentante/vice-présidente avec l'Éthiopie, l'Union africaine et la </w:t>
            </w:r>
            <w:r>
              <w:rPr>
                <w:rFonts w:ascii="Times New Roman" w:hAnsi="Times New Roman"/>
                <w:noProof/>
                <w:sz w:val="24"/>
              </w:rPr>
              <w:t>Somalie les 20 et 21 octobre.</w:t>
            </w:r>
          </w:p>
          <w:p w:rsidR="00AE7993" w:rsidRDefault="00AB549A">
            <w:pPr>
              <w:numPr>
                <w:ilvl w:val="0"/>
                <w:numId w:val="1"/>
              </w:numPr>
              <w:ind w:left="459"/>
              <w:jc w:val="both"/>
              <w:rPr>
                <w:rFonts w:ascii="Times New Roman" w:hAnsi="Times New Roman" w:cs="Times New Roman"/>
                <w:noProof/>
                <w:sz w:val="24"/>
                <w:szCs w:val="24"/>
              </w:rPr>
            </w:pPr>
            <w:r>
              <w:rPr>
                <w:rFonts w:ascii="Times New Roman" w:hAnsi="Times New Roman"/>
                <w:noProof/>
                <w:sz w:val="24"/>
              </w:rPr>
              <w:t xml:space="preserve">Mise en œuvre de la deuxième phase de l'opération EUNAVFOR MED Sophia. </w:t>
            </w:r>
          </w:p>
          <w:p w:rsidR="00AE7993" w:rsidRDefault="00AB549A">
            <w:pPr>
              <w:numPr>
                <w:ilvl w:val="0"/>
                <w:numId w:val="1"/>
              </w:numPr>
              <w:ind w:left="459"/>
              <w:jc w:val="both"/>
              <w:rPr>
                <w:rFonts w:ascii="Times New Roman" w:hAnsi="Times New Roman" w:cs="Times New Roman"/>
                <w:noProof/>
                <w:sz w:val="24"/>
                <w:szCs w:val="24"/>
              </w:rPr>
            </w:pPr>
            <w:r>
              <w:rPr>
                <w:rFonts w:ascii="Times New Roman" w:hAnsi="Times New Roman"/>
                <w:noProof/>
                <w:sz w:val="24"/>
              </w:rPr>
              <w:t>Soutien de l'Union à un nouveau gouvernement d'entente nationale en Libye.</w:t>
            </w:r>
          </w:p>
          <w:p w:rsidR="00AE7993" w:rsidRDefault="00AB549A">
            <w:pPr>
              <w:numPr>
                <w:ilvl w:val="0"/>
                <w:numId w:val="1"/>
              </w:numPr>
              <w:ind w:left="459"/>
              <w:jc w:val="both"/>
              <w:rPr>
                <w:rFonts w:ascii="Times New Roman" w:hAnsi="Times New Roman" w:cs="Times New Roman"/>
                <w:noProof/>
                <w:sz w:val="24"/>
                <w:szCs w:val="24"/>
              </w:rPr>
            </w:pPr>
            <w:r>
              <w:rPr>
                <w:rFonts w:ascii="Times New Roman" w:hAnsi="Times New Roman"/>
                <w:noProof/>
                <w:sz w:val="24"/>
              </w:rPr>
              <w:t>Relèvement du niveau d'engagement de l'UE en appui des efforts déployés par les</w:t>
            </w:r>
            <w:r>
              <w:rPr>
                <w:rFonts w:ascii="Times New Roman" w:hAnsi="Times New Roman"/>
                <w:noProof/>
                <w:sz w:val="24"/>
              </w:rPr>
              <w:t xml:space="preserve"> Nations unies à l'échelon international pour trouver une solution politique au conflit en Syrie.</w:t>
            </w:r>
          </w:p>
          <w:p w:rsidR="00AE7993" w:rsidRDefault="00AB549A">
            <w:pPr>
              <w:numPr>
                <w:ilvl w:val="0"/>
                <w:numId w:val="1"/>
              </w:numPr>
              <w:spacing w:after="120"/>
              <w:ind w:left="453" w:hanging="357"/>
              <w:jc w:val="both"/>
              <w:rPr>
                <w:rFonts w:ascii="Times New Roman" w:hAnsi="Times New Roman" w:cs="Times New Roman"/>
                <w:noProof/>
                <w:sz w:val="24"/>
                <w:szCs w:val="24"/>
              </w:rPr>
            </w:pPr>
            <w:r>
              <w:rPr>
                <w:rFonts w:ascii="Times New Roman" w:hAnsi="Times New Roman"/>
                <w:noProof/>
                <w:sz w:val="24"/>
              </w:rPr>
              <w:t>Sommet de La Valette sur la migration.</w:t>
            </w:r>
          </w:p>
        </w:tc>
      </w:tr>
    </w:tbl>
    <w:p w:rsidR="00AE7993" w:rsidRDefault="00AB549A">
      <w:pPr>
        <w:pStyle w:val="ManualHeading1"/>
        <w:spacing w:before="240" w:after="200"/>
        <w:ind w:left="851" w:hanging="851"/>
        <w:rPr>
          <w:noProof/>
          <w:szCs w:val="24"/>
        </w:rPr>
      </w:pPr>
      <w:r>
        <w:rPr>
          <w:noProof/>
        </w:rPr>
        <w:t>VI.</w:t>
      </w:r>
      <w:r>
        <w:rPr>
          <w:noProof/>
        </w:rPr>
        <w:tab/>
        <w:t>Conclusion</w:t>
      </w:r>
    </w:p>
    <w:p w:rsidR="00AE7993" w:rsidRDefault="00AB549A">
      <w:pPr>
        <w:spacing w:line="240" w:lineRule="auto"/>
        <w:jc w:val="both"/>
        <w:rPr>
          <w:rFonts w:ascii="Times New Roman" w:hAnsi="Times New Roman" w:cs="Times New Roman"/>
          <w:noProof/>
          <w:sz w:val="24"/>
          <w:szCs w:val="24"/>
        </w:rPr>
      </w:pPr>
      <w:r>
        <w:rPr>
          <w:rFonts w:ascii="Times New Roman" w:hAnsi="Times New Roman"/>
          <w:noProof/>
          <w:sz w:val="24"/>
        </w:rPr>
        <w:t>Les mesures opérationnelles et budgétaires exposées ci-dessus visent à apporter le soutien nécessaire a</w:t>
      </w:r>
      <w:r>
        <w:rPr>
          <w:rFonts w:ascii="Times New Roman" w:hAnsi="Times New Roman"/>
          <w:noProof/>
          <w:sz w:val="24"/>
        </w:rPr>
        <w:t>fin de ramener le régime de migration de l'UE dans un cadre ordonné, où les règles sont appliquées correctement et où le système est assez solide pour faire face aux inévitables pics migratoires. La frontière extérieure revêt une importance  fondamentale p</w:t>
      </w:r>
      <w:r>
        <w:rPr>
          <w:rFonts w:ascii="Times New Roman" w:hAnsi="Times New Roman"/>
          <w:noProof/>
          <w:sz w:val="24"/>
        </w:rPr>
        <w:t xml:space="preserve">our restaurer la stabilité. Cet aspect  se trouve au cœur de </w:t>
      </w:r>
      <w:r>
        <w:rPr>
          <w:rFonts w:ascii="Times New Roman" w:hAnsi="Times New Roman"/>
          <w:b/>
          <w:noProof/>
          <w:sz w:val="24"/>
        </w:rPr>
        <w:t>l'engagement de la Commission de soumettre, avant la fin de l'année, des propositions visant à mettre sur pied un corps européen de garde-frontières et de garde-côtes pleinement opérationnel</w:t>
      </w:r>
      <w:r>
        <w:rPr>
          <w:rFonts w:ascii="Times New Roman" w:hAnsi="Times New Roman"/>
          <w:noProof/>
          <w:sz w:val="24"/>
        </w:rPr>
        <w:t>, une</w:t>
      </w:r>
      <w:r>
        <w:rPr>
          <w:rFonts w:ascii="Times New Roman" w:hAnsi="Times New Roman"/>
          <w:noProof/>
          <w:sz w:val="24"/>
        </w:rPr>
        <w:t xml:space="preserve"> action par laquelle l'UE reconnaît que les États membres doivent être davantage soutenus pour leur permettre de relever le défi que constitue la gestion des frontières extérieures de l'Europe.</w:t>
      </w:r>
    </w:p>
    <w:tbl>
      <w:tblPr>
        <w:tblStyle w:val="TableGrid"/>
        <w:tblW w:w="0" w:type="auto"/>
        <w:tblLook w:val="04A0" w:firstRow="1" w:lastRow="0" w:firstColumn="1" w:lastColumn="0" w:noHBand="0" w:noVBand="1"/>
      </w:tblPr>
      <w:tblGrid>
        <w:gridCol w:w="9288"/>
      </w:tblGrid>
      <w:tr w:rsidR="00AE7993">
        <w:tc>
          <w:tcPr>
            <w:tcW w:w="9288" w:type="dxa"/>
          </w:tcPr>
          <w:p w:rsidR="00AE7993" w:rsidRDefault="00AB549A">
            <w:pPr>
              <w:pStyle w:val="ListParagraph"/>
              <w:spacing w:before="120" w:after="200"/>
              <w:ind w:left="714"/>
              <w:jc w:val="center"/>
              <w:rPr>
                <w:rFonts w:ascii="Times New Roman" w:hAnsi="Times New Roman" w:cs="Times New Roman"/>
                <w:noProof/>
                <w:sz w:val="24"/>
                <w:szCs w:val="24"/>
              </w:rPr>
            </w:pPr>
            <w:r>
              <w:rPr>
                <w:rFonts w:ascii="Times New Roman" w:hAnsi="Times New Roman"/>
                <w:b/>
                <w:noProof/>
                <w:sz w:val="24"/>
              </w:rPr>
              <w:t>Résumé de conclusions spécifiques</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Les États membres devraient annoncer rapidement leurs contributions pour répondre aux besoins tels qu'ils ont été évalués par les agences de l'UE aux fins de la mise en œuvre de l'approche des «hotspots».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L'Italie et la Grèce devraient renforcer leurs cap</w:t>
            </w:r>
            <w:r>
              <w:rPr>
                <w:rFonts w:ascii="Times New Roman" w:hAnsi="Times New Roman"/>
                <w:noProof/>
                <w:sz w:val="24"/>
              </w:rPr>
              <w:t xml:space="preserve">acités d'accueil.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Les États membres devraient communiquer leurs capacités d'accueil pour les réfugiés relocalisés.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Les États membres devraient fournir des engagements clairs quant au nombre de personnes qu'ils relocaliseront d'ici la fin de l'année.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Les</w:t>
            </w:r>
            <w:r>
              <w:rPr>
                <w:rFonts w:ascii="Times New Roman" w:hAnsi="Times New Roman"/>
                <w:noProof/>
                <w:sz w:val="24"/>
              </w:rPr>
              <w:t xml:space="preserve"> États membres devraient maintenant communiquer à la Commission des informations sur le nombre de personnes qu'ils vont réinstaller au cours des six prochains mois et préciser à partir de quel pays.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eastAsiaTheme="majorEastAsia" w:hAnsi="Times New Roman"/>
                <w:noProof/>
                <w:sz w:val="24"/>
              </w:rPr>
              <w:t>Les États membres devraient rapidement mettre en œuvre l</w:t>
            </w:r>
            <w:r>
              <w:rPr>
                <w:rFonts w:ascii="Times New Roman" w:eastAsiaTheme="majorEastAsia" w:hAnsi="Times New Roman"/>
                <w:noProof/>
                <w:sz w:val="24"/>
              </w:rPr>
              <w:t xml:space="preserve">e plan d'action de l'UE en matière de retour proposé par la Commission, en vue de l'instauration d'un régime de retour efficace au niveau de l'UE;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Les officiers de liaison «migration » européens devraient être déployés par l'UE dans onze pays tiers d'ici </w:t>
            </w:r>
            <w:r>
              <w:rPr>
                <w:rFonts w:ascii="Times New Roman" w:hAnsi="Times New Roman"/>
                <w:noProof/>
                <w:sz w:val="24"/>
              </w:rPr>
              <w:t>la fin 2015.</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Les États membres devraient soutenir le mécanisme de protection civile de l'UE au moyen de substantielles contributions.</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Les États membres devraient allouer des moyens suffisants aux opérations conjointes TRITON et POSEIDON de Frontex.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Les Ét</w:t>
            </w:r>
            <w:r>
              <w:rPr>
                <w:rFonts w:ascii="Times New Roman" w:hAnsi="Times New Roman"/>
                <w:noProof/>
                <w:sz w:val="24"/>
              </w:rPr>
              <w:t>ats membres devraient contribuer aux fonds de l'UE et les égaler pour prendre part aux efforts visant à soutenir le HCR, le Programme alimentaire mondial et d'autres organisations internationales, le Fonds d'affectation spéciale de l'UE pour la Syrie et le</w:t>
            </w:r>
            <w:r>
              <w:rPr>
                <w:rFonts w:ascii="Times New Roman" w:hAnsi="Times New Roman"/>
                <w:noProof/>
                <w:sz w:val="24"/>
              </w:rPr>
              <w:t xml:space="preserve"> Fonds d'affectation spéciale de l'UE pour l'Afrique.</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Le Parlement européen et le Conseil devraient adopter le projet de budget rectificatif pour 2016, tel que proposé par la Commission. </w:t>
            </w:r>
          </w:p>
          <w:p w:rsidR="00AE7993" w:rsidRDefault="00AB549A">
            <w:pPr>
              <w:pStyle w:val="ListParagraph"/>
              <w:numPr>
                <w:ilvl w:val="0"/>
                <w:numId w:val="11"/>
              </w:numPr>
              <w:spacing w:before="120" w:after="200"/>
              <w:ind w:left="714" w:hanging="357"/>
              <w:jc w:val="both"/>
              <w:rPr>
                <w:rStyle w:val="s9"/>
                <w:rFonts w:ascii="Times New Roman" w:hAnsi="Times New Roman" w:cs="Times New Roman"/>
                <w:noProof/>
                <w:sz w:val="24"/>
                <w:szCs w:val="24"/>
              </w:rPr>
            </w:pPr>
            <w:r>
              <w:rPr>
                <w:rFonts w:ascii="Times New Roman" w:hAnsi="Times New Roman"/>
                <w:noProof/>
                <w:sz w:val="24"/>
              </w:rPr>
              <w:t xml:space="preserve">La Commission continuera de mener des procédures d'infraction avec </w:t>
            </w:r>
            <w:r>
              <w:rPr>
                <w:rFonts w:ascii="Times New Roman" w:hAnsi="Times New Roman"/>
                <w:noProof/>
                <w:sz w:val="24"/>
              </w:rPr>
              <w:t>rapidité et efficacité, là où c'est nécessaire, afin de garantir le plein respect de l'acquis dans le domaine de l'asile et des retours.</w:t>
            </w:r>
            <w:r>
              <w:rPr>
                <w:rStyle w:val="s9"/>
                <w:rFonts w:ascii="Times New Roman" w:hAnsi="Times New Roman"/>
                <w:noProof/>
                <w:sz w:val="24"/>
              </w:rPr>
              <w:t xml:space="preserve">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Style w:val="s9"/>
                <w:rFonts w:ascii="Times New Roman" w:hAnsi="Times New Roman"/>
                <w:noProof/>
                <w:sz w:val="24"/>
              </w:rPr>
              <w:t xml:space="preserve">La Commission examinera d'ici le 30 novembre 2015 si toutes les conditions sont réunies </w:t>
            </w:r>
            <w:r>
              <w:rPr>
                <w:rFonts w:ascii="Times New Roman" w:hAnsi="Times New Roman"/>
                <w:noProof/>
                <w:sz w:val="24"/>
              </w:rPr>
              <w:t xml:space="preserve"> pour qu'elle puisse recommand</w:t>
            </w:r>
            <w:r>
              <w:rPr>
                <w:rFonts w:ascii="Times New Roman" w:hAnsi="Times New Roman"/>
                <w:noProof/>
                <w:sz w:val="24"/>
              </w:rPr>
              <w:t>er au Conseil européen, en décembre 2015 ou en mars 2016, de confirmer le rétablissement des transferts vers la Grèce au titre de Dublin</w:t>
            </w:r>
            <w:r>
              <w:rPr>
                <w:noProof/>
              </w:rPr>
              <w:t>.</w:t>
            </w:r>
            <w:r>
              <w:rPr>
                <w:rFonts w:ascii="Times New Roman" w:hAnsi="Times New Roman"/>
                <w:noProof/>
                <w:sz w:val="24"/>
              </w:rPr>
              <w:t xml:space="preserve"> </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La Commission parachèvera son avis sur la prolongation des contrôles temporaires effectués par l'Allemagne, l'Autrich</w:t>
            </w:r>
            <w:r>
              <w:rPr>
                <w:rFonts w:ascii="Times New Roman" w:hAnsi="Times New Roman"/>
                <w:noProof/>
                <w:sz w:val="24"/>
              </w:rPr>
              <w:t>e et la Slovénie, sur la base du code frontières Schengen.</w:t>
            </w:r>
          </w:p>
          <w:p w:rsidR="00AE7993" w:rsidRDefault="00AB549A">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La Commission mettra la dernière main au plan d'action avec la Turquie.</w:t>
            </w:r>
          </w:p>
        </w:tc>
      </w:tr>
    </w:tbl>
    <w:p w:rsidR="00AB549A" w:rsidRDefault="00AB549A">
      <w:pPr>
        <w:spacing w:line="240" w:lineRule="auto"/>
        <w:jc w:val="both"/>
        <w:rPr>
          <w:rFonts w:ascii="Times New Roman" w:hAnsi="Times New Roman"/>
          <w:b/>
          <w:noProof/>
          <w:sz w:val="24"/>
        </w:rPr>
      </w:pPr>
    </w:p>
    <w:p w:rsidR="00AB549A" w:rsidRDefault="00AB549A">
      <w:pPr>
        <w:rPr>
          <w:rFonts w:ascii="Times New Roman" w:hAnsi="Times New Roman"/>
          <w:b/>
          <w:noProof/>
          <w:sz w:val="24"/>
        </w:rPr>
      </w:pPr>
      <w:r>
        <w:rPr>
          <w:rFonts w:ascii="Times New Roman" w:hAnsi="Times New Roman"/>
          <w:b/>
          <w:noProof/>
          <w:sz w:val="24"/>
        </w:rPr>
        <w:br w:type="page"/>
      </w:r>
    </w:p>
    <w:p w:rsidR="00AE7993" w:rsidRDefault="00AB549A">
      <w:pPr>
        <w:spacing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t>Liste des annexes</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Annexe 1: tableau de mise en œuvre des actions prioritaires</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Annexe 2: Grèce - État des lieux au </w:t>
      </w:r>
      <w:r>
        <w:rPr>
          <w:rFonts w:ascii="Times New Roman" w:hAnsi="Times New Roman"/>
          <w:noProof/>
          <w:sz w:val="24"/>
        </w:rPr>
        <w:t>11 octobre 2015</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Annexe 3: Italie – État des lieux au 11 octobre 2015</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Annexe 4: carte des centres et zones de crise désignés en Grèce</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Annexe 5: carte des centres et zones de crise désignés en Italie </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Annexe 6: mise en œuvre du régime d’asile européen commun</w:t>
      </w:r>
      <w:r>
        <w:rPr>
          <w:rFonts w:ascii="Times New Roman" w:hAnsi="Times New Roman"/>
          <w:noProof/>
          <w:sz w:val="24"/>
        </w:rPr>
        <w:t xml:space="preserve"> </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Annexe 7: promesses financières des États membres pour répondre aux besoins en matière de migration </w:t>
      </w:r>
    </w:p>
    <w:p w:rsidR="00AE7993" w:rsidRDefault="00AB549A">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Annexe 8: soutien financier aux États membres au titre du fonds «Asile, intégration et migration» et du fonds pour la sécurité intérieure </w:t>
      </w:r>
    </w:p>
    <w:p w:rsidR="00AE7993" w:rsidRDefault="00AB549A">
      <w:pPr>
        <w:spacing w:line="240" w:lineRule="auto"/>
        <w:rPr>
          <w:rFonts w:ascii="Times New Roman" w:hAnsi="Times New Roman" w:cs="Times New Roman"/>
          <w:noProof/>
          <w:sz w:val="24"/>
          <w:szCs w:val="24"/>
        </w:rPr>
      </w:pPr>
      <w:r>
        <w:rPr>
          <w:rFonts w:ascii="Times New Roman" w:hAnsi="Times New Roman"/>
          <w:noProof/>
          <w:sz w:val="24"/>
        </w:rPr>
        <w:t>Annexe 9: fonc</w:t>
      </w:r>
      <w:r>
        <w:rPr>
          <w:rFonts w:ascii="Times New Roman" w:hAnsi="Times New Roman"/>
          <w:noProof/>
          <w:sz w:val="24"/>
        </w:rPr>
        <w:t>tionnement de l'accord de réadmission UE-Pakistan sur la période 2012-2014</w:t>
      </w:r>
    </w:p>
    <w:sectPr w:rsidR="00AE799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93" w:rsidRDefault="00AB549A">
      <w:pPr>
        <w:spacing w:after="0" w:line="240" w:lineRule="auto"/>
      </w:pPr>
      <w:r>
        <w:separator/>
      </w:r>
    </w:p>
  </w:endnote>
  <w:endnote w:type="continuationSeparator" w:id="0">
    <w:p w:rsidR="00AE7993" w:rsidRDefault="00AB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B549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29457"/>
      <w:docPartObj>
        <w:docPartGallery w:val="Page Numbers (Bottom of Page)"/>
        <w:docPartUnique/>
      </w:docPartObj>
    </w:sdtPr>
    <w:sdtEndPr>
      <w:rPr>
        <w:rFonts w:ascii="Times New Roman" w:hAnsi="Times New Roman" w:cs="Times New Roman"/>
        <w:noProof/>
      </w:rPr>
    </w:sdtEndPr>
    <w:sdtContent>
      <w:p w:rsidR="00AE7993" w:rsidRDefault="00AB549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rPr>
          <w:fldChar w:fldCharType="end"/>
        </w:r>
      </w:p>
    </w:sdtContent>
  </w:sdt>
  <w:p w:rsidR="00AE7993" w:rsidRDefault="00AE79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93" w:rsidRDefault="00AE7993">
      <w:pPr>
        <w:pStyle w:val="Footer"/>
      </w:pPr>
    </w:p>
  </w:footnote>
  <w:footnote w:type="continuationSeparator" w:id="0">
    <w:p w:rsidR="00AE7993" w:rsidRDefault="00AB549A">
      <w:pPr>
        <w:spacing w:after="0" w:line="240" w:lineRule="auto"/>
      </w:pPr>
      <w:r>
        <w:continuationSeparator/>
      </w:r>
    </w:p>
  </w:footnote>
  <w:footnote w:id="1">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Chiffres publiés par </w:t>
      </w:r>
      <w:proofErr w:type="spellStart"/>
      <w:r>
        <w:rPr>
          <w:rFonts w:ascii="Times New Roman" w:hAnsi="Times New Roman"/>
        </w:rPr>
        <w:t>Frontex</w:t>
      </w:r>
      <w:proofErr w:type="spellEnd"/>
      <w:r>
        <w:rPr>
          <w:rFonts w:ascii="Times New Roman" w:hAnsi="Times New Roman"/>
        </w:rPr>
        <w:t xml:space="preserve"> le 13 octobre 2015.</w:t>
      </w:r>
    </w:p>
  </w:footnote>
  <w:footnote w:id="2">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240 </w:t>
      </w:r>
      <w:proofErr w:type="gramStart"/>
      <w:r>
        <w:rPr>
          <w:rFonts w:ascii="Times New Roman" w:hAnsi="Times New Roman"/>
        </w:rPr>
        <w:t>final</w:t>
      </w:r>
      <w:proofErr w:type="gramEnd"/>
      <w:r>
        <w:rPr>
          <w:rFonts w:ascii="Times New Roman" w:hAnsi="Times New Roman"/>
        </w:rPr>
        <w:t>.</w:t>
      </w:r>
    </w:p>
  </w:footnote>
  <w:footnote w:id="3">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490 </w:t>
      </w:r>
      <w:proofErr w:type="gramStart"/>
      <w:r>
        <w:rPr>
          <w:rFonts w:ascii="Times New Roman" w:hAnsi="Times New Roman"/>
        </w:rPr>
        <w:t>final</w:t>
      </w:r>
      <w:proofErr w:type="gramEnd"/>
      <w:r>
        <w:rPr>
          <w:rFonts w:ascii="Times New Roman" w:hAnsi="Times New Roman"/>
        </w:rPr>
        <w:t>.</w:t>
      </w:r>
    </w:p>
  </w:footnote>
  <w:footnote w:id="4">
    <w:p w:rsidR="00AE7993" w:rsidRDefault="00AB549A">
      <w:pPr>
        <w:pStyle w:val="FootnoteText"/>
        <w:spacing w:line="20" w:lineRule="atLeast"/>
        <w:jc w:val="both"/>
        <w:rPr>
          <w:rFonts w:ascii="Times New Roman" w:hAnsi="Times New Roman" w:cs="Times New Roman"/>
        </w:rPr>
      </w:pPr>
      <w:r>
        <w:rPr>
          <w:rStyle w:val="FootnoteReference"/>
        </w:rPr>
        <w:footnoteRef/>
      </w:r>
      <w:r>
        <w:t xml:space="preserve"> </w:t>
      </w:r>
      <w:r>
        <w:rPr>
          <w:rFonts w:ascii="Times New Roman" w:hAnsi="Times New Roman"/>
        </w:rPr>
        <w:t xml:space="preserve">Le texte de la déclaration peut être </w:t>
      </w:r>
      <w:r>
        <w:rPr>
          <w:rFonts w:ascii="Times New Roman" w:hAnsi="Times New Roman"/>
        </w:rPr>
        <w:t>consulté à l'adresse suivante:</w:t>
      </w:r>
      <w:r>
        <w:t xml:space="preserve"> </w:t>
      </w:r>
      <w:hyperlink r:id="rId1">
        <w:r>
          <w:rPr>
            <w:rStyle w:val="Hyperlink"/>
            <w:rFonts w:ascii="Times New Roman" w:hAnsi="Times New Roman"/>
          </w:rPr>
          <w:t>http://www.consilium.europa.eu/fr/press/press-releases/2015/09/23-statement-informal-meeting/</w:t>
        </w:r>
      </w:hyperlink>
      <w:r>
        <w:rPr>
          <w:rFonts w:ascii="Times New Roman" w:hAnsi="Times New Roman"/>
        </w:rPr>
        <w:t>.</w:t>
      </w:r>
    </w:p>
    <w:p w:rsidR="00AE7993" w:rsidRDefault="00AE7993">
      <w:pPr>
        <w:pStyle w:val="FootnoteText"/>
      </w:pPr>
    </w:p>
  </w:footnote>
  <w:footnote w:id="5">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 zone de cr</w:t>
      </w:r>
      <w:r>
        <w:rPr>
          <w:rFonts w:ascii="Times New Roman" w:hAnsi="Times New Roman"/>
        </w:rPr>
        <w:t>ise est une section de la frontière extérieure de l'UE ou une région soumise à une pression migratoire exceptionnelle nécessitant une aide renforcée et concertée des agences de l'UE.</w:t>
      </w:r>
    </w:p>
  </w:footnote>
  <w:footnote w:id="6">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représentants de ces agences travaillent ensemble et partagent les mêmes bureaux, situés dans des ports ou des centres d'accueil spécifiques. Ils coordonnent l'aide fournie par l'UE aux autorités nationales en matière d'identification, d'enregistremen</w:t>
      </w:r>
      <w:r>
        <w:rPr>
          <w:rFonts w:ascii="Times New Roman" w:hAnsi="Times New Roman"/>
        </w:rPr>
        <w:t xml:space="preserve">t et de retour, ainsi que la collecte, le partage et l'analyse d'informations et de renseignements à l'appui des enquêtes judiciaires portant sur les réseaux de trafiquants. </w:t>
      </w:r>
    </w:p>
  </w:footnote>
  <w:footnote w:id="7">
    <w:p w:rsidR="00AE7993" w:rsidRDefault="00AB549A">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L'Autriche, la Belgique, l'Espagne, les Pays-Bas, la Roumanie et la Slovaquie.</w:t>
      </w:r>
    </w:p>
  </w:footnote>
  <w:footnote w:id="8">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Belgique, la Lituanie, le Portugal, la République tchèque, la Roumanie et la Suède.</w:t>
      </w:r>
    </w:p>
  </w:footnote>
  <w:footnote w:id="9">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w:t>
      </w:r>
      <w:proofErr w:type="spellStart"/>
      <w:r>
        <w:rPr>
          <w:rFonts w:ascii="Times New Roman" w:hAnsi="Times New Roman"/>
        </w:rPr>
        <w:t>task</w:t>
      </w:r>
      <w:proofErr w:type="spellEnd"/>
      <w:r>
        <w:rPr>
          <w:rFonts w:ascii="Times New Roman" w:hAnsi="Times New Roman"/>
        </w:rPr>
        <w:t xml:space="preserve"> force associe </w:t>
      </w:r>
      <w:proofErr w:type="spellStart"/>
      <w:r>
        <w:rPr>
          <w:rFonts w:ascii="Times New Roman" w:hAnsi="Times New Roman"/>
        </w:rPr>
        <w:t>Frontex</w:t>
      </w:r>
      <w:proofErr w:type="spellEnd"/>
      <w:r>
        <w:rPr>
          <w:rFonts w:ascii="Times New Roman" w:hAnsi="Times New Roman"/>
        </w:rPr>
        <w:t>, l'EASO, Europol, l'opération navale de l'UE EU NAVFORMED-SOPHIA et les autorités italiennes.</w:t>
      </w:r>
    </w:p>
  </w:footnote>
  <w:footnote w:id="10">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une installation temporair</w:t>
      </w:r>
      <w:r>
        <w:rPr>
          <w:rFonts w:ascii="Times New Roman" w:hAnsi="Times New Roman"/>
        </w:rPr>
        <w:t>e pouvant recevoir de 300 à 400 personnes sera ouverte à Kos d'ici la fin de l'année.</w:t>
      </w:r>
    </w:p>
  </w:footnote>
  <w:footnote w:id="11">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(UE) 2015/1523 du Conseil du 14 septembre 2015 instituant des mesures provisoires en matière de protection internationale au profit de l'Italie et de la Grèce </w:t>
      </w:r>
      <w:r>
        <w:rPr>
          <w:rFonts w:ascii="Times New Roman" w:hAnsi="Times New Roman"/>
        </w:rPr>
        <w:t>(JO L 239 du 15.9.2015, p. 146).</w:t>
      </w:r>
    </w:p>
  </w:footnote>
  <w:footnote w:id="12">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(UE) 2015/1601 du Conseil du 22 septembre 2015 instituant des mesures provisoires en matière de protection internationale au profit de l'Italie et de la Grèce (JO L 248 du 24.9.2015, p. 80).</w:t>
      </w:r>
    </w:p>
  </w:footnote>
  <w:footnote w:id="13">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L'Allemagne, l'Autr</w:t>
      </w:r>
      <w:r>
        <w:rPr>
          <w:rFonts w:ascii="Times New Roman" w:hAnsi="Times New Roman"/>
        </w:rPr>
        <w:t>iche, la Belgique, la Bulgarie, Chypre, la Croatie, l'Espagne, la Finlande, la France, la Grèce, la Hongrie, l'Italie, la Lettonie, le Luxembourg, Malte, la Pologne, le Portugal, la Roumanie, la Slovaquie, la Slovénie et la Suède.</w:t>
      </w:r>
    </w:p>
  </w:footnote>
  <w:footnote w:id="14">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L'Allemagne, l'Autriche</w:t>
      </w:r>
      <w:r>
        <w:rPr>
          <w:rFonts w:ascii="Times New Roman" w:hAnsi="Times New Roman"/>
        </w:rPr>
        <w:t>, la Belgique, Chypre, la Croatie, l'Espagne, l'Estonie, la Finlande, la France, l'Irlande, la Lettonie, la Lituanie, le Luxembourg, Malte, les Pays-Bas, la Pologne, le Portugal, la République tchèque, la Roumanie, la Slovaquie et la Suède vers l'Italie et</w:t>
      </w:r>
      <w:r>
        <w:rPr>
          <w:rFonts w:ascii="Times New Roman" w:hAnsi="Times New Roman"/>
        </w:rPr>
        <w:t xml:space="preserve"> la Slovénie vers l'Italie et la Grèce.</w:t>
      </w:r>
    </w:p>
  </w:footnote>
  <w:footnote w:id="15">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L'Allemagne, l'Autriche, l'Espagne, la France, le Luxembourg et  la Suède.</w:t>
      </w:r>
    </w:p>
  </w:footnote>
  <w:footnote w:id="16">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programme adopté le 20 juillet 2015 a déjà permis la réinstallation de 132 Syriens qui avaient trouvé refuge dans des pays voisins de </w:t>
      </w:r>
      <w:r>
        <w:rPr>
          <w:rFonts w:ascii="Times New Roman" w:hAnsi="Times New Roman"/>
        </w:rPr>
        <w:t xml:space="preserve">la Syrie; 16 d'entre eux ont été réinstallés en République tchèque, 96 en Italie et 20 au Liechtenstein. </w:t>
      </w:r>
    </w:p>
  </w:footnote>
  <w:footnote w:id="17">
    <w:p w:rsidR="00AE7993" w:rsidRDefault="00AB549A">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453 </w:t>
      </w:r>
      <w:proofErr w:type="gramStart"/>
      <w:r>
        <w:rPr>
          <w:rFonts w:ascii="Times New Roman" w:hAnsi="Times New Roman"/>
        </w:rPr>
        <w:t>final</w:t>
      </w:r>
      <w:proofErr w:type="gramEnd"/>
      <w:r>
        <w:rPr>
          <w:rFonts w:ascii="Times New Roman" w:hAnsi="Times New Roman"/>
        </w:rPr>
        <w:t>.</w:t>
      </w:r>
    </w:p>
  </w:footnote>
  <w:footnote w:id="18">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du 8 octobre 2015: «Il ne sera pas possible de mener avec succès des opérations de retour sans la coop</w:t>
      </w:r>
      <w:r>
        <w:rPr>
          <w:rFonts w:ascii="Times New Roman" w:hAnsi="Times New Roman"/>
        </w:rPr>
        <w:t>ération des pays d'origine et de transit. À court terme, l'UE explorera les synergies de sa diplomatie sur le terrain, par l'intermédiaire de ses délégations, et notamment des officiers de liaison “migration” européens, qui seront déployés d'ici la fin 201</w:t>
      </w:r>
      <w:r>
        <w:rPr>
          <w:rFonts w:ascii="Times New Roman" w:hAnsi="Times New Roman"/>
        </w:rPr>
        <w:t>5 en Égypte, au Maroc, au Liban, au Niger, au Nigeria, au Sénégal, au Pakistan, en Serbie, en Éthiopie, en Tunisie, au Soudan, en Turquie et en Jordanie.»</w:t>
      </w:r>
    </w:p>
  </w:footnote>
  <w:footnote w:id="19">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mécanisme peut mobiliser diverses formes d'aide en nature, y compris de l'expertise, des équipem</w:t>
      </w:r>
      <w:r>
        <w:rPr>
          <w:rFonts w:ascii="Times New Roman" w:hAnsi="Times New Roman"/>
        </w:rPr>
        <w:t>ents, des abris et des fournitures médicales.</w:t>
      </w:r>
    </w:p>
  </w:footnote>
  <w:footnote w:id="20">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Belgique, Chypre, Finlande, Lettonie, Lituanie, République tchèque, Slovaquie, Suède.</w:t>
      </w:r>
    </w:p>
  </w:footnote>
  <w:footnote w:id="21">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demandes sont maintenant clôturées.</w:t>
      </w:r>
    </w:p>
  </w:footnote>
  <w:footnote w:id="22">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Cette demande est toujours en cours.</w:t>
      </w:r>
    </w:p>
  </w:footnote>
  <w:footnote w:id="23">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Allemagne, Bulgarie, Danemark, Espagne, France, Grèce, Lettonie, Malte, Norvège, Pays-Bas, Pologne, Portugal, République tchèque, Roumanie et Royaume-Uni dans le cas de TRITON, Allemagne, Belgique, Croatie, Danemark, Espagne, Finlande, France, Italie, Let</w:t>
      </w:r>
      <w:r>
        <w:rPr>
          <w:rFonts w:ascii="Times New Roman" w:hAnsi="Times New Roman"/>
        </w:rPr>
        <w:t>tonie, Norvège, Pays-Bas, Pologne, Portugal, République tchèque, Roumanie, Royaume-Uni et Suède dans le cas de POSEIDON.</w:t>
      </w:r>
    </w:p>
  </w:footnote>
  <w:footnote w:id="24">
    <w:p w:rsidR="00AE7993" w:rsidRDefault="00AB549A">
      <w:pPr>
        <w:pStyle w:val="FootnoteText"/>
      </w:pPr>
      <w:r>
        <w:rPr>
          <w:rStyle w:val="FootnoteReference"/>
          <w:rFonts w:ascii="Times New Roman" w:hAnsi="Times New Roman"/>
        </w:rPr>
        <w:footnoteRef/>
      </w:r>
      <w:r>
        <w:rPr>
          <w:rFonts w:ascii="Times New Roman" w:hAnsi="Times New Roman"/>
        </w:rPr>
        <w:t xml:space="preserve"> Quatre États membres - Royaume-Uni, Allemagne, Pays-Bas et Suède - comptent parmi les dix donateurs les plus généreux du Programme al</w:t>
      </w:r>
      <w:r>
        <w:rPr>
          <w:rFonts w:ascii="Times New Roman" w:hAnsi="Times New Roman"/>
        </w:rPr>
        <w:t>imentaire mondial en 2015 (source: Programme alimentaire mondial, 6 octobre 2015).</w:t>
      </w:r>
    </w:p>
  </w:footnote>
  <w:footnote w:id="25">
    <w:p w:rsidR="00AE7993" w:rsidRDefault="00AB549A">
      <w:pPr>
        <w:spacing w:after="0" w:line="20" w:lineRule="atLeast"/>
        <w:jc w:val="both"/>
      </w:pPr>
      <w:r>
        <w:rPr>
          <w:rStyle w:val="FootnoteReference"/>
          <w:rFonts w:ascii="Times New Roman" w:hAnsi="Times New Roman"/>
          <w:sz w:val="20"/>
        </w:rPr>
        <w:footnoteRef/>
      </w:r>
      <w:r>
        <w:rPr>
          <w:rFonts w:ascii="Times New Roman" w:hAnsi="Times New Roman"/>
          <w:sz w:val="20"/>
        </w:rPr>
        <w:t xml:space="preserve"> Allemagne, Chypre, Espagne, Finlande, Italie, Lettonie, Luxembourg, Pologne, République tchèque et Royaume-Uni.</w:t>
      </w:r>
    </w:p>
  </w:footnote>
  <w:footnote w:id="26">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Belgique, Danemark, France, Italie, Malte et Royaume-Uni.</w:t>
      </w:r>
    </w:p>
  </w:footnote>
  <w:footnote w:id="27">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Autriche, Finlande, Pays-Bas et Suède.</w:t>
      </w:r>
    </w:p>
  </w:footnote>
  <w:footnote w:id="28">
    <w:p w:rsidR="00AE7993" w:rsidRDefault="00AB549A">
      <w:pPr>
        <w:pStyle w:val="FootnoteText"/>
      </w:pPr>
      <w:r>
        <w:rPr>
          <w:rStyle w:val="FootnoteReference"/>
          <w:rFonts w:ascii="Times New Roman" w:hAnsi="Times New Roman"/>
        </w:rPr>
        <w:footnoteRef/>
      </w:r>
      <w:r>
        <w:rPr>
          <w:rFonts w:ascii="Times New Roman" w:hAnsi="Times New Roman"/>
        </w:rPr>
        <w:t xml:space="preserve"> Estonie, Grèce, Lettonie et République tchèque.</w:t>
      </w:r>
    </w:p>
  </w:footnote>
  <w:footnote w:id="29">
    <w:p w:rsidR="00AE7993" w:rsidRDefault="00AB549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Norvège et Suisse.</w:t>
      </w:r>
    </w:p>
  </w:footnote>
  <w:footnote w:id="30">
    <w:p w:rsidR="00AE7993" w:rsidRDefault="00AB549A">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Italie.</w:t>
      </w:r>
    </w:p>
  </w:footnote>
  <w:footnote w:id="31">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JOIN(2015) 40 du 9 septembre 2015</w:t>
      </w:r>
    </w:p>
  </w:footnote>
  <w:footnote w:id="32">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document peut être consulté via le lien suivant: http://www.consilium.europa.eu/en/press/press-releases/2015/10/08-western-balkans-route-conference-declaration/</w:t>
      </w:r>
    </w:p>
  </w:footnote>
  <w:footnote w:id="33">
    <w:p w:rsidR="00AE7993" w:rsidRDefault="00AB549A">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285 </w:t>
      </w:r>
      <w:proofErr w:type="gramStart"/>
      <w:r>
        <w:rPr>
          <w:rFonts w:ascii="Times New Roman" w:hAnsi="Times New Roman"/>
        </w:rPr>
        <w:t>final</w:t>
      </w:r>
      <w:proofErr w:type="gramEnd"/>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93" w:rsidRDefault="00AE7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D71"/>
    <w:multiLevelType w:val="hybridMultilevel"/>
    <w:tmpl w:val="7ED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C93794"/>
    <w:multiLevelType w:val="hybridMultilevel"/>
    <w:tmpl w:val="85D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ED3C37"/>
    <w:multiLevelType w:val="hybridMultilevel"/>
    <w:tmpl w:val="0A82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C24676"/>
    <w:multiLevelType w:val="hybridMultilevel"/>
    <w:tmpl w:val="DE9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417D1C"/>
    <w:multiLevelType w:val="hybridMultilevel"/>
    <w:tmpl w:val="F806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27614"/>
    <w:multiLevelType w:val="hybridMultilevel"/>
    <w:tmpl w:val="E9E6A5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F3838"/>
    <w:multiLevelType w:val="hybridMultilevel"/>
    <w:tmpl w:val="D74C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841D4"/>
    <w:multiLevelType w:val="hybridMultilevel"/>
    <w:tmpl w:val="3B86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5560CC"/>
    <w:multiLevelType w:val="hybridMultilevel"/>
    <w:tmpl w:val="BED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2B001D"/>
    <w:multiLevelType w:val="hybridMultilevel"/>
    <w:tmpl w:val="0834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1"/>
  </w:num>
  <w:num w:numId="6">
    <w:abstractNumId w:val="4"/>
  </w:num>
  <w:num w:numId="7">
    <w:abstractNumId w:val="5"/>
  </w:num>
  <w:num w:numId="8">
    <w:abstractNumId w:val="8"/>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00998FF34094D61BCE31C8901251768"/>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0"/>
    <w:docVar w:name="LW_REF.INTERNE" w:val="&lt;UNUSED&gt;"/>
    <w:docVar w:name="LW_SOUS.TITRE.OBJ.CP" w:val="&lt;UNUSED&gt;"/>
    <w:docVar w:name="LW_SUPERTITRE" w:val="&lt;UNUSED&gt;"/>
    <w:docVar w:name="LW_TITRE.OBJ.CP" w:val="Gestion de la crise des réfugiés: état d'avancement de la mise en \u339?uvre des actions prioritaires prévues par l'agenda européen en matière de migration_x000b_ "/>
    <w:docVar w:name="LW_TYPE.DOC.CP" w:val="COMMUNICATION DE LA COMMISSION AU PARLEMENT EUROPÉEN, AU CONSEIL EUROPÉEN ET AU CONSEIL"/>
  </w:docVars>
  <w:rsids>
    <w:rsidRoot w:val="00AE7993"/>
    <w:rsid w:val="00AB549A"/>
    <w:rsid w:val="00AE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s9">
    <w:name w:val="s9"/>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s9">
    <w:name w:val="s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897">
      <w:bodyDiv w:val="1"/>
      <w:marLeft w:val="0"/>
      <w:marRight w:val="0"/>
      <w:marTop w:val="0"/>
      <w:marBottom w:val="0"/>
      <w:divBdr>
        <w:top w:val="none" w:sz="0" w:space="0" w:color="auto"/>
        <w:left w:val="none" w:sz="0" w:space="0" w:color="auto"/>
        <w:bottom w:val="none" w:sz="0" w:space="0" w:color="auto"/>
        <w:right w:val="none" w:sz="0" w:space="0" w:color="auto"/>
      </w:divBdr>
    </w:div>
    <w:div w:id="466162581">
      <w:bodyDiv w:val="1"/>
      <w:marLeft w:val="0"/>
      <w:marRight w:val="0"/>
      <w:marTop w:val="0"/>
      <w:marBottom w:val="0"/>
      <w:divBdr>
        <w:top w:val="none" w:sz="0" w:space="0" w:color="auto"/>
        <w:left w:val="none" w:sz="0" w:space="0" w:color="auto"/>
        <w:bottom w:val="none" w:sz="0" w:space="0" w:color="auto"/>
        <w:right w:val="none" w:sz="0" w:space="0" w:color="auto"/>
      </w:divBdr>
    </w:div>
    <w:div w:id="809520504">
      <w:bodyDiv w:val="1"/>
      <w:marLeft w:val="0"/>
      <w:marRight w:val="0"/>
      <w:marTop w:val="0"/>
      <w:marBottom w:val="0"/>
      <w:divBdr>
        <w:top w:val="none" w:sz="0" w:space="0" w:color="auto"/>
        <w:left w:val="none" w:sz="0" w:space="0" w:color="auto"/>
        <w:bottom w:val="none" w:sz="0" w:space="0" w:color="auto"/>
        <w:right w:val="none" w:sz="0" w:space="0" w:color="auto"/>
      </w:divBdr>
    </w:div>
    <w:div w:id="1477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fr/press/press-releases/2015/09/23-statement-inform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FA2C-9D4E-436F-9262-1CC2FF51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7995</Words>
  <Characters>43576</Characters>
  <Application>Microsoft Office Word</Application>
  <DocSecurity>0</DocSecurity>
  <Lines>1037</Lines>
  <Paragraphs>579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26</cp:revision>
  <cp:lastPrinted>2015-10-13T17:06:00Z</cp:lastPrinted>
  <dcterms:created xsi:type="dcterms:W3CDTF">2015-10-14T09:44:00Z</dcterms:created>
  <dcterms:modified xsi:type="dcterms:W3CDTF">2015-10-20T12:04:00Z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