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B56E47DDB6B44D2BB7F66D15DF925E6" style="width:450.45pt;height:406.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xmsonormal"/>
        <w:jc w:val="center"/>
        <w:rPr>
          <w:b/>
          <w:noProof/>
          <w:sz w:val="20"/>
          <w:szCs w:val="20"/>
        </w:rPr>
      </w:pPr>
      <w:bookmarkStart w:id="1" w:name="_GoBack"/>
      <w:bookmarkEnd w:id="1"/>
    </w:p>
    <w:p>
      <w:pPr>
        <w:pStyle w:val="xmsonormal"/>
        <w:jc w:val="center"/>
        <w:rPr>
          <w:b/>
          <w:noProof/>
          <w:sz w:val="20"/>
          <w:szCs w:val="20"/>
        </w:rPr>
      </w:pPr>
    </w:p>
    <w:p>
      <w:pPr>
        <w:pStyle w:val="xmsonormal"/>
        <w:jc w:val="center"/>
        <w:rPr>
          <w:b/>
          <w:noProof/>
          <w:sz w:val="20"/>
          <w:szCs w:val="20"/>
        </w:rPr>
      </w:pPr>
      <w:r>
        <w:rPr>
          <w:b/>
          <w:noProof/>
          <w:sz w:val="20"/>
        </w:rPr>
        <w:t>Annexe 7: promesses financières des États membres depuis le 23 septembre 2015, en millions d'euros</w:t>
      </w:r>
    </w:p>
    <w:p>
      <w:pPr>
        <w:pStyle w:val="xmsonormal"/>
        <w:jc w:val="center"/>
        <w:rPr>
          <w:b/>
          <w:noProof/>
          <w:sz w:val="20"/>
          <w:szCs w:val="20"/>
        </w:rPr>
      </w:pPr>
    </w:p>
    <w:tbl>
      <w:tblPr>
        <w:tblStyle w:val="TableGrid"/>
        <w:tblW w:w="0" w:type="auto"/>
        <w:tblInd w:w="1593" w:type="dxa"/>
        <w:tblLayout w:type="fixed"/>
        <w:tblLook w:val="04A0" w:firstRow="1" w:lastRow="0" w:firstColumn="1" w:lastColumn="0" w:noHBand="0" w:noVBand="1"/>
      </w:tblPr>
      <w:tblGrid>
        <w:gridCol w:w="1492"/>
        <w:gridCol w:w="992"/>
        <w:gridCol w:w="1276"/>
        <w:gridCol w:w="1276"/>
        <w:gridCol w:w="1276"/>
        <w:gridCol w:w="708"/>
        <w:gridCol w:w="851"/>
        <w:gridCol w:w="850"/>
      </w:tblGrid>
      <w:tr>
        <w:tc>
          <w:tcPr>
            <w:tcW w:w="1492" w:type="dxa"/>
            <w:vMerge w:val="restart"/>
            <w:tcBorders>
              <w:top w:val="single" w:sz="4" w:space="0" w:color="auto"/>
              <w:left w:val="single" w:sz="4" w:space="0" w:color="auto"/>
              <w:bottom w:val="single" w:sz="6" w:space="0" w:color="auto"/>
              <w:right w:val="single" w:sz="6" w:space="0" w:color="auto"/>
            </w:tcBorders>
          </w:tcPr>
          <w:p>
            <w:pPr>
              <w:rPr>
                <w:rFonts w:ascii="Times New Roman" w:hAnsi="Times New Roman" w:cs="Times New Roman"/>
                <w:b/>
                <w:noProof/>
                <w:sz w:val="18"/>
                <w:szCs w:val="18"/>
              </w:rPr>
            </w:pPr>
          </w:p>
        </w:tc>
        <w:tc>
          <w:tcPr>
            <w:tcW w:w="992" w:type="dxa"/>
            <w:vMerge w:val="restart"/>
            <w:tcBorders>
              <w:top w:val="single" w:sz="4"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État membre</w:t>
            </w:r>
          </w:p>
        </w:tc>
        <w:tc>
          <w:tcPr>
            <w:tcW w:w="1276" w:type="dxa"/>
            <w:vMerge w:val="restart"/>
            <w:tcBorders>
              <w:top w:val="single" w:sz="4"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 xml:space="preserve">Fonds pour le redressement de la Syrie </w:t>
            </w:r>
          </w:p>
        </w:tc>
        <w:tc>
          <w:tcPr>
            <w:tcW w:w="1276"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Times New Roman" w:hAnsi="Times New Roman" w:cs="Times New Roman"/>
                <w:b/>
                <w:noProof/>
                <w:sz w:val="18"/>
                <w:szCs w:val="18"/>
              </w:rPr>
            </w:pPr>
          </w:p>
          <w:p>
            <w:pPr>
              <w:jc w:val="center"/>
              <w:rPr>
                <w:rFonts w:ascii="Times New Roman" w:hAnsi="Times New Roman" w:cs="Times New Roman"/>
                <w:b/>
                <w:noProof/>
                <w:sz w:val="18"/>
                <w:szCs w:val="18"/>
              </w:rPr>
            </w:pPr>
            <w:r>
              <w:rPr>
                <w:rFonts w:ascii="Times New Roman" w:hAnsi="Times New Roman"/>
                <w:b/>
                <w:noProof/>
                <w:sz w:val="18"/>
              </w:rPr>
              <w:t>Fonds d'affectation spéciale pour l'Afrique</w:t>
            </w:r>
          </w:p>
          <w:p>
            <w:pPr>
              <w:jc w:val="center"/>
              <w:rPr>
                <w:rFonts w:ascii="Times New Roman" w:hAnsi="Times New Roman" w:cs="Times New Roman"/>
                <w:b/>
                <w:noProof/>
                <w:sz w:val="18"/>
                <w:szCs w:val="18"/>
              </w:rPr>
            </w:pPr>
          </w:p>
        </w:tc>
        <w:tc>
          <w:tcPr>
            <w:tcW w:w="2835" w:type="dxa"/>
            <w:gridSpan w:val="3"/>
            <w:tcBorders>
              <w:top w:val="single" w:sz="4" w:space="0" w:color="auto"/>
              <w:left w:val="single" w:sz="6" w:space="0" w:color="auto"/>
              <w:bottom w:val="single" w:sz="6" w:space="0" w:color="auto"/>
              <w:right w:val="single" w:sz="6" w:space="0" w:color="auto"/>
            </w:tcBorders>
            <w:vAlign w:val="center"/>
          </w:tcPr>
          <w:p>
            <w:pPr>
              <w:jc w:val="center"/>
              <w:rPr>
                <w:rFonts w:ascii="Times New Roman" w:hAnsi="Times New Roman" w:cs="Times New Roman"/>
                <w:b/>
                <w:noProof/>
                <w:sz w:val="18"/>
                <w:szCs w:val="18"/>
              </w:rPr>
            </w:pPr>
            <w:r>
              <w:rPr>
                <w:rFonts w:ascii="Times New Roman" w:hAnsi="Times New Roman"/>
                <w:b/>
                <w:noProof/>
                <w:sz w:val="18"/>
              </w:rPr>
              <w:t>Aide humanitaire promise depuis le 23 septembre 2015</w:t>
            </w:r>
          </w:p>
        </w:tc>
        <w:tc>
          <w:tcPr>
            <w:tcW w:w="850"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Times New Roman" w:hAnsi="Times New Roman" w:cs="Times New Roman"/>
                <w:b/>
                <w:noProof/>
                <w:sz w:val="18"/>
                <w:szCs w:val="18"/>
              </w:rPr>
            </w:pPr>
            <w:r>
              <w:rPr>
                <w:rFonts w:ascii="Times New Roman" w:hAnsi="Times New Roman"/>
                <w:b/>
                <w:noProof/>
                <w:sz w:val="18"/>
              </w:rPr>
              <w:t>Total</w:t>
            </w:r>
          </w:p>
        </w:tc>
      </w:tr>
      <w:tr>
        <w:tc>
          <w:tcPr>
            <w:tcW w:w="1492" w:type="dxa"/>
            <w:vMerge/>
            <w:tcBorders>
              <w:top w:val="single" w:sz="6" w:space="0" w:color="auto"/>
              <w:left w:val="single" w:sz="4" w:space="0" w:color="auto"/>
              <w:bottom w:val="single" w:sz="6" w:space="0" w:color="auto"/>
              <w:right w:val="single" w:sz="6" w:space="0" w:color="auto"/>
            </w:tcBorders>
            <w:vAlign w:val="center"/>
          </w:tcPr>
          <w:p>
            <w:pPr>
              <w:rPr>
                <w:rFonts w:ascii="Times New Roman" w:hAnsi="Times New Roman" w:cs="Times New Roman"/>
                <w:b/>
                <w:noProof/>
                <w:sz w:val="20"/>
                <w:szCs w:val="2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pPr>
              <w:rPr>
                <w:rFonts w:ascii="Times New Roman" w:hAnsi="Times New Roman" w:cs="Times New Roman"/>
                <w:b/>
                <w:noProof/>
                <w:sz w:val="20"/>
                <w:szCs w:val="20"/>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pPr>
              <w:rPr>
                <w:rFonts w:ascii="Times New Roman" w:hAnsi="Times New Roman" w:cs="Times New Roman"/>
                <w:b/>
                <w:noProof/>
                <w:sz w:val="20"/>
                <w:szCs w:val="20"/>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pPr>
              <w:rPr>
                <w:rFonts w:ascii="Times New Roman" w:hAnsi="Times New Roman" w:cs="Times New Roman"/>
                <w:b/>
                <w:noProof/>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Times New Roman" w:hAnsi="Times New Roman" w:cs="Times New Roman"/>
                <w:b/>
                <w:noProof/>
                <w:sz w:val="18"/>
                <w:szCs w:val="18"/>
              </w:rPr>
            </w:pPr>
            <w:r>
              <w:rPr>
                <w:rFonts w:ascii="Times New Roman" w:hAnsi="Times New Roman"/>
                <w:b/>
                <w:noProof/>
                <w:sz w:val="18"/>
              </w:rPr>
              <w:t>Programme alimentaire mondial</w:t>
            </w:r>
          </w:p>
        </w:tc>
        <w:tc>
          <w:tcPr>
            <w:tcW w:w="708" w:type="dxa"/>
            <w:tcBorders>
              <w:top w:val="single" w:sz="6"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HCR</w:t>
            </w:r>
          </w:p>
        </w:tc>
        <w:tc>
          <w:tcPr>
            <w:tcW w:w="851" w:type="dxa"/>
            <w:tcBorders>
              <w:top w:val="single" w:sz="6"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Autres</w:t>
            </w:r>
          </w:p>
        </w:tc>
        <w:tc>
          <w:tcPr>
            <w:tcW w:w="850" w:type="dxa"/>
            <w:vMerge/>
            <w:tcBorders>
              <w:top w:val="single" w:sz="6" w:space="0" w:color="auto"/>
              <w:left w:val="single" w:sz="6" w:space="0" w:color="auto"/>
              <w:bottom w:val="single" w:sz="6" w:space="0" w:color="auto"/>
              <w:right w:val="single" w:sz="6" w:space="0" w:color="auto"/>
            </w:tcBorders>
          </w:tcPr>
          <w:p>
            <w:pPr>
              <w:rPr>
                <w:rFonts w:ascii="Times New Roman" w:hAnsi="Times New Roman" w:cs="Times New Roman"/>
                <w:noProof/>
                <w:sz w:val="20"/>
                <w:szCs w:val="20"/>
              </w:rPr>
            </w:pP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0,02    </w:t>
            </w:r>
          </w:p>
        </w:tc>
        <w:tc>
          <w:tcPr>
            <w:tcW w:w="708"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0,02    </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CZ</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sz w:val="20"/>
                <w:szCs w:val="20"/>
              </w:rPr>
            </w:pPr>
            <w:r>
              <w:rPr>
                <w:rFonts w:ascii="Times New Roman" w:hAnsi="Times New Roman"/>
                <w:noProof/>
                <w:sz w:val="20"/>
              </w:rPr>
              <w:t>0,20</w:t>
            </w:r>
          </w:p>
        </w:tc>
        <w:tc>
          <w:tcPr>
            <w:tcW w:w="708"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0,20</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DE</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5,00</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3,00</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sz w:val="20"/>
                <w:szCs w:val="20"/>
              </w:rPr>
            </w:pPr>
            <w:r>
              <w:rPr>
                <w:rFonts w:ascii="Times New Roman" w:hAnsi="Times New Roman"/>
                <w:noProof/>
                <w:sz w:val="20"/>
              </w:rPr>
              <w:t>40,00</w:t>
            </w:r>
          </w:p>
        </w:tc>
        <w:tc>
          <w:tcPr>
            <w:tcW w:w="708"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r>
              <w:rPr>
                <w:rFonts w:ascii="Times New Roman" w:hAnsi="Times New Roman"/>
                <w:noProof/>
                <w:sz w:val="20"/>
              </w:rPr>
              <w:t>60,00</w:t>
            </w: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108,00</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ES</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3,00</w:t>
            </w:r>
          </w:p>
        </w:tc>
        <w:tc>
          <w:tcPr>
            <w:tcW w:w="2835" w:type="dxa"/>
            <w:gridSpan w:val="3"/>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color w:val="FF0000"/>
                <w:sz w:val="20"/>
                <w:szCs w:val="20"/>
              </w:rPr>
            </w:pPr>
            <w:r>
              <w:rPr>
                <w:rFonts w:ascii="Times New Roman" w:hAnsi="Times New Roman"/>
                <w:noProof/>
                <w:sz w:val="20"/>
              </w:rPr>
              <w:t>3,50</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6,50</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FI</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708"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7,60    </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7,60    </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IT</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3,00   </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1,00    </w:t>
            </w:r>
          </w:p>
        </w:tc>
        <w:tc>
          <w:tcPr>
            <w:tcW w:w="708"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22,21    </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26,21    </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tbl>
            <w:tblPr>
              <w:tblStyle w:val="TableGrid"/>
              <w:tblW w:w="0" w:type="auto"/>
              <w:tblInd w:w="1593" w:type="dxa"/>
              <w:tblLayout w:type="fixed"/>
              <w:tblLook w:val="04A0" w:firstRow="1" w:lastRow="0" w:firstColumn="1" w:lastColumn="0" w:noHBand="0" w:noVBand="1"/>
            </w:tblPr>
            <w:tblGrid>
              <w:gridCol w:w="1350"/>
              <w:gridCol w:w="993"/>
              <w:gridCol w:w="708"/>
              <w:gridCol w:w="709"/>
              <w:gridCol w:w="1228"/>
              <w:gridCol w:w="1229"/>
              <w:gridCol w:w="1229"/>
              <w:gridCol w:w="1275"/>
            </w:tblGrid>
            <w:tr>
              <w:trPr>
                <w:trHeight w:val="269"/>
              </w:trPr>
              <w:tc>
                <w:tcPr>
                  <w:tcW w:w="1350"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sz w:val="20"/>
                      <w:szCs w:val="20"/>
                    </w:rPr>
                  </w:pPr>
                </w:p>
              </w:tc>
              <w:tc>
                <w:tcPr>
                  <w:tcW w:w="1229"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1229"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p>
              </w:tc>
            </w:tr>
          </w:tbl>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LU</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3,00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0,20    </w:t>
            </w:r>
          </w:p>
        </w:tc>
        <w:tc>
          <w:tcPr>
            <w:tcW w:w="708"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0,10    </w:t>
            </w: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0,76    </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4,06    </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LV</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0,05</w:t>
            </w:r>
          </w:p>
        </w:tc>
        <w:tc>
          <w:tcPr>
            <w:tcW w:w="708"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0,05</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PL</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1,00    </w:t>
            </w:r>
          </w:p>
        </w:tc>
        <w:tc>
          <w:tcPr>
            <w:tcW w:w="708"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1,00    </w:t>
            </w:r>
          </w:p>
        </w:tc>
        <w:tc>
          <w:tcPr>
            <w:tcW w:w="851"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2,00    </w:t>
            </w:r>
          </w:p>
        </w:tc>
      </w:tr>
      <w:tr>
        <w:trPr>
          <w:trHeight w:val="269"/>
        </w:trPr>
        <w:tc>
          <w:tcPr>
            <w:tcW w:w="1492"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UK</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2835" w:type="dxa"/>
            <w:gridSpan w:val="3"/>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color w:val="000000"/>
                <w:sz w:val="20"/>
                <w:szCs w:val="20"/>
              </w:rPr>
            </w:pPr>
            <w:r>
              <w:rPr>
                <w:rFonts w:ascii="Times New Roman" w:hAnsi="Times New Roman"/>
                <w:noProof/>
                <w:color w:val="000000"/>
                <w:sz w:val="20"/>
              </w:rPr>
              <w:t>137,00</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137,00     </w:t>
            </w:r>
          </w:p>
        </w:tc>
      </w:tr>
      <w:tr>
        <w:tc>
          <w:tcPr>
            <w:tcW w:w="1492" w:type="dxa"/>
            <w:tcBorders>
              <w:top w:val="single" w:sz="6" w:space="0" w:color="auto"/>
              <w:left w:val="single" w:sz="4" w:space="0" w:color="auto"/>
              <w:bottom w:val="single" w:sz="6"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Total promis</w:t>
            </w:r>
          </w:p>
        </w:tc>
        <w:tc>
          <w:tcPr>
            <w:tcW w:w="992"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b/>
                <w:noProof/>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sz w:val="20"/>
                <w:szCs w:val="20"/>
              </w:rPr>
            </w:pPr>
            <w:r>
              <w:rPr>
                <w:rFonts w:ascii="Times New Roman" w:hAnsi="Times New Roman"/>
                <w:noProof/>
                <w:sz w:val="20"/>
              </w:rPr>
              <w:t xml:space="preserve">     8    </w:t>
            </w:r>
          </w:p>
        </w:tc>
        <w:tc>
          <w:tcPr>
            <w:tcW w:w="1276"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sz w:val="20"/>
                <w:szCs w:val="20"/>
              </w:rPr>
            </w:pPr>
            <w:r>
              <w:rPr>
                <w:rFonts w:ascii="Times New Roman" w:hAnsi="Times New Roman"/>
                <w:noProof/>
                <w:sz w:val="20"/>
              </w:rPr>
              <w:t xml:space="preserve">    9     </w:t>
            </w:r>
          </w:p>
        </w:tc>
        <w:tc>
          <w:tcPr>
            <w:tcW w:w="2835" w:type="dxa"/>
            <w:gridSpan w:val="3"/>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r>
              <w:rPr>
                <w:rFonts w:ascii="Times New Roman" w:hAnsi="Times New Roman"/>
                <w:noProof/>
                <w:sz w:val="20"/>
              </w:rPr>
              <w:t>274,64</w:t>
            </w:r>
          </w:p>
        </w:tc>
        <w:tc>
          <w:tcPr>
            <w:tcW w:w="850"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291,64     </w:t>
            </w:r>
          </w:p>
        </w:tc>
      </w:tr>
      <w:tr>
        <w:tc>
          <w:tcPr>
            <w:tcW w:w="1492" w:type="dxa"/>
            <w:tcBorders>
              <w:top w:val="single" w:sz="6" w:space="0" w:color="auto"/>
              <w:left w:val="single" w:sz="4" w:space="0" w:color="auto"/>
              <w:bottom w:val="single" w:sz="4"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Contribution supplémentaire de l’UE</w:t>
            </w:r>
          </w:p>
        </w:tc>
        <w:tc>
          <w:tcPr>
            <w:tcW w:w="992" w:type="dxa"/>
            <w:tcBorders>
              <w:top w:val="single" w:sz="6" w:space="0" w:color="auto"/>
              <w:left w:val="single" w:sz="6" w:space="0" w:color="auto"/>
              <w:bottom w:val="single" w:sz="4" w:space="0" w:color="auto"/>
              <w:right w:val="single" w:sz="6" w:space="0" w:color="auto"/>
            </w:tcBorders>
            <w:vAlign w:val="center"/>
          </w:tcPr>
          <w:p>
            <w:pPr>
              <w:spacing w:line="360" w:lineRule="auto"/>
              <w:rPr>
                <w:rFonts w:ascii="Times New Roman" w:eastAsia="Times New Roman" w:hAnsi="Times New Roman" w:cs="Times New Roman"/>
                <w:b/>
                <w:noProof/>
                <w:sz w:val="20"/>
                <w:szCs w:val="20"/>
              </w:rPr>
            </w:pPr>
          </w:p>
        </w:tc>
        <w:tc>
          <w:tcPr>
            <w:tcW w:w="1276"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500</w:t>
            </w:r>
          </w:p>
        </w:tc>
        <w:tc>
          <w:tcPr>
            <w:tcW w:w="1276"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1 800</w:t>
            </w:r>
          </w:p>
        </w:tc>
        <w:tc>
          <w:tcPr>
            <w:tcW w:w="2835" w:type="dxa"/>
            <w:gridSpan w:val="3"/>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500,00</w:t>
            </w:r>
          </w:p>
        </w:tc>
        <w:tc>
          <w:tcPr>
            <w:tcW w:w="850" w:type="dxa"/>
            <w:vMerge w:val="restart"/>
            <w:tcBorders>
              <w:top w:val="single" w:sz="6" w:space="0" w:color="auto"/>
              <w:left w:val="single" w:sz="6" w:space="0" w:color="auto"/>
              <w:bottom w:val="single" w:sz="4" w:space="0" w:color="auto"/>
              <w:right w:val="nil"/>
            </w:tcBorders>
            <w:vAlign w:val="center"/>
          </w:tcPr>
          <w:p>
            <w:pPr>
              <w:jc w:val="right"/>
              <w:rPr>
                <w:rFonts w:ascii="Times New Roman" w:hAnsi="Times New Roman" w:cs="Times New Roman"/>
                <w:noProof/>
                <w:color w:val="000000"/>
                <w:sz w:val="20"/>
                <w:szCs w:val="20"/>
              </w:rPr>
            </w:pPr>
          </w:p>
        </w:tc>
      </w:tr>
      <w:tr>
        <w:tc>
          <w:tcPr>
            <w:tcW w:w="1492" w:type="dxa"/>
            <w:tcBorders>
              <w:top w:val="single" w:sz="4" w:space="0" w:color="auto"/>
              <w:left w:val="single" w:sz="4" w:space="0" w:color="auto"/>
              <w:bottom w:val="single" w:sz="6"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Total requis</w:t>
            </w:r>
          </w:p>
        </w:tc>
        <w:tc>
          <w:tcPr>
            <w:tcW w:w="992" w:type="dxa"/>
            <w:tcBorders>
              <w:top w:val="single" w:sz="4" w:space="0" w:color="auto"/>
              <w:left w:val="single" w:sz="6" w:space="0" w:color="auto"/>
              <w:bottom w:val="single" w:sz="6" w:space="0" w:color="auto"/>
              <w:right w:val="single" w:sz="6" w:space="0" w:color="auto"/>
            </w:tcBorders>
            <w:vAlign w:val="center"/>
          </w:tcPr>
          <w:p>
            <w:pPr>
              <w:spacing w:line="360" w:lineRule="auto"/>
              <w:rPr>
                <w:rFonts w:ascii="Times New Roman" w:eastAsia="Times New Roman" w:hAnsi="Times New Roman" w:cs="Times New Roman"/>
                <w:b/>
                <w:noProof/>
                <w:sz w:val="20"/>
                <w:szCs w:val="20"/>
              </w:rPr>
            </w:pPr>
          </w:p>
        </w:tc>
        <w:tc>
          <w:tcPr>
            <w:tcW w:w="1276" w:type="dxa"/>
            <w:tcBorders>
              <w:top w:val="single" w:sz="4"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1 000</w:t>
            </w:r>
          </w:p>
        </w:tc>
        <w:tc>
          <w:tcPr>
            <w:tcW w:w="1276" w:type="dxa"/>
            <w:tcBorders>
              <w:top w:val="single" w:sz="4"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3 600</w:t>
            </w:r>
          </w:p>
        </w:tc>
        <w:tc>
          <w:tcPr>
            <w:tcW w:w="2835" w:type="dxa"/>
            <w:gridSpan w:val="3"/>
            <w:tcBorders>
              <w:top w:val="single" w:sz="4" w:space="0" w:color="auto"/>
              <w:left w:val="single" w:sz="6" w:space="0" w:color="auto"/>
              <w:bottom w:val="single" w:sz="6" w:space="0" w:color="auto"/>
              <w:right w:val="single" w:sz="4"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1 000,00</w:t>
            </w:r>
          </w:p>
        </w:tc>
        <w:tc>
          <w:tcPr>
            <w:tcW w:w="850" w:type="dxa"/>
            <w:vMerge/>
            <w:tcBorders>
              <w:top w:val="single" w:sz="4" w:space="0" w:color="auto"/>
              <w:left w:val="single" w:sz="4" w:space="0" w:color="auto"/>
              <w:bottom w:val="nil"/>
              <w:right w:val="nil"/>
            </w:tcBorders>
            <w:vAlign w:val="center"/>
          </w:tcPr>
          <w:p>
            <w:pPr>
              <w:jc w:val="right"/>
              <w:rPr>
                <w:rFonts w:ascii="Times New Roman" w:hAnsi="Times New Roman" w:cs="Times New Roman"/>
                <w:noProof/>
                <w:color w:val="000000"/>
                <w:sz w:val="20"/>
                <w:szCs w:val="20"/>
              </w:rPr>
            </w:pPr>
          </w:p>
        </w:tc>
      </w:tr>
      <w:tr>
        <w:tc>
          <w:tcPr>
            <w:tcW w:w="1492" w:type="dxa"/>
            <w:tcBorders>
              <w:top w:val="single" w:sz="6" w:space="0" w:color="auto"/>
              <w:left w:val="single" w:sz="4" w:space="0" w:color="auto"/>
              <w:bottom w:val="single" w:sz="4"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Déficit</w:t>
            </w:r>
          </w:p>
        </w:tc>
        <w:tc>
          <w:tcPr>
            <w:tcW w:w="992" w:type="dxa"/>
            <w:tcBorders>
              <w:top w:val="single" w:sz="6" w:space="0" w:color="auto"/>
              <w:left w:val="single" w:sz="6" w:space="0" w:color="auto"/>
              <w:bottom w:val="single" w:sz="4" w:space="0" w:color="auto"/>
              <w:right w:val="single" w:sz="6" w:space="0" w:color="auto"/>
            </w:tcBorders>
            <w:vAlign w:val="center"/>
          </w:tcPr>
          <w:p>
            <w:pPr>
              <w:spacing w:line="360" w:lineRule="auto"/>
              <w:rPr>
                <w:rFonts w:ascii="Times New Roman" w:eastAsia="Times New Roman" w:hAnsi="Times New Roman" w:cs="Times New Roman"/>
                <w:b/>
                <w:noProof/>
                <w:sz w:val="20"/>
                <w:szCs w:val="20"/>
              </w:rPr>
            </w:pPr>
          </w:p>
        </w:tc>
        <w:tc>
          <w:tcPr>
            <w:tcW w:w="1276"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492</w:t>
            </w:r>
          </w:p>
        </w:tc>
        <w:tc>
          <w:tcPr>
            <w:tcW w:w="1276"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1 791</w:t>
            </w:r>
          </w:p>
        </w:tc>
        <w:tc>
          <w:tcPr>
            <w:tcW w:w="2835" w:type="dxa"/>
            <w:gridSpan w:val="3"/>
            <w:tcBorders>
              <w:top w:val="single" w:sz="6" w:space="0" w:color="auto"/>
              <w:left w:val="single" w:sz="6" w:space="0" w:color="auto"/>
              <w:bottom w:val="single" w:sz="4" w:space="0" w:color="auto"/>
              <w:right w:val="single" w:sz="4"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225,36</w:t>
            </w:r>
          </w:p>
        </w:tc>
        <w:tc>
          <w:tcPr>
            <w:tcW w:w="850" w:type="dxa"/>
            <w:vMerge/>
            <w:tcBorders>
              <w:top w:val="nil"/>
              <w:left w:val="single" w:sz="4" w:space="0" w:color="auto"/>
              <w:bottom w:val="nil"/>
              <w:right w:val="nil"/>
            </w:tcBorders>
            <w:vAlign w:val="center"/>
          </w:tcPr>
          <w:p>
            <w:pPr>
              <w:jc w:val="right"/>
              <w:rPr>
                <w:rFonts w:ascii="Times New Roman" w:hAnsi="Times New Roman" w:cs="Times New Roman"/>
                <w:noProof/>
                <w:color w:val="000000"/>
                <w:sz w:val="20"/>
                <w:szCs w:val="20"/>
              </w:rPr>
            </w:pPr>
          </w:p>
        </w:tc>
      </w:tr>
    </w:tbl>
    <w:p>
      <w:pPr>
        <w:pStyle w:val="xmsonormal"/>
        <w:ind w:left="708" w:firstLine="708"/>
        <w:rPr>
          <w:noProof/>
          <w:sz w:val="20"/>
          <w:szCs w:val="20"/>
        </w:rPr>
      </w:pPr>
    </w:p>
    <w:p>
      <w:pPr>
        <w:pStyle w:val="xmsonormal"/>
        <w:ind w:left="708" w:firstLine="708"/>
        <w:rPr>
          <w:noProof/>
          <w:sz w:val="20"/>
          <w:szCs w:val="20"/>
        </w:rPr>
      </w:pPr>
    </w:p>
    <w:p>
      <w:pPr>
        <w:pStyle w:val="xmsonormal"/>
        <w:ind w:left="708" w:firstLine="708"/>
        <w:rPr>
          <w:noProof/>
          <w:sz w:val="20"/>
          <w:szCs w:val="20"/>
        </w:rPr>
      </w:pPr>
      <w:r>
        <w:rPr>
          <w:noProof/>
          <w:sz w:val="20"/>
        </w:rPr>
        <w:t xml:space="preserve">Note: </w:t>
      </w:r>
      <w:r>
        <w:rPr>
          <w:noProof/>
        </w:rPr>
        <w:tab/>
      </w:r>
      <w:r>
        <w:rPr>
          <w:noProof/>
          <w:sz w:val="20"/>
        </w:rPr>
        <w:t>engagements spécifiques communiqués au 12 octobre 2015.</w:t>
      </w:r>
    </w:p>
    <w:p>
      <w:pPr>
        <w:rPr>
          <w:rFonts w:ascii="Times New Roman" w:hAnsi="Times New Roman" w:cs="Times New Roman"/>
          <w:noProof/>
          <w:sz w:val="20"/>
          <w:szCs w:val="20"/>
        </w:rPr>
      </w:pPr>
    </w:p>
    <w:p>
      <w:pPr>
        <w:rPr>
          <w:rFonts w:ascii="Times New Roman" w:hAnsi="Times New Roman" w:cs="Times New Roman"/>
          <w:i/>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60" w:right="851" w:bottom="1418" w:left="28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2502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7"/>
    <w:docVar w:name="LW_ANNEX_NBR_LAST" w:val="7"/>
    <w:docVar w:name="LW_CONFIDENCE" w:val=" "/>
    <w:docVar w:name="LW_CONST_RESTREINT_UE" w:val="RESTREINT UE"/>
    <w:docVar w:name="LW_CORRIGENDUM" w:val="&lt;UNUSED&gt;"/>
    <w:docVar w:name="LW_COVERPAGE_GUID" w:val="8B56E47DDB6B44D2BB7F66D15DF925E6"/>
    <w:docVar w:name="LW_CROSSREFERENCE" w:val="&lt;UNUSED&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état d'avancement de la mise en oeuvre des actions prioritaires prévues par l'agenda européen en matière de migration"/>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BCE6-BE01-4099-9186-ADF4FC5D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167</Words>
  <Characters>817</Characters>
  <Application>Microsoft Office Word</Application>
  <DocSecurity>0</DocSecurity>
  <Lines>272</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14</cp:revision>
  <cp:lastPrinted>2015-10-14T13:29:00Z</cp:lastPrinted>
  <dcterms:created xsi:type="dcterms:W3CDTF">2015-10-14T08:59:00Z</dcterms:created>
  <dcterms:modified xsi:type="dcterms:W3CDTF">2015-10-20T11:39:00Z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7</vt:lpwstr>
  </property>
  <property fmtid="{D5CDD505-2E9C-101B-9397-08002B2CF9AE}" pid="3" name="Last annex">
    <vt:lpwstr>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