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8FF" w:rsidRDefault="00DF0757">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D4F39467BEB4039B1B8A316F3EBB18E" style="width:451.05pt;height:434.1pt">
            <v:imagedata r:id="rId9" o:title=""/>
          </v:shape>
        </w:pict>
      </w:r>
    </w:p>
    <w:bookmarkEnd w:id="0"/>
    <w:p w:rsidR="00AC78FF" w:rsidRDefault="00AC78FF">
      <w:pPr>
        <w:rPr>
          <w:rFonts w:ascii="Times New Roman" w:hAnsi="Times New Roman" w:cs="Times New Roman"/>
          <w:noProof/>
          <w:sz w:val="20"/>
          <w:szCs w:val="20"/>
        </w:rPr>
        <w:sectPr w:rsidR="00AC78FF">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AC78FF" w:rsidRDefault="00DF0757">
      <w:pPr>
        <w:spacing w:line="240" w:lineRule="auto"/>
        <w:jc w:val="center"/>
        <w:rPr>
          <w:rFonts w:ascii="Times New Roman" w:hAnsi="Times New Roman" w:cs="Times New Roman"/>
          <w:b/>
          <w:noProof/>
          <w:sz w:val="20"/>
          <w:szCs w:val="20"/>
        </w:rPr>
      </w:pPr>
      <w:r>
        <w:rPr>
          <w:rFonts w:ascii="Times New Roman" w:hAnsi="Times New Roman"/>
          <w:b/>
          <w:noProof/>
          <w:sz w:val="20"/>
        </w:rPr>
        <w:lastRenderedPageBreak/>
        <w:t>ANNEXE 1</w:t>
      </w:r>
    </w:p>
    <w:p w:rsidR="00AC78FF" w:rsidRDefault="00DF0757">
      <w:pPr>
        <w:spacing w:line="240" w:lineRule="auto"/>
        <w:jc w:val="center"/>
        <w:rPr>
          <w:rFonts w:ascii="Times New Roman" w:hAnsi="Times New Roman" w:cs="Times New Roman"/>
          <w:noProof/>
          <w:sz w:val="20"/>
          <w:szCs w:val="20"/>
        </w:rPr>
      </w:pPr>
      <w:r>
        <w:rPr>
          <w:rFonts w:ascii="Times New Roman" w:hAnsi="Times New Roman"/>
          <w:noProof/>
          <w:sz w:val="20"/>
        </w:rPr>
        <w:t>SUIVI DES ACTIONS PRIORITAIRES</w:t>
      </w:r>
    </w:p>
    <w:p w:rsidR="00AC78FF" w:rsidRDefault="00DF0757">
      <w:pPr>
        <w:spacing w:line="240" w:lineRule="auto"/>
        <w:jc w:val="center"/>
        <w:rPr>
          <w:rFonts w:ascii="Times New Roman" w:hAnsi="Times New Roman" w:cs="Times New Roman"/>
          <w:noProof/>
          <w:sz w:val="20"/>
          <w:szCs w:val="20"/>
        </w:rPr>
      </w:pPr>
      <w:r>
        <w:rPr>
          <w:rFonts w:ascii="Times New Roman" w:hAnsi="Times New Roman"/>
          <w:noProof/>
          <w:sz w:val="20"/>
        </w:rPr>
        <w:t>État des lieux au 14 octobre 2015</w:t>
      </w:r>
    </w:p>
    <w:p w:rsidR="00AC78FF" w:rsidRDefault="00DF0757">
      <w:pPr>
        <w:spacing w:line="240" w:lineRule="auto"/>
        <w:rPr>
          <w:rFonts w:ascii="Times New Roman" w:hAnsi="Times New Roman" w:cs="Times New Roman"/>
          <w:noProof/>
          <w:sz w:val="20"/>
          <w:szCs w:val="20"/>
        </w:rPr>
      </w:pPr>
      <w:r>
        <w:rPr>
          <w:rFonts w:ascii="Times New Roman" w:hAnsi="Times New Roman"/>
          <w:noProof/>
          <w:sz w:val="20"/>
        </w:rPr>
        <w:t xml:space="preserve">MESURES OPÉRATIONNELLES AU </w:t>
      </w:r>
      <w:r>
        <w:rPr>
          <w:rFonts w:ascii="Times New Roman" w:hAnsi="Times New Roman"/>
          <w:noProof/>
          <w:sz w:val="20"/>
        </w:rPr>
        <w:t>SEIN DE l'UE</w:t>
      </w:r>
    </w:p>
    <w:tbl>
      <w:tblPr>
        <w:tblStyle w:val="TableGrid"/>
        <w:tblW w:w="0" w:type="auto"/>
        <w:tblLook w:val="04A0" w:firstRow="1" w:lastRow="0" w:firstColumn="1" w:lastColumn="0" w:noHBand="0" w:noVBand="1"/>
      </w:tblPr>
      <w:tblGrid>
        <w:gridCol w:w="4089"/>
        <w:gridCol w:w="3483"/>
        <w:gridCol w:w="3333"/>
        <w:gridCol w:w="3315"/>
      </w:tblGrid>
      <w:tr w:rsidR="00AC78FF">
        <w:tc>
          <w:tcPr>
            <w:tcW w:w="4089" w:type="dxa"/>
            <w:shd w:val="pct15" w:color="auto" w:fill="auto"/>
          </w:tcPr>
          <w:p w:rsidR="00AC78FF" w:rsidRDefault="00AC78FF">
            <w:pPr>
              <w:rPr>
                <w:rFonts w:ascii="Times New Roman" w:hAnsi="Times New Roman" w:cs="Times New Roman"/>
                <w:noProof/>
                <w:sz w:val="20"/>
                <w:szCs w:val="20"/>
              </w:rPr>
            </w:pPr>
          </w:p>
        </w:tc>
        <w:tc>
          <w:tcPr>
            <w:tcW w:w="3483" w:type="dxa"/>
            <w:shd w:val="pct15" w:color="auto" w:fill="auto"/>
          </w:tcPr>
          <w:p w:rsidR="00AC78FF" w:rsidRDefault="00DF0757">
            <w:pPr>
              <w:ind w:left="-108"/>
              <w:jc w:val="center"/>
              <w:rPr>
                <w:rFonts w:ascii="Times New Roman" w:hAnsi="Times New Roman" w:cs="Times New Roman"/>
                <w:b/>
                <w:noProof/>
                <w:sz w:val="20"/>
                <w:szCs w:val="20"/>
              </w:rPr>
            </w:pPr>
            <w:r>
              <w:rPr>
                <w:rFonts w:ascii="Times New Roman" w:hAnsi="Times New Roman"/>
                <w:b/>
                <w:noProof/>
                <w:sz w:val="20"/>
              </w:rPr>
              <w:t>Mesures prises par la Commission et les agences de l'UE</w:t>
            </w:r>
          </w:p>
        </w:tc>
        <w:tc>
          <w:tcPr>
            <w:tcW w:w="3333" w:type="dxa"/>
            <w:shd w:val="pct15" w:color="auto" w:fill="auto"/>
          </w:tcPr>
          <w:p w:rsidR="00AC78FF" w:rsidRDefault="00DF0757">
            <w:pPr>
              <w:jc w:val="center"/>
              <w:rPr>
                <w:rFonts w:ascii="Times New Roman" w:hAnsi="Times New Roman" w:cs="Times New Roman"/>
                <w:b/>
                <w:noProof/>
                <w:sz w:val="20"/>
                <w:szCs w:val="20"/>
              </w:rPr>
            </w:pPr>
            <w:r>
              <w:rPr>
                <w:rFonts w:ascii="Times New Roman" w:hAnsi="Times New Roman"/>
                <w:b/>
                <w:noProof/>
                <w:sz w:val="20"/>
              </w:rPr>
              <w:t>Mesures prises par les États membres</w:t>
            </w:r>
          </w:p>
        </w:tc>
        <w:tc>
          <w:tcPr>
            <w:tcW w:w="3315" w:type="dxa"/>
            <w:shd w:val="pct15" w:color="auto" w:fill="auto"/>
          </w:tcPr>
          <w:p w:rsidR="00AC78FF" w:rsidRDefault="00DF0757">
            <w:pPr>
              <w:jc w:val="center"/>
              <w:rPr>
                <w:rFonts w:ascii="Times New Roman" w:hAnsi="Times New Roman" w:cs="Times New Roman"/>
                <w:b/>
                <w:noProof/>
                <w:sz w:val="20"/>
                <w:szCs w:val="20"/>
              </w:rPr>
            </w:pPr>
            <w:r>
              <w:rPr>
                <w:rFonts w:ascii="Times New Roman" w:hAnsi="Times New Roman"/>
                <w:b/>
                <w:noProof/>
                <w:sz w:val="20"/>
              </w:rPr>
              <w:t>Prochaines étapes</w:t>
            </w:r>
          </w:p>
        </w:tc>
      </w:tr>
      <w:tr w:rsidR="00AC78FF">
        <w:tc>
          <w:tcPr>
            <w:tcW w:w="4089" w:type="dxa"/>
          </w:tcPr>
          <w:p w:rsidR="00AC78FF" w:rsidRDefault="00DF0757">
            <w:pPr>
              <w:rPr>
                <w:rFonts w:ascii="Times New Roman" w:hAnsi="Times New Roman" w:cs="Times New Roman"/>
                <w:noProof/>
                <w:sz w:val="20"/>
                <w:szCs w:val="20"/>
              </w:rPr>
            </w:pPr>
            <w:r>
              <w:rPr>
                <w:rFonts w:ascii="Times New Roman" w:hAnsi="Times New Roman"/>
                <w:noProof/>
                <w:sz w:val="20"/>
              </w:rPr>
              <w:t>Mise en œuvre de l'approche des zones et centres de crise et des décisions de relocalisation</w:t>
            </w: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tc>
        <w:tc>
          <w:tcPr>
            <w:tcW w:w="348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u w:val="single"/>
              </w:rPr>
            </w:pPr>
            <w:r>
              <w:rPr>
                <w:rFonts w:ascii="Times New Roman" w:hAnsi="Times New Roman"/>
                <w:noProof/>
                <w:sz w:val="20"/>
                <w:u w:val="single"/>
              </w:rPr>
              <w:t>Coordination sur le terrain:</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rPr>
              <w:t xml:space="preserve">réunions techniques organisées par la Commission entre les agences et l'Italie/la Grèce; </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rPr>
              <w:t>coordination avec les organisations internationales présentes sur le terrain (OIM et HCR), envoyés spéciaux de la Commission déployés en Italie et en Grèce pour coord</w:t>
            </w:r>
            <w:r>
              <w:rPr>
                <w:rFonts w:ascii="Times New Roman" w:hAnsi="Times New Roman"/>
                <w:noProof/>
                <w:sz w:val="20"/>
              </w:rPr>
              <w:t>onner la mise en œuvre de l'approche des zones et centres de crise et la mise en place des programmes de relocalisation.</w:t>
            </w:r>
          </w:p>
          <w:p w:rsidR="00AC78FF" w:rsidRDefault="00AC78FF">
            <w:pPr>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u w:val="single"/>
              </w:rPr>
            </w:pPr>
            <w:r>
              <w:rPr>
                <w:rFonts w:ascii="Times New Roman" w:hAnsi="Times New Roman"/>
                <w:noProof/>
                <w:sz w:val="20"/>
                <w:u w:val="single"/>
              </w:rPr>
              <w:t>Mise sur pied des équipes d'appui à la gestion des flux migratoires:</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rPr>
              <w:t xml:space="preserve">Italie: task force régionale de l’UE (EURTF) mise en place à </w:t>
            </w:r>
            <w:r>
              <w:rPr>
                <w:rFonts w:ascii="Times New Roman" w:hAnsi="Times New Roman"/>
                <w:noProof/>
                <w:sz w:val="20"/>
              </w:rPr>
              <w:t>Catane, opération conjointe Triton de Frontex, y compris le déploiement d'équipes de filtrage et de débriefing  en Sicile et à Lampedusa, experts de l'EASO déployés sur le terrain pour soutenir la fourniture d'informations et la procédure de relocalisation</w:t>
            </w:r>
            <w:r>
              <w:rPr>
                <w:rFonts w:ascii="Times New Roman" w:hAnsi="Times New Roman"/>
                <w:noProof/>
                <w:sz w:val="20"/>
              </w:rPr>
              <w:t>;</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rPr>
              <w:t xml:space="preserve">Grèce: mise en place de l'EURTF, opération conjointe Poséidon de </w:t>
            </w:r>
            <w:r>
              <w:rPr>
                <w:rFonts w:ascii="Times New Roman" w:hAnsi="Times New Roman"/>
                <w:noProof/>
                <w:sz w:val="20"/>
              </w:rPr>
              <w:lastRenderedPageBreak/>
              <w:t xml:space="preserve">Frontex, y compris le déploiement d'équipes de filtrage et de débriefing dans les îles de la mer Égée. Des experts de l'EASO seront déployés rapidement pour mener à bien des tâches liées à </w:t>
            </w:r>
            <w:r>
              <w:rPr>
                <w:rFonts w:ascii="Times New Roman" w:hAnsi="Times New Roman"/>
                <w:noProof/>
                <w:sz w:val="20"/>
              </w:rPr>
              <w:t>la fourniture d'informations et au traitement des demandes.</w:t>
            </w:r>
          </w:p>
          <w:p w:rsidR="00AC78FF" w:rsidRDefault="00AC78FF">
            <w:pPr>
              <w:ind w:left="34"/>
              <w:rPr>
                <w:rFonts w:ascii="Times New Roman" w:hAnsi="Times New Roman" w:cs="Times New Roman"/>
                <w:noProof/>
                <w:sz w:val="20"/>
                <w:szCs w:val="20"/>
              </w:rPr>
            </w:pPr>
          </w:p>
          <w:p w:rsidR="00AC78FF" w:rsidRDefault="00DF0757">
            <w:pPr>
              <w:ind w:left="34"/>
              <w:rPr>
                <w:rFonts w:ascii="Times New Roman" w:hAnsi="Times New Roman" w:cs="Times New Roman"/>
                <w:i/>
                <w:noProof/>
                <w:sz w:val="20"/>
                <w:szCs w:val="20"/>
              </w:rPr>
            </w:pPr>
            <w:r>
              <w:rPr>
                <w:rFonts w:ascii="Times New Roman" w:hAnsi="Times New Roman"/>
                <w:i/>
                <w:noProof/>
                <w:sz w:val="20"/>
              </w:rPr>
              <w:t xml:space="preserve">     Agences</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rPr>
              <w:t>Les équipes Frontex déployées pour des activités de filtrage et de débriefing mènent à bien leur tâches dans le cadre de l'opération conjointe organisée par l'État membre dans lequel</w:t>
            </w:r>
            <w:r>
              <w:rPr>
                <w:rFonts w:ascii="Times New Roman" w:hAnsi="Times New Roman"/>
                <w:noProof/>
                <w:sz w:val="20"/>
              </w:rPr>
              <w:t xml:space="preserve"> l'approche des zones et centres de crise est mise en œuvre.</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rPr>
              <w:t xml:space="preserve">Le 2 octobre 2015, Frontex et l'EASO ont tous deux </w:t>
            </w:r>
            <w:r>
              <w:rPr>
                <w:rFonts w:ascii="Times New Roman" w:hAnsi="Times New Roman"/>
                <w:noProof/>
                <w:sz w:val="20"/>
                <w:u w:val="single"/>
              </w:rPr>
              <w:t>réclamé la mise à disposition d'experts et d'équipements</w:t>
            </w:r>
            <w:r>
              <w:rPr>
                <w:rFonts w:ascii="Times New Roman" w:hAnsi="Times New Roman"/>
                <w:noProof/>
                <w:sz w:val="20"/>
              </w:rPr>
              <w:t xml:space="preserve"> afin de continuer à renforcer les équipes d'appui à la gestion des flux migratoires en </w:t>
            </w:r>
            <w:r>
              <w:rPr>
                <w:rFonts w:ascii="Times New Roman" w:hAnsi="Times New Roman"/>
                <w:noProof/>
                <w:sz w:val="20"/>
              </w:rPr>
              <w:t xml:space="preserve">Italie et en Grèce. </w:t>
            </w:r>
          </w:p>
          <w:p w:rsidR="00AC78FF" w:rsidRDefault="00DF0757">
            <w:pPr>
              <w:pStyle w:val="ListParagraph"/>
              <w:ind w:left="360" w:hanging="142"/>
              <w:contextualSpacing w:val="0"/>
              <w:rPr>
                <w:rFonts w:ascii="Times New Roman" w:hAnsi="Times New Roman" w:cs="Times New Roman"/>
                <w:noProof/>
                <w:sz w:val="20"/>
                <w:szCs w:val="20"/>
              </w:rPr>
            </w:pPr>
            <w:r>
              <w:rPr>
                <w:rFonts w:ascii="Times New Roman" w:hAnsi="Times New Roman"/>
                <w:noProof/>
                <w:sz w:val="20"/>
              </w:rPr>
              <w:t>- En Italie, Eurojust apporte un soutien à l'équipe opérationnelle régionale de Frontex à Catane pour faciliter les demandes d'entraide judiciaire et assurer la coordination entre États membres. En Grèce, deux procureurs grecs de la co</w:t>
            </w:r>
            <w:r>
              <w:rPr>
                <w:rFonts w:ascii="Times New Roman" w:hAnsi="Times New Roman"/>
                <w:noProof/>
                <w:sz w:val="20"/>
              </w:rPr>
              <w:t>ur d'appel du Pirée ont été nommés points de contact d'Eurojust; ils informent l'agence en temps réel de tout besoin de suivi judiciaire et de coordination au niveau de l'UE.</w:t>
            </w:r>
          </w:p>
          <w:p w:rsidR="00AC78FF" w:rsidRDefault="00AC78FF">
            <w:pPr>
              <w:pStyle w:val="ListParagraph"/>
              <w:ind w:left="360" w:hanging="142"/>
              <w:rPr>
                <w:rFonts w:ascii="Times New Roman" w:hAnsi="Times New Roman" w:cs="Times New Roman"/>
                <w:noProof/>
                <w:sz w:val="20"/>
                <w:szCs w:val="20"/>
              </w:rPr>
            </w:pPr>
          </w:p>
          <w:p w:rsidR="00AC78FF" w:rsidRDefault="00DF0757">
            <w:pPr>
              <w:pStyle w:val="ListParagraph"/>
              <w:numPr>
                <w:ilvl w:val="0"/>
                <w:numId w:val="9"/>
              </w:numPr>
              <w:ind w:left="318" w:hanging="261"/>
              <w:contextualSpacing w:val="0"/>
              <w:rPr>
                <w:rFonts w:ascii="Times New Roman" w:hAnsi="Times New Roman" w:cs="Times New Roman"/>
                <w:noProof/>
                <w:sz w:val="20"/>
                <w:szCs w:val="20"/>
                <w:u w:val="single"/>
              </w:rPr>
            </w:pPr>
            <w:r>
              <w:rPr>
                <w:rFonts w:ascii="Times New Roman" w:hAnsi="Times New Roman"/>
                <w:noProof/>
                <w:sz w:val="20"/>
                <w:u w:val="single"/>
              </w:rPr>
              <w:t>Contacts avec les États membres afin de déterminer les exigences pratiques en ma</w:t>
            </w:r>
            <w:r>
              <w:rPr>
                <w:rFonts w:ascii="Times New Roman" w:hAnsi="Times New Roman"/>
                <w:noProof/>
                <w:sz w:val="20"/>
                <w:u w:val="single"/>
              </w:rPr>
              <w:t>tière de relocalisation:</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rPr>
              <w:t>La Commission a écrit à tous les États membres pour rappeler la nécessité de désigner des agents de liaison et les inviter à indiquer un nombre de demandes de relocalisation dans un avenir proche.</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rPr>
              <w:t>Contacts bilatéraux avant la premi</w:t>
            </w:r>
            <w:r>
              <w:rPr>
                <w:rFonts w:ascii="Times New Roman" w:hAnsi="Times New Roman"/>
                <w:noProof/>
                <w:sz w:val="20"/>
              </w:rPr>
              <w:t>ère relocalisation depuis l'Italie et la Grèce.</w:t>
            </w:r>
          </w:p>
          <w:p w:rsidR="00AC78FF" w:rsidRDefault="00AC78FF">
            <w:pPr>
              <w:ind w:left="57"/>
              <w:rPr>
                <w:rFonts w:ascii="Times New Roman" w:hAnsi="Times New Roman" w:cs="Times New Roman"/>
                <w:noProof/>
                <w:sz w:val="20"/>
                <w:szCs w:val="20"/>
              </w:rPr>
            </w:pPr>
          </w:p>
          <w:p w:rsidR="00AC78FF" w:rsidRDefault="00DF0757">
            <w:pPr>
              <w:pStyle w:val="ListParagraph"/>
              <w:numPr>
                <w:ilvl w:val="0"/>
                <w:numId w:val="9"/>
              </w:numPr>
              <w:ind w:left="318" w:hanging="261"/>
              <w:contextualSpacing w:val="0"/>
              <w:rPr>
                <w:rFonts w:ascii="Times New Roman" w:hAnsi="Times New Roman" w:cs="Times New Roman"/>
                <w:noProof/>
                <w:sz w:val="20"/>
                <w:szCs w:val="20"/>
              </w:rPr>
            </w:pPr>
            <w:r>
              <w:rPr>
                <w:rFonts w:ascii="Times New Roman" w:hAnsi="Times New Roman"/>
                <w:noProof/>
                <w:sz w:val="20"/>
                <w:u w:val="single"/>
              </w:rPr>
              <w:t>Forum sur la réinstallation et la relocalisation du 1</w:t>
            </w:r>
            <w:r>
              <w:rPr>
                <w:rFonts w:ascii="Times New Roman" w:hAnsi="Times New Roman"/>
                <w:noProof/>
                <w:sz w:val="20"/>
                <w:u w:val="single"/>
                <w:vertAlign w:val="superscript"/>
              </w:rPr>
              <w:t>er</w:t>
            </w:r>
            <w:r>
              <w:rPr>
                <w:rFonts w:ascii="Times New Roman" w:hAnsi="Times New Roman"/>
                <w:noProof/>
                <w:sz w:val="20"/>
                <w:u w:val="single"/>
              </w:rPr>
              <w:t> octobre 2015</w:t>
            </w:r>
            <w:r>
              <w:rPr>
                <w:rFonts w:ascii="Times New Roman" w:hAnsi="Times New Roman"/>
                <w:noProof/>
                <w:sz w:val="20"/>
              </w:rPr>
              <w:t>:</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rPr>
              <w:t>informations fournies aux États membres sur l'état d'avancement de la mise en œuvre des décisions du Conseil en matière de relocalisation</w:t>
            </w:r>
            <w:r>
              <w:rPr>
                <w:rFonts w:ascii="Times New Roman" w:hAnsi="Times New Roman"/>
                <w:noProof/>
                <w:sz w:val="20"/>
              </w:rPr>
              <w:t xml:space="preserve">; </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rPr>
              <w:t xml:space="preserve">L'Italie et la Grèce ont présenté leurs feuilles de route et les États membres ont demandé des éclaircissements; </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rPr>
              <w:t>accord sur l'utilisation du graphique et des conclusions opérationnelles de l'atelier du 21 septembre 2015 sur la relocalisation en tant qu</w:t>
            </w:r>
            <w:r>
              <w:rPr>
                <w:rFonts w:ascii="Times New Roman" w:hAnsi="Times New Roman"/>
                <w:noProof/>
                <w:sz w:val="20"/>
              </w:rPr>
              <w:t xml:space="preserve">e mode opératoire pour la mise en œuvre des programmes de relocalisation; </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la Commission a clarifié les aspects financiers des programmes de relocalisation et de réinstallation.</w:t>
            </w:r>
          </w:p>
          <w:p w:rsidR="00AC78FF" w:rsidRDefault="00AC78FF">
            <w:pPr>
              <w:pStyle w:val="ListParagraph"/>
              <w:ind w:left="318"/>
              <w:rPr>
                <w:rFonts w:ascii="Times New Roman" w:hAnsi="Times New Roman" w:cs="Times New Roman"/>
                <w:noProof/>
                <w:sz w:val="20"/>
                <w:szCs w:val="20"/>
              </w:rPr>
            </w:pPr>
          </w:p>
        </w:tc>
        <w:tc>
          <w:tcPr>
            <w:tcW w:w="3333" w:type="dxa"/>
          </w:tcPr>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lastRenderedPageBreak/>
              <w:t>Premières relocalisations effectuées le 9 octobre 2015.</w:t>
            </w:r>
          </w:p>
          <w:p w:rsidR="00AC78FF" w:rsidRDefault="00AC78FF">
            <w:pPr>
              <w:rPr>
                <w:rFonts w:ascii="Times New Roman" w:hAnsi="Times New Roman" w:cs="Times New Roman"/>
                <w:i/>
                <w:noProof/>
                <w:sz w:val="20"/>
                <w:szCs w:val="20"/>
              </w:rPr>
            </w:pPr>
          </w:p>
          <w:p w:rsidR="00AC78FF" w:rsidRDefault="00DF0757">
            <w:pPr>
              <w:rPr>
                <w:rFonts w:ascii="Times New Roman" w:hAnsi="Times New Roman" w:cs="Times New Roman"/>
                <w:noProof/>
                <w:sz w:val="20"/>
                <w:szCs w:val="20"/>
              </w:rPr>
            </w:pPr>
            <w:r>
              <w:rPr>
                <w:rFonts w:ascii="Times New Roman" w:hAnsi="Times New Roman"/>
                <w:i/>
                <w:noProof/>
                <w:sz w:val="20"/>
              </w:rPr>
              <w:t xml:space="preserve">Italie </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 xml:space="preserve">La feuille </w:t>
            </w:r>
            <w:r>
              <w:rPr>
                <w:rFonts w:ascii="Times New Roman" w:hAnsi="Times New Roman"/>
                <w:noProof/>
                <w:sz w:val="20"/>
              </w:rPr>
              <w:t>de route présentée le 1</w:t>
            </w:r>
            <w:r>
              <w:rPr>
                <w:rFonts w:ascii="Times New Roman" w:hAnsi="Times New Roman"/>
                <w:noProof/>
                <w:sz w:val="20"/>
                <w:vertAlign w:val="superscript"/>
              </w:rPr>
              <w:t>er</w:t>
            </w:r>
            <w:r>
              <w:rPr>
                <w:rFonts w:ascii="Times New Roman" w:hAnsi="Times New Roman"/>
                <w:noProof/>
                <w:sz w:val="20"/>
              </w:rPr>
              <w:t> octobre 2015 lors du Forum sur la réinstallation et la relocalisation est en cours d'exécution.</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 xml:space="preserve">Les premières équipes d'appui sont mises en place à Lampedusa. </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 xml:space="preserve">Les centres d'accueil dans trois autres lieux de Sicile sont prêts et </w:t>
            </w:r>
            <w:r>
              <w:rPr>
                <w:rFonts w:ascii="Times New Roman" w:hAnsi="Times New Roman"/>
                <w:noProof/>
                <w:sz w:val="20"/>
              </w:rPr>
              <w:t xml:space="preserve">les équipes d'appui devraient pouvoir y travailler prochainement. </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Des bureaux ont été alloués à Villa Sikania et à Catane.</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Des bureaux de liaison ont été désignés dans toutes les agences gouvernementales nationales et locales compétentes.</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Une évaluation d</w:t>
            </w:r>
            <w:r>
              <w:rPr>
                <w:rFonts w:ascii="Times New Roman" w:hAnsi="Times New Roman"/>
                <w:noProof/>
                <w:sz w:val="20"/>
              </w:rPr>
              <w:t>es besoins en ce qui concerne le personnel des équipes d'appui à la gestion des flux migratoires a été présentée dans la feuille de route.</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lastRenderedPageBreak/>
              <w:t>L'Italie a demandé à Frontex de mettre à sa disposition dix experts en empreintes digitales.</w:t>
            </w:r>
          </w:p>
          <w:p w:rsidR="00AC78FF" w:rsidRDefault="00AC78FF">
            <w:pPr>
              <w:rPr>
                <w:rFonts w:ascii="Times New Roman" w:hAnsi="Times New Roman" w:cs="Times New Roman"/>
                <w:i/>
                <w:noProof/>
                <w:sz w:val="20"/>
                <w:szCs w:val="20"/>
              </w:rPr>
            </w:pPr>
          </w:p>
          <w:p w:rsidR="00AC78FF" w:rsidRDefault="00DF0757">
            <w:pPr>
              <w:rPr>
                <w:rFonts w:ascii="Times New Roman" w:hAnsi="Times New Roman" w:cs="Times New Roman"/>
                <w:noProof/>
                <w:sz w:val="20"/>
                <w:szCs w:val="20"/>
              </w:rPr>
            </w:pPr>
            <w:r>
              <w:rPr>
                <w:rFonts w:ascii="Times New Roman" w:hAnsi="Times New Roman"/>
                <w:i/>
                <w:noProof/>
                <w:sz w:val="20"/>
              </w:rPr>
              <w:t xml:space="preserve">Grèce </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 xml:space="preserve">La feuille de </w:t>
            </w:r>
            <w:r>
              <w:rPr>
                <w:rFonts w:ascii="Times New Roman" w:hAnsi="Times New Roman"/>
                <w:noProof/>
                <w:sz w:val="20"/>
              </w:rPr>
              <w:t>route présentée le 1</w:t>
            </w:r>
            <w:r>
              <w:rPr>
                <w:rFonts w:ascii="Times New Roman" w:hAnsi="Times New Roman"/>
                <w:noProof/>
                <w:sz w:val="20"/>
                <w:vertAlign w:val="superscript"/>
              </w:rPr>
              <w:t>er</w:t>
            </w:r>
            <w:r>
              <w:rPr>
                <w:rFonts w:ascii="Times New Roman" w:hAnsi="Times New Roman"/>
                <w:noProof/>
                <w:sz w:val="20"/>
              </w:rPr>
              <w:t> octobre 2015 lors du Forum sur la réinstallation et la relocalisation est opérationnelle.</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Des équipes d'appui ont été mises en place à Lesbos et d'autres le seront sur quatre autres îles (Chios, Samos, Kos et Leros); Frontex est prés</w:t>
            </w:r>
            <w:r>
              <w:rPr>
                <w:rFonts w:ascii="Times New Roman" w:hAnsi="Times New Roman"/>
                <w:noProof/>
                <w:sz w:val="20"/>
              </w:rPr>
              <w:t>ente sur cinq îles et des experts de l'EASO seront déployés prochainement.</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Un espace de bureau a été alloué pour l'EURTF au Pirée au sein du bureau de l'agent de liaison Frontex.</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Des bureaux de liaison ont été désignés dans toutes les agences gouvernementa</w:t>
            </w:r>
            <w:r>
              <w:rPr>
                <w:rFonts w:ascii="Times New Roman" w:hAnsi="Times New Roman"/>
                <w:noProof/>
                <w:sz w:val="20"/>
              </w:rPr>
              <w:t>les nationales et locales compétentes.</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Une évaluation des besoins en ce qui concerne les équipes d'appui à la gestion des flux migratoires a été présentée au CSIFA le 5 octobre 2015 et transmise à la Commission par l'intermédiaire des envoyés spéciaux de l</w:t>
            </w:r>
            <w:r>
              <w:rPr>
                <w:rFonts w:ascii="Times New Roman" w:hAnsi="Times New Roman"/>
                <w:noProof/>
                <w:sz w:val="20"/>
              </w:rPr>
              <w:t>a Commission en Grèce.</w:t>
            </w:r>
          </w:p>
          <w:p w:rsidR="00AC78FF" w:rsidRDefault="00AC78FF">
            <w:pPr>
              <w:rPr>
                <w:rFonts w:ascii="Times New Roman" w:hAnsi="Times New Roman" w:cs="Times New Roman"/>
                <w:noProof/>
                <w:sz w:val="20"/>
                <w:szCs w:val="20"/>
              </w:rPr>
            </w:pPr>
          </w:p>
          <w:p w:rsidR="00AC78FF" w:rsidRDefault="00DF0757">
            <w:pPr>
              <w:pStyle w:val="ListParagraph"/>
              <w:ind w:left="33"/>
              <w:rPr>
                <w:rFonts w:ascii="Times New Roman" w:hAnsi="Times New Roman" w:cs="Times New Roman"/>
                <w:i/>
                <w:noProof/>
                <w:sz w:val="20"/>
                <w:szCs w:val="20"/>
              </w:rPr>
            </w:pPr>
            <w:r>
              <w:rPr>
                <w:rFonts w:ascii="Times New Roman" w:hAnsi="Times New Roman"/>
                <w:i/>
                <w:noProof/>
                <w:sz w:val="20"/>
              </w:rPr>
              <w:t>Autres États membres</w:t>
            </w:r>
          </w:p>
          <w:p w:rsidR="00AC78FF" w:rsidRDefault="00AC78FF">
            <w:pPr>
              <w:pStyle w:val="ListParagraph"/>
              <w:ind w:left="33"/>
              <w:rPr>
                <w:rFonts w:ascii="Times New Roman" w:hAnsi="Times New Roman" w:cs="Times New Roman"/>
                <w:i/>
                <w:noProof/>
                <w:sz w:val="20"/>
                <w:szCs w:val="20"/>
              </w:rPr>
            </w:pP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Mise en place d'un réseau de points de contact nationaux et envoi d'agents de liaison en Italie et en Grèce.</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 xml:space="preserve">20 États membres ont désigné des points de contact; à ce jour, 22 États membres ont nommé des agents </w:t>
            </w:r>
            <w:r>
              <w:rPr>
                <w:rFonts w:ascii="Times New Roman" w:hAnsi="Times New Roman"/>
                <w:noProof/>
                <w:sz w:val="20"/>
              </w:rPr>
              <w:t>de liaison en Italie et un État membre a nommé un agent de liaison pour l'Italie et pour la Grèce.</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Certains États membres ont indiqué à l'Italie/la Grèce/l'EASO le nombre de personnes qu'ils pourraient relocaliser rapidement.</w:t>
            </w: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60"/>
              <w:rPr>
                <w:rFonts w:ascii="Times New Roman" w:hAnsi="Times New Roman" w:cs="Times New Roman"/>
                <w:noProof/>
                <w:sz w:val="20"/>
                <w:szCs w:val="20"/>
              </w:rPr>
            </w:pPr>
          </w:p>
          <w:p w:rsidR="00AC78FF" w:rsidRDefault="00AC78FF">
            <w:pPr>
              <w:pStyle w:val="ListParagraph"/>
              <w:ind w:left="360"/>
              <w:rPr>
                <w:rFonts w:ascii="Times New Roman" w:hAnsi="Times New Roman" w:cs="Times New Roman"/>
                <w:noProof/>
                <w:sz w:val="20"/>
                <w:szCs w:val="20"/>
              </w:rPr>
            </w:pPr>
          </w:p>
          <w:p w:rsidR="00AC78FF" w:rsidRDefault="00AC78FF">
            <w:pPr>
              <w:pStyle w:val="ListParagraph"/>
              <w:ind w:left="360"/>
              <w:rPr>
                <w:rFonts w:ascii="Times New Roman" w:hAnsi="Times New Roman" w:cs="Times New Roman"/>
                <w:noProof/>
                <w:sz w:val="20"/>
                <w:szCs w:val="20"/>
              </w:rPr>
            </w:pPr>
          </w:p>
          <w:p w:rsidR="00AC78FF" w:rsidRDefault="00DF0757">
            <w:pPr>
              <w:ind w:left="33"/>
              <w:rPr>
                <w:rFonts w:ascii="Times New Roman" w:hAnsi="Times New Roman" w:cs="Times New Roman"/>
                <w:i/>
                <w:noProof/>
                <w:sz w:val="20"/>
                <w:szCs w:val="20"/>
              </w:rPr>
            </w:pPr>
            <w:r>
              <w:rPr>
                <w:rFonts w:ascii="Times New Roman" w:hAnsi="Times New Roman"/>
                <w:i/>
                <w:noProof/>
                <w:sz w:val="20"/>
              </w:rPr>
              <w:t>Réponse aux appels des age</w:t>
            </w:r>
            <w:r>
              <w:rPr>
                <w:rFonts w:ascii="Times New Roman" w:hAnsi="Times New Roman"/>
                <w:i/>
                <w:noProof/>
                <w:sz w:val="20"/>
              </w:rPr>
              <w:t>nces</w:t>
            </w:r>
          </w:p>
          <w:p w:rsidR="00AC78FF" w:rsidRDefault="00AC78FF">
            <w:pPr>
              <w:rPr>
                <w:rFonts w:ascii="Times New Roman" w:hAnsi="Times New Roman" w:cs="Times New Roman"/>
                <w:noProof/>
                <w:sz w:val="20"/>
                <w:szCs w:val="20"/>
              </w:rPr>
            </w:pPr>
          </w:p>
          <w:p w:rsidR="00AC78FF" w:rsidRDefault="00DF0757">
            <w:pPr>
              <w:numPr>
                <w:ilvl w:val="0"/>
                <w:numId w:val="11"/>
              </w:numPr>
              <w:rPr>
                <w:rFonts w:ascii="Times New Roman" w:hAnsi="Times New Roman" w:cs="Times New Roman"/>
                <w:noProof/>
                <w:sz w:val="20"/>
                <w:szCs w:val="20"/>
              </w:rPr>
            </w:pPr>
            <w:r>
              <w:rPr>
                <w:rFonts w:ascii="Times New Roman" w:hAnsi="Times New Roman"/>
                <w:noProof/>
                <w:sz w:val="20"/>
              </w:rPr>
              <w:t>Experts nationaux pour les équipes d'appui à la gestion des flux migratoires en réponse aux appels de Frontex (670 experts d'ici la fin janvier 2016) et de l'EASO (370 experts d'ici le 3</w:t>
            </w:r>
            <w:r>
              <w:rPr>
                <w:rFonts w:ascii="Times New Roman" w:hAnsi="Times New Roman"/>
                <w:noProof/>
                <w:sz w:val="20"/>
                <w:vertAlign w:val="superscript"/>
              </w:rPr>
              <w:t>e</w:t>
            </w:r>
            <w:r>
              <w:rPr>
                <w:rFonts w:ascii="Times New Roman" w:hAnsi="Times New Roman"/>
                <w:noProof/>
                <w:sz w:val="20"/>
              </w:rPr>
              <w:t> trimestre 2017):</w:t>
            </w:r>
          </w:p>
          <w:p w:rsidR="00AC78FF" w:rsidRDefault="00DF0757">
            <w:pPr>
              <w:numPr>
                <w:ilvl w:val="0"/>
                <w:numId w:val="11"/>
              </w:numPr>
              <w:rPr>
                <w:rFonts w:ascii="Times New Roman" w:hAnsi="Times New Roman" w:cs="Times New Roman"/>
                <w:noProof/>
                <w:sz w:val="20"/>
                <w:szCs w:val="20"/>
              </w:rPr>
            </w:pPr>
            <w:r>
              <w:rPr>
                <w:rFonts w:ascii="Times New Roman" w:hAnsi="Times New Roman"/>
                <w:noProof/>
                <w:sz w:val="20"/>
              </w:rPr>
              <w:t>fournis à l'Italie: (1) Frontex – 18 unités d</w:t>
            </w:r>
            <w:r>
              <w:rPr>
                <w:rFonts w:ascii="Times New Roman" w:hAnsi="Times New Roman"/>
                <w:noProof/>
                <w:sz w:val="20"/>
              </w:rPr>
              <w:t>'équipement technique (embarcations, véhicules de patrouille, etc.) et 42 agents invités;</w:t>
            </w:r>
          </w:p>
          <w:p w:rsidR="00AC78FF" w:rsidRDefault="00DF0757">
            <w:pPr>
              <w:pStyle w:val="ListParagraph"/>
              <w:numPr>
                <w:ilvl w:val="0"/>
                <w:numId w:val="11"/>
              </w:numPr>
              <w:contextualSpacing w:val="0"/>
              <w:rPr>
                <w:rFonts w:ascii="Times New Roman" w:hAnsi="Times New Roman" w:cs="Times New Roman"/>
                <w:noProof/>
                <w:sz w:val="20"/>
                <w:szCs w:val="20"/>
              </w:rPr>
            </w:pPr>
            <w:r>
              <w:rPr>
                <w:rFonts w:ascii="Times New Roman" w:hAnsi="Times New Roman"/>
                <w:noProof/>
                <w:sz w:val="20"/>
              </w:rPr>
              <w:t>fournis à la Grèce: (1) Frontex – 27 unités d'équipement technique et déploiement de 53 experts (au total, 95 experts déployés aux frontières terrestres et maritimes,</w:t>
            </w:r>
            <w:r>
              <w:rPr>
                <w:rFonts w:ascii="Times New Roman" w:hAnsi="Times New Roman"/>
                <w:noProof/>
                <w:sz w:val="20"/>
              </w:rPr>
              <w:t xml:space="preserve"> dont des fonctionnaires grecs). </w:t>
            </w:r>
          </w:p>
          <w:p w:rsidR="00AC78FF" w:rsidRDefault="00AC78FF">
            <w:pPr>
              <w:pStyle w:val="ListParagraph"/>
              <w:ind w:left="360"/>
              <w:rPr>
                <w:rFonts w:ascii="Times New Roman" w:hAnsi="Times New Roman" w:cs="Times New Roman"/>
                <w:noProof/>
                <w:sz w:val="20"/>
                <w:szCs w:val="20"/>
              </w:rPr>
            </w:pPr>
          </w:p>
        </w:tc>
        <w:tc>
          <w:tcPr>
            <w:tcW w:w="3315"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lastRenderedPageBreak/>
              <w:t xml:space="preserve">Relocalisation: les États membres doivent préciser à l'avance combien de relocalisations ils effectueront d'ici la fin de l'année. </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7" w:hanging="283"/>
              <w:contextualSpacing w:val="0"/>
              <w:rPr>
                <w:rFonts w:ascii="Times New Roman" w:hAnsi="Times New Roman" w:cs="Times New Roman"/>
                <w:noProof/>
                <w:sz w:val="20"/>
                <w:szCs w:val="20"/>
              </w:rPr>
            </w:pPr>
            <w:r>
              <w:rPr>
                <w:rFonts w:ascii="Times New Roman" w:hAnsi="Times New Roman"/>
                <w:noProof/>
                <w:sz w:val="20"/>
                <w:u w:val="single"/>
              </w:rPr>
              <w:t>Révision des programmes nationaux</w:t>
            </w:r>
            <w:r>
              <w:rPr>
                <w:rFonts w:ascii="Times New Roman" w:hAnsi="Times New Roman"/>
                <w:noProof/>
                <w:sz w:val="20"/>
              </w:rPr>
              <w:t xml:space="preserve"> au titre du Fonds «Asile, migration et intégration», afin d'allouer aux États membres les montants supplémentaires correspondant aux montants forfaitaires pour les personnes relocalisées, à lancer dès que les promesses du 20 juillet 2015 seront officielle</w:t>
            </w:r>
            <w:r>
              <w:rPr>
                <w:rFonts w:ascii="Times New Roman" w:hAnsi="Times New Roman"/>
                <w:noProof/>
                <w:sz w:val="20"/>
              </w:rPr>
              <w:t>ment confirmées par les États membres (au plus tard le 30 octobre 2015).</w:t>
            </w:r>
          </w:p>
          <w:p w:rsidR="00AC78FF" w:rsidRDefault="00AC78FF">
            <w:pPr>
              <w:pStyle w:val="ListParagraph"/>
              <w:ind w:left="317"/>
              <w:rPr>
                <w:rFonts w:ascii="Times New Roman" w:hAnsi="Times New Roman" w:cs="Times New Roman"/>
                <w:noProof/>
                <w:sz w:val="20"/>
                <w:szCs w:val="20"/>
              </w:rPr>
            </w:pPr>
          </w:p>
          <w:p w:rsidR="00AC78FF" w:rsidRDefault="00DF0757">
            <w:pPr>
              <w:pStyle w:val="ListParagraph"/>
              <w:numPr>
                <w:ilvl w:val="0"/>
                <w:numId w:val="9"/>
              </w:numPr>
              <w:ind w:left="317" w:hanging="283"/>
              <w:contextualSpacing w:val="0"/>
              <w:rPr>
                <w:rFonts w:ascii="Times New Roman" w:hAnsi="Times New Roman" w:cs="Times New Roman"/>
                <w:noProof/>
                <w:sz w:val="20"/>
                <w:szCs w:val="20"/>
              </w:rPr>
            </w:pPr>
            <w:r>
              <w:rPr>
                <w:rFonts w:ascii="Times New Roman" w:hAnsi="Times New Roman"/>
                <w:noProof/>
                <w:sz w:val="20"/>
                <w:u w:val="single"/>
              </w:rPr>
              <w:t>Soutien à la Grèce au titre de l'aide d'urgence du Fonds «Asile, migration et intégration»</w:t>
            </w:r>
            <w:r>
              <w:rPr>
                <w:rFonts w:ascii="Times New Roman" w:hAnsi="Times New Roman"/>
                <w:noProof/>
                <w:sz w:val="20"/>
              </w:rPr>
              <w:t xml:space="preserve"> pour couvrir les coûts de transport interne des personnes enregistrées depuis les îles orie</w:t>
            </w:r>
            <w:r>
              <w:rPr>
                <w:rFonts w:ascii="Times New Roman" w:hAnsi="Times New Roman"/>
                <w:noProof/>
                <w:sz w:val="20"/>
              </w:rPr>
              <w:t xml:space="preserve">ntales de la mer Égée jusqu'à la Grèce continentale (aide d'urgence dudit fonds d'un montant de 5 990 000 EUR sur le </w:t>
            </w:r>
            <w:r>
              <w:rPr>
                <w:rFonts w:ascii="Times New Roman" w:hAnsi="Times New Roman"/>
                <w:noProof/>
                <w:sz w:val="20"/>
              </w:rPr>
              <w:lastRenderedPageBreak/>
              <w:t>point d'être accordée; convention de subvention en cours d'élaboration).</w:t>
            </w:r>
          </w:p>
          <w:p w:rsidR="00AC78FF" w:rsidRDefault="00AC78FF">
            <w:pPr>
              <w:rPr>
                <w:rFonts w:ascii="Times New Roman" w:hAnsi="Times New Roman" w:cs="Times New Roman"/>
                <w:noProof/>
                <w:sz w:val="20"/>
                <w:szCs w:val="20"/>
              </w:rPr>
            </w:pPr>
          </w:p>
          <w:p w:rsidR="00AC78FF" w:rsidRDefault="00DF0757">
            <w:pPr>
              <w:pStyle w:val="ListParagraph"/>
              <w:numPr>
                <w:ilvl w:val="0"/>
                <w:numId w:val="9"/>
              </w:numPr>
              <w:ind w:left="317" w:hanging="283"/>
              <w:contextualSpacing w:val="0"/>
              <w:rPr>
                <w:rFonts w:ascii="Times New Roman" w:hAnsi="Times New Roman" w:cs="Times New Roman"/>
                <w:noProof/>
                <w:sz w:val="20"/>
                <w:szCs w:val="20"/>
              </w:rPr>
            </w:pPr>
            <w:r>
              <w:rPr>
                <w:rFonts w:ascii="Times New Roman" w:hAnsi="Times New Roman"/>
                <w:noProof/>
                <w:sz w:val="20"/>
              </w:rPr>
              <w:t>Évaluation de la nécessité d'aider l'Italie à couvrir les coûts d</w:t>
            </w:r>
            <w:r>
              <w:rPr>
                <w:rFonts w:ascii="Times New Roman" w:hAnsi="Times New Roman"/>
                <w:noProof/>
                <w:sz w:val="20"/>
              </w:rPr>
              <w:t>e transport interne des personnes enregistrées depuis Lampedusa jusqu'à l'Italie continentale.</w:t>
            </w:r>
          </w:p>
          <w:p w:rsidR="00AC78FF" w:rsidRDefault="00AC78FF">
            <w:pPr>
              <w:pStyle w:val="ListParagraph"/>
              <w:ind w:left="317"/>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DF0757">
            <w:pPr>
              <w:pStyle w:val="ListParagraph"/>
              <w:numPr>
                <w:ilvl w:val="0"/>
                <w:numId w:val="9"/>
              </w:numPr>
              <w:ind w:left="317" w:hanging="283"/>
              <w:contextualSpacing w:val="0"/>
              <w:rPr>
                <w:rFonts w:ascii="Times New Roman" w:hAnsi="Times New Roman" w:cs="Times New Roman"/>
                <w:noProof/>
                <w:sz w:val="20"/>
                <w:szCs w:val="20"/>
              </w:rPr>
            </w:pPr>
            <w:r>
              <w:rPr>
                <w:rFonts w:ascii="Times New Roman" w:hAnsi="Times New Roman"/>
                <w:noProof/>
                <w:sz w:val="20"/>
              </w:rPr>
              <w:t>Les États membres doivent mettre à jour régulièrement les informations relatives au nombre de personnes afin de permettre une relocalisation rapide.</w:t>
            </w:r>
            <w:r>
              <w:rPr>
                <w:rFonts w:ascii="Times New Roman" w:hAnsi="Times New Roman"/>
                <w:noProof/>
                <w:sz w:val="20"/>
                <w:u w:val="single"/>
              </w:rPr>
              <w:t xml:space="preserve"> </w:t>
            </w: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DF0757">
            <w:pPr>
              <w:pStyle w:val="ListParagraph"/>
              <w:numPr>
                <w:ilvl w:val="0"/>
                <w:numId w:val="9"/>
              </w:numPr>
              <w:ind w:left="317" w:hanging="283"/>
              <w:contextualSpacing w:val="0"/>
              <w:rPr>
                <w:rFonts w:ascii="Times New Roman" w:hAnsi="Times New Roman" w:cs="Times New Roman"/>
                <w:noProof/>
                <w:sz w:val="20"/>
                <w:szCs w:val="20"/>
              </w:rPr>
            </w:pPr>
            <w:r>
              <w:rPr>
                <w:rFonts w:ascii="Times New Roman" w:hAnsi="Times New Roman"/>
                <w:noProof/>
                <w:sz w:val="20"/>
              </w:rPr>
              <w:t xml:space="preserve">Les États membres doivent achever la procédure de désignation des points de contact nationaux et des agents de liaison. </w:t>
            </w: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Appel à experts de Frontex et de l'EASO:</w:t>
            </w:r>
          </w:p>
          <w:p w:rsidR="00AC78FF" w:rsidRDefault="00DF0757">
            <w:pPr>
              <w:pStyle w:val="ListParagraph"/>
              <w:ind w:left="318"/>
              <w:rPr>
                <w:rFonts w:ascii="Times New Roman" w:hAnsi="Times New Roman" w:cs="Times New Roman"/>
                <w:noProof/>
                <w:sz w:val="20"/>
                <w:szCs w:val="20"/>
              </w:rPr>
            </w:pPr>
            <w:r>
              <w:rPr>
                <w:rFonts w:ascii="Times New Roman" w:hAnsi="Times New Roman"/>
                <w:noProof/>
                <w:sz w:val="20"/>
              </w:rPr>
              <w:t>les réponses des États membres à l'appel de Frontex sont attendues pour le 16 </w:t>
            </w:r>
            <w:r>
              <w:rPr>
                <w:rFonts w:ascii="Times New Roman" w:hAnsi="Times New Roman"/>
                <w:noProof/>
                <w:sz w:val="20"/>
              </w:rPr>
              <w:t>octobre 2015 au plus tard.</w:t>
            </w:r>
          </w:p>
          <w:p w:rsidR="00AC78FF" w:rsidRDefault="00AC78FF">
            <w:pPr>
              <w:pStyle w:val="ListParagraph"/>
              <w:ind w:left="318"/>
              <w:rPr>
                <w:rFonts w:ascii="Times New Roman" w:hAnsi="Times New Roman" w:cs="Times New Roman"/>
                <w:noProof/>
                <w:sz w:val="20"/>
                <w:szCs w:val="20"/>
              </w:rPr>
            </w:pPr>
          </w:p>
        </w:tc>
      </w:tr>
      <w:tr w:rsidR="00AC78FF">
        <w:trPr>
          <w:trHeight w:val="603"/>
        </w:trPr>
        <w:tc>
          <w:tcPr>
            <w:tcW w:w="4089" w:type="dxa"/>
          </w:tcPr>
          <w:p w:rsidR="00AC78FF" w:rsidRDefault="00DF0757">
            <w:pPr>
              <w:rPr>
                <w:rFonts w:ascii="Times New Roman" w:hAnsi="Times New Roman" w:cs="Times New Roman"/>
                <w:noProof/>
                <w:sz w:val="20"/>
                <w:szCs w:val="20"/>
              </w:rPr>
            </w:pPr>
            <w:r>
              <w:rPr>
                <w:rFonts w:ascii="Times New Roman" w:hAnsi="Times New Roman"/>
                <w:noProof/>
                <w:sz w:val="20"/>
              </w:rPr>
              <w:lastRenderedPageBreak/>
              <w:t>Soutien aux opérations conjointes TRITON et POSÉIDON de Frontex</w:t>
            </w:r>
          </w:p>
        </w:tc>
        <w:tc>
          <w:tcPr>
            <w:tcW w:w="348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Les opérations conjointes Triton et Poséidon ont été progressivement renforcées (en liaison avec la mise en œuvre de l'approche des zones et centres de crise en </w:t>
            </w:r>
            <w:r>
              <w:rPr>
                <w:rFonts w:ascii="Times New Roman" w:hAnsi="Times New Roman"/>
                <w:noProof/>
                <w:sz w:val="20"/>
              </w:rPr>
              <w:t>Italie et en Grèce).</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u w:val="single"/>
              </w:rPr>
              <w:t>Opération conjointe Triton</w:t>
            </w:r>
            <w:r>
              <w:rPr>
                <w:rFonts w:ascii="Times New Roman" w:hAnsi="Times New Roman"/>
                <w:noProof/>
                <w:sz w:val="20"/>
              </w:rPr>
              <w:t>: les moyens de patrouille ont été augmentés ainsi que le nombre d'équipes de filtrage et de débriefing [18 unités d'équipement technique (embarcations, véhicules de patrouille, etc.) et 42 agents invités].</w:t>
            </w:r>
          </w:p>
          <w:p w:rsidR="00AC78FF" w:rsidRDefault="00DF0757">
            <w:pPr>
              <w:pStyle w:val="ListParagraph"/>
              <w:numPr>
                <w:ilvl w:val="0"/>
                <w:numId w:val="10"/>
              </w:numPr>
              <w:ind w:left="318" w:hanging="119"/>
              <w:contextualSpacing w:val="0"/>
              <w:rPr>
                <w:rFonts w:ascii="Times New Roman" w:hAnsi="Times New Roman" w:cs="Times New Roman"/>
                <w:noProof/>
                <w:sz w:val="20"/>
                <w:szCs w:val="20"/>
              </w:rPr>
            </w:pPr>
            <w:r>
              <w:rPr>
                <w:rFonts w:ascii="Times New Roman" w:hAnsi="Times New Roman"/>
                <w:noProof/>
                <w:sz w:val="20"/>
                <w:u w:val="single"/>
              </w:rPr>
              <w:t>Op</w:t>
            </w:r>
            <w:r>
              <w:rPr>
                <w:rFonts w:ascii="Times New Roman" w:hAnsi="Times New Roman"/>
                <w:noProof/>
                <w:sz w:val="20"/>
                <w:u w:val="single"/>
              </w:rPr>
              <w:t>ération conjointe Poséidon Sea</w:t>
            </w:r>
            <w:r>
              <w:rPr>
                <w:rFonts w:ascii="Times New Roman" w:hAnsi="Times New Roman"/>
                <w:noProof/>
                <w:sz w:val="20"/>
              </w:rPr>
              <w:t>: Frontex a augmenté le nombre de moyens et d'experts en débriefing et en filtrage ainsi que le nombre d'interprètes (27 unités d'équipement technique et 53 experts ont été déployés). Frontex a également proposé de déployer 10</w:t>
            </w:r>
            <w:r>
              <w:rPr>
                <w:rFonts w:ascii="Times New Roman" w:hAnsi="Times New Roman"/>
                <w:noProof/>
                <w:sz w:val="20"/>
              </w:rPr>
              <w:t>4 agents invités supplémentaires et de cofinancer 31 chefs d'équipe de la police grecque.</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Frontex a lancé un appel ouvert à contributions supplémentaires couvrant également les besoins des opérations conjointes Triton et Poséidon le 2 octobre 2015.</w:t>
            </w:r>
          </w:p>
          <w:p w:rsidR="00AC78FF" w:rsidRDefault="00AC78FF">
            <w:pPr>
              <w:ind w:left="34"/>
              <w:rPr>
                <w:rFonts w:ascii="Times New Roman" w:hAnsi="Times New Roman" w:cs="Times New Roman"/>
                <w:noProof/>
                <w:sz w:val="20"/>
                <w:szCs w:val="20"/>
              </w:rPr>
            </w:pPr>
          </w:p>
          <w:p w:rsidR="00AC78FF" w:rsidRDefault="00DF0757">
            <w:pPr>
              <w:ind w:left="34"/>
              <w:rPr>
                <w:rFonts w:ascii="Times New Roman" w:hAnsi="Times New Roman" w:cs="Times New Roman"/>
                <w:noProof/>
                <w:sz w:val="20"/>
                <w:szCs w:val="20"/>
              </w:rPr>
            </w:pPr>
            <w:r>
              <w:rPr>
                <w:rFonts w:ascii="Times New Roman" w:hAnsi="Times New Roman"/>
                <w:noProof/>
                <w:sz w:val="20"/>
              </w:rPr>
              <w:t xml:space="preserve"> </w:t>
            </w:r>
          </w:p>
        </w:tc>
        <w:tc>
          <w:tcPr>
            <w:tcW w:w="333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Le </w:t>
            </w:r>
            <w:r>
              <w:rPr>
                <w:rFonts w:ascii="Times New Roman" w:hAnsi="Times New Roman"/>
                <w:noProof/>
                <w:sz w:val="20"/>
              </w:rPr>
              <w:t>soutien opérationnel à l'Italie et à la Grèce dans le cadre des opérations conjointes Triton et Poséidon Sea, notamment pour ce qui est des activités de filtrage et de débriefing, a pu être renforcé grâce aux ressources mises à disposition par les États me</w:t>
            </w:r>
            <w:r>
              <w:rPr>
                <w:rFonts w:ascii="Times New Roman" w:hAnsi="Times New Roman"/>
                <w:noProof/>
                <w:sz w:val="20"/>
              </w:rPr>
              <w:t>mbres.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Opération conjointe Triton: 26 États membres et États associés à l’espace Schengen y participent: Allemagne, Autriche, Belgique, Croatie, Danemark, Espagne, Estonie, Finlande, France, Grèce, Irlande, Islande, Lettonie, Lituanie, Luxembourg, Malte, N</w:t>
            </w:r>
            <w:r>
              <w:rPr>
                <w:rFonts w:ascii="Times New Roman" w:hAnsi="Times New Roman"/>
                <w:noProof/>
                <w:sz w:val="20"/>
              </w:rPr>
              <w:t>orvège, Pays-Bas, Pologne, Portugal, République tchèque, Roumanie, Royaume-Uni, Slovénie, Suède et Suisse. Actuellement, 17 de ces pays ont mis à disposition des moyens et/ou des agents invités: BG, CZ, DE, DK, EL, ES, FR, LV, MT, NL, NO, PL, PT, RO, UK.</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O</w:t>
            </w:r>
            <w:r>
              <w:rPr>
                <w:rFonts w:ascii="Times New Roman" w:hAnsi="Times New Roman"/>
                <w:noProof/>
                <w:sz w:val="20"/>
              </w:rPr>
              <w:t>pération conjointe Poséidon:  25 États membres y participent (Allemagne, Autriche, Belgique, Bulgarie, Croatie, Danemark, Espagne, Estonie, Finlande, France, Islande, Italie, Lettonie, Lituanie, Luxembourg, Malte, Norvège, Pays-Bas, Pologne, Portugal, Roum</w:t>
            </w:r>
            <w:r>
              <w:rPr>
                <w:rFonts w:ascii="Times New Roman" w:hAnsi="Times New Roman"/>
                <w:noProof/>
                <w:sz w:val="20"/>
              </w:rPr>
              <w:t>anie, Royaume-Uni, Slovaquie, Slovénie et Suède). Actuellement, 18 de ce pays ont mis à disposition des moyens et/ou des agents invités (BE, BG, CZ, DE, DK, ES, FI, FR, HR, IT, LV, NL, NO, PL, PT, RO, SE, UK).</w:t>
            </w:r>
          </w:p>
          <w:p w:rsidR="00AC78FF" w:rsidRDefault="00AC78FF">
            <w:pPr>
              <w:pStyle w:val="ListParagraph"/>
              <w:numPr>
                <w:ilvl w:val="0"/>
                <w:numId w:val="9"/>
              </w:numPr>
              <w:ind w:left="318" w:hanging="284"/>
              <w:contextualSpacing w:val="0"/>
              <w:rPr>
                <w:rFonts w:ascii="Times New Roman" w:hAnsi="Times New Roman" w:cs="Times New Roman"/>
                <w:noProof/>
                <w:sz w:val="20"/>
                <w:szCs w:val="20"/>
              </w:rPr>
            </w:pPr>
          </w:p>
          <w:p w:rsidR="00AC78FF" w:rsidRDefault="00AC78FF">
            <w:pPr>
              <w:pStyle w:val="ListParagraph"/>
              <w:ind w:left="176"/>
              <w:rPr>
                <w:rFonts w:ascii="Times New Roman" w:hAnsi="Times New Roman" w:cs="Times New Roman"/>
                <w:noProof/>
                <w:sz w:val="20"/>
                <w:szCs w:val="20"/>
              </w:rPr>
            </w:pPr>
          </w:p>
        </w:tc>
        <w:tc>
          <w:tcPr>
            <w:tcW w:w="3315"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Les États membres s'engagent à maintenir ou </w:t>
            </w:r>
            <w:r>
              <w:rPr>
                <w:rFonts w:ascii="Times New Roman" w:hAnsi="Times New Roman"/>
                <w:noProof/>
                <w:sz w:val="20"/>
              </w:rPr>
              <w:t>à relever le niveau d'aide aux opérations conjointes en cours organisées par l'Italie et la Grèce. En conséquence, tous les États membres devraient répondre favorablement à l'appel lancé par Frontex le 2 octobre 2015.</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Frontex et la Grèce doivent organiser</w:t>
            </w:r>
            <w:r>
              <w:rPr>
                <w:rFonts w:ascii="Times New Roman" w:hAnsi="Times New Roman"/>
                <w:noProof/>
                <w:sz w:val="20"/>
              </w:rPr>
              <w:t xml:space="preserve"> le déploiement supplémentaire d'agents invités.</w:t>
            </w:r>
          </w:p>
          <w:p w:rsidR="00AC78FF" w:rsidRDefault="00AC78FF">
            <w:pPr>
              <w:ind w:left="34"/>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tc>
      </w:tr>
      <w:tr w:rsidR="00AC78FF">
        <w:tc>
          <w:tcPr>
            <w:tcW w:w="4089" w:type="dxa"/>
          </w:tcPr>
          <w:p w:rsidR="00AC78FF" w:rsidRDefault="00DF0757">
            <w:pPr>
              <w:rPr>
                <w:rFonts w:ascii="Times New Roman" w:hAnsi="Times New Roman" w:cs="Times New Roman"/>
                <w:noProof/>
                <w:sz w:val="20"/>
                <w:szCs w:val="20"/>
              </w:rPr>
            </w:pPr>
            <w:r>
              <w:rPr>
                <w:rFonts w:ascii="Times New Roman" w:hAnsi="Times New Roman"/>
                <w:noProof/>
                <w:sz w:val="20"/>
              </w:rPr>
              <w:t>Capacité et conditions d'accueil</w:t>
            </w:r>
          </w:p>
        </w:tc>
        <w:tc>
          <w:tcPr>
            <w:tcW w:w="348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Suivi des conditions et de la capacité d'accueil et, si nécessaire, procédures d'infraction.</w:t>
            </w:r>
          </w:p>
          <w:p w:rsidR="00AC78FF" w:rsidRDefault="00AC78FF">
            <w:pPr>
              <w:pStyle w:val="ListParagraph"/>
              <w:ind w:left="318"/>
              <w:rPr>
                <w:rFonts w:ascii="Times New Roman" w:hAnsi="Times New Roman" w:cs="Times New Roman"/>
                <w:noProof/>
                <w:sz w:val="20"/>
                <w:szCs w:val="20"/>
              </w:rPr>
            </w:pPr>
          </w:p>
        </w:tc>
        <w:tc>
          <w:tcPr>
            <w:tcW w:w="333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IT et EL s'efforcent d'accroître la capacité d'accueil. IT est en bonne voie </w:t>
            </w:r>
            <w:r>
              <w:rPr>
                <w:rFonts w:ascii="Times New Roman" w:hAnsi="Times New Roman"/>
                <w:noProof/>
                <w:sz w:val="20"/>
              </w:rPr>
              <w:t>pour atteindre une capacité de premier accueil de 2 500 personnes d'ici la fin de l'année;  la capacité de la Grèce (2 000 places actuellement) va également être augmentée.</w:t>
            </w:r>
          </w:p>
        </w:tc>
        <w:tc>
          <w:tcPr>
            <w:tcW w:w="3315"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Nouvelles orientations pour améliorer les normes relatives aux conditions d'accueil</w:t>
            </w:r>
            <w:r>
              <w:rPr>
                <w:rFonts w:ascii="Times New Roman" w:hAnsi="Times New Roman"/>
                <w:noProof/>
                <w:sz w:val="20"/>
              </w:rPr>
              <w:t xml:space="preserve"> (EASO). </w:t>
            </w:r>
          </w:p>
          <w:p w:rsidR="00AC78FF" w:rsidRDefault="00AC78FF">
            <w:pPr>
              <w:ind w:left="34"/>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Tous les États membres touchés par la crise, en particulier la Grèce: commencer à utiliser les fonds importants alloués au titre des Fonds structurels et d'investissement européens/du Fonds européen de développement régional/de la Banque europée</w:t>
            </w:r>
            <w:r>
              <w:rPr>
                <w:rFonts w:ascii="Times New Roman" w:hAnsi="Times New Roman"/>
                <w:noProof/>
                <w:sz w:val="20"/>
              </w:rPr>
              <w:t>nne d'investissement pour accroître la capacité d'accueil.</w:t>
            </w:r>
          </w:p>
          <w:p w:rsidR="00AC78FF" w:rsidRDefault="00AC78FF">
            <w:pPr>
              <w:pStyle w:val="ListParagraph"/>
              <w:contextualSpacing w:val="0"/>
              <w:rPr>
                <w:rFonts w:ascii="Times New Roman" w:hAnsi="Times New Roman" w:cs="Times New Roman"/>
                <w:noProof/>
                <w:sz w:val="20"/>
                <w:szCs w:val="20"/>
              </w:rPr>
            </w:pPr>
          </w:p>
          <w:p w:rsidR="00AC78FF" w:rsidRDefault="00AC78FF">
            <w:pPr>
              <w:pStyle w:val="ListParagraph"/>
              <w:contextualSpacing w:val="0"/>
              <w:rPr>
                <w:rFonts w:ascii="Times New Roman" w:hAnsi="Times New Roman" w:cs="Times New Roman"/>
                <w:noProof/>
                <w:sz w:val="20"/>
                <w:szCs w:val="20"/>
              </w:rPr>
            </w:pPr>
          </w:p>
        </w:tc>
      </w:tr>
      <w:tr w:rsidR="00AC78FF">
        <w:tc>
          <w:tcPr>
            <w:tcW w:w="4089" w:type="dxa"/>
          </w:tcPr>
          <w:p w:rsidR="00AC78FF" w:rsidRDefault="00DF0757">
            <w:pPr>
              <w:rPr>
                <w:rFonts w:ascii="Times New Roman" w:hAnsi="Times New Roman" w:cs="Times New Roman"/>
                <w:noProof/>
                <w:sz w:val="20"/>
                <w:szCs w:val="20"/>
              </w:rPr>
            </w:pPr>
            <w:r>
              <w:rPr>
                <w:rFonts w:ascii="Times New Roman" w:hAnsi="Times New Roman"/>
                <w:noProof/>
                <w:sz w:val="20"/>
              </w:rPr>
              <w:t>Retour</w:t>
            </w:r>
          </w:p>
          <w:p w:rsidR="00AC78FF" w:rsidRDefault="00AC78FF">
            <w:pPr>
              <w:rPr>
                <w:rFonts w:ascii="Times New Roman" w:hAnsi="Times New Roman" w:cs="Times New Roman"/>
                <w:noProof/>
                <w:sz w:val="20"/>
                <w:szCs w:val="20"/>
              </w:rPr>
            </w:pPr>
          </w:p>
        </w:tc>
        <w:tc>
          <w:tcPr>
            <w:tcW w:w="348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Les premiers retours ont eu lieu le 10 octobre 2015, sous l'égide d'une équipe d'appui à la gestion des flux migratoires.</w:t>
            </w:r>
          </w:p>
          <w:p w:rsidR="00AC78FF" w:rsidRDefault="00AC78FF">
            <w:pPr>
              <w:pStyle w:val="ListParagraph"/>
              <w:ind w:left="318"/>
              <w:contextualSpacing w:val="0"/>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Évaluation du système d'information Schengen (SIS) pour y </w:t>
            </w:r>
            <w:r>
              <w:rPr>
                <w:rFonts w:ascii="Times New Roman" w:hAnsi="Times New Roman"/>
                <w:noProof/>
                <w:sz w:val="20"/>
              </w:rPr>
              <w:t>inclure toutes les décisions de retour et interdictions d'entrée, lancée le 5 octobre 2015.</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Officiers de liaison «migration » européens: concept présenté le 15 septembre 2015, y compris les fonctions spécifiques liées au retour.</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Mise en place d'un systèm</w:t>
            </w:r>
            <w:r>
              <w:rPr>
                <w:rFonts w:ascii="Times New Roman" w:hAnsi="Times New Roman"/>
                <w:noProof/>
                <w:sz w:val="20"/>
              </w:rPr>
              <w:t>e de gestion intégrée des retours: processus engagé le 15 septembre 2015 entre la Commission, les agences (Frontex et l'EASO) et les réseaux concernés.</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Évaluations Schengen sur les systèmes de retour mis en place par AT, BE, DE et NL en 2015, ainsi qu'une</w:t>
            </w:r>
            <w:r>
              <w:rPr>
                <w:rFonts w:ascii="Times New Roman" w:hAnsi="Times New Roman"/>
                <w:noProof/>
                <w:sz w:val="20"/>
              </w:rPr>
              <w:t xml:space="preserve"> évaluation sur la base d'un questionnaire (LI).</w:t>
            </w:r>
          </w:p>
          <w:p w:rsidR="00AC78FF" w:rsidRDefault="00AC78FF">
            <w:pPr>
              <w:rPr>
                <w:rFonts w:ascii="Times New Roman" w:hAnsi="Times New Roman" w:cs="Times New Roman"/>
                <w:noProof/>
                <w:sz w:val="20"/>
                <w:szCs w:val="20"/>
              </w:rPr>
            </w:pPr>
          </w:p>
        </w:tc>
        <w:tc>
          <w:tcPr>
            <w:tcW w:w="3333" w:type="dxa"/>
          </w:tcPr>
          <w:p w:rsidR="00AC78FF" w:rsidRDefault="00DF0757">
            <w:pPr>
              <w:pStyle w:val="ListParagraph"/>
              <w:numPr>
                <w:ilvl w:val="0"/>
                <w:numId w:val="12"/>
              </w:numPr>
              <w:contextualSpacing w:val="0"/>
              <w:rPr>
                <w:rFonts w:ascii="Times New Roman" w:hAnsi="Times New Roman" w:cs="Times New Roman"/>
                <w:noProof/>
                <w:sz w:val="20"/>
                <w:szCs w:val="20"/>
              </w:rPr>
            </w:pPr>
            <w:r>
              <w:rPr>
                <w:rFonts w:ascii="Times New Roman" w:hAnsi="Times New Roman"/>
                <w:noProof/>
                <w:sz w:val="20"/>
              </w:rPr>
              <w:t>La réaction des États membres a confirmé l'importance du retour.</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Les États membres (et les États associés) qui  ne font pas partie des réseaux existants ont été invités à envisager d'y participer ou d'y </w:t>
            </w:r>
            <w:r>
              <w:rPr>
                <w:rFonts w:ascii="Times New Roman" w:hAnsi="Times New Roman"/>
                <w:noProof/>
                <w:sz w:val="20"/>
              </w:rPr>
              <w:t>être associés.</w:t>
            </w:r>
          </w:p>
        </w:tc>
        <w:tc>
          <w:tcPr>
            <w:tcW w:w="3315" w:type="dxa"/>
          </w:tcPr>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Recrutement et déploiement des premiers officiers de liaison «migration » européens d'ici la fin de l'année 2015. </w:t>
            </w:r>
          </w:p>
          <w:p w:rsidR="00AC78FF" w:rsidRDefault="00AC78FF">
            <w:pPr>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Réunion de suivi opérationnel organisée par Frontex le 28 octobre 2015.</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Les systèmes de retour de six États membres seront </w:t>
            </w:r>
            <w:r>
              <w:rPr>
                <w:rFonts w:ascii="Times New Roman" w:hAnsi="Times New Roman"/>
                <w:noProof/>
                <w:sz w:val="20"/>
              </w:rPr>
              <w:t>évalué en 2016 (IT, EL, LU, FR, MT, HR).</w:t>
            </w:r>
          </w:p>
          <w:p w:rsidR="00AC78FF" w:rsidRDefault="00AC78FF">
            <w:pPr>
              <w:rPr>
                <w:rFonts w:ascii="Times New Roman" w:hAnsi="Times New Roman" w:cs="Times New Roman"/>
                <w:noProof/>
                <w:sz w:val="20"/>
                <w:szCs w:val="20"/>
              </w:rPr>
            </w:pPr>
          </w:p>
        </w:tc>
      </w:tr>
      <w:tr w:rsidR="00AC78FF">
        <w:tc>
          <w:tcPr>
            <w:tcW w:w="4089" w:type="dxa"/>
          </w:tcPr>
          <w:p w:rsidR="00AC78FF" w:rsidRDefault="00DF0757">
            <w:pPr>
              <w:rPr>
                <w:rFonts w:ascii="Times New Roman" w:hAnsi="Times New Roman" w:cs="Times New Roman"/>
                <w:noProof/>
                <w:sz w:val="20"/>
                <w:szCs w:val="20"/>
              </w:rPr>
            </w:pPr>
            <w:r>
              <w:rPr>
                <w:rFonts w:ascii="Times New Roman" w:hAnsi="Times New Roman"/>
                <w:noProof/>
                <w:sz w:val="20"/>
              </w:rPr>
              <w:t>Réinstallation</w:t>
            </w:r>
          </w:p>
        </w:tc>
        <w:tc>
          <w:tcPr>
            <w:tcW w:w="3483" w:type="dxa"/>
          </w:tcPr>
          <w:p w:rsidR="00AC78FF" w:rsidRDefault="00DF0757">
            <w:pPr>
              <w:ind w:left="318"/>
              <w:rPr>
                <w:rFonts w:ascii="Times New Roman" w:hAnsi="Times New Roman" w:cs="Times New Roman"/>
                <w:noProof/>
                <w:sz w:val="20"/>
                <w:szCs w:val="20"/>
                <w:u w:val="single"/>
              </w:rPr>
            </w:pPr>
            <w:r>
              <w:rPr>
                <w:rFonts w:ascii="Times New Roman" w:hAnsi="Times New Roman"/>
                <w:noProof/>
                <w:sz w:val="20"/>
                <w:u w:val="single"/>
              </w:rPr>
              <w:t>Forum sur la réinstallation et la relocalisation du 1</w:t>
            </w:r>
            <w:r>
              <w:rPr>
                <w:rFonts w:ascii="Times New Roman" w:hAnsi="Times New Roman"/>
                <w:noProof/>
                <w:sz w:val="20"/>
                <w:u w:val="single"/>
                <w:vertAlign w:val="superscript"/>
              </w:rPr>
              <w:t>er</w:t>
            </w:r>
            <w:r>
              <w:rPr>
                <w:rFonts w:ascii="Times New Roman" w:hAnsi="Times New Roman"/>
                <w:noProof/>
                <w:sz w:val="20"/>
                <w:u w:val="single"/>
              </w:rPr>
              <w:t> octobre 2015:</w:t>
            </w:r>
          </w:p>
          <w:p w:rsidR="00AC78FF" w:rsidRDefault="00DF0757">
            <w:pPr>
              <w:numPr>
                <w:ilvl w:val="0"/>
                <w:numId w:val="9"/>
              </w:numPr>
              <w:rPr>
                <w:rFonts w:ascii="Times New Roman" w:hAnsi="Times New Roman" w:cs="Times New Roman"/>
                <w:noProof/>
                <w:sz w:val="20"/>
                <w:szCs w:val="20"/>
              </w:rPr>
            </w:pPr>
            <w:r>
              <w:rPr>
                <w:rFonts w:ascii="Times New Roman" w:hAnsi="Times New Roman"/>
                <w:noProof/>
                <w:sz w:val="20"/>
              </w:rPr>
              <w:t>Le HCR a présenté les tendances et les priorités en matière de réinstallation pour 2016 et a indiqué les domaines de coopération</w:t>
            </w:r>
            <w:r>
              <w:rPr>
                <w:rFonts w:ascii="Times New Roman" w:hAnsi="Times New Roman"/>
                <w:noProof/>
                <w:sz w:val="20"/>
              </w:rPr>
              <w:t xml:space="preserve"> avec les États de réinstallation.</w:t>
            </w:r>
          </w:p>
          <w:p w:rsidR="00AC78FF" w:rsidRDefault="00DF0757">
            <w:pPr>
              <w:numPr>
                <w:ilvl w:val="0"/>
                <w:numId w:val="9"/>
              </w:numPr>
              <w:rPr>
                <w:rFonts w:ascii="Times New Roman" w:hAnsi="Times New Roman" w:cs="Times New Roman"/>
                <w:noProof/>
                <w:sz w:val="20"/>
                <w:szCs w:val="20"/>
              </w:rPr>
            </w:pPr>
            <w:r>
              <w:rPr>
                <w:rFonts w:ascii="Times New Roman" w:hAnsi="Times New Roman"/>
                <w:noProof/>
                <w:sz w:val="20"/>
              </w:rPr>
              <w:t>L’OIM a présenté ses domaines d’expertise pour le processus de réinstallation et le soutien qu’elle peut apporter aux États de réinstallation.</w:t>
            </w:r>
          </w:p>
          <w:p w:rsidR="00AC78FF" w:rsidRDefault="00DF0757">
            <w:pPr>
              <w:numPr>
                <w:ilvl w:val="0"/>
                <w:numId w:val="9"/>
              </w:numPr>
              <w:rPr>
                <w:rFonts w:ascii="Times New Roman" w:hAnsi="Times New Roman" w:cs="Times New Roman"/>
                <w:noProof/>
                <w:sz w:val="20"/>
                <w:szCs w:val="20"/>
              </w:rPr>
            </w:pPr>
            <w:r>
              <w:rPr>
                <w:rFonts w:ascii="Times New Roman" w:hAnsi="Times New Roman"/>
                <w:noProof/>
                <w:sz w:val="20"/>
              </w:rPr>
              <w:t xml:space="preserve">La Commission a présenté une note d'orientation sur le soutien financier. </w:t>
            </w:r>
          </w:p>
          <w:p w:rsidR="00AC78FF" w:rsidRDefault="00AC78FF">
            <w:pPr>
              <w:ind w:left="318"/>
              <w:rPr>
                <w:rFonts w:ascii="Times New Roman" w:hAnsi="Times New Roman" w:cs="Times New Roman"/>
                <w:noProof/>
                <w:sz w:val="20"/>
                <w:szCs w:val="20"/>
                <w:u w:val="single"/>
              </w:rPr>
            </w:pPr>
          </w:p>
          <w:p w:rsidR="00AC78FF" w:rsidRDefault="00DF0757">
            <w:pPr>
              <w:ind w:left="318"/>
              <w:rPr>
                <w:rFonts w:ascii="Times New Roman" w:hAnsi="Times New Roman" w:cs="Times New Roman"/>
                <w:noProof/>
                <w:sz w:val="20"/>
                <w:szCs w:val="20"/>
                <w:u w:val="single"/>
              </w:rPr>
            </w:pPr>
            <w:r>
              <w:rPr>
                <w:rFonts w:ascii="Times New Roman" w:hAnsi="Times New Roman"/>
                <w:noProof/>
                <w:sz w:val="20"/>
                <w:u w:val="single"/>
              </w:rPr>
              <w:t>At</w:t>
            </w:r>
            <w:r>
              <w:rPr>
                <w:rFonts w:ascii="Times New Roman" w:hAnsi="Times New Roman"/>
                <w:noProof/>
                <w:sz w:val="20"/>
                <w:u w:val="single"/>
              </w:rPr>
              <w:t>elier de l'EASO sur la réinstallation du 2 octobre 2015:</w:t>
            </w:r>
          </w:p>
          <w:p w:rsidR="00AC78FF" w:rsidRDefault="00DF0757">
            <w:pPr>
              <w:numPr>
                <w:ilvl w:val="0"/>
                <w:numId w:val="9"/>
              </w:numPr>
              <w:rPr>
                <w:rFonts w:ascii="Times New Roman" w:hAnsi="Times New Roman" w:cs="Times New Roman"/>
                <w:noProof/>
                <w:sz w:val="20"/>
                <w:szCs w:val="20"/>
              </w:rPr>
            </w:pPr>
            <w:r>
              <w:rPr>
                <w:rFonts w:ascii="Times New Roman" w:hAnsi="Times New Roman"/>
                <w:noProof/>
                <w:sz w:val="20"/>
              </w:rPr>
              <w:t>le HCR a présenté les différentes étapes du processus de réinstallation sous ses auspices;</w:t>
            </w:r>
          </w:p>
          <w:p w:rsidR="00AC78FF" w:rsidRDefault="00DF0757">
            <w:pPr>
              <w:numPr>
                <w:ilvl w:val="0"/>
                <w:numId w:val="9"/>
              </w:numPr>
              <w:rPr>
                <w:rFonts w:ascii="Times New Roman" w:hAnsi="Times New Roman" w:cs="Times New Roman"/>
                <w:noProof/>
                <w:sz w:val="20"/>
                <w:szCs w:val="20"/>
              </w:rPr>
            </w:pPr>
            <w:r>
              <w:rPr>
                <w:rFonts w:ascii="Times New Roman" w:hAnsi="Times New Roman"/>
                <w:noProof/>
                <w:sz w:val="20"/>
              </w:rPr>
              <w:t>IT, NL et SE ont présenté les différents aspects de leurs programmes de réinstallation afin d'échanger les b</w:t>
            </w:r>
            <w:r>
              <w:rPr>
                <w:rFonts w:ascii="Times New Roman" w:hAnsi="Times New Roman"/>
                <w:noProof/>
                <w:sz w:val="20"/>
              </w:rPr>
              <w:t>onnes pratiques;</w:t>
            </w:r>
          </w:p>
          <w:p w:rsidR="00AC78FF" w:rsidRDefault="00DF0757">
            <w:pPr>
              <w:numPr>
                <w:ilvl w:val="0"/>
                <w:numId w:val="9"/>
              </w:numPr>
              <w:rPr>
                <w:rFonts w:ascii="Times New Roman" w:hAnsi="Times New Roman" w:cs="Times New Roman"/>
                <w:noProof/>
                <w:sz w:val="20"/>
                <w:szCs w:val="20"/>
              </w:rPr>
            </w:pPr>
            <w:r>
              <w:rPr>
                <w:rFonts w:ascii="Times New Roman" w:hAnsi="Times New Roman"/>
                <w:noProof/>
                <w:sz w:val="20"/>
              </w:rPr>
              <w:t>présentation du projet de réinstallation UE-FRANK pour faciliter la réinstallation et l'admission des réfugiés grâce au partage des connaissances;</w:t>
            </w:r>
          </w:p>
          <w:p w:rsidR="00AC78FF" w:rsidRDefault="00DF0757">
            <w:pPr>
              <w:numPr>
                <w:ilvl w:val="0"/>
                <w:numId w:val="9"/>
              </w:numPr>
              <w:rPr>
                <w:rFonts w:ascii="Times New Roman" w:hAnsi="Times New Roman" w:cs="Times New Roman"/>
                <w:noProof/>
                <w:sz w:val="20"/>
                <w:szCs w:val="20"/>
              </w:rPr>
            </w:pPr>
            <w:r>
              <w:rPr>
                <w:rFonts w:ascii="Times New Roman" w:hAnsi="Times New Roman"/>
                <w:noProof/>
                <w:sz w:val="20"/>
              </w:rPr>
              <w:t>présentation par la CICM des pratiques en matière d'intégration;</w:t>
            </w:r>
          </w:p>
          <w:p w:rsidR="00AC78FF" w:rsidRDefault="00DF0757">
            <w:pPr>
              <w:numPr>
                <w:ilvl w:val="0"/>
                <w:numId w:val="9"/>
              </w:numPr>
              <w:rPr>
                <w:rFonts w:ascii="Times New Roman" w:hAnsi="Times New Roman" w:cs="Times New Roman"/>
                <w:noProof/>
                <w:sz w:val="20"/>
                <w:szCs w:val="20"/>
              </w:rPr>
            </w:pPr>
            <w:r>
              <w:rPr>
                <w:rFonts w:ascii="Times New Roman" w:hAnsi="Times New Roman"/>
                <w:noProof/>
                <w:sz w:val="20"/>
              </w:rPr>
              <w:t xml:space="preserve">recensement des besoins </w:t>
            </w:r>
            <w:r>
              <w:rPr>
                <w:rFonts w:ascii="Times New Roman" w:hAnsi="Times New Roman"/>
                <w:noProof/>
                <w:sz w:val="20"/>
              </w:rPr>
              <w:t>opérationnels des États membres dans le domaine de la réinstallation, ainsi que des mesures d'appui opérationnel nécessaires pour répondre à ces besoins.</w:t>
            </w:r>
          </w:p>
          <w:p w:rsidR="00AC78FF" w:rsidRDefault="00AC78FF">
            <w:pPr>
              <w:pStyle w:val="ListParagraph"/>
              <w:numPr>
                <w:ilvl w:val="0"/>
                <w:numId w:val="9"/>
              </w:numPr>
              <w:contextualSpacing w:val="0"/>
              <w:rPr>
                <w:rFonts w:ascii="Times New Roman" w:hAnsi="Times New Roman" w:cs="Times New Roman"/>
                <w:noProof/>
                <w:sz w:val="20"/>
                <w:szCs w:val="20"/>
              </w:rPr>
            </w:pPr>
          </w:p>
        </w:tc>
        <w:tc>
          <w:tcPr>
            <w:tcW w:w="3333" w:type="dxa"/>
          </w:tcPr>
          <w:p w:rsidR="00AC78FF" w:rsidRDefault="00DF0757">
            <w:pPr>
              <w:numPr>
                <w:ilvl w:val="0"/>
                <w:numId w:val="9"/>
              </w:numPr>
              <w:ind w:left="318" w:hanging="284"/>
              <w:rPr>
                <w:rFonts w:ascii="Times New Roman" w:hAnsi="Times New Roman" w:cs="Times New Roman"/>
                <w:noProof/>
                <w:sz w:val="20"/>
                <w:szCs w:val="20"/>
                <w:u w:val="single"/>
              </w:rPr>
            </w:pPr>
            <w:r>
              <w:rPr>
                <w:rFonts w:ascii="Times New Roman" w:hAnsi="Times New Roman"/>
                <w:noProof/>
                <w:sz w:val="20"/>
                <w:u w:val="single"/>
              </w:rPr>
              <w:t>Forum sur la réinstallation et la relocalisation du 1</w:t>
            </w:r>
            <w:r>
              <w:rPr>
                <w:rFonts w:ascii="Times New Roman" w:hAnsi="Times New Roman"/>
                <w:noProof/>
                <w:sz w:val="20"/>
                <w:u w:val="single"/>
                <w:vertAlign w:val="superscript"/>
              </w:rPr>
              <w:t>er</w:t>
            </w:r>
            <w:r>
              <w:rPr>
                <w:rFonts w:ascii="Times New Roman" w:hAnsi="Times New Roman"/>
                <w:noProof/>
                <w:sz w:val="20"/>
                <w:u w:val="single"/>
              </w:rPr>
              <w:t> octobre 2015:</w:t>
            </w:r>
          </w:p>
          <w:p w:rsidR="00AC78FF" w:rsidRDefault="00DF0757">
            <w:pPr>
              <w:numPr>
                <w:ilvl w:val="0"/>
                <w:numId w:val="10"/>
              </w:numPr>
              <w:ind w:left="318" w:hanging="119"/>
              <w:rPr>
                <w:rFonts w:ascii="Times New Roman" w:hAnsi="Times New Roman" w:cs="Times New Roman"/>
                <w:noProof/>
                <w:sz w:val="20"/>
                <w:szCs w:val="20"/>
              </w:rPr>
            </w:pPr>
            <w:r>
              <w:rPr>
                <w:rFonts w:ascii="Times New Roman" w:hAnsi="Times New Roman"/>
                <w:noProof/>
                <w:sz w:val="20"/>
              </w:rPr>
              <w:t>Tous les États membres ont conf</w:t>
            </w:r>
            <w:r>
              <w:rPr>
                <w:rFonts w:ascii="Times New Roman" w:hAnsi="Times New Roman"/>
                <w:noProof/>
                <w:sz w:val="20"/>
              </w:rPr>
              <w:t>irmé leurs engagements du 20 juillet 2015 et nombre d’entre eux ont indiqué expressément l'instauration d'une coopération étroite avec le HCR et l’OIM.</w:t>
            </w:r>
          </w:p>
          <w:p w:rsidR="00AC78FF" w:rsidRDefault="00DF0757">
            <w:pPr>
              <w:numPr>
                <w:ilvl w:val="0"/>
                <w:numId w:val="10"/>
              </w:numPr>
              <w:ind w:left="318" w:hanging="119"/>
              <w:rPr>
                <w:rFonts w:ascii="Times New Roman" w:hAnsi="Times New Roman" w:cs="Times New Roman"/>
                <w:noProof/>
                <w:sz w:val="20"/>
                <w:szCs w:val="20"/>
              </w:rPr>
            </w:pPr>
            <w:r>
              <w:rPr>
                <w:rFonts w:ascii="Times New Roman" w:hAnsi="Times New Roman"/>
                <w:noProof/>
                <w:sz w:val="20"/>
              </w:rPr>
              <w:t>Tous les États ont confirmé qu'ils respectaient les priorités fixées pour ce qui est des régions de réin</w:t>
            </w:r>
            <w:r>
              <w:rPr>
                <w:rFonts w:ascii="Times New Roman" w:hAnsi="Times New Roman"/>
                <w:noProof/>
                <w:sz w:val="20"/>
              </w:rPr>
              <w:t>stallation. La plupart concentreront leurs efforts sur les réfugiés syriens accueillis au Liban, en Jordanie ou en Turquie. Certains États ont également indiqué qu'ils procéderaient à la réinstallation de réfugiés d'autres régions, telles que la Corne de l</w:t>
            </w:r>
            <w:r>
              <w:rPr>
                <w:rFonts w:ascii="Times New Roman" w:hAnsi="Times New Roman"/>
                <w:noProof/>
                <w:sz w:val="20"/>
              </w:rPr>
              <w:t>'Afrique (Soudan) ou l'Afrique du Nord (Égypte).</w:t>
            </w:r>
          </w:p>
          <w:p w:rsidR="00AC78FF" w:rsidRDefault="00DF0757">
            <w:pPr>
              <w:numPr>
                <w:ilvl w:val="0"/>
                <w:numId w:val="10"/>
              </w:numPr>
              <w:ind w:left="318" w:hanging="119"/>
              <w:rPr>
                <w:rFonts w:ascii="Times New Roman" w:hAnsi="Times New Roman" w:cs="Times New Roman"/>
                <w:noProof/>
                <w:sz w:val="20"/>
                <w:szCs w:val="20"/>
              </w:rPr>
            </w:pPr>
            <w:r>
              <w:rPr>
                <w:rFonts w:ascii="Times New Roman" w:hAnsi="Times New Roman"/>
                <w:noProof/>
                <w:sz w:val="20"/>
              </w:rPr>
              <w:t>Certains États membres ont déjà commencé à procéder à une réinstallation limitée dans le cadre du programme (IT, CZ), tandis que le Liechtenstein a indiqué qu'il avait déjà honoré son engagement en réinstall</w:t>
            </w:r>
            <w:r>
              <w:rPr>
                <w:rFonts w:ascii="Times New Roman" w:hAnsi="Times New Roman"/>
                <w:noProof/>
                <w:sz w:val="20"/>
              </w:rPr>
              <w:t>ant 20 Syriens réfugiés en Turquie.</w:t>
            </w:r>
          </w:p>
          <w:p w:rsidR="00AC78FF" w:rsidRDefault="00DF0757">
            <w:pPr>
              <w:pStyle w:val="ListParagraph"/>
              <w:numPr>
                <w:ilvl w:val="0"/>
                <w:numId w:val="12"/>
              </w:numPr>
              <w:contextualSpacing w:val="0"/>
              <w:rPr>
                <w:rFonts w:ascii="Times New Roman" w:hAnsi="Times New Roman" w:cs="Times New Roman"/>
                <w:noProof/>
                <w:sz w:val="20"/>
                <w:szCs w:val="20"/>
              </w:rPr>
            </w:pPr>
            <w:r>
              <w:rPr>
                <w:rFonts w:ascii="Times New Roman" w:hAnsi="Times New Roman"/>
                <w:noProof/>
                <w:sz w:val="20"/>
              </w:rPr>
              <w:t>Certains États membres ont indiqué le nombre de personnes qu'ils ont l'intention de réinstaller respectivement en 2016 et 2017 dans le cadre de leur engagement global.</w:t>
            </w:r>
          </w:p>
        </w:tc>
        <w:tc>
          <w:tcPr>
            <w:tcW w:w="3315" w:type="dxa"/>
          </w:tcPr>
          <w:p w:rsidR="00AC78FF" w:rsidRDefault="00DF0757">
            <w:pPr>
              <w:pStyle w:val="ListParagraph"/>
              <w:numPr>
                <w:ilvl w:val="0"/>
                <w:numId w:val="12"/>
              </w:numPr>
              <w:contextualSpacing w:val="0"/>
              <w:rPr>
                <w:rFonts w:ascii="Times New Roman" w:hAnsi="Times New Roman" w:cs="Times New Roman"/>
                <w:noProof/>
                <w:sz w:val="20"/>
                <w:szCs w:val="20"/>
              </w:rPr>
            </w:pPr>
            <w:r>
              <w:rPr>
                <w:rFonts w:ascii="Times New Roman" w:hAnsi="Times New Roman"/>
                <w:noProof/>
                <w:sz w:val="20"/>
              </w:rPr>
              <w:t>Le 30 octobre 2015, les États membres devront confir</w:t>
            </w:r>
            <w:r>
              <w:rPr>
                <w:rFonts w:ascii="Times New Roman" w:hAnsi="Times New Roman"/>
                <w:noProof/>
                <w:sz w:val="20"/>
              </w:rPr>
              <w:t>mer officiellement à la Commission le nombre de personnes devant être réinstallées conformément aux engagements qu'ils avaient pris dans le cadre du programme de réinstallation du 20 juillet 2015.</w:t>
            </w:r>
          </w:p>
          <w:p w:rsidR="00AC78FF" w:rsidRDefault="00DF0757">
            <w:pPr>
              <w:pStyle w:val="ListParagraph"/>
              <w:numPr>
                <w:ilvl w:val="0"/>
                <w:numId w:val="12"/>
              </w:numPr>
              <w:contextualSpacing w:val="0"/>
              <w:rPr>
                <w:rFonts w:ascii="Times New Roman" w:hAnsi="Times New Roman" w:cs="Times New Roman"/>
                <w:noProof/>
                <w:sz w:val="20"/>
                <w:szCs w:val="20"/>
              </w:rPr>
            </w:pPr>
            <w:r>
              <w:rPr>
                <w:rFonts w:ascii="Times New Roman" w:hAnsi="Times New Roman"/>
                <w:noProof/>
                <w:sz w:val="20"/>
              </w:rPr>
              <w:t xml:space="preserve">Sur cette base, la Commission révisera les programmes </w:t>
            </w:r>
            <w:r>
              <w:rPr>
                <w:rFonts w:ascii="Times New Roman" w:hAnsi="Times New Roman"/>
                <w:noProof/>
                <w:sz w:val="20"/>
              </w:rPr>
              <w:t>nationaux des États membres au titre du Fonds «Asile, migration et intégration».</w:t>
            </w:r>
          </w:p>
          <w:p w:rsidR="00AC78FF" w:rsidRDefault="00DF0757">
            <w:pPr>
              <w:pStyle w:val="ListParagraph"/>
              <w:numPr>
                <w:ilvl w:val="0"/>
                <w:numId w:val="12"/>
              </w:numPr>
              <w:contextualSpacing w:val="0"/>
              <w:rPr>
                <w:rFonts w:ascii="Times New Roman" w:hAnsi="Times New Roman" w:cs="Times New Roman"/>
                <w:noProof/>
                <w:sz w:val="20"/>
                <w:szCs w:val="20"/>
              </w:rPr>
            </w:pPr>
            <w:r>
              <w:rPr>
                <w:rFonts w:ascii="Times New Roman" w:hAnsi="Times New Roman"/>
                <w:noProof/>
                <w:sz w:val="20"/>
              </w:rPr>
              <w:t>Coopération des États membres avec le HCR pour identifier les personnes devant être réinstallées.</w:t>
            </w: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tc>
      </w:tr>
      <w:tr w:rsidR="00AC78FF">
        <w:tc>
          <w:tcPr>
            <w:tcW w:w="4089" w:type="dxa"/>
          </w:tcPr>
          <w:p w:rsidR="00AC78FF" w:rsidRDefault="00DF0757">
            <w:pPr>
              <w:rPr>
                <w:rFonts w:ascii="Times New Roman" w:hAnsi="Times New Roman" w:cs="Times New Roman"/>
                <w:noProof/>
                <w:sz w:val="20"/>
                <w:szCs w:val="20"/>
              </w:rPr>
            </w:pPr>
            <w:r>
              <w:rPr>
                <w:rFonts w:ascii="Times New Roman" w:hAnsi="Times New Roman"/>
                <w:noProof/>
                <w:sz w:val="20"/>
              </w:rPr>
              <w:t>Trafic de migrants</w:t>
            </w:r>
          </w:p>
        </w:tc>
        <w:tc>
          <w:tcPr>
            <w:tcW w:w="348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Mise en place de l'équipe opérationnelle conjointe en m</w:t>
            </w:r>
            <w:r>
              <w:rPr>
                <w:rFonts w:ascii="Times New Roman" w:hAnsi="Times New Roman"/>
                <w:noProof/>
                <w:sz w:val="20"/>
              </w:rPr>
              <w:t>atière d'information maritime (JOT MARE), qui constitue la principale plateforme d’information sur le trafic de migrants, afin d'appuyer les enquêtes menées par les États membres et les poursuites engagées contre des passeurs de migrants.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Soutien aux enquê</w:t>
            </w:r>
            <w:r>
              <w:rPr>
                <w:rFonts w:ascii="Times New Roman" w:hAnsi="Times New Roman"/>
                <w:noProof/>
                <w:sz w:val="20"/>
              </w:rPr>
              <w:t>tes XX et aux opérations conjointes XX contre le trafic de migrants dans XX États membres.</w:t>
            </w:r>
          </w:p>
        </w:tc>
        <w:tc>
          <w:tcPr>
            <w:tcW w:w="333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Déploiement de XX par XX États membres dans le cadre de JOT MARE.</w:t>
            </w:r>
          </w:p>
        </w:tc>
        <w:tc>
          <w:tcPr>
            <w:tcW w:w="3315"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Poursuite du renforcement de la coopération interagences en matière de trafic de migrants.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Poursuit</w:t>
            </w:r>
            <w:r>
              <w:rPr>
                <w:rFonts w:ascii="Times New Roman" w:hAnsi="Times New Roman"/>
                <w:noProof/>
                <w:sz w:val="20"/>
              </w:rPr>
              <w:t>e de l’utilisation d'équipes communes d’enquête et d'opérations conjointes dans le domaine du trafic de migrants.</w:t>
            </w:r>
          </w:p>
        </w:tc>
      </w:tr>
      <w:tr w:rsidR="00AC78FF">
        <w:tc>
          <w:tcPr>
            <w:tcW w:w="4089" w:type="dxa"/>
          </w:tcPr>
          <w:p w:rsidR="00AC78FF" w:rsidRDefault="00DF0757">
            <w:pPr>
              <w:rPr>
                <w:rFonts w:ascii="Times New Roman" w:hAnsi="Times New Roman" w:cs="Times New Roman"/>
                <w:noProof/>
                <w:sz w:val="20"/>
                <w:szCs w:val="20"/>
              </w:rPr>
            </w:pPr>
            <w:r>
              <w:rPr>
                <w:rFonts w:ascii="Times New Roman" w:hAnsi="Times New Roman"/>
                <w:noProof/>
                <w:sz w:val="20"/>
              </w:rPr>
              <w:t>Protection civile</w:t>
            </w:r>
          </w:p>
        </w:tc>
        <w:tc>
          <w:tcPr>
            <w:tcW w:w="348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La Commission a écrit à tous les États membres le 24 septembre 2015 pour leur demander de préciser les moyens qu'ils pourra</w:t>
            </w:r>
            <w:r>
              <w:rPr>
                <w:rFonts w:ascii="Times New Roman" w:hAnsi="Times New Roman"/>
                <w:noProof/>
                <w:sz w:val="20"/>
              </w:rPr>
              <w:t xml:space="preserve">ient mettre à disposition si le mécanisme est activé durant la crise des réfugiés. </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Dernière réunion de coordination le 8 octobre 2015.</w:t>
            </w:r>
          </w:p>
        </w:tc>
        <w:tc>
          <w:tcPr>
            <w:tcW w:w="333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À ce jour, 19 États membres ont répondu à la lettre, dont huit favorablement (BE, CY, FI, LT, SE, SK, CZ, LV). Quatre </w:t>
            </w:r>
            <w:r>
              <w:rPr>
                <w:rFonts w:ascii="Times New Roman" w:hAnsi="Times New Roman"/>
                <w:noProof/>
                <w:sz w:val="20"/>
              </w:rPr>
              <w:t>autres États membres (AT, BG, SI, UK) pourraient répondre au cas par cas.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La Hongrie a déclenché le mécanisme de protection civile le 18 juin 2015 et le 11 septembre 2015.</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La Serbie a déclenché le mécanisme de protection civile le 21 septembre 2015.</w:t>
            </w:r>
          </w:p>
        </w:tc>
        <w:tc>
          <w:tcPr>
            <w:tcW w:w="3315"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Les Ét</w:t>
            </w:r>
            <w:r>
              <w:rPr>
                <w:rFonts w:ascii="Times New Roman" w:hAnsi="Times New Roman"/>
                <w:noProof/>
                <w:sz w:val="20"/>
              </w:rPr>
              <w:t xml:space="preserve">ats membres qui en ont besoin peuvent déclencher le mécanisme. </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 Les États membres planifient les mesures d'urgence qui pourraient être nécessaires dans le cadre de la protection civile sur la base de différents scénarios, et les moyens qui pourraient être</w:t>
            </w:r>
            <w:r>
              <w:rPr>
                <w:rFonts w:ascii="Times New Roman" w:hAnsi="Times New Roman"/>
                <w:noProof/>
                <w:sz w:val="20"/>
              </w:rPr>
              <w:t xml:space="preserve"> fournis.</w:t>
            </w:r>
          </w:p>
        </w:tc>
      </w:tr>
      <w:tr w:rsidR="00AC78FF">
        <w:tc>
          <w:tcPr>
            <w:tcW w:w="4089" w:type="dxa"/>
          </w:tcPr>
          <w:p w:rsidR="00AC78FF" w:rsidRDefault="00DF0757">
            <w:pPr>
              <w:rPr>
                <w:rFonts w:ascii="Times New Roman" w:hAnsi="Times New Roman" w:cs="Times New Roman"/>
                <w:noProof/>
                <w:sz w:val="20"/>
                <w:szCs w:val="20"/>
              </w:rPr>
            </w:pPr>
            <w:r>
              <w:rPr>
                <w:rFonts w:ascii="Times New Roman" w:hAnsi="Times New Roman"/>
                <w:noProof/>
                <w:sz w:val="20"/>
              </w:rPr>
              <w:t>Équipes d’intervention rapide aux frontières (RABIT)</w:t>
            </w:r>
          </w:p>
        </w:tc>
        <w:tc>
          <w:tcPr>
            <w:tcW w:w="348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Le 18 septembre 2015, Frontex a adressé une lettre au conseil d'administration de l'agence, soulignant qu'elle était prête à répondre à toute demande d'intervention rapide présentée par un Éta</w:t>
            </w:r>
            <w:r>
              <w:rPr>
                <w:rFonts w:ascii="Times New Roman" w:hAnsi="Times New Roman"/>
                <w:noProof/>
                <w:sz w:val="20"/>
              </w:rPr>
              <w:t>t membre confronté à une pression soudaine et particulière des flux migratoires irréguliers à ses frontières extérieures et demandant un soutien pour toute intervention de ce type ainsi que pour la mise en œuvre des opérations conjointes renforcées en cour</w:t>
            </w:r>
            <w:r>
              <w:rPr>
                <w:rFonts w:ascii="Times New Roman" w:hAnsi="Times New Roman"/>
                <w:noProof/>
                <w:sz w:val="20"/>
              </w:rPr>
              <w:t>s.</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Dans sa communication sur la gestion de la crise des réfugiés, la Commission a attiré l’attention sur la possibilité de déclencher le mécanisme RABIT.</w:t>
            </w:r>
          </w:p>
        </w:tc>
        <w:tc>
          <w:tcPr>
            <w:tcW w:w="3333"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13 États membres ont répondu à la lettre du directeur exécutif. </w:t>
            </w:r>
          </w:p>
          <w:p w:rsidR="00AC78FF" w:rsidRDefault="00AC78FF">
            <w:pPr>
              <w:ind w:left="34"/>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À ce jour (7 octobre 2015), aucun É</w:t>
            </w:r>
            <w:r>
              <w:rPr>
                <w:rFonts w:ascii="Times New Roman" w:hAnsi="Times New Roman"/>
                <w:noProof/>
                <w:sz w:val="20"/>
              </w:rPr>
              <w:t>tat membre n'a notifié à Frontex sa volonté de demander une intervention rapide.</w:t>
            </w:r>
          </w:p>
          <w:p w:rsidR="00AC78FF" w:rsidRDefault="00AC78FF">
            <w:pPr>
              <w:ind w:left="34"/>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Six États membres ont indiqué qu'ils étaient disposés à déployer des ressources humaines ou techniques cette année encore [s'il y a une demande en ce sens].</w:t>
            </w:r>
          </w:p>
          <w:p w:rsidR="00AC78FF" w:rsidRDefault="00AC78FF">
            <w:pPr>
              <w:pStyle w:val="ListParagraph"/>
              <w:numPr>
                <w:ilvl w:val="0"/>
                <w:numId w:val="9"/>
              </w:numPr>
              <w:ind w:left="318" w:hanging="284"/>
              <w:contextualSpacing w:val="0"/>
              <w:rPr>
                <w:rFonts w:ascii="Times New Roman" w:hAnsi="Times New Roman" w:cs="Times New Roman"/>
                <w:noProof/>
                <w:sz w:val="20"/>
                <w:szCs w:val="20"/>
              </w:rPr>
            </w:pPr>
          </w:p>
        </w:tc>
        <w:tc>
          <w:tcPr>
            <w:tcW w:w="3315"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Tout État membre confronté à une situation de pression urgente et exceptionnelle en raison du nombre important de migrants tentant d’entrer illégalement sur son territoire, qui dépasse les capacités de l’État membre concerné, peut déclencher une interventi</w:t>
            </w:r>
            <w:r>
              <w:rPr>
                <w:rFonts w:ascii="Times New Roman" w:hAnsi="Times New Roman"/>
                <w:noProof/>
                <w:sz w:val="20"/>
              </w:rPr>
              <w:t xml:space="preserve">on rapide coordonnée par Frontex. </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Frontex devra suivre de manière continue, en coopération avec les États membres, l'évolution de la situation aux frontières extérieures de l'UE, en particulier pour les États membres soumis à des pressions spécifiques et</w:t>
            </w:r>
            <w:r>
              <w:rPr>
                <w:rFonts w:ascii="Times New Roman" w:hAnsi="Times New Roman"/>
                <w:noProof/>
                <w:sz w:val="20"/>
              </w:rPr>
              <w:t xml:space="preserve"> disproportionnées.</w:t>
            </w:r>
          </w:p>
          <w:p w:rsidR="00AC78FF" w:rsidRDefault="00AC78FF">
            <w:pPr>
              <w:pStyle w:val="ListParagraph"/>
              <w:numPr>
                <w:ilvl w:val="0"/>
                <w:numId w:val="9"/>
              </w:numPr>
              <w:ind w:left="318" w:hanging="284"/>
              <w:contextualSpacing w:val="0"/>
              <w:rPr>
                <w:rFonts w:ascii="Times New Roman" w:hAnsi="Times New Roman" w:cs="Times New Roman"/>
                <w:noProof/>
                <w:sz w:val="20"/>
                <w:szCs w:val="20"/>
              </w:rPr>
            </w:pPr>
          </w:p>
        </w:tc>
      </w:tr>
    </w:tbl>
    <w:p w:rsidR="00AC78FF" w:rsidRDefault="00AC78FF">
      <w:pPr>
        <w:spacing w:line="240" w:lineRule="auto"/>
        <w:rPr>
          <w:rFonts w:ascii="Times New Roman" w:hAnsi="Times New Roman" w:cs="Times New Roman"/>
          <w:noProof/>
          <w:sz w:val="20"/>
          <w:szCs w:val="20"/>
        </w:rPr>
      </w:pPr>
    </w:p>
    <w:p w:rsidR="00AC78FF" w:rsidRDefault="00DF0757">
      <w:pPr>
        <w:keepNext/>
        <w:spacing w:line="240" w:lineRule="auto"/>
        <w:rPr>
          <w:rFonts w:ascii="Times New Roman" w:hAnsi="Times New Roman" w:cs="Times New Roman"/>
          <w:noProof/>
          <w:sz w:val="20"/>
          <w:szCs w:val="20"/>
        </w:rPr>
      </w:pPr>
      <w:r>
        <w:rPr>
          <w:rFonts w:ascii="Times New Roman" w:hAnsi="Times New Roman"/>
          <w:noProof/>
          <w:sz w:val="20"/>
        </w:rPr>
        <w:t>APPUI BUDGÉTAIRE POUR L'ACTION MENÉE AU SEIN DE L'UE</w:t>
      </w:r>
    </w:p>
    <w:tbl>
      <w:tblPr>
        <w:tblStyle w:val="TableGrid"/>
        <w:tblW w:w="0" w:type="auto"/>
        <w:tblLook w:val="04A0" w:firstRow="1" w:lastRow="0" w:firstColumn="1" w:lastColumn="0" w:noHBand="0" w:noVBand="1"/>
      </w:tblPr>
      <w:tblGrid>
        <w:gridCol w:w="2376"/>
        <w:gridCol w:w="3969"/>
        <w:gridCol w:w="4111"/>
        <w:gridCol w:w="3764"/>
      </w:tblGrid>
      <w:tr w:rsidR="00AC78FF">
        <w:tc>
          <w:tcPr>
            <w:tcW w:w="2376" w:type="dxa"/>
            <w:tcBorders>
              <w:top w:val="single" w:sz="4" w:space="0" w:color="auto"/>
              <w:left w:val="single" w:sz="4" w:space="0" w:color="auto"/>
              <w:bottom w:val="single" w:sz="4" w:space="0" w:color="auto"/>
              <w:right w:val="single" w:sz="4" w:space="0" w:color="auto"/>
            </w:tcBorders>
            <w:shd w:val="pct15" w:color="auto" w:fill="auto"/>
          </w:tcPr>
          <w:p w:rsidR="00AC78FF" w:rsidRDefault="00AC78FF">
            <w:pPr>
              <w:rPr>
                <w:rFonts w:ascii="Times New Roman" w:hAnsi="Times New Roman" w:cs="Times New Roman"/>
                <w:noProof/>
                <w:sz w:val="20"/>
                <w:szCs w:val="20"/>
              </w:rPr>
            </w:pPr>
          </w:p>
        </w:tc>
        <w:tc>
          <w:tcPr>
            <w:tcW w:w="3969" w:type="dxa"/>
            <w:tcBorders>
              <w:top w:val="single" w:sz="4" w:space="0" w:color="auto"/>
              <w:left w:val="single" w:sz="4" w:space="0" w:color="auto"/>
              <w:bottom w:val="single" w:sz="4" w:space="0" w:color="auto"/>
              <w:right w:val="single" w:sz="4" w:space="0" w:color="auto"/>
            </w:tcBorders>
            <w:shd w:val="pct15" w:color="auto" w:fill="auto"/>
            <w:hideMark/>
          </w:tcPr>
          <w:p w:rsidR="00AC78FF" w:rsidRDefault="00DF0757">
            <w:pPr>
              <w:ind w:left="-108"/>
              <w:jc w:val="center"/>
              <w:rPr>
                <w:rFonts w:ascii="Times New Roman" w:hAnsi="Times New Roman" w:cs="Times New Roman"/>
                <w:b/>
                <w:noProof/>
                <w:sz w:val="20"/>
                <w:szCs w:val="20"/>
              </w:rPr>
            </w:pPr>
            <w:r>
              <w:rPr>
                <w:rFonts w:ascii="Times New Roman" w:hAnsi="Times New Roman"/>
                <w:b/>
                <w:noProof/>
                <w:sz w:val="20"/>
              </w:rPr>
              <w:t>Action de l'UE</w:t>
            </w:r>
          </w:p>
        </w:tc>
        <w:tc>
          <w:tcPr>
            <w:tcW w:w="4111" w:type="dxa"/>
            <w:tcBorders>
              <w:top w:val="single" w:sz="4" w:space="0" w:color="auto"/>
              <w:left w:val="single" w:sz="4" w:space="0" w:color="auto"/>
              <w:bottom w:val="single" w:sz="4" w:space="0" w:color="auto"/>
              <w:right w:val="single" w:sz="4" w:space="0" w:color="auto"/>
            </w:tcBorders>
            <w:shd w:val="pct15" w:color="auto" w:fill="auto"/>
            <w:hideMark/>
          </w:tcPr>
          <w:p w:rsidR="00AC78FF" w:rsidRDefault="00DF0757">
            <w:pPr>
              <w:jc w:val="center"/>
              <w:rPr>
                <w:rFonts w:ascii="Times New Roman" w:hAnsi="Times New Roman" w:cs="Times New Roman"/>
                <w:b/>
                <w:noProof/>
                <w:sz w:val="20"/>
                <w:szCs w:val="20"/>
              </w:rPr>
            </w:pPr>
            <w:r>
              <w:rPr>
                <w:rFonts w:ascii="Times New Roman" w:hAnsi="Times New Roman"/>
                <w:b/>
                <w:noProof/>
                <w:sz w:val="20"/>
              </w:rPr>
              <w:t>Mesures prises par les États membres</w:t>
            </w:r>
          </w:p>
        </w:tc>
        <w:tc>
          <w:tcPr>
            <w:tcW w:w="3764" w:type="dxa"/>
            <w:tcBorders>
              <w:top w:val="single" w:sz="4" w:space="0" w:color="auto"/>
              <w:left w:val="single" w:sz="4" w:space="0" w:color="auto"/>
              <w:bottom w:val="single" w:sz="4" w:space="0" w:color="auto"/>
              <w:right w:val="single" w:sz="4" w:space="0" w:color="auto"/>
            </w:tcBorders>
            <w:shd w:val="pct15" w:color="auto" w:fill="auto"/>
            <w:hideMark/>
          </w:tcPr>
          <w:p w:rsidR="00AC78FF" w:rsidRDefault="00DF0757">
            <w:pPr>
              <w:jc w:val="center"/>
              <w:rPr>
                <w:rFonts w:ascii="Times New Roman" w:hAnsi="Times New Roman" w:cs="Times New Roman"/>
                <w:b/>
                <w:noProof/>
                <w:sz w:val="20"/>
                <w:szCs w:val="20"/>
              </w:rPr>
            </w:pPr>
            <w:r>
              <w:rPr>
                <w:rFonts w:ascii="Times New Roman" w:hAnsi="Times New Roman"/>
                <w:b/>
                <w:noProof/>
                <w:sz w:val="20"/>
              </w:rPr>
              <w:t>Prochaines étapes</w:t>
            </w:r>
          </w:p>
        </w:tc>
      </w:tr>
      <w:tr w:rsidR="00AC78FF">
        <w:tc>
          <w:tcPr>
            <w:tcW w:w="2376" w:type="dxa"/>
            <w:tcBorders>
              <w:top w:val="single" w:sz="4" w:space="0" w:color="auto"/>
              <w:left w:val="single" w:sz="4" w:space="0" w:color="auto"/>
              <w:bottom w:val="single" w:sz="4" w:space="0" w:color="auto"/>
              <w:right w:val="single" w:sz="4" w:space="0" w:color="auto"/>
            </w:tcBorders>
          </w:tcPr>
          <w:p w:rsidR="00AC78FF" w:rsidRDefault="00DF0757">
            <w:pPr>
              <w:rPr>
                <w:rFonts w:ascii="Times New Roman" w:hAnsi="Times New Roman" w:cs="Times New Roman"/>
                <w:noProof/>
                <w:sz w:val="20"/>
                <w:szCs w:val="20"/>
                <w:highlight w:val="yellow"/>
              </w:rPr>
            </w:pPr>
            <w:r>
              <w:rPr>
                <w:rFonts w:ascii="Times New Roman" w:hAnsi="Times New Roman"/>
                <w:noProof/>
                <w:sz w:val="20"/>
              </w:rPr>
              <w:t xml:space="preserve">Soutien financier renforcé à la gestion des migrations: contrôles aux frontières, régimes d'asile, accueil </w:t>
            </w:r>
            <w:r>
              <w:rPr>
                <w:rFonts w:ascii="Times New Roman" w:hAnsi="Times New Roman"/>
                <w:noProof/>
                <w:sz w:val="20"/>
              </w:rPr>
              <w:t>et retour (</w:t>
            </w:r>
            <w:r>
              <w:rPr>
                <w:rFonts w:ascii="Times New Roman" w:hAnsi="Times New Roman"/>
                <w:i/>
                <w:noProof/>
                <w:sz w:val="20"/>
              </w:rPr>
              <w:t>tel que prévu dans le budget rectificatif n° 7/2015 et dans la lettre rectificative n° 2/2016</w:t>
            </w:r>
            <w:r>
              <w:rPr>
                <w:rFonts w:ascii="Times New Roman" w:hAnsi="Times New Roman"/>
                <w:noProof/>
                <w:sz w:val="20"/>
              </w:rPr>
              <w:t>).</w:t>
            </w:r>
          </w:p>
        </w:tc>
        <w:tc>
          <w:tcPr>
            <w:tcW w:w="3969" w:type="dxa"/>
            <w:tcBorders>
              <w:top w:val="single" w:sz="4" w:space="0" w:color="auto"/>
              <w:left w:val="single" w:sz="4" w:space="0" w:color="auto"/>
              <w:bottom w:val="single" w:sz="4" w:space="0" w:color="auto"/>
              <w:right w:val="single" w:sz="4" w:space="0" w:color="auto"/>
            </w:tcBorders>
          </w:tcPr>
          <w:p w:rsidR="00AC78FF" w:rsidRDefault="00DF0757">
            <w:pPr>
              <w:ind w:left="318" w:hanging="284"/>
              <w:rPr>
                <w:rFonts w:ascii="Times New Roman" w:hAnsi="Times New Roman" w:cs="Times New Roman"/>
                <w:noProof/>
                <w:sz w:val="20"/>
                <w:szCs w:val="20"/>
              </w:rPr>
            </w:pPr>
            <w:r>
              <w:rPr>
                <w:rFonts w:ascii="Times New Roman" w:hAnsi="Times New Roman"/>
                <w:noProof/>
                <w:sz w:val="20"/>
              </w:rPr>
              <w:t>-   100 000 000 EUR supplémentaires pour une aide d'urgence au titre du Fonds «Asile, migration et intégration» et du FSI en 2015, en tant que modifi</w:t>
            </w:r>
            <w:r>
              <w:rPr>
                <w:rFonts w:ascii="Times New Roman" w:hAnsi="Times New Roman"/>
                <w:noProof/>
                <w:sz w:val="20"/>
              </w:rPr>
              <w:t>cation proposée par la Commission et adoptée en procédure accélérée par l'autorité budgétaire.</w:t>
            </w:r>
            <w:r>
              <w:rPr>
                <w:noProof/>
              </w:rPr>
              <w:tab/>
            </w:r>
            <w:r>
              <w:rPr>
                <w:rFonts w:ascii="Times New Roman" w:hAnsi="Times New Roman"/>
                <w:noProof/>
                <w:sz w:val="20"/>
              </w:rPr>
              <w:t xml:space="preserve"> </w:t>
            </w:r>
          </w:p>
          <w:p w:rsidR="00AC78FF" w:rsidRDefault="00DF0757">
            <w:pPr>
              <w:numPr>
                <w:ilvl w:val="0"/>
                <w:numId w:val="9"/>
              </w:numPr>
              <w:ind w:left="318"/>
              <w:rPr>
                <w:rFonts w:ascii="Times New Roman" w:hAnsi="Times New Roman" w:cs="Times New Roman"/>
                <w:noProof/>
                <w:sz w:val="20"/>
                <w:szCs w:val="20"/>
              </w:rPr>
            </w:pPr>
            <w:r>
              <w:rPr>
                <w:rFonts w:ascii="Times New Roman" w:hAnsi="Times New Roman"/>
                <w:noProof/>
                <w:sz w:val="20"/>
              </w:rPr>
              <w:t>L'incidence budgétaire de la deuxième proposition de relocalisation de 120 000 réfugiés (y compris les coûts de transfert), d'un montant total de 780 000 000 E</w:t>
            </w:r>
            <w:r>
              <w:rPr>
                <w:rFonts w:ascii="Times New Roman" w:hAnsi="Times New Roman"/>
                <w:noProof/>
                <w:sz w:val="20"/>
              </w:rPr>
              <w:t>UR pour 2016, figure dans la lettre rectificative n° 2 devant être adoptée par la Commission le 14 octobre 2015.</w:t>
            </w:r>
          </w:p>
          <w:p w:rsidR="00AC78FF" w:rsidRDefault="00DF0757">
            <w:pPr>
              <w:numPr>
                <w:ilvl w:val="0"/>
                <w:numId w:val="9"/>
              </w:numPr>
              <w:ind w:left="318"/>
              <w:rPr>
                <w:rFonts w:ascii="Times New Roman" w:hAnsi="Times New Roman" w:cs="Times New Roman"/>
                <w:noProof/>
                <w:sz w:val="20"/>
                <w:szCs w:val="20"/>
              </w:rPr>
            </w:pPr>
            <w:r>
              <w:rPr>
                <w:rFonts w:ascii="Times New Roman" w:hAnsi="Times New Roman"/>
                <w:noProof/>
                <w:sz w:val="20"/>
              </w:rPr>
              <w:t>Une autre proposition de la Commission, d'un montant total de 600 000 000 EUR supplémentaires pour 2016, figure également dans la lettre rectif</w:t>
            </w:r>
            <w:r>
              <w:rPr>
                <w:rFonts w:ascii="Times New Roman" w:hAnsi="Times New Roman"/>
                <w:noProof/>
                <w:sz w:val="20"/>
              </w:rPr>
              <w:t xml:space="preserve">icative n° 2 et comprend:  </w:t>
            </w:r>
          </w:p>
          <w:p w:rsidR="00AC78FF" w:rsidRDefault="00DF0757">
            <w:pPr>
              <w:pStyle w:val="ListParagraph"/>
              <w:numPr>
                <w:ilvl w:val="0"/>
                <w:numId w:val="19"/>
              </w:numPr>
              <w:contextualSpacing w:val="0"/>
              <w:rPr>
                <w:rFonts w:ascii="Times New Roman" w:hAnsi="Times New Roman" w:cs="Times New Roman"/>
                <w:noProof/>
                <w:sz w:val="20"/>
                <w:szCs w:val="20"/>
              </w:rPr>
            </w:pPr>
            <w:r>
              <w:rPr>
                <w:rFonts w:ascii="Times New Roman" w:hAnsi="Times New Roman"/>
                <w:noProof/>
                <w:sz w:val="20"/>
              </w:rPr>
              <w:t>310 000 000 EUR pour des actions plus structurelles à moyen terme et des activités de premier accueil dans les États membres les plus touchés;</w:t>
            </w:r>
          </w:p>
          <w:p w:rsidR="00AC78FF" w:rsidRDefault="00DF0757">
            <w:pPr>
              <w:pStyle w:val="ListParagraph"/>
              <w:numPr>
                <w:ilvl w:val="0"/>
                <w:numId w:val="19"/>
              </w:numPr>
              <w:contextualSpacing w:val="0"/>
              <w:rPr>
                <w:rFonts w:ascii="Times New Roman" w:hAnsi="Times New Roman" w:cs="Times New Roman"/>
                <w:noProof/>
                <w:sz w:val="20"/>
                <w:szCs w:val="20"/>
              </w:rPr>
            </w:pPr>
            <w:r>
              <w:rPr>
                <w:rFonts w:ascii="Times New Roman" w:hAnsi="Times New Roman"/>
                <w:noProof/>
                <w:sz w:val="20"/>
              </w:rPr>
              <w:t>94 000 000 EUR pour une aide d'urgence supplémentaire;</w:t>
            </w:r>
          </w:p>
          <w:p w:rsidR="00AC78FF" w:rsidRDefault="00DF0757">
            <w:pPr>
              <w:pStyle w:val="ListParagraph"/>
              <w:numPr>
                <w:ilvl w:val="0"/>
                <w:numId w:val="19"/>
              </w:numPr>
              <w:contextualSpacing w:val="0"/>
              <w:rPr>
                <w:rFonts w:ascii="Times New Roman" w:hAnsi="Times New Roman" w:cs="Times New Roman"/>
                <w:noProof/>
                <w:sz w:val="20"/>
                <w:szCs w:val="20"/>
              </w:rPr>
            </w:pPr>
            <w:r>
              <w:rPr>
                <w:rFonts w:ascii="Times New Roman" w:hAnsi="Times New Roman"/>
                <w:noProof/>
                <w:sz w:val="20"/>
              </w:rPr>
              <w:t>110 000 000 EUR pour l'alignem</w:t>
            </w:r>
            <w:r>
              <w:rPr>
                <w:rFonts w:ascii="Times New Roman" w:hAnsi="Times New Roman"/>
                <w:noProof/>
                <w:sz w:val="20"/>
              </w:rPr>
              <w:t>ent budgétaire du premier ensemble de mesures de relocalisation (40 000 réfugiés) sur le deuxième;</w:t>
            </w:r>
          </w:p>
          <w:p w:rsidR="00AC78FF" w:rsidRDefault="00DF0757">
            <w:pPr>
              <w:pStyle w:val="ListParagraph"/>
              <w:numPr>
                <w:ilvl w:val="0"/>
                <w:numId w:val="19"/>
              </w:numPr>
              <w:contextualSpacing w:val="0"/>
              <w:rPr>
                <w:rFonts w:ascii="Times New Roman" w:hAnsi="Times New Roman" w:cs="Times New Roman"/>
                <w:noProof/>
                <w:sz w:val="20"/>
                <w:szCs w:val="20"/>
              </w:rPr>
            </w:pPr>
            <w:r>
              <w:rPr>
                <w:rFonts w:ascii="Times New Roman" w:hAnsi="Times New Roman"/>
                <w:noProof/>
                <w:sz w:val="20"/>
              </w:rPr>
              <w:t>ressources supplémentaires pour les agences (voir ci-dessous).</w:t>
            </w:r>
          </w:p>
          <w:p w:rsidR="00AC78FF" w:rsidRDefault="00AC78FF">
            <w:pPr>
              <w:rPr>
                <w:rFonts w:ascii="Times New Roman" w:hAnsi="Times New Roman" w:cs="Times New Roman"/>
                <w:noProof/>
                <w:sz w:val="20"/>
                <w:szCs w:val="20"/>
              </w:rPr>
            </w:pPr>
          </w:p>
          <w:p w:rsidR="00AC78FF" w:rsidRDefault="00DF0757">
            <w:pPr>
              <w:rPr>
                <w:rFonts w:ascii="Times New Roman" w:hAnsi="Times New Roman" w:cs="Times New Roman"/>
                <w:noProof/>
                <w:sz w:val="20"/>
                <w:szCs w:val="20"/>
              </w:rPr>
            </w:pPr>
            <w:r>
              <w:rPr>
                <w:rFonts w:ascii="Times New Roman" w:hAnsi="Times New Roman"/>
                <w:noProof/>
                <w:sz w:val="20"/>
              </w:rPr>
              <w:t>Aide d'urgence en cours:</w:t>
            </w:r>
          </w:p>
          <w:p w:rsidR="00AC78FF" w:rsidRDefault="00DF0757">
            <w:pPr>
              <w:pStyle w:val="ListParagraph"/>
              <w:numPr>
                <w:ilvl w:val="0"/>
                <w:numId w:val="9"/>
              </w:numPr>
              <w:ind w:left="318"/>
              <w:contextualSpacing w:val="0"/>
              <w:rPr>
                <w:rFonts w:ascii="Times New Roman" w:hAnsi="Times New Roman" w:cs="Times New Roman"/>
                <w:noProof/>
                <w:sz w:val="20"/>
                <w:szCs w:val="20"/>
              </w:rPr>
            </w:pPr>
            <w:r>
              <w:rPr>
                <w:rFonts w:ascii="Times New Roman" w:hAnsi="Times New Roman"/>
                <w:noProof/>
                <w:sz w:val="20"/>
              </w:rPr>
              <w:t>dans le cadre du Fonds «Asile, migration et intégration», l'Autriche</w:t>
            </w:r>
            <w:r>
              <w:rPr>
                <w:rFonts w:ascii="Times New Roman" w:hAnsi="Times New Roman"/>
                <w:noProof/>
                <w:sz w:val="20"/>
              </w:rPr>
              <w:t xml:space="preserve"> s'est vu accorder une aide d'urgence de 6 300 000 EUR le 5 octobre; les demandes de la Hongrie, de la Grèce, de l'Allemagne et de la Croatie, d'un montant total de plus de 60 000 000 EUR, sont encore en attente;</w:t>
            </w:r>
          </w:p>
          <w:p w:rsidR="00AC78FF" w:rsidRDefault="00DF0757">
            <w:pPr>
              <w:pStyle w:val="ListParagraph"/>
              <w:numPr>
                <w:ilvl w:val="0"/>
                <w:numId w:val="9"/>
              </w:numPr>
              <w:ind w:left="318"/>
              <w:contextualSpacing w:val="0"/>
              <w:rPr>
                <w:rFonts w:ascii="Times New Roman" w:hAnsi="Times New Roman" w:cs="Times New Roman"/>
                <w:noProof/>
                <w:sz w:val="20"/>
                <w:szCs w:val="20"/>
              </w:rPr>
            </w:pPr>
            <w:r>
              <w:rPr>
                <w:rFonts w:ascii="Times New Roman" w:hAnsi="Times New Roman"/>
                <w:noProof/>
                <w:sz w:val="20"/>
              </w:rPr>
              <w:t>dans le cadre du FSI-Frontières, un montant</w:t>
            </w:r>
            <w:r>
              <w:rPr>
                <w:rFonts w:ascii="Times New Roman" w:hAnsi="Times New Roman"/>
                <w:noProof/>
                <w:sz w:val="20"/>
              </w:rPr>
              <w:t xml:space="preserve"> de 10 700 000 EUR a été alloué à la Grèce et 1 700 000 EUR à la France début octobre. Des demandes de financement supplémentaires, d'un montant total de plus de 8 000 000 EUR pour la Grèce et la Croatie, sont encore en attente.</w:t>
            </w:r>
          </w:p>
        </w:tc>
        <w:tc>
          <w:tcPr>
            <w:tcW w:w="4111" w:type="dxa"/>
            <w:tcBorders>
              <w:top w:val="single" w:sz="4" w:space="0" w:color="auto"/>
              <w:left w:val="single" w:sz="4" w:space="0" w:color="auto"/>
              <w:bottom w:val="single" w:sz="4" w:space="0" w:color="auto"/>
              <w:right w:val="single" w:sz="4" w:space="0" w:color="auto"/>
            </w:tcBorders>
          </w:tcPr>
          <w:p w:rsidR="00AC78FF" w:rsidRDefault="00AC78FF">
            <w:pPr>
              <w:rPr>
                <w:rFonts w:ascii="Times New Roman" w:hAnsi="Times New Roman" w:cs="Times New Roman"/>
                <w:noProof/>
                <w:sz w:val="20"/>
                <w:szCs w:val="20"/>
                <w:highlight w:val="yellow"/>
              </w:rPr>
            </w:pPr>
          </w:p>
          <w:p w:rsidR="00AC78FF" w:rsidRDefault="00DF0757">
            <w:pPr>
              <w:pStyle w:val="ListParagraph"/>
              <w:numPr>
                <w:ilvl w:val="0"/>
                <w:numId w:val="9"/>
              </w:numPr>
              <w:ind w:left="459"/>
              <w:contextualSpacing w:val="0"/>
              <w:rPr>
                <w:rFonts w:ascii="Times New Roman" w:hAnsi="Times New Roman" w:cs="Times New Roman"/>
                <w:noProof/>
                <w:sz w:val="20"/>
                <w:szCs w:val="20"/>
              </w:rPr>
            </w:pPr>
            <w:r>
              <w:rPr>
                <w:rFonts w:ascii="Times New Roman" w:hAnsi="Times New Roman"/>
                <w:noProof/>
                <w:sz w:val="20"/>
              </w:rPr>
              <w:t>Les États membres (plus tr</w:t>
            </w:r>
            <w:r>
              <w:rPr>
                <w:rFonts w:ascii="Times New Roman" w:hAnsi="Times New Roman"/>
                <w:noProof/>
                <w:sz w:val="20"/>
              </w:rPr>
              <w:t>ois pays associés à l'espace Schengen) ont désigné les autorités compétentes.</w:t>
            </w:r>
          </w:p>
          <w:p w:rsidR="00AC78FF" w:rsidRDefault="00AC78FF">
            <w:pPr>
              <w:pStyle w:val="ListParagraph"/>
              <w:ind w:left="459"/>
              <w:rPr>
                <w:rFonts w:ascii="Times New Roman" w:hAnsi="Times New Roman" w:cs="Times New Roman"/>
                <w:noProof/>
                <w:sz w:val="20"/>
                <w:szCs w:val="20"/>
              </w:rPr>
            </w:pPr>
          </w:p>
          <w:p w:rsidR="00AC78FF" w:rsidRDefault="00DF0757">
            <w:pPr>
              <w:pStyle w:val="ListParagraph"/>
              <w:numPr>
                <w:ilvl w:val="0"/>
                <w:numId w:val="9"/>
              </w:numPr>
              <w:ind w:left="459"/>
              <w:contextualSpacing w:val="0"/>
              <w:rPr>
                <w:rFonts w:ascii="Times New Roman" w:hAnsi="Times New Roman" w:cs="Times New Roman"/>
                <w:noProof/>
                <w:sz w:val="20"/>
                <w:szCs w:val="20"/>
              </w:rPr>
            </w:pPr>
            <w:r>
              <w:rPr>
                <w:rFonts w:ascii="Times New Roman" w:hAnsi="Times New Roman"/>
                <w:noProof/>
                <w:sz w:val="20"/>
              </w:rPr>
              <w:t>75 % des États membres ont mis en place la structure de mise en œuvre et ont commencé à mettre en œuvre les programmes nationaux.</w:t>
            </w:r>
          </w:p>
          <w:p w:rsidR="00AC78FF" w:rsidRDefault="00AC78FF">
            <w:pPr>
              <w:pStyle w:val="ListParagraph"/>
              <w:ind w:left="459"/>
              <w:rPr>
                <w:rFonts w:ascii="Times New Roman" w:hAnsi="Times New Roman" w:cs="Times New Roman"/>
                <w:noProof/>
                <w:sz w:val="20"/>
                <w:szCs w:val="20"/>
              </w:rPr>
            </w:pPr>
          </w:p>
          <w:p w:rsidR="00AC78FF" w:rsidRDefault="00DF0757">
            <w:pPr>
              <w:pStyle w:val="ListParagraph"/>
              <w:numPr>
                <w:ilvl w:val="0"/>
                <w:numId w:val="9"/>
              </w:numPr>
              <w:ind w:left="459"/>
              <w:contextualSpacing w:val="0"/>
              <w:rPr>
                <w:rFonts w:ascii="Times New Roman" w:hAnsi="Times New Roman" w:cs="Times New Roman"/>
                <w:noProof/>
                <w:sz w:val="20"/>
                <w:szCs w:val="20"/>
              </w:rPr>
            </w:pPr>
            <w:r>
              <w:rPr>
                <w:rFonts w:ascii="Times New Roman" w:hAnsi="Times New Roman"/>
                <w:noProof/>
                <w:sz w:val="20"/>
              </w:rPr>
              <w:t>La dotation pour les programmes nationaux de l</w:t>
            </w:r>
            <w:r>
              <w:rPr>
                <w:rFonts w:ascii="Times New Roman" w:hAnsi="Times New Roman"/>
                <w:noProof/>
                <w:sz w:val="20"/>
              </w:rPr>
              <w:t>'Italie au titre du Fonds «Asile, migration et intégration» et du FSI s'élève à près de 560 000 000 EUR pour la période 2014-2020. Les premiers paiements de préfinancement, représentant environ 39 000 000 EUR, ont été effectués en août 2015. En outre, 19 1</w:t>
            </w:r>
            <w:r>
              <w:rPr>
                <w:rFonts w:ascii="Times New Roman" w:hAnsi="Times New Roman"/>
                <w:noProof/>
                <w:sz w:val="20"/>
              </w:rPr>
              <w:t>20 000 EUR ont été alloués à l'Italie en 2015 dans le cadre de l'aide d'urgence.</w:t>
            </w:r>
          </w:p>
          <w:p w:rsidR="00AC78FF" w:rsidRDefault="00AC78FF">
            <w:pPr>
              <w:pStyle w:val="ListParagraph"/>
              <w:ind w:left="459"/>
              <w:rPr>
                <w:rFonts w:ascii="Times New Roman" w:hAnsi="Times New Roman" w:cs="Times New Roman"/>
                <w:noProof/>
                <w:sz w:val="20"/>
                <w:szCs w:val="20"/>
              </w:rPr>
            </w:pPr>
          </w:p>
          <w:p w:rsidR="00AC78FF" w:rsidRDefault="00DF0757">
            <w:pPr>
              <w:pStyle w:val="ListParagraph"/>
              <w:ind w:left="318"/>
              <w:rPr>
                <w:rFonts w:ascii="Times New Roman" w:hAnsi="Times New Roman" w:cs="Times New Roman"/>
                <w:noProof/>
                <w:sz w:val="20"/>
                <w:szCs w:val="20"/>
              </w:rPr>
            </w:pPr>
            <w:r>
              <w:rPr>
                <w:rFonts w:ascii="Times New Roman" w:hAnsi="Times New Roman"/>
                <w:noProof/>
                <w:sz w:val="20"/>
              </w:rPr>
              <w:t>La dotation pour les programmes nationaux de la Grèce au titre du Fonds «Asile, migration et intégration» et du FSI s'élève à près de 474 000 000 EUR pour la période 2014-202</w:t>
            </w:r>
            <w:r>
              <w:rPr>
                <w:rFonts w:ascii="Times New Roman" w:hAnsi="Times New Roman"/>
                <w:noProof/>
                <w:sz w:val="20"/>
              </w:rPr>
              <w:t>0. Les premiers paiements de préfinancement, représentant environ 33 000 000 EUR, ont été effectués à la mi-septembre 2015. En outre, 19 500 000 EUR (comprenant la subvention du HCR) ont été alloués à la Grèce en 2015 dans le cadre de l'aide d'urgence.</w:t>
            </w:r>
          </w:p>
        </w:tc>
        <w:tc>
          <w:tcPr>
            <w:tcW w:w="3764" w:type="dxa"/>
            <w:tcBorders>
              <w:top w:val="single" w:sz="4" w:space="0" w:color="auto"/>
              <w:left w:val="single" w:sz="4" w:space="0" w:color="auto"/>
              <w:bottom w:val="single" w:sz="4" w:space="0" w:color="auto"/>
              <w:right w:val="single" w:sz="4" w:space="0" w:color="auto"/>
            </w:tcBorders>
          </w:tcPr>
          <w:p w:rsidR="00AC78FF" w:rsidRDefault="00DF0757">
            <w:pPr>
              <w:pStyle w:val="ListParagraph"/>
              <w:numPr>
                <w:ilvl w:val="0"/>
                <w:numId w:val="9"/>
              </w:numPr>
              <w:ind w:left="318"/>
              <w:contextualSpacing w:val="0"/>
              <w:rPr>
                <w:rFonts w:ascii="Times New Roman" w:hAnsi="Times New Roman" w:cs="Times New Roman"/>
                <w:noProof/>
                <w:sz w:val="20"/>
                <w:szCs w:val="20"/>
              </w:rPr>
            </w:pPr>
            <w:r>
              <w:rPr>
                <w:rFonts w:ascii="Times New Roman" w:hAnsi="Times New Roman"/>
                <w:noProof/>
                <w:sz w:val="20"/>
              </w:rPr>
              <w:t>Les</w:t>
            </w:r>
            <w:r>
              <w:rPr>
                <w:rFonts w:ascii="Times New Roman" w:hAnsi="Times New Roman"/>
                <w:noProof/>
                <w:sz w:val="20"/>
              </w:rPr>
              <w:t xml:space="preserve"> États membres devraient utiliser les fonds disponibles accordés dans le cadre des programmes nationaux au titre du Fonds «Asile, migration et intégration» et du FSI. Pour ce faire, certains États membres doivent encore désigner les autorités compétentes.</w:t>
            </w:r>
          </w:p>
          <w:p w:rsidR="00AC78FF" w:rsidRDefault="00DF0757">
            <w:pPr>
              <w:pStyle w:val="ListParagraph"/>
              <w:numPr>
                <w:ilvl w:val="0"/>
                <w:numId w:val="9"/>
              </w:numPr>
              <w:ind w:left="318"/>
              <w:contextualSpacing w:val="0"/>
              <w:rPr>
                <w:rFonts w:ascii="Times New Roman" w:hAnsi="Times New Roman" w:cs="Times New Roman"/>
                <w:noProof/>
                <w:sz w:val="20"/>
                <w:szCs w:val="20"/>
              </w:rPr>
            </w:pPr>
            <w:r>
              <w:rPr>
                <w:rFonts w:ascii="Times New Roman" w:hAnsi="Times New Roman"/>
                <w:noProof/>
                <w:sz w:val="20"/>
              </w:rPr>
              <w:t>La Commission évaluera la nécessité de réviser la programmation des États membres dans le cadre du Fonds «Asile, migration et intégration» et du FSI-Frontières, afin de vérifier si elle est adaptée à la situation actuelle dans des domaines tels que la capa</w:t>
            </w:r>
            <w:r>
              <w:rPr>
                <w:rFonts w:ascii="Times New Roman" w:hAnsi="Times New Roman"/>
                <w:noProof/>
                <w:sz w:val="20"/>
              </w:rPr>
              <w:t xml:space="preserve">cité d'accueil. </w:t>
            </w:r>
          </w:p>
          <w:p w:rsidR="00AC78FF" w:rsidRDefault="00DF0757">
            <w:pPr>
              <w:pStyle w:val="ListParagraph"/>
              <w:numPr>
                <w:ilvl w:val="0"/>
                <w:numId w:val="9"/>
              </w:numPr>
              <w:ind w:left="318"/>
              <w:contextualSpacing w:val="0"/>
              <w:rPr>
                <w:rFonts w:ascii="Times New Roman" w:hAnsi="Times New Roman" w:cs="Times New Roman"/>
                <w:noProof/>
                <w:sz w:val="20"/>
                <w:szCs w:val="20"/>
              </w:rPr>
            </w:pPr>
            <w:r>
              <w:rPr>
                <w:rFonts w:ascii="Times New Roman" w:hAnsi="Times New Roman"/>
                <w:noProof/>
                <w:sz w:val="20"/>
              </w:rPr>
              <w:t>La Commission entretiendra des contacts étroits avec les États membres qui sont le plus sous pression pour parachever l'évaluation des besoins et garantir une approche structurée (activités, calendrier) visant à gérer les urgences existant</w:t>
            </w:r>
            <w:r>
              <w:rPr>
                <w:rFonts w:ascii="Times New Roman" w:hAnsi="Times New Roman"/>
                <w:noProof/>
                <w:sz w:val="20"/>
              </w:rPr>
              <w:t>es par l'intermédiaire des programmes nationaux et de l'aide d'urgence.</w:t>
            </w:r>
          </w:p>
          <w:p w:rsidR="00AC78FF" w:rsidRDefault="00DF0757">
            <w:pPr>
              <w:pStyle w:val="ListParagraph"/>
              <w:numPr>
                <w:ilvl w:val="0"/>
                <w:numId w:val="9"/>
              </w:numPr>
              <w:ind w:left="317" w:hanging="284"/>
              <w:contextualSpacing w:val="0"/>
              <w:rPr>
                <w:rFonts w:ascii="Times New Roman" w:hAnsi="Times New Roman" w:cs="Times New Roman"/>
                <w:noProof/>
                <w:sz w:val="20"/>
                <w:szCs w:val="20"/>
              </w:rPr>
            </w:pPr>
            <w:r>
              <w:rPr>
                <w:rFonts w:ascii="Times New Roman" w:hAnsi="Times New Roman"/>
                <w:noProof/>
                <w:sz w:val="20"/>
              </w:rPr>
              <w:t>Les neuf programmes nationaux qui n'ont pas encore été approuvés doivent être adoptés d'ici la fin novembre.</w:t>
            </w: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DF0757">
            <w:pPr>
              <w:pStyle w:val="ListParagraph"/>
              <w:numPr>
                <w:ilvl w:val="0"/>
                <w:numId w:val="9"/>
              </w:numPr>
              <w:ind w:left="317" w:hanging="284"/>
              <w:contextualSpacing w:val="0"/>
              <w:rPr>
                <w:rFonts w:ascii="Times New Roman" w:hAnsi="Times New Roman" w:cs="Times New Roman"/>
                <w:noProof/>
                <w:sz w:val="20"/>
                <w:szCs w:val="20"/>
              </w:rPr>
            </w:pPr>
            <w:r>
              <w:rPr>
                <w:rFonts w:ascii="Times New Roman" w:hAnsi="Times New Roman"/>
                <w:noProof/>
                <w:sz w:val="20"/>
              </w:rPr>
              <w:t>La réunion du conseil d'administration de la Banque européenne d'investis</w:t>
            </w:r>
            <w:r>
              <w:rPr>
                <w:rFonts w:ascii="Times New Roman" w:hAnsi="Times New Roman"/>
                <w:noProof/>
                <w:sz w:val="20"/>
              </w:rPr>
              <w:t>sement, qui aura lieu en novembre, sera l'occasion d'examiner les conditions particulières pour les projets liés aux réfugiés; évaluation des besoins d'ici la fin novembre.</w:t>
            </w:r>
          </w:p>
        </w:tc>
      </w:tr>
      <w:tr w:rsidR="00AC78FF">
        <w:tc>
          <w:tcPr>
            <w:tcW w:w="2376" w:type="dxa"/>
            <w:tcBorders>
              <w:top w:val="single" w:sz="4" w:space="0" w:color="auto"/>
              <w:left w:val="single" w:sz="4" w:space="0" w:color="auto"/>
              <w:bottom w:val="single" w:sz="4" w:space="0" w:color="auto"/>
              <w:right w:val="single" w:sz="4" w:space="0" w:color="auto"/>
            </w:tcBorders>
            <w:hideMark/>
          </w:tcPr>
          <w:p w:rsidR="00AC78FF" w:rsidRDefault="00DF0757">
            <w:pPr>
              <w:rPr>
                <w:rFonts w:ascii="Times New Roman" w:hAnsi="Times New Roman" w:cs="Times New Roman"/>
                <w:noProof/>
                <w:sz w:val="20"/>
                <w:szCs w:val="20"/>
              </w:rPr>
            </w:pPr>
            <w:r>
              <w:rPr>
                <w:rFonts w:ascii="Times New Roman" w:hAnsi="Times New Roman"/>
                <w:noProof/>
                <w:sz w:val="20"/>
              </w:rPr>
              <w:t>Soutien aux agences de l'UE</w:t>
            </w:r>
          </w:p>
        </w:tc>
        <w:tc>
          <w:tcPr>
            <w:tcW w:w="3969" w:type="dxa"/>
            <w:tcBorders>
              <w:top w:val="single" w:sz="4" w:space="0" w:color="auto"/>
              <w:left w:val="single" w:sz="4" w:space="0" w:color="auto"/>
              <w:bottom w:val="single" w:sz="4" w:space="0" w:color="auto"/>
              <w:right w:val="single" w:sz="4" w:space="0" w:color="auto"/>
            </w:tcBorders>
          </w:tcPr>
          <w:p w:rsidR="00AC78FF" w:rsidRDefault="00DF0757">
            <w:pPr>
              <w:pStyle w:val="ListParagraph"/>
              <w:numPr>
                <w:ilvl w:val="0"/>
                <w:numId w:val="9"/>
              </w:numPr>
              <w:ind w:left="318"/>
              <w:contextualSpacing w:val="0"/>
              <w:rPr>
                <w:rFonts w:ascii="Times New Roman" w:hAnsi="Times New Roman" w:cs="Times New Roman"/>
                <w:noProof/>
                <w:sz w:val="20"/>
                <w:szCs w:val="20"/>
              </w:rPr>
            </w:pPr>
            <w:r>
              <w:rPr>
                <w:rFonts w:ascii="Times New Roman" w:hAnsi="Times New Roman"/>
                <w:noProof/>
                <w:sz w:val="20"/>
              </w:rPr>
              <w:t xml:space="preserve">Renforcement des ressources humaines des agences pour </w:t>
            </w:r>
            <w:r>
              <w:rPr>
                <w:rFonts w:ascii="Times New Roman" w:hAnsi="Times New Roman"/>
                <w:noProof/>
                <w:sz w:val="20"/>
              </w:rPr>
              <w:t>2015 et 2016:</w:t>
            </w:r>
          </w:p>
          <w:p w:rsidR="00AC78FF" w:rsidRDefault="00DF0757">
            <w:pPr>
              <w:pStyle w:val="ListParagraph"/>
              <w:numPr>
                <w:ilvl w:val="0"/>
                <w:numId w:val="9"/>
              </w:numPr>
              <w:contextualSpacing w:val="0"/>
              <w:rPr>
                <w:rFonts w:ascii="Times New Roman" w:hAnsi="Times New Roman" w:cs="Times New Roman"/>
                <w:noProof/>
                <w:sz w:val="20"/>
                <w:szCs w:val="20"/>
              </w:rPr>
            </w:pPr>
            <w:r>
              <w:rPr>
                <w:rFonts w:ascii="Times New Roman" w:hAnsi="Times New Roman"/>
                <w:noProof/>
                <w:sz w:val="20"/>
              </w:rPr>
              <w:t xml:space="preserve">60 postes pour Frontex; </w:t>
            </w:r>
          </w:p>
          <w:p w:rsidR="00AC78FF" w:rsidRDefault="00DF0757">
            <w:pPr>
              <w:pStyle w:val="ListParagraph"/>
              <w:numPr>
                <w:ilvl w:val="0"/>
                <w:numId w:val="9"/>
              </w:numPr>
              <w:contextualSpacing w:val="0"/>
              <w:rPr>
                <w:rFonts w:ascii="Times New Roman" w:hAnsi="Times New Roman" w:cs="Times New Roman"/>
                <w:noProof/>
                <w:sz w:val="20"/>
                <w:szCs w:val="20"/>
              </w:rPr>
            </w:pPr>
            <w:r>
              <w:rPr>
                <w:rFonts w:ascii="Times New Roman" w:hAnsi="Times New Roman"/>
                <w:noProof/>
                <w:sz w:val="20"/>
              </w:rPr>
              <w:t xml:space="preserve">30 pour l'EASO; </w:t>
            </w:r>
          </w:p>
          <w:p w:rsidR="00AC78FF" w:rsidRDefault="00DF0757">
            <w:pPr>
              <w:pStyle w:val="ListParagraph"/>
              <w:numPr>
                <w:ilvl w:val="0"/>
                <w:numId w:val="9"/>
              </w:numPr>
              <w:contextualSpacing w:val="0"/>
              <w:rPr>
                <w:rFonts w:ascii="Times New Roman" w:hAnsi="Times New Roman" w:cs="Times New Roman"/>
                <w:noProof/>
                <w:sz w:val="20"/>
                <w:szCs w:val="20"/>
              </w:rPr>
            </w:pPr>
            <w:r>
              <w:rPr>
                <w:rFonts w:ascii="Times New Roman" w:hAnsi="Times New Roman"/>
                <w:noProof/>
                <w:sz w:val="20"/>
              </w:rPr>
              <w:t xml:space="preserve">30 pour Europol. </w:t>
            </w:r>
          </w:p>
          <w:p w:rsidR="00AC78FF" w:rsidRDefault="00DF0757">
            <w:pPr>
              <w:pStyle w:val="ListParagraph"/>
              <w:numPr>
                <w:ilvl w:val="0"/>
                <w:numId w:val="9"/>
              </w:numPr>
              <w:ind w:left="318"/>
              <w:contextualSpacing w:val="0"/>
              <w:rPr>
                <w:rFonts w:ascii="Times New Roman" w:hAnsi="Times New Roman" w:cs="Times New Roman"/>
                <w:noProof/>
                <w:sz w:val="20"/>
                <w:szCs w:val="20"/>
              </w:rPr>
            </w:pPr>
            <w:r>
              <w:rPr>
                <w:rFonts w:ascii="Times New Roman" w:hAnsi="Times New Roman"/>
                <w:noProof/>
                <w:sz w:val="20"/>
              </w:rPr>
              <w:t>50 000 000 EUR pour soutenir les activités de Frontex en 2016 dans le domaine du retour et 20 000 000 EUR pour renforcer ses opérations dans les zones et centres de crise.</w:t>
            </w:r>
          </w:p>
          <w:p w:rsidR="00AC78FF" w:rsidRDefault="00AC78FF">
            <w:pPr>
              <w:pStyle w:val="ListParagraph"/>
              <w:numPr>
                <w:ilvl w:val="0"/>
                <w:numId w:val="9"/>
              </w:numPr>
              <w:ind w:left="318"/>
              <w:contextualSpacing w:val="0"/>
              <w:rPr>
                <w:rFonts w:ascii="Times New Roman" w:hAnsi="Times New Roman" w:cs="Times New Roman"/>
                <w:noProof/>
                <w:sz w:val="20"/>
                <w:szCs w:val="20"/>
              </w:rPr>
            </w:pPr>
          </w:p>
        </w:tc>
        <w:tc>
          <w:tcPr>
            <w:tcW w:w="4111" w:type="dxa"/>
            <w:tcBorders>
              <w:top w:val="single" w:sz="4" w:space="0" w:color="auto"/>
              <w:left w:val="single" w:sz="4" w:space="0" w:color="auto"/>
              <w:bottom w:val="single" w:sz="4" w:space="0" w:color="auto"/>
              <w:right w:val="single" w:sz="4" w:space="0" w:color="auto"/>
            </w:tcBorders>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Soutien des États membres aux opérations de Frontex et de l'EASO. </w:t>
            </w:r>
          </w:p>
        </w:tc>
        <w:tc>
          <w:tcPr>
            <w:tcW w:w="3764" w:type="dxa"/>
            <w:tcBorders>
              <w:top w:val="single" w:sz="4" w:space="0" w:color="auto"/>
              <w:left w:val="single" w:sz="4" w:space="0" w:color="auto"/>
              <w:bottom w:val="single" w:sz="4" w:space="0" w:color="auto"/>
              <w:right w:val="single" w:sz="4" w:space="0" w:color="auto"/>
            </w:tcBorders>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Soutien proposé pour le budget 2016.</w:t>
            </w:r>
          </w:p>
        </w:tc>
      </w:tr>
    </w:tbl>
    <w:p w:rsidR="00AC78FF" w:rsidRDefault="00AC78FF">
      <w:pPr>
        <w:spacing w:line="240" w:lineRule="auto"/>
        <w:rPr>
          <w:rFonts w:ascii="Times New Roman" w:hAnsi="Times New Roman" w:cs="Times New Roman"/>
          <w:noProof/>
          <w:sz w:val="20"/>
          <w:szCs w:val="20"/>
        </w:rPr>
      </w:pPr>
    </w:p>
    <w:p w:rsidR="00AC78FF" w:rsidRDefault="00AC78FF">
      <w:pPr>
        <w:spacing w:line="240" w:lineRule="auto"/>
        <w:rPr>
          <w:rFonts w:ascii="Times New Roman" w:hAnsi="Times New Roman" w:cs="Times New Roman"/>
          <w:noProof/>
          <w:sz w:val="20"/>
          <w:szCs w:val="20"/>
        </w:rPr>
      </w:pPr>
    </w:p>
    <w:p w:rsidR="00AC78FF" w:rsidRDefault="00AC78FF">
      <w:pPr>
        <w:spacing w:line="240" w:lineRule="auto"/>
        <w:rPr>
          <w:rFonts w:ascii="Times New Roman" w:hAnsi="Times New Roman" w:cs="Times New Roman"/>
          <w:noProof/>
          <w:sz w:val="20"/>
          <w:szCs w:val="20"/>
        </w:rPr>
      </w:pPr>
    </w:p>
    <w:p w:rsidR="00AC78FF" w:rsidRDefault="00AC78FF">
      <w:pPr>
        <w:spacing w:line="240" w:lineRule="auto"/>
        <w:rPr>
          <w:rFonts w:ascii="Times New Roman" w:hAnsi="Times New Roman" w:cs="Times New Roman"/>
          <w:noProof/>
          <w:sz w:val="20"/>
          <w:szCs w:val="20"/>
        </w:rPr>
      </w:pPr>
    </w:p>
    <w:p w:rsidR="00AC78FF" w:rsidRDefault="00AC78FF">
      <w:pPr>
        <w:spacing w:line="240" w:lineRule="auto"/>
        <w:rPr>
          <w:rFonts w:ascii="Times New Roman" w:hAnsi="Times New Roman" w:cs="Times New Roman"/>
          <w:noProof/>
          <w:sz w:val="20"/>
          <w:szCs w:val="20"/>
        </w:rPr>
      </w:pPr>
    </w:p>
    <w:p w:rsidR="00AC78FF" w:rsidRDefault="00AC78FF">
      <w:pPr>
        <w:spacing w:line="240" w:lineRule="auto"/>
        <w:rPr>
          <w:rFonts w:ascii="Times New Roman" w:hAnsi="Times New Roman" w:cs="Times New Roman"/>
          <w:noProof/>
          <w:sz w:val="20"/>
          <w:szCs w:val="20"/>
        </w:rPr>
      </w:pPr>
    </w:p>
    <w:p w:rsidR="00AC78FF" w:rsidRDefault="00DF0757">
      <w:pPr>
        <w:spacing w:line="240" w:lineRule="auto"/>
        <w:rPr>
          <w:rFonts w:ascii="Times New Roman" w:hAnsi="Times New Roman" w:cs="Times New Roman"/>
          <w:noProof/>
          <w:sz w:val="20"/>
          <w:szCs w:val="20"/>
        </w:rPr>
      </w:pPr>
      <w:r>
        <w:rPr>
          <w:noProof/>
        </w:rPr>
        <w:br w:type="page"/>
      </w:r>
      <w:r>
        <w:rPr>
          <w:rFonts w:ascii="Times New Roman" w:hAnsi="Times New Roman"/>
          <w:noProof/>
          <w:sz w:val="20"/>
        </w:rPr>
        <w:t>MESURES OPÉRATIONNELLES ET BUDGÉTAIRES: ACTION EXTÉRIEURE</w:t>
      </w:r>
    </w:p>
    <w:tbl>
      <w:tblPr>
        <w:tblStyle w:val="TableGrid"/>
        <w:tblW w:w="0" w:type="auto"/>
        <w:tblLook w:val="04A0" w:firstRow="1" w:lastRow="0" w:firstColumn="1" w:lastColumn="0" w:noHBand="0" w:noVBand="1"/>
      </w:tblPr>
      <w:tblGrid>
        <w:gridCol w:w="2376"/>
        <w:gridCol w:w="3969"/>
        <w:gridCol w:w="4111"/>
        <w:gridCol w:w="3764"/>
      </w:tblGrid>
      <w:tr w:rsidR="00AC78FF">
        <w:tc>
          <w:tcPr>
            <w:tcW w:w="2376" w:type="dxa"/>
            <w:shd w:val="pct15" w:color="auto" w:fill="auto"/>
          </w:tcPr>
          <w:p w:rsidR="00AC78FF" w:rsidRDefault="00AC78FF">
            <w:pPr>
              <w:rPr>
                <w:rFonts w:ascii="Times New Roman" w:hAnsi="Times New Roman" w:cs="Times New Roman"/>
                <w:noProof/>
                <w:sz w:val="20"/>
                <w:szCs w:val="20"/>
              </w:rPr>
            </w:pPr>
          </w:p>
        </w:tc>
        <w:tc>
          <w:tcPr>
            <w:tcW w:w="3969" w:type="dxa"/>
            <w:shd w:val="pct15" w:color="auto" w:fill="auto"/>
          </w:tcPr>
          <w:p w:rsidR="00AC78FF" w:rsidRDefault="00DF0757">
            <w:pPr>
              <w:ind w:left="-108"/>
              <w:jc w:val="center"/>
              <w:rPr>
                <w:rFonts w:ascii="Times New Roman" w:hAnsi="Times New Roman" w:cs="Times New Roman"/>
                <w:b/>
                <w:noProof/>
                <w:sz w:val="20"/>
                <w:szCs w:val="20"/>
              </w:rPr>
            </w:pPr>
            <w:r>
              <w:rPr>
                <w:rFonts w:ascii="Times New Roman" w:hAnsi="Times New Roman"/>
                <w:b/>
                <w:noProof/>
                <w:sz w:val="20"/>
              </w:rPr>
              <w:t>Action de l'UE</w:t>
            </w:r>
          </w:p>
        </w:tc>
        <w:tc>
          <w:tcPr>
            <w:tcW w:w="4111" w:type="dxa"/>
            <w:shd w:val="pct15" w:color="auto" w:fill="auto"/>
          </w:tcPr>
          <w:p w:rsidR="00AC78FF" w:rsidRDefault="00DF0757">
            <w:pPr>
              <w:jc w:val="center"/>
              <w:rPr>
                <w:rFonts w:ascii="Times New Roman" w:hAnsi="Times New Roman" w:cs="Times New Roman"/>
                <w:b/>
                <w:noProof/>
                <w:sz w:val="20"/>
                <w:szCs w:val="20"/>
              </w:rPr>
            </w:pPr>
            <w:r>
              <w:rPr>
                <w:rFonts w:ascii="Times New Roman" w:hAnsi="Times New Roman"/>
                <w:b/>
                <w:noProof/>
                <w:sz w:val="20"/>
              </w:rPr>
              <w:t>Mesures prises par les États membres</w:t>
            </w:r>
          </w:p>
        </w:tc>
        <w:tc>
          <w:tcPr>
            <w:tcW w:w="3764" w:type="dxa"/>
            <w:shd w:val="pct15" w:color="auto" w:fill="auto"/>
          </w:tcPr>
          <w:p w:rsidR="00AC78FF" w:rsidRDefault="00DF0757">
            <w:pPr>
              <w:jc w:val="center"/>
              <w:rPr>
                <w:rFonts w:ascii="Times New Roman" w:hAnsi="Times New Roman" w:cs="Times New Roman"/>
                <w:b/>
                <w:noProof/>
                <w:sz w:val="20"/>
                <w:szCs w:val="20"/>
              </w:rPr>
            </w:pPr>
            <w:r>
              <w:rPr>
                <w:rFonts w:ascii="Times New Roman" w:hAnsi="Times New Roman"/>
                <w:b/>
                <w:noProof/>
                <w:sz w:val="20"/>
              </w:rPr>
              <w:t>Prochaines étapes</w:t>
            </w:r>
          </w:p>
        </w:tc>
      </w:tr>
      <w:tr w:rsidR="00AC78FF">
        <w:tc>
          <w:tcPr>
            <w:tcW w:w="2376" w:type="dxa"/>
          </w:tcPr>
          <w:p w:rsidR="00AC78FF" w:rsidRDefault="00DF0757">
            <w:pPr>
              <w:rPr>
                <w:rFonts w:ascii="Times New Roman" w:hAnsi="Times New Roman" w:cs="Times New Roman"/>
                <w:noProof/>
                <w:sz w:val="20"/>
                <w:szCs w:val="20"/>
              </w:rPr>
            </w:pPr>
            <w:r>
              <w:rPr>
                <w:rFonts w:ascii="Times New Roman" w:hAnsi="Times New Roman"/>
                <w:noProof/>
                <w:sz w:val="20"/>
              </w:rPr>
              <w:t xml:space="preserve">Offensive </w:t>
            </w:r>
            <w:r>
              <w:rPr>
                <w:rFonts w:ascii="Times New Roman" w:hAnsi="Times New Roman"/>
                <w:noProof/>
                <w:sz w:val="20"/>
              </w:rPr>
              <w:t>diplomatique sur la migration</w:t>
            </w:r>
          </w:p>
        </w:tc>
        <w:tc>
          <w:tcPr>
            <w:tcW w:w="3969"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Conférence de haut niveau la route de la Méditerranée orientale et des Balkans occidentaux, à Luxembourg, le 8 octobre 2015. Cinq domaines d'action prioritaires définis (dans une déclaration): 1) soutien à la Jordanie, au Liba</w:t>
            </w:r>
            <w:r>
              <w:rPr>
                <w:rFonts w:ascii="Times New Roman" w:hAnsi="Times New Roman"/>
                <w:noProof/>
                <w:sz w:val="20"/>
              </w:rPr>
              <w:t>n et à la Turquie; 2) soutien aux pays de transit; 3) lutte contre la criminalité organisée/le trafic de migrants; 4) lutte contre les causes profondes; 5) établissement d'un dialogue avec les pays d'origine des migrants en situation irrégulière.</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Turquie </w:t>
            </w:r>
            <w:r>
              <w:rPr>
                <w:rFonts w:ascii="Times New Roman" w:hAnsi="Times New Roman"/>
                <w:noProof/>
                <w:sz w:val="20"/>
              </w:rPr>
              <w:t xml:space="preserve">– présentation d'un plan d'action UE-Turquie sur la migration, contenant des mesures destinées à aider la Turquie à gérer la crise des réfugiés et à réduire le nombre de départs irréguliers. </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w:t>
            </w:r>
          </w:p>
          <w:p w:rsidR="00AC78FF" w:rsidRDefault="00AC78FF">
            <w:pPr>
              <w:pStyle w:val="ListParagraph"/>
              <w:ind w:left="318"/>
              <w:rPr>
                <w:rFonts w:ascii="Times New Roman" w:hAnsi="Times New Roman" w:cs="Times New Roman"/>
                <w:noProof/>
                <w:sz w:val="20"/>
                <w:szCs w:val="20"/>
              </w:rPr>
            </w:pPr>
          </w:p>
        </w:tc>
        <w:tc>
          <w:tcPr>
            <w:tcW w:w="4111"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L'Allemagne a annoncé l'instauration d'un dialogue de haut ni</w:t>
            </w:r>
            <w:r>
              <w:rPr>
                <w:rFonts w:ascii="Times New Roman" w:hAnsi="Times New Roman"/>
                <w:noProof/>
                <w:sz w:val="20"/>
              </w:rPr>
              <w:t>veau sur la migration avec la Turquie.</w:t>
            </w:r>
          </w:p>
          <w:p w:rsidR="00AC78FF" w:rsidRDefault="00AC78FF">
            <w:pPr>
              <w:pStyle w:val="ListParagraph"/>
              <w:ind w:left="176"/>
              <w:rPr>
                <w:rFonts w:ascii="Times New Roman" w:hAnsi="Times New Roman" w:cs="Times New Roman"/>
                <w:noProof/>
                <w:sz w:val="20"/>
                <w:szCs w:val="20"/>
              </w:rPr>
            </w:pPr>
          </w:p>
        </w:tc>
        <w:tc>
          <w:tcPr>
            <w:tcW w:w="3764" w:type="dxa"/>
          </w:tcPr>
          <w:p w:rsidR="00AC78FF" w:rsidRDefault="00DF0757">
            <w:pPr>
              <w:tabs>
                <w:tab w:val="left" w:pos="34"/>
              </w:tabs>
              <w:rPr>
                <w:rFonts w:ascii="Times New Roman" w:hAnsi="Times New Roman" w:cs="Times New Roman"/>
                <w:noProof/>
                <w:sz w:val="20"/>
                <w:szCs w:val="20"/>
              </w:rPr>
            </w:pPr>
            <w:r>
              <w:rPr>
                <w:rFonts w:ascii="Times New Roman" w:hAnsi="Times New Roman"/>
                <w:noProof/>
                <w:sz w:val="20"/>
                <w:u w:val="single"/>
              </w:rPr>
              <w:t>Conférence de haut niveau:</w:t>
            </w:r>
          </w:p>
          <w:p w:rsidR="00AC78FF" w:rsidRDefault="00DF0757">
            <w:pPr>
              <w:ind w:left="317" w:hanging="283"/>
              <w:rPr>
                <w:rFonts w:ascii="Times New Roman" w:hAnsi="Times New Roman" w:cs="Times New Roman"/>
                <w:noProof/>
                <w:sz w:val="20"/>
                <w:szCs w:val="20"/>
              </w:rPr>
            </w:pPr>
            <w:r>
              <w:rPr>
                <w:rFonts w:ascii="Times New Roman" w:hAnsi="Times New Roman"/>
                <w:noProof/>
                <w:sz w:val="20"/>
              </w:rPr>
              <w:t>-   utilisation des cadres de dialogue et de coopération bilatéraux et régionaux existants;</w:t>
            </w:r>
          </w:p>
          <w:p w:rsidR="00AC78FF" w:rsidRDefault="00DF0757">
            <w:pPr>
              <w:ind w:left="317" w:hanging="283"/>
              <w:rPr>
                <w:rFonts w:ascii="Times New Roman" w:hAnsi="Times New Roman" w:cs="Times New Roman"/>
                <w:noProof/>
                <w:sz w:val="20"/>
                <w:szCs w:val="20"/>
              </w:rPr>
            </w:pPr>
            <w:r>
              <w:rPr>
                <w:rFonts w:ascii="Times New Roman" w:hAnsi="Times New Roman"/>
                <w:noProof/>
                <w:sz w:val="20"/>
              </w:rPr>
              <w:t>-   accord sur des plans d'action pour la mise en œuvre;</w:t>
            </w:r>
          </w:p>
          <w:p w:rsidR="00AC78FF" w:rsidRDefault="00DF0757">
            <w:pPr>
              <w:ind w:left="317" w:hanging="283"/>
              <w:rPr>
                <w:rFonts w:ascii="Times New Roman" w:hAnsi="Times New Roman" w:cs="Times New Roman"/>
                <w:noProof/>
                <w:sz w:val="20"/>
                <w:szCs w:val="20"/>
              </w:rPr>
            </w:pPr>
            <w:r>
              <w:rPr>
                <w:rFonts w:ascii="Times New Roman" w:hAnsi="Times New Roman"/>
                <w:noProof/>
                <w:sz w:val="20"/>
              </w:rPr>
              <w:t>-  coopération avec les Nations unies et</w:t>
            </w:r>
            <w:r>
              <w:rPr>
                <w:rFonts w:ascii="Times New Roman" w:hAnsi="Times New Roman"/>
                <w:noProof/>
                <w:sz w:val="20"/>
              </w:rPr>
              <w:t xml:space="preserve"> d'autres organisations internationales;</w:t>
            </w:r>
          </w:p>
          <w:p w:rsidR="00AC78FF" w:rsidRDefault="00DF0757">
            <w:pPr>
              <w:ind w:left="459" w:hanging="425"/>
              <w:rPr>
                <w:rFonts w:ascii="Times New Roman" w:hAnsi="Times New Roman" w:cs="Times New Roman"/>
                <w:noProof/>
                <w:sz w:val="20"/>
                <w:szCs w:val="20"/>
              </w:rPr>
            </w:pPr>
            <w:r>
              <w:rPr>
                <w:rFonts w:ascii="Times New Roman" w:hAnsi="Times New Roman"/>
                <w:noProof/>
                <w:sz w:val="20"/>
              </w:rPr>
              <w:t xml:space="preserve">-    forum ministériel JAI UE-Balkans occidentaux (d'ici la fin de 2015). </w:t>
            </w:r>
          </w:p>
          <w:p w:rsidR="00AC78FF" w:rsidRDefault="00DF0757">
            <w:pPr>
              <w:ind w:left="99"/>
              <w:rPr>
                <w:rFonts w:ascii="Times New Roman" w:hAnsi="Times New Roman" w:cs="Times New Roman"/>
                <w:noProof/>
                <w:sz w:val="20"/>
                <w:szCs w:val="20"/>
              </w:rPr>
            </w:pPr>
            <w:r>
              <w:rPr>
                <w:rFonts w:ascii="Times New Roman" w:hAnsi="Times New Roman"/>
                <w:noProof/>
                <w:sz w:val="20"/>
              </w:rPr>
              <w:t>Suivi: réunion de hauts fonctionnaires début 2016 - sur la mise en œuvre de la déclaration faite à l'issue de la conférence.</w:t>
            </w:r>
          </w:p>
          <w:p w:rsidR="00AC78FF" w:rsidRDefault="00AC78FF">
            <w:pPr>
              <w:pStyle w:val="ListParagraph"/>
              <w:ind w:left="176"/>
              <w:rPr>
                <w:rFonts w:ascii="Times New Roman" w:hAnsi="Times New Roman" w:cs="Times New Roman"/>
                <w:noProof/>
                <w:sz w:val="20"/>
                <w:szCs w:val="20"/>
              </w:rPr>
            </w:pPr>
          </w:p>
          <w:p w:rsidR="00AC78FF" w:rsidRDefault="00DF0757">
            <w:pPr>
              <w:spacing w:after="120"/>
              <w:jc w:val="both"/>
              <w:rPr>
                <w:rFonts w:ascii="Times New Roman" w:hAnsi="Times New Roman" w:cs="Times New Roman"/>
                <w:noProof/>
                <w:sz w:val="20"/>
                <w:szCs w:val="20"/>
              </w:rPr>
            </w:pPr>
            <w:r>
              <w:rPr>
                <w:rFonts w:ascii="Times New Roman" w:hAnsi="Times New Roman"/>
                <w:noProof/>
                <w:sz w:val="20"/>
                <w:u w:val="single"/>
              </w:rPr>
              <w:t>Sommet de La V</w:t>
            </w:r>
            <w:r>
              <w:rPr>
                <w:rFonts w:ascii="Times New Roman" w:hAnsi="Times New Roman"/>
                <w:noProof/>
                <w:sz w:val="20"/>
                <w:u w:val="single"/>
              </w:rPr>
              <w:t>alette  des 11-12 novembre 2015:</w:t>
            </w:r>
          </w:p>
          <w:p w:rsidR="00AC78FF" w:rsidRDefault="00DF0757">
            <w:pPr>
              <w:pStyle w:val="ListParagraph"/>
              <w:numPr>
                <w:ilvl w:val="0"/>
                <w:numId w:val="13"/>
              </w:numPr>
              <w:spacing w:after="120"/>
              <w:ind w:left="317"/>
              <w:contextualSpacing w:val="0"/>
              <w:jc w:val="both"/>
              <w:rPr>
                <w:rFonts w:ascii="Times New Roman" w:hAnsi="Times New Roman" w:cs="Times New Roman"/>
                <w:noProof/>
                <w:sz w:val="20"/>
                <w:szCs w:val="20"/>
              </w:rPr>
            </w:pPr>
            <w:r>
              <w:rPr>
                <w:rFonts w:ascii="Times New Roman" w:hAnsi="Times New Roman"/>
                <w:noProof/>
                <w:sz w:val="20"/>
              </w:rPr>
              <w:t xml:space="preserve">déclaration politique et plan d'action; </w:t>
            </w:r>
          </w:p>
          <w:p w:rsidR="00AC78FF" w:rsidRDefault="00DF0757">
            <w:pPr>
              <w:pStyle w:val="ListParagraph"/>
              <w:numPr>
                <w:ilvl w:val="0"/>
                <w:numId w:val="13"/>
              </w:numPr>
              <w:spacing w:after="120"/>
              <w:ind w:left="317"/>
              <w:contextualSpacing w:val="0"/>
              <w:jc w:val="both"/>
              <w:rPr>
                <w:rFonts w:ascii="Times New Roman" w:hAnsi="Times New Roman" w:cs="Times New Roman"/>
                <w:noProof/>
                <w:sz w:val="20"/>
                <w:szCs w:val="20"/>
              </w:rPr>
            </w:pPr>
            <w:r>
              <w:rPr>
                <w:rFonts w:ascii="Times New Roman" w:hAnsi="Times New Roman"/>
                <w:noProof/>
                <w:sz w:val="20"/>
              </w:rPr>
              <w:t>suivi des actions sur le plan de l'aide ciblée, de la migration légale, de la lutte contre le trafic de migrants et de la réalisation de progrès tangibles en matière de retour/réadmi</w:t>
            </w:r>
            <w:r>
              <w:rPr>
                <w:rFonts w:ascii="Times New Roman" w:hAnsi="Times New Roman"/>
                <w:noProof/>
                <w:sz w:val="20"/>
              </w:rPr>
              <w:t>ssion;</w:t>
            </w:r>
          </w:p>
          <w:p w:rsidR="00AC78FF" w:rsidRDefault="00DF0757">
            <w:pPr>
              <w:pStyle w:val="Default"/>
              <w:numPr>
                <w:ilvl w:val="0"/>
                <w:numId w:val="13"/>
              </w:numPr>
              <w:ind w:left="317"/>
              <w:rPr>
                <w:rFonts w:ascii="Times New Roman" w:hAnsi="Times New Roman" w:cs="Times New Roman"/>
                <w:noProof/>
                <w:sz w:val="20"/>
                <w:szCs w:val="20"/>
              </w:rPr>
            </w:pPr>
            <w:r>
              <w:rPr>
                <w:rFonts w:ascii="Times New Roman" w:hAnsi="Times New Roman"/>
                <w:noProof/>
                <w:sz w:val="20"/>
              </w:rPr>
              <w:t>contribution des États membres au fonds fiduciaire d’urgence en faveur de la stabilité et de la lutte contre les causes profondes de la migration irrégulière et du phénomène des personnes déplacées en Afrique.</w:t>
            </w:r>
          </w:p>
          <w:p w:rsidR="00AC78FF" w:rsidRDefault="00AC78FF">
            <w:pPr>
              <w:pStyle w:val="Default"/>
              <w:rPr>
                <w:rFonts w:ascii="Times New Roman" w:hAnsi="Times New Roman" w:cs="Times New Roman"/>
                <w:noProof/>
                <w:sz w:val="20"/>
                <w:szCs w:val="20"/>
              </w:rPr>
            </w:pPr>
          </w:p>
          <w:p w:rsidR="00AC78FF" w:rsidRDefault="00DF0757">
            <w:pPr>
              <w:spacing w:after="120"/>
              <w:jc w:val="both"/>
              <w:rPr>
                <w:rFonts w:ascii="Times New Roman" w:hAnsi="Times New Roman" w:cs="Times New Roman"/>
                <w:noProof/>
                <w:sz w:val="20"/>
                <w:szCs w:val="20"/>
              </w:rPr>
            </w:pPr>
            <w:r>
              <w:rPr>
                <w:rFonts w:ascii="Times New Roman" w:hAnsi="Times New Roman"/>
                <w:noProof/>
                <w:sz w:val="20"/>
              </w:rPr>
              <w:t xml:space="preserve"> </w:t>
            </w:r>
            <w:r>
              <w:rPr>
                <w:rFonts w:ascii="Times New Roman" w:hAnsi="Times New Roman"/>
                <w:noProof/>
                <w:sz w:val="20"/>
                <w:u w:val="single"/>
              </w:rPr>
              <w:t>UE-Afrique</w:t>
            </w:r>
            <w:r>
              <w:rPr>
                <w:rFonts w:ascii="Times New Roman" w:hAnsi="Times New Roman"/>
                <w:noProof/>
                <w:sz w:val="20"/>
              </w:rPr>
              <w:t xml:space="preserve">: </w:t>
            </w:r>
          </w:p>
          <w:p w:rsidR="00AC78FF" w:rsidRDefault="00DF0757">
            <w:pPr>
              <w:ind w:left="249" w:hanging="357"/>
              <w:rPr>
                <w:rFonts w:ascii="Times New Roman" w:hAnsi="Times New Roman" w:cs="Times New Roman"/>
                <w:noProof/>
                <w:sz w:val="20"/>
                <w:szCs w:val="20"/>
              </w:rPr>
            </w:pPr>
            <w:r>
              <w:rPr>
                <w:rFonts w:ascii="Times New Roman" w:hAnsi="Times New Roman"/>
                <w:noProof/>
                <w:sz w:val="20"/>
              </w:rPr>
              <w:t>-     La HR/VP se rendra en Éthiopie et auprès de la Commission de l’Union africaine (20 octobre 2015) afin de lancer un dialogue de haut niveau sur la migration. Il s'agira notamment de s'engager à établir un programme commun pour les migrations et la mob</w:t>
            </w:r>
            <w:r>
              <w:rPr>
                <w:rFonts w:ascii="Times New Roman" w:hAnsi="Times New Roman"/>
                <w:noProof/>
                <w:sz w:val="20"/>
              </w:rPr>
              <w:t>ilité, à mettre en œuvre des actions liées à la migration propres à l'Éthiopie et à renforcer la coopération en matière de retour.</w:t>
            </w:r>
          </w:p>
          <w:p w:rsidR="00AC78FF" w:rsidRDefault="00AC78FF">
            <w:pPr>
              <w:ind w:left="249" w:hanging="357"/>
              <w:rPr>
                <w:rFonts w:ascii="Times New Roman" w:hAnsi="Times New Roman" w:cs="Times New Roman"/>
                <w:noProof/>
                <w:sz w:val="20"/>
                <w:szCs w:val="20"/>
              </w:rPr>
            </w:pPr>
          </w:p>
          <w:p w:rsidR="00AC78FF" w:rsidRDefault="00DF0757">
            <w:pPr>
              <w:pStyle w:val="ListParagraph"/>
              <w:numPr>
                <w:ilvl w:val="0"/>
                <w:numId w:val="13"/>
              </w:numPr>
              <w:spacing w:after="120"/>
              <w:ind w:left="317"/>
              <w:contextualSpacing w:val="0"/>
              <w:jc w:val="both"/>
              <w:rPr>
                <w:rFonts w:ascii="Times New Roman" w:hAnsi="Times New Roman" w:cs="Times New Roman"/>
                <w:noProof/>
                <w:sz w:val="20"/>
                <w:szCs w:val="20"/>
              </w:rPr>
            </w:pPr>
            <w:r>
              <w:rPr>
                <w:rFonts w:ascii="Times New Roman" w:hAnsi="Times New Roman"/>
                <w:noProof/>
                <w:sz w:val="20"/>
              </w:rPr>
              <w:t xml:space="preserve">La HR/VP assistera à la prochaine réunion ministérielle des pays du Sahel. </w:t>
            </w:r>
          </w:p>
          <w:p w:rsidR="00AC78FF" w:rsidRDefault="00DF0757">
            <w:pPr>
              <w:pStyle w:val="ListParagraph"/>
              <w:numPr>
                <w:ilvl w:val="0"/>
                <w:numId w:val="13"/>
              </w:numPr>
              <w:spacing w:after="120"/>
              <w:ind w:left="317"/>
              <w:contextualSpacing w:val="0"/>
              <w:jc w:val="both"/>
              <w:rPr>
                <w:rFonts w:ascii="Times New Roman" w:hAnsi="Times New Roman" w:cs="Times New Roman"/>
                <w:noProof/>
                <w:sz w:val="20"/>
                <w:szCs w:val="20"/>
              </w:rPr>
            </w:pPr>
            <w:r>
              <w:rPr>
                <w:rFonts w:ascii="Times New Roman" w:hAnsi="Times New Roman"/>
                <w:noProof/>
                <w:sz w:val="20"/>
              </w:rPr>
              <w:t>Mise en œuvre du pilier «migration» du plan d’ac</w:t>
            </w:r>
            <w:r>
              <w:rPr>
                <w:rFonts w:ascii="Times New Roman" w:hAnsi="Times New Roman"/>
                <w:noProof/>
                <w:sz w:val="20"/>
              </w:rPr>
              <w:t>tion régional de l’UE en faveur du Sahel 2015-2020.</w:t>
            </w:r>
          </w:p>
          <w:p w:rsidR="00AC78FF" w:rsidRDefault="00DF0757">
            <w:pPr>
              <w:pStyle w:val="ListParagraph"/>
              <w:ind w:left="176"/>
              <w:rPr>
                <w:rFonts w:ascii="Times New Roman" w:hAnsi="Times New Roman" w:cs="Times New Roman"/>
                <w:noProof/>
                <w:sz w:val="20"/>
                <w:szCs w:val="20"/>
              </w:rPr>
            </w:pPr>
            <w:r>
              <w:rPr>
                <w:rFonts w:ascii="Times New Roman" w:hAnsi="Times New Roman"/>
                <w:noProof/>
                <w:sz w:val="20"/>
                <w:u w:val="single"/>
              </w:rPr>
              <w:t>Turquie</w:t>
            </w:r>
            <w:r>
              <w:rPr>
                <w:rFonts w:ascii="Times New Roman" w:hAnsi="Times New Roman"/>
                <w:noProof/>
                <w:sz w:val="20"/>
              </w:rPr>
              <w:t>:</w:t>
            </w:r>
          </w:p>
          <w:p w:rsidR="00AC78FF" w:rsidRDefault="00AC78FF">
            <w:pPr>
              <w:pStyle w:val="ListParagraph"/>
              <w:ind w:left="176"/>
              <w:rPr>
                <w:rFonts w:ascii="Times New Roman" w:hAnsi="Times New Roman" w:cs="Times New Roman"/>
                <w:noProof/>
                <w:sz w:val="20"/>
                <w:szCs w:val="20"/>
              </w:rPr>
            </w:pPr>
          </w:p>
          <w:p w:rsidR="00AC78FF" w:rsidRDefault="00DF0757">
            <w:pPr>
              <w:pStyle w:val="ListParagraph"/>
              <w:numPr>
                <w:ilvl w:val="0"/>
                <w:numId w:val="13"/>
              </w:numPr>
              <w:ind w:left="317"/>
              <w:contextualSpacing w:val="0"/>
              <w:rPr>
                <w:rFonts w:ascii="Times New Roman" w:hAnsi="Times New Roman" w:cs="Times New Roman"/>
                <w:noProof/>
                <w:sz w:val="20"/>
                <w:szCs w:val="20"/>
              </w:rPr>
            </w:pPr>
            <w:r>
              <w:rPr>
                <w:rFonts w:ascii="Times New Roman" w:hAnsi="Times New Roman"/>
                <w:noProof/>
                <w:sz w:val="20"/>
              </w:rPr>
              <w:t>plan d'action – à finaliser.</w:t>
            </w:r>
          </w:p>
          <w:p w:rsidR="00AC78FF" w:rsidRDefault="00AC78FF">
            <w:pPr>
              <w:pStyle w:val="ListParagraph"/>
              <w:ind w:left="176"/>
              <w:rPr>
                <w:rFonts w:ascii="Times New Roman" w:hAnsi="Times New Roman" w:cs="Times New Roman"/>
                <w:noProof/>
                <w:sz w:val="20"/>
                <w:szCs w:val="20"/>
              </w:rPr>
            </w:pPr>
          </w:p>
        </w:tc>
      </w:tr>
      <w:tr w:rsidR="00AC78FF">
        <w:tc>
          <w:tcPr>
            <w:tcW w:w="2376" w:type="dxa"/>
            <w:tcBorders>
              <w:bottom w:val="nil"/>
            </w:tcBorders>
          </w:tcPr>
          <w:p w:rsidR="00AC78FF" w:rsidRDefault="00DF0757">
            <w:pPr>
              <w:rPr>
                <w:rFonts w:ascii="Times New Roman" w:hAnsi="Times New Roman" w:cs="Times New Roman"/>
                <w:noProof/>
                <w:sz w:val="20"/>
                <w:szCs w:val="20"/>
              </w:rPr>
            </w:pPr>
            <w:r>
              <w:rPr>
                <w:rFonts w:ascii="Times New Roman" w:hAnsi="Times New Roman"/>
                <w:noProof/>
                <w:sz w:val="20"/>
              </w:rPr>
              <w:t>Réadmission par les pays tiers</w:t>
            </w:r>
          </w:p>
        </w:tc>
        <w:tc>
          <w:tcPr>
            <w:tcW w:w="3969" w:type="dxa"/>
          </w:tcPr>
          <w:p w:rsidR="00AC78FF" w:rsidRDefault="00DF0757">
            <w:pPr>
              <w:numPr>
                <w:ilvl w:val="0"/>
                <w:numId w:val="9"/>
              </w:numPr>
              <w:ind w:left="318" w:hanging="284"/>
              <w:rPr>
                <w:rFonts w:ascii="Times New Roman" w:hAnsi="Times New Roman" w:cs="Times New Roman"/>
                <w:noProof/>
                <w:sz w:val="20"/>
                <w:szCs w:val="20"/>
                <w:u w:val="single"/>
              </w:rPr>
            </w:pPr>
            <w:r>
              <w:rPr>
                <w:rFonts w:ascii="Times New Roman" w:hAnsi="Times New Roman"/>
                <w:noProof/>
                <w:sz w:val="20"/>
              </w:rPr>
              <w:t xml:space="preserve">Mise en place d'un mécanisme de renforcement des capacités de réadmission (dans le cadre du programme de travail annuel 2015 du Fonds «Asile, migration et intégration»). </w:t>
            </w:r>
            <w:r>
              <w:rPr>
                <w:rFonts w:ascii="Times New Roman" w:hAnsi="Times New Roman" w:cs="Times New Roman"/>
                <w:noProof/>
                <w:sz w:val="20"/>
                <w:szCs w:val="20"/>
              </w:rPr>
              <w:br/>
            </w:r>
          </w:p>
        </w:tc>
        <w:tc>
          <w:tcPr>
            <w:tcW w:w="4111" w:type="dxa"/>
          </w:tcPr>
          <w:p w:rsidR="00AC78FF" w:rsidRDefault="00AC78FF">
            <w:pPr>
              <w:numPr>
                <w:ilvl w:val="0"/>
                <w:numId w:val="9"/>
              </w:numPr>
              <w:ind w:left="318" w:hanging="284"/>
              <w:rPr>
                <w:rFonts w:ascii="Times New Roman" w:hAnsi="Times New Roman" w:cs="Times New Roman"/>
                <w:noProof/>
                <w:sz w:val="20"/>
                <w:szCs w:val="20"/>
                <w:u w:val="single"/>
              </w:rPr>
            </w:pPr>
          </w:p>
        </w:tc>
        <w:tc>
          <w:tcPr>
            <w:tcW w:w="3764" w:type="dxa"/>
          </w:tcPr>
          <w:p w:rsidR="00AC78FF" w:rsidRDefault="00DF0757">
            <w:pPr>
              <w:pStyle w:val="ListParagraph"/>
              <w:numPr>
                <w:ilvl w:val="0"/>
                <w:numId w:val="9"/>
              </w:numPr>
              <w:ind w:left="317"/>
              <w:contextualSpacing w:val="0"/>
              <w:rPr>
                <w:rFonts w:ascii="Times New Roman" w:hAnsi="Times New Roman" w:cs="Times New Roman"/>
                <w:noProof/>
                <w:sz w:val="20"/>
                <w:szCs w:val="20"/>
              </w:rPr>
            </w:pPr>
            <w:r>
              <w:rPr>
                <w:rFonts w:ascii="Times New Roman" w:hAnsi="Times New Roman"/>
                <w:noProof/>
                <w:sz w:val="20"/>
              </w:rPr>
              <w:t>Les États membres doivent proposer des projets susceptibles de bénéficier d'un fina</w:t>
            </w:r>
            <w:r>
              <w:rPr>
                <w:rFonts w:ascii="Times New Roman" w:hAnsi="Times New Roman"/>
                <w:noProof/>
                <w:sz w:val="20"/>
              </w:rPr>
              <w:t xml:space="preserve">ncement au titre du mécanisme, et consacrer des ressources à l'assistance au retour volontaire. </w:t>
            </w:r>
          </w:p>
          <w:p w:rsidR="00AC78FF" w:rsidRDefault="00AC78FF">
            <w:pPr>
              <w:pStyle w:val="ListParagraph"/>
              <w:ind w:left="317"/>
              <w:rPr>
                <w:rFonts w:ascii="Times New Roman" w:hAnsi="Times New Roman" w:cs="Times New Roman"/>
                <w:noProof/>
                <w:sz w:val="20"/>
                <w:szCs w:val="20"/>
              </w:rPr>
            </w:pPr>
          </w:p>
          <w:p w:rsidR="00AC78FF" w:rsidRDefault="00DF0757">
            <w:pPr>
              <w:pStyle w:val="ListParagraph"/>
              <w:numPr>
                <w:ilvl w:val="0"/>
                <w:numId w:val="9"/>
              </w:numPr>
              <w:ind w:left="317"/>
              <w:contextualSpacing w:val="0"/>
              <w:rPr>
                <w:rFonts w:ascii="Times New Roman" w:hAnsi="Times New Roman" w:cs="Times New Roman"/>
                <w:noProof/>
                <w:sz w:val="20"/>
                <w:szCs w:val="20"/>
              </w:rPr>
            </w:pPr>
            <w:r>
              <w:rPr>
                <w:rFonts w:ascii="Times New Roman" w:hAnsi="Times New Roman"/>
                <w:noProof/>
                <w:sz w:val="20"/>
              </w:rPr>
              <w:t>Identification de projets spécifiques visant à renforcer, avec les principaux partenaires, la coopération en matière de réadmission. Veiller à la disponibilit</w:t>
            </w:r>
            <w:r>
              <w:rPr>
                <w:rFonts w:ascii="Times New Roman" w:hAnsi="Times New Roman"/>
                <w:noProof/>
                <w:sz w:val="20"/>
              </w:rPr>
              <w:t xml:space="preserve">é d'un soutien financier suffisant pour des actions de réintégration et de retour dans les pays tiers. </w:t>
            </w:r>
          </w:p>
          <w:p w:rsidR="00AC78FF" w:rsidRDefault="00AC78FF">
            <w:pPr>
              <w:pStyle w:val="ListParagraph"/>
              <w:ind w:left="318"/>
              <w:rPr>
                <w:rFonts w:ascii="Times New Roman" w:hAnsi="Times New Roman" w:cs="Times New Roman"/>
                <w:noProof/>
                <w:sz w:val="20"/>
                <w:szCs w:val="20"/>
              </w:rPr>
            </w:pPr>
          </w:p>
        </w:tc>
      </w:tr>
      <w:tr w:rsidR="00AC78FF">
        <w:tc>
          <w:tcPr>
            <w:tcW w:w="2376" w:type="dxa"/>
            <w:vMerge w:val="restart"/>
            <w:tcBorders>
              <w:top w:val="nil"/>
            </w:tcBorders>
          </w:tcPr>
          <w:p w:rsidR="00AC78FF" w:rsidRDefault="00AC78FF">
            <w:pPr>
              <w:rPr>
                <w:rFonts w:ascii="Times New Roman" w:hAnsi="Times New Roman" w:cs="Times New Roman"/>
                <w:noProof/>
                <w:sz w:val="20"/>
                <w:szCs w:val="20"/>
              </w:rPr>
            </w:pPr>
          </w:p>
        </w:tc>
        <w:tc>
          <w:tcPr>
            <w:tcW w:w="3969" w:type="dxa"/>
            <w:tcBorders>
              <w:bottom w:val="single" w:sz="4" w:space="0" w:color="auto"/>
            </w:tcBorders>
          </w:tcPr>
          <w:p w:rsidR="00AC78FF" w:rsidRDefault="00DF0757">
            <w:pPr>
              <w:numPr>
                <w:ilvl w:val="0"/>
                <w:numId w:val="9"/>
              </w:numPr>
              <w:ind w:left="318" w:hanging="283"/>
              <w:rPr>
                <w:rFonts w:ascii="Times New Roman" w:hAnsi="Times New Roman" w:cs="Times New Roman"/>
                <w:noProof/>
                <w:sz w:val="20"/>
                <w:szCs w:val="20"/>
              </w:rPr>
            </w:pPr>
            <w:r>
              <w:rPr>
                <w:rFonts w:ascii="Times New Roman" w:hAnsi="Times New Roman"/>
                <w:noProof/>
                <w:sz w:val="20"/>
              </w:rPr>
              <w:t>Un atelier sur la réadmission s’est tenu à Bruxelles avec les pays ACP (28-29 septembre 2015).</w:t>
            </w:r>
          </w:p>
        </w:tc>
        <w:tc>
          <w:tcPr>
            <w:tcW w:w="4111" w:type="dxa"/>
            <w:tcBorders>
              <w:bottom w:val="single" w:sz="4" w:space="0" w:color="auto"/>
            </w:tcBorders>
          </w:tcPr>
          <w:p w:rsidR="00AC78FF" w:rsidRDefault="00DF0757">
            <w:pPr>
              <w:numPr>
                <w:ilvl w:val="0"/>
                <w:numId w:val="9"/>
              </w:numPr>
              <w:ind w:left="318" w:hanging="261"/>
              <w:rPr>
                <w:rFonts w:ascii="Times New Roman" w:hAnsi="Times New Roman" w:cs="Times New Roman"/>
                <w:noProof/>
                <w:sz w:val="20"/>
                <w:szCs w:val="20"/>
              </w:rPr>
            </w:pPr>
            <w:r>
              <w:rPr>
                <w:rFonts w:ascii="Times New Roman" w:hAnsi="Times New Roman"/>
                <w:noProof/>
                <w:sz w:val="20"/>
              </w:rPr>
              <w:t>Participation des États membres à l'atelier.</w:t>
            </w:r>
          </w:p>
          <w:p w:rsidR="00AC78FF" w:rsidRDefault="00AC78FF">
            <w:pPr>
              <w:rPr>
                <w:rFonts w:ascii="Times New Roman" w:hAnsi="Times New Roman" w:cs="Times New Roman"/>
                <w:noProof/>
                <w:sz w:val="20"/>
                <w:szCs w:val="20"/>
              </w:rPr>
            </w:pPr>
          </w:p>
        </w:tc>
        <w:tc>
          <w:tcPr>
            <w:tcW w:w="3764" w:type="dxa"/>
            <w:tcBorders>
              <w:bottom w:val="single" w:sz="4" w:space="0" w:color="auto"/>
            </w:tcBorders>
          </w:tcPr>
          <w:p w:rsidR="00AC78FF" w:rsidRDefault="00DF0757">
            <w:pPr>
              <w:numPr>
                <w:ilvl w:val="0"/>
                <w:numId w:val="9"/>
              </w:numPr>
              <w:ind w:left="318" w:hanging="261"/>
              <w:rPr>
                <w:rFonts w:ascii="Times New Roman" w:hAnsi="Times New Roman" w:cs="Times New Roman"/>
                <w:noProof/>
                <w:sz w:val="20"/>
                <w:szCs w:val="20"/>
              </w:rPr>
            </w:pPr>
            <w:r>
              <w:rPr>
                <w:rFonts w:ascii="Times New Roman" w:hAnsi="Times New Roman"/>
                <w:noProof/>
                <w:sz w:val="20"/>
              </w:rPr>
              <w:t>Mise en place de points de contact nationaux sur la réadmission dans les pays UE-ACP.</w:t>
            </w:r>
          </w:p>
        </w:tc>
      </w:tr>
      <w:tr w:rsidR="00AC78FF">
        <w:trPr>
          <w:trHeight w:val="1664"/>
        </w:trPr>
        <w:tc>
          <w:tcPr>
            <w:tcW w:w="2376" w:type="dxa"/>
            <w:vMerge/>
          </w:tcPr>
          <w:p w:rsidR="00AC78FF" w:rsidRDefault="00AC78FF">
            <w:pPr>
              <w:rPr>
                <w:rFonts w:ascii="Times New Roman" w:hAnsi="Times New Roman" w:cs="Times New Roman"/>
                <w:noProof/>
                <w:sz w:val="20"/>
                <w:szCs w:val="20"/>
              </w:rPr>
            </w:pPr>
          </w:p>
        </w:tc>
        <w:tc>
          <w:tcPr>
            <w:tcW w:w="3969" w:type="dxa"/>
            <w:tcBorders>
              <w:top w:val="single" w:sz="4" w:space="0" w:color="auto"/>
              <w:bottom w:val="single" w:sz="4" w:space="0" w:color="auto"/>
            </w:tcBorders>
          </w:tcPr>
          <w:p w:rsidR="00AC78FF" w:rsidRDefault="00DF0757">
            <w:pPr>
              <w:pStyle w:val="ListParagraph"/>
              <w:numPr>
                <w:ilvl w:val="0"/>
                <w:numId w:val="9"/>
              </w:numPr>
              <w:ind w:left="459"/>
              <w:contextualSpacing w:val="0"/>
              <w:rPr>
                <w:rFonts w:ascii="Times New Roman" w:hAnsi="Times New Roman" w:cs="Times New Roman"/>
                <w:noProof/>
                <w:sz w:val="20"/>
                <w:szCs w:val="20"/>
              </w:rPr>
            </w:pPr>
            <w:r>
              <w:rPr>
                <w:rFonts w:ascii="Times New Roman" w:hAnsi="Times New Roman"/>
                <w:noProof/>
                <w:sz w:val="20"/>
              </w:rPr>
              <w:t>Désignation des officiers de liaison «migration » européens.</w:t>
            </w:r>
          </w:p>
          <w:p w:rsidR="00AC78FF" w:rsidRDefault="00AC78FF">
            <w:pPr>
              <w:ind w:left="318"/>
              <w:rPr>
                <w:rFonts w:ascii="Times New Roman" w:hAnsi="Times New Roman" w:cs="Times New Roman"/>
                <w:noProof/>
                <w:sz w:val="20"/>
                <w:szCs w:val="20"/>
                <w:u w:val="single"/>
              </w:rPr>
            </w:pPr>
          </w:p>
        </w:tc>
        <w:tc>
          <w:tcPr>
            <w:tcW w:w="4111" w:type="dxa"/>
            <w:tcBorders>
              <w:top w:val="single" w:sz="4" w:space="0" w:color="auto"/>
              <w:bottom w:val="single" w:sz="4" w:space="0" w:color="auto"/>
            </w:tcBorders>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Accord général sur le mandat des officiers de liaison «migration » européens qui seront déployés dans les </w:t>
            </w:r>
            <w:r>
              <w:rPr>
                <w:rFonts w:ascii="Times New Roman" w:hAnsi="Times New Roman"/>
                <w:noProof/>
                <w:sz w:val="20"/>
              </w:rPr>
              <w:t>délégations de l'UE dans les pays clés.</w:t>
            </w:r>
          </w:p>
          <w:p w:rsidR="00AC78FF" w:rsidRDefault="00AC78FF">
            <w:pPr>
              <w:ind w:left="318"/>
              <w:rPr>
                <w:rFonts w:ascii="Times New Roman" w:hAnsi="Times New Roman" w:cs="Times New Roman"/>
                <w:noProof/>
                <w:sz w:val="20"/>
                <w:szCs w:val="20"/>
                <w:u w:val="single"/>
              </w:rPr>
            </w:pPr>
          </w:p>
          <w:p w:rsidR="00AC78FF" w:rsidRDefault="00AC78FF">
            <w:pPr>
              <w:ind w:left="318"/>
              <w:rPr>
                <w:rFonts w:ascii="Times New Roman" w:hAnsi="Times New Roman" w:cs="Times New Roman"/>
                <w:noProof/>
                <w:sz w:val="20"/>
                <w:szCs w:val="20"/>
                <w:u w:val="single"/>
              </w:rPr>
            </w:pPr>
          </w:p>
        </w:tc>
        <w:tc>
          <w:tcPr>
            <w:tcW w:w="3764" w:type="dxa"/>
            <w:tcBorders>
              <w:top w:val="single" w:sz="4" w:space="0" w:color="auto"/>
              <w:bottom w:val="single" w:sz="4" w:space="0" w:color="auto"/>
            </w:tcBorders>
          </w:tcPr>
          <w:p w:rsidR="00AC78FF" w:rsidRDefault="00DF0757">
            <w:pPr>
              <w:pStyle w:val="ListParagraph"/>
              <w:numPr>
                <w:ilvl w:val="0"/>
                <w:numId w:val="9"/>
              </w:numPr>
              <w:ind w:left="318" w:hanging="284"/>
              <w:rPr>
                <w:noProof/>
              </w:rPr>
            </w:pPr>
            <w:r>
              <w:rPr>
                <w:rFonts w:ascii="Times New Roman" w:hAnsi="Times New Roman"/>
                <w:noProof/>
                <w:sz w:val="20"/>
              </w:rPr>
              <w:t>Préparatifs en vue de l’éventuel déploiement d’officiers de liaison «migration » européens en Égypte, au Liban, au Niger, au Nigeria, au Sénégal, au Pakistan, en Serbie, en Éthiopie, en Tunisie, au Soudan, en Turquie et en Jordanie (préparation des avis de</w:t>
            </w:r>
            <w:r>
              <w:rPr>
                <w:rFonts w:ascii="Times New Roman" w:hAnsi="Times New Roman"/>
                <w:noProof/>
                <w:sz w:val="20"/>
              </w:rPr>
              <w:t xml:space="preserve"> vacance, procédure de sélection, </w:t>
            </w:r>
          </w:p>
        </w:tc>
      </w:tr>
      <w:tr w:rsidR="00AC78FF">
        <w:tc>
          <w:tcPr>
            <w:tcW w:w="2376" w:type="dxa"/>
            <w:tcBorders>
              <w:top w:val="single" w:sz="4" w:space="0" w:color="auto"/>
              <w:bottom w:val="nil"/>
            </w:tcBorders>
          </w:tcPr>
          <w:p w:rsidR="00AC78FF" w:rsidRDefault="00AC78FF">
            <w:pPr>
              <w:rPr>
                <w:rFonts w:ascii="Times New Roman" w:hAnsi="Times New Roman" w:cs="Times New Roman"/>
                <w:noProof/>
                <w:sz w:val="20"/>
                <w:szCs w:val="20"/>
              </w:rPr>
            </w:pPr>
          </w:p>
        </w:tc>
        <w:tc>
          <w:tcPr>
            <w:tcW w:w="3969" w:type="dxa"/>
            <w:tcBorders>
              <w:top w:val="single" w:sz="4" w:space="0" w:color="auto"/>
            </w:tcBorders>
          </w:tcPr>
          <w:p w:rsidR="00AC78FF" w:rsidRDefault="00AC78FF">
            <w:pPr>
              <w:ind w:left="318"/>
              <w:rPr>
                <w:rFonts w:ascii="Times New Roman" w:hAnsi="Times New Roman" w:cs="Times New Roman"/>
                <w:noProof/>
                <w:sz w:val="20"/>
                <w:szCs w:val="20"/>
              </w:rPr>
            </w:pPr>
          </w:p>
        </w:tc>
        <w:tc>
          <w:tcPr>
            <w:tcW w:w="4111" w:type="dxa"/>
            <w:tcBorders>
              <w:top w:val="single" w:sz="4" w:space="0" w:color="auto"/>
            </w:tcBorders>
          </w:tcPr>
          <w:p w:rsidR="00AC78FF" w:rsidRDefault="00AC78FF">
            <w:pPr>
              <w:ind w:left="318"/>
              <w:rPr>
                <w:rFonts w:ascii="Times New Roman" w:hAnsi="Times New Roman" w:cs="Times New Roman"/>
                <w:noProof/>
                <w:sz w:val="20"/>
                <w:szCs w:val="20"/>
              </w:rPr>
            </w:pPr>
          </w:p>
        </w:tc>
        <w:tc>
          <w:tcPr>
            <w:tcW w:w="3764" w:type="dxa"/>
            <w:tcBorders>
              <w:top w:val="single" w:sz="4" w:space="0" w:color="auto"/>
            </w:tcBorders>
          </w:tcPr>
          <w:p w:rsidR="00AC78FF" w:rsidRDefault="00DF0757">
            <w:pPr>
              <w:pStyle w:val="ListParagraph"/>
              <w:ind w:left="318"/>
              <w:rPr>
                <w:rFonts w:ascii="Times New Roman" w:hAnsi="Times New Roman" w:cs="Times New Roman"/>
                <w:noProof/>
                <w:sz w:val="20"/>
                <w:szCs w:val="20"/>
              </w:rPr>
            </w:pPr>
            <w:r>
              <w:rPr>
                <w:rFonts w:ascii="Times New Roman" w:hAnsi="Times New Roman"/>
                <w:noProof/>
                <w:sz w:val="20"/>
              </w:rPr>
              <w:t>déploiement effectif).</w:t>
            </w:r>
          </w:p>
        </w:tc>
      </w:tr>
      <w:tr w:rsidR="00AC78FF">
        <w:trPr>
          <w:trHeight w:val="4439"/>
        </w:trPr>
        <w:tc>
          <w:tcPr>
            <w:tcW w:w="2376" w:type="dxa"/>
            <w:tcBorders>
              <w:top w:val="single" w:sz="4" w:space="0" w:color="auto"/>
              <w:bottom w:val="nil"/>
            </w:tcBorders>
          </w:tcPr>
          <w:p w:rsidR="00AC78FF" w:rsidRDefault="00AC78FF">
            <w:pPr>
              <w:rPr>
                <w:rFonts w:ascii="Times New Roman" w:hAnsi="Times New Roman" w:cs="Times New Roman"/>
                <w:noProof/>
                <w:sz w:val="20"/>
                <w:szCs w:val="20"/>
              </w:rPr>
            </w:pPr>
          </w:p>
        </w:tc>
        <w:tc>
          <w:tcPr>
            <w:tcW w:w="3969"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Réunions bilatérales portant sur la réadmission avec les pays d’Afrique subsaharienne et/ou d’autres pays d’origine</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16"/>
              </w:numPr>
              <w:ind w:left="714" w:hanging="357"/>
              <w:contextualSpacing w:val="0"/>
              <w:rPr>
                <w:rFonts w:ascii="Times New Roman" w:hAnsi="Times New Roman" w:cs="Times New Roman"/>
                <w:noProof/>
                <w:sz w:val="20"/>
                <w:szCs w:val="20"/>
              </w:rPr>
            </w:pPr>
            <w:r>
              <w:rPr>
                <w:rFonts w:ascii="Times New Roman" w:hAnsi="Times New Roman"/>
                <w:noProof/>
                <w:sz w:val="20"/>
              </w:rPr>
              <w:t>G5 Sahel – 17 juin 2015;</w:t>
            </w:r>
          </w:p>
          <w:p w:rsidR="00AC78FF" w:rsidRDefault="00DF0757">
            <w:pPr>
              <w:pStyle w:val="ListParagraph"/>
              <w:numPr>
                <w:ilvl w:val="0"/>
                <w:numId w:val="16"/>
              </w:numPr>
              <w:ind w:left="714" w:hanging="357"/>
              <w:contextualSpacing w:val="0"/>
              <w:rPr>
                <w:rFonts w:ascii="Times New Roman" w:hAnsi="Times New Roman" w:cs="Times New Roman"/>
                <w:noProof/>
                <w:sz w:val="20"/>
                <w:szCs w:val="20"/>
              </w:rPr>
            </w:pPr>
            <w:r>
              <w:rPr>
                <w:rFonts w:ascii="Times New Roman" w:hAnsi="Times New Roman"/>
                <w:noProof/>
                <w:sz w:val="20"/>
              </w:rPr>
              <w:t xml:space="preserve">réunions avec les ministres des affaires </w:t>
            </w:r>
            <w:r>
              <w:rPr>
                <w:rFonts w:ascii="Times New Roman" w:hAnsi="Times New Roman"/>
                <w:noProof/>
                <w:sz w:val="20"/>
              </w:rPr>
              <w:t>étrangères du Burkina Faso, du Mali, de la Mauritanie, du Niger et du Tchad;</w:t>
            </w:r>
          </w:p>
          <w:p w:rsidR="00AC78FF" w:rsidRDefault="00DF0757">
            <w:pPr>
              <w:pStyle w:val="ListParagraph"/>
              <w:numPr>
                <w:ilvl w:val="0"/>
                <w:numId w:val="16"/>
              </w:numPr>
              <w:ind w:left="714" w:hanging="357"/>
              <w:contextualSpacing w:val="0"/>
              <w:rPr>
                <w:rFonts w:ascii="Times New Roman" w:hAnsi="Times New Roman" w:cs="Times New Roman"/>
                <w:noProof/>
                <w:sz w:val="20"/>
                <w:szCs w:val="20"/>
              </w:rPr>
            </w:pPr>
            <w:r>
              <w:rPr>
                <w:rFonts w:ascii="Times New Roman" w:hAnsi="Times New Roman"/>
                <w:noProof/>
                <w:sz w:val="20"/>
              </w:rPr>
              <w:t>visite de la HR/VP en Algérie le 17 septembre 2015, à la suite d’une réunion d’information de la Commission à Alger les 9 et 10 septembre 2015;</w:t>
            </w:r>
          </w:p>
          <w:p w:rsidR="00AC78FF" w:rsidRDefault="00DF0757">
            <w:pPr>
              <w:pStyle w:val="ListParagraph"/>
              <w:numPr>
                <w:ilvl w:val="0"/>
                <w:numId w:val="16"/>
              </w:numPr>
              <w:ind w:left="714" w:hanging="357"/>
              <w:contextualSpacing w:val="0"/>
              <w:rPr>
                <w:rFonts w:ascii="Times New Roman" w:hAnsi="Times New Roman" w:cs="Times New Roman"/>
                <w:noProof/>
                <w:sz w:val="20"/>
                <w:szCs w:val="20"/>
              </w:rPr>
            </w:pPr>
            <w:r>
              <w:rPr>
                <w:rFonts w:ascii="Times New Roman" w:hAnsi="Times New Roman"/>
                <w:noProof/>
                <w:sz w:val="20"/>
              </w:rPr>
              <w:t>visite de la HR/VP au Niger le 18 s</w:t>
            </w:r>
            <w:r>
              <w:rPr>
                <w:rFonts w:ascii="Times New Roman" w:hAnsi="Times New Roman"/>
                <w:noProof/>
                <w:sz w:val="20"/>
              </w:rPr>
              <w:t>eptembre 2015.</w:t>
            </w:r>
          </w:p>
          <w:p w:rsidR="00AC78FF" w:rsidRDefault="00AC78FF">
            <w:pPr>
              <w:pStyle w:val="ListParagraph"/>
              <w:ind w:left="318"/>
              <w:rPr>
                <w:rFonts w:ascii="Times New Roman" w:hAnsi="Times New Roman" w:cs="Times New Roman"/>
                <w:noProof/>
                <w:sz w:val="20"/>
                <w:szCs w:val="20"/>
              </w:rPr>
            </w:pPr>
          </w:p>
          <w:p w:rsidR="00AC78FF" w:rsidRDefault="00AC78FF">
            <w:pPr>
              <w:spacing w:after="120"/>
              <w:ind w:left="318" w:hanging="284"/>
              <w:jc w:val="both"/>
              <w:rPr>
                <w:rFonts w:ascii="Times New Roman" w:hAnsi="Times New Roman" w:cs="Times New Roman"/>
                <w:noProof/>
                <w:sz w:val="20"/>
                <w:szCs w:val="20"/>
              </w:rPr>
            </w:pPr>
          </w:p>
          <w:p w:rsidR="00AC78FF" w:rsidRDefault="00AC78FF">
            <w:pPr>
              <w:spacing w:after="120"/>
              <w:ind w:left="318" w:hanging="284"/>
              <w:jc w:val="both"/>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tc>
        <w:tc>
          <w:tcPr>
            <w:tcW w:w="4111" w:type="dxa"/>
          </w:tcPr>
          <w:p w:rsidR="00AC78FF" w:rsidRDefault="00DF0757">
            <w:pPr>
              <w:pStyle w:val="ListParagraph"/>
              <w:numPr>
                <w:ilvl w:val="0"/>
                <w:numId w:val="9"/>
              </w:numPr>
              <w:ind w:left="318" w:hanging="261"/>
              <w:contextualSpacing w:val="0"/>
              <w:rPr>
                <w:rFonts w:ascii="Times New Roman" w:hAnsi="Times New Roman" w:cs="Times New Roman"/>
                <w:noProof/>
                <w:sz w:val="20"/>
                <w:szCs w:val="20"/>
              </w:rPr>
            </w:pPr>
            <w:r>
              <w:rPr>
                <w:rFonts w:ascii="Times New Roman" w:hAnsi="Times New Roman"/>
                <w:noProof/>
                <w:sz w:val="20"/>
              </w:rPr>
              <w:t>Italie – chef de file du consortium du programme régional de développement et de protection en Afrique du Nord. Besoin d'un appui supplémentaire de la Commission pour le dialogue avec les autorités algériennes.</w:t>
            </w:r>
          </w:p>
          <w:p w:rsidR="00AC78FF" w:rsidRDefault="00AC78FF">
            <w:pPr>
              <w:pStyle w:val="ListParagraph"/>
              <w:ind w:left="318"/>
              <w:rPr>
                <w:rFonts w:ascii="Times New Roman" w:hAnsi="Times New Roman" w:cs="Times New Roman"/>
                <w:noProof/>
                <w:sz w:val="20"/>
                <w:szCs w:val="20"/>
              </w:rPr>
            </w:pPr>
          </w:p>
        </w:tc>
        <w:tc>
          <w:tcPr>
            <w:tcW w:w="3764"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Des dialogues de haut niveau doivent avoir lieu. Réunions prévues: </w:t>
            </w:r>
          </w:p>
          <w:p w:rsidR="00AC78FF" w:rsidRDefault="00DF0757">
            <w:pPr>
              <w:pStyle w:val="ListParagraph"/>
              <w:numPr>
                <w:ilvl w:val="0"/>
                <w:numId w:val="14"/>
              </w:numPr>
              <w:contextualSpacing w:val="0"/>
              <w:rPr>
                <w:rFonts w:ascii="Times New Roman" w:hAnsi="Times New Roman" w:cs="Times New Roman"/>
                <w:noProof/>
                <w:sz w:val="20"/>
                <w:szCs w:val="20"/>
              </w:rPr>
            </w:pPr>
            <w:r>
              <w:rPr>
                <w:rFonts w:ascii="Times New Roman" w:hAnsi="Times New Roman"/>
                <w:noProof/>
                <w:sz w:val="20"/>
              </w:rPr>
              <w:t>Sénégal - 19-21 octobre 2015;</w:t>
            </w:r>
          </w:p>
          <w:p w:rsidR="00AC78FF" w:rsidRDefault="00DF0757">
            <w:pPr>
              <w:pStyle w:val="ListParagraph"/>
              <w:numPr>
                <w:ilvl w:val="0"/>
                <w:numId w:val="14"/>
              </w:numPr>
              <w:contextualSpacing w:val="0"/>
              <w:rPr>
                <w:rFonts w:ascii="Times New Roman" w:hAnsi="Times New Roman" w:cs="Times New Roman"/>
                <w:noProof/>
                <w:sz w:val="20"/>
                <w:szCs w:val="20"/>
              </w:rPr>
            </w:pPr>
            <w:r>
              <w:rPr>
                <w:rFonts w:ascii="Times New Roman" w:hAnsi="Times New Roman"/>
                <w:noProof/>
                <w:sz w:val="20"/>
              </w:rPr>
              <w:t>Éthiopie – 20 octobre 2015;</w:t>
            </w:r>
          </w:p>
          <w:p w:rsidR="00AC78FF" w:rsidRDefault="00DF0757">
            <w:pPr>
              <w:ind w:left="743" w:hanging="426"/>
              <w:rPr>
                <w:rFonts w:ascii="Times New Roman" w:hAnsi="Times New Roman" w:cs="Times New Roman"/>
                <w:noProof/>
                <w:sz w:val="20"/>
                <w:szCs w:val="20"/>
              </w:rPr>
            </w:pPr>
            <w:r>
              <w:rPr>
                <w:rFonts w:ascii="Times New Roman" w:hAnsi="Times New Roman"/>
                <w:noProof/>
                <w:sz w:val="20"/>
              </w:rPr>
              <w:t>-     suivi de la visite de la HR/VP au Niger: le Niger présentera un ensemble de mesures lors du sommet de La Valette.</w:t>
            </w:r>
          </w:p>
          <w:p w:rsidR="00AC78FF" w:rsidRDefault="00AC78FF">
            <w:pPr>
              <w:rPr>
                <w:rFonts w:ascii="Times New Roman" w:hAnsi="Times New Roman" w:cs="Times New Roman"/>
                <w:noProof/>
                <w:sz w:val="20"/>
                <w:szCs w:val="20"/>
              </w:rPr>
            </w:pPr>
          </w:p>
          <w:p w:rsidR="00AC78FF" w:rsidRDefault="00DF0757">
            <w:pPr>
              <w:pStyle w:val="ListParagraph"/>
              <w:numPr>
                <w:ilvl w:val="0"/>
                <w:numId w:val="9"/>
              </w:numPr>
              <w:ind w:left="317" w:hanging="357"/>
              <w:contextualSpacing w:val="0"/>
              <w:rPr>
                <w:rFonts w:ascii="Times New Roman" w:hAnsi="Times New Roman" w:cs="Times New Roman"/>
                <w:noProof/>
                <w:sz w:val="20"/>
                <w:szCs w:val="20"/>
              </w:rPr>
            </w:pPr>
            <w:r>
              <w:rPr>
                <w:rFonts w:ascii="Times New Roman" w:hAnsi="Times New Roman"/>
                <w:noProof/>
                <w:sz w:val="20"/>
              </w:rPr>
              <w:t xml:space="preserve">Adoption </w:t>
            </w:r>
            <w:r>
              <w:rPr>
                <w:rFonts w:ascii="Times New Roman" w:hAnsi="Times New Roman"/>
                <w:noProof/>
                <w:sz w:val="20"/>
              </w:rPr>
              <w:t>d'ensembles de mesures personnalisés («leviers et  incitations»), à utiliser contre les pays tiers concernés qui ne coopèrent pas pleinement en matière de réadmission.</w:t>
            </w:r>
          </w:p>
          <w:p w:rsidR="00AC78FF" w:rsidRDefault="00DF0757">
            <w:pPr>
              <w:pStyle w:val="ListParagraph"/>
              <w:numPr>
                <w:ilvl w:val="0"/>
                <w:numId w:val="9"/>
              </w:numPr>
              <w:ind w:left="317" w:hanging="357"/>
              <w:contextualSpacing w:val="0"/>
              <w:rPr>
                <w:rFonts w:ascii="Times New Roman" w:hAnsi="Times New Roman" w:cs="Times New Roman"/>
                <w:noProof/>
                <w:sz w:val="20"/>
                <w:szCs w:val="20"/>
              </w:rPr>
            </w:pPr>
            <w:r>
              <w:rPr>
                <w:rFonts w:ascii="Times New Roman" w:hAnsi="Times New Roman"/>
                <w:noProof/>
                <w:sz w:val="20"/>
              </w:rPr>
              <w:t>Suivi de la reprise des négociations visant à conclure des accords de réadmission avec l</w:t>
            </w:r>
            <w:r>
              <w:rPr>
                <w:rFonts w:ascii="Times New Roman" w:hAnsi="Times New Roman"/>
                <w:noProof/>
                <w:sz w:val="20"/>
              </w:rPr>
              <w:t xml:space="preserve">es pays d'Afrique du Nord. </w:t>
            </w:r>
          </w:p>
          <w:p w:rsidR="00AC78FF" w:rsidRDefault="00DF0757">
            <w:pPr>
              <w:pStyle w:val="ListParagraph"/>
              <w:numPr>
                <w:ilvl w:val="0"/>
                <w:numId w:val="9"/>
              </w:numPr>
              <w:ind w:left="317" w:hanging="357"/>
              <w:contextualSpacing w:val="0"/>
              <w:rPr>
                <w:rFonts w:ascii="Times New Roman" w:hAnsi="Times New Roman" w:cs="Times New Roman"/>
                <w:noProof/>
                <w:sz w:val="20"/>
                <w:szCs w:val="20"/>
              </w:rPr>
            </w:pPr>
            <w:r>
              <w:rPr>
                <w:rFonts w:ascii="Times New Roman" w:hAnsi="Times New Roman"/>
                <w:noProof/>
                <w:sz w:val="20"/>
              </w:rPr>
              <w:t>Lancement éventuel de nouvelles négociations avec d’autres pays.</w:t>
            </w:r>
          </w:p>
        </w:tc>
      </w:tr>
      <w:tr w:rsidR="00AC78FF">
        <w:tc>
          <w:tcPr>
            <w:tcW w:w="2376" w:type="dxa"/>
            <w:tcBorders>
              <w:top w:val="nil"/>
            </w:tcBorders>
          </w:tcPr>
          <w:p w:rsidR="00AC78FF" w:rsidRDefault="00AC78FF">
            <w:pPr>
              <w:rPr>
                <w:rFonts w:ascii="Times New Roman" w:hAnsi="Times New Roman" w:cs="Times New Roman"/>
                <w:noProof/>
                <w:sz w:val="20"/>
                <w:szCs w:val="20"/>
              </w:rPr>
            </w:pPr>
          </w:p>
        </w:tc>
        <w:tc>
          <w:tcPr>
            <w:tcW w:w="3969"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 Pakistan: réunion sur la réadmission entre la Grèce, le Pakistan et la Commission. Le comité de réadmission mixte s'est réuni à trois reprises en 2014 et 2015 et a présenté un plan d'action destiné à permettre au Pakistan de respecter les engagements pris</w:t>
            </w:r>
            <w:r>
              <w:rPr>
                <w:rFonts w:ascii="Times New Roman" w:hAnsi="Times New Roman"/>
                <w:noProof/>
                <w:sz w:val="20"/>
              </w:rPr>
              <w:t xml:space="preserve"> en juin 2015.</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Des réunions spécifiques qui ont eu lieu à Athènes avec les autorités grecques et l'ambassade du Pakistan le 8 octobre 2015 ont permis de mettre en évidence des problèmes spécifiques et de parvenir à un accord en vue de débloquer la situatio</w:t>
            </w:r>
            <w:r>
              <w:rPr>
                <w:rFonts w:ascii="Times New Roman" w:hAnsi="Times New Roman"/>
                <w:noProof/>
                <w:sz w:val="20"/>
              </w:rPr>
              <w:t>n.</w:t>
            </w:r>
          </w:p>
        </w:tc>
        <w:tc>
          <w:tcPr>
            <w:tcW w:w="4111" w:type="dxa"/>
          </w:tcPr>
          <w:p w:rsidR="00AC78FF" w:rsidRDefault="00AC78FF">
            <w:pPr>
              <w:pStyle w:val="ListParagraph"/>
              <w:numPr>
                <w:ilvl w:val="0"/>
                <w:numId w:val="9"/>
              </w:numPr>
              <w:ind w:left="318" w:hanging="261"/>
              <w:contextualSpacing w:val="0"/>
              <w:rPr>
                <w:rFonts w:ascii="Times New Roman" w:hAnsi="Times New Roman" w:cs="Times New Roman"/>
                <w:noProof/>
                <w:sz w:val="20"/>
                <w:szCs w:val="20"/>
              </w:rPr>
            </w:pPr>
          </w:p>
        </w:tc>
        <w:tc>
          <w:tcPr>
            <w:tcW w:w="3764" w:type="dxa"/>
          </w:tcPr>
          <w:p w:rsidR="00AC78FF" w:rsidRDefault="00DF0757">
            <w:pPr>
              <w:spacing w:after="120"/>
              <w:ind w:left="317" w:hanging="283"/>
              <w:jc w:val="both"/>
              <w:rPr>
                <w:rFonts w:ascii="Times New Roman" w:hAnsi="Times New Roman" w:cs="Times New Roman"/>
                <w:noProof/>
                <w:sz w:val="20"/>
                <w:szCs w:val="20"/>
              </w:rPr>
            </w:pPr>
            <w:r>
              <w:rPr>
                <w:rFonts w:ascii="Times New Roman" w:hAnsi="Times New Roman"/>
                <w:noProof/>
                <w:sz w:val="20"/>
              </w:rPr>
              <w:t>- Pakistan: suivi des réunions - respect des engagements supplémentaires pris dans le cadre des réunions du comité de réadmission mixte en 2014 et 2015. La mise en place d'un éventuel plan d'action UE-Pakistan sur la migration portant sur la réadmissio</w:t>
            </w:r>
            <w:r>
              <w:rPr>
                <w:rFonts w:ascii="Times New Roman" w:hAnsi="Times New Roman"/>
                <w:noProof/>
                <w:sz w:val="20"/>
              </w:rPr>
              <w:t>n, la lutte contre le trafic de migrants et le soutien à apporter sera examinée lors de la visite du commissaire Avramopoulos le 29 octobre.</w:t>
            </w:r>
          </w:p>
          <w:p w:rsidR="00AC78FF" w:rsidRDefault="00DF0757">
            <w:pPr>
              <w:pStyle w:val="ListParagraph"/>
              <w:numPr>
                <w:ilvl w:val="0"/>
                <w:numId w:val="9"/>
              </w:numPr>
              <w:spacing w:after="120"/>
              <w:ind w:left="317"/>
              <w:contextualSpacing w:val="0"/>
              <w:jc w:val="both"/>
              <w:rPr>
                <w:rFonts w:ascii="Times New Roman" w:hAnsi="Times New Roman" w:cs="Times New Roman"/>
                <w:noProof/>
                <w:sz w:val="20"/>
                <w:szCs w:val="20"/>
              </w:rPr>
            </w:pPr>
            <w:r>
              <w:rPr>
                <w:rFonts w:ascii="Times New Roman" w:hAnsi="Times New Roman"/>
                <w:noProof/>
                <w:sz w:val="20"/>
              </w:rPr>
              <w:t>La prochaine réunion du comité de réadmission mixte aura lieu au cours du premier semestre 2016 à Bruxelles.</w:t>
            </w:r>
          </w:p>
        </w:tc>
      </w:tr>
      <w:tr w:rsidR="00AC78FF">
        <w:tc>
          <w:tcPr>
            <w:tcW w:w="2376" w:type="dxa"/>
          </w:tcPr>
          <w:p w:rsidR="00AC78FF" w:rsidRDefault="00DF0757">
            <w:pPr>
              <w:rPr>
                <w:rFonts w:ascii="Times New Roman" w:hAnsi="Times New Roman" w:cs="Times New Roman"/>
                <w:noProof/>
                <w:sz w:val="20"/>
                <w:szCs w:val="20"/>
              </w:rPr>
            </w:pPr>
            <w:r>
              <w:rPr>
                <w:rFonts w:ascii="Times New Roman" w:hAnsi="Times New Roman"/>
                <w:noProof/>
                <w:sz w:val="20"/>
              </w:rPr>
              <w:t xml:space="preserve">Aide </w:t>
            </w:r>
            <w:r>
              <w:rPr>
                <w:rFonts w:ascii="Times New Roman" w:hAnsi="Times New Roman"/>
                <w:noProof/>
                <w:sz w:val="20"/>
              </w:rPr>
              <w:t>humanitaire</w:t>
            </w:r>
          </w:p>
        </w:tc>
        <w:tc>
          <w:tcPr>
            <w:tcW w:w="3969" w:type="dxa"/>
            <w:tcBorders>
              <w:bottom w:val="single" w:sz="4" w:space="0" w:color="auto"/>
            </w:tcBorders>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Le Conseil européen s'est engagé à fournir au moins 1 000 000 000 EUR supplémentaires au titre du budget de l'UE et des budgets nationaux pour répondre aux besoins urgents des réfugiés, en soutenant le HCR, le Programme alimentaire mondial et d</w:t>
            </w:r>
            <w:r>
              <w:rPr>
                <w:rFonts w:ascii="Times New Roman" w:hAnsi="Times New Roman"/>
                <w:noProof/>
                <w:sz w:val="20"/>
              </w:rPr>
              <w:t>'autres organisations humanitaires.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La Commission a déjà proposé d'allouer, en faveur des réfugiés, une aide humanitaire de 200 000 000 EUR cette année, plus un montant supplémentaire de 300 000 000 EUR en 2016. </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Autorité budgétaire: Adoption par le Parlem</w:t>
            </w:r>
            <w:r>
              <w:rPr>
                <w:rFonts w:ascii="Times New Roman" w:hAnsi="Times New Roman"/>
                <w:noProof/>
                <w:sz w:val="20"/>
              </w:rPr>
              <w:t>ent européen et le Conseil en procédure accélérée</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contrats, d’un montant de 50 000 000 EUR, signés avec les agences des Nations unies et d’autres organisations humanitaires (CICR, etc.) en vue de permettre un préfinancement. </w:t>
            </w:r>
          </w:p>
          <w:p w:rsidR="00AC78FF" w:rsidRDefault="00AC78FF">
            <w:pPr>
              <w:pStyle w:val="ListParagraph"/>
              <w:ind w:left="318"/>
              <w:rPr>
                <w:rFonts w:ascii="Times New Roman" w:hAnsi="Times New Roman" w:cs="Times New Roman"/>
                <w:noProof/>
                <w:sz w:val="20"/>
                <w:szCs w:val="20"/>
              </w:rPr>
            </w:pPr>
          </w:p>
        </w:tc>
        <w:tc>
          <w:tcPr>
            <w:tcW w:w="4111" w:type="dxa"/>
            <w:tcBorders>
              <w:bottom w:val="single" w:sz="4" w:space="0" w:color="auto"/>
            </w:tcBorders>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Près de 275 000 000 EUR ont </w:t>
            </w:r>
            <w:r>
              <w:rPr>
                <w:rFonts w:ascii="Times New Roman" w:hAnsi="Times New Roman"/>
                <w:noProof/>
                <w:sz w:val="20"/>
              </w:rPr>
              <w:t>été promis depuis le 23 septembre.</w:t>
            </w: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ind w:left="318"/>
              <w:rPr>
                <w:rFonts w:ascii="Times New Roman" w:hAnsi="Times New Roman" w:cs="Times New Roman"/>
                <w:noProof/>
                <w:sz w:val="20"/>
                <w:szCs w:val="20"/>
              </w:rPr>
            </w:pPr>
            <w:r>
              <w:rPr>
                <w:rFonts w:ascii="Times New Roman" w:hAnsi="Times New Roman"/>
                <w:noProof/>
                <w:sz w:val="20"/>
              </w:rPr>
              <w:t xml:space="preserve">    </w:t>
            </w:r>
          </w:p>
        </w:tc>
        <w:tc>
          <w:tcPr>
            <w:tcW w:w="3764" w:type="dxa"/>
            <w:tcBorders>
              <w:bottom w:val="single" w:sz="4" w:space="0" w:color="auto"/>
            </w:tcBorders>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Les États membres doivent verser une contribution équivalente au financement apporté par l'UE en faveur de l'aide humanitaire.</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Des contrats couvrant les 200 000 000 EUR d'aide humanitaire doivent être  négociés d'ic</w:t>
            </w:r>
            <w:r>
              <w:rPr>
                <w:rFonts w:ascii="Times New Roman" w:hAnsi="Times New Roman"/>
                <w:noProof/>
                <w:sz w:val="20"/>
              </w:rPr>
              <w:t>i la fin novembre.</w:t>
            </w:r>
          </w:p>
        </w:tc>
      </w:tr>
      <w:tr w:rsidR="00AC78FF">
        <w:trPr>
          <w:trHeight w:val="3964"/>
        </w:trPr>
        <w:tc>
          <w:tcPr>
            <w:tcW w:w="2376" w:type="dxa"/>
            <w:vMerge w:val="restart"/>
          </w:tcPr>
          <w:p w:rsidR="00AC78FF" w:rsidRDefault="00DF0757">
            <w:pPr>
              <w:rPr>
                <w:rFonts w:ascii="Times New Roman" w:hAnsi="Times New Roman" w:cs="Times New Roman"/>
                <w:noProof/>
                <w:sz w:val="20"/>
                <w:szCs w:val="20"/>
              </w:rPr>
            </w:pPr>
            <w:r>
              <w:rPr>
                <w:rFonts w:ascii="Times New Roman" w:hAnsi="Times New Roman"/>
                <w:noProof/>
                <w:sz w:val="20"/>
              </w:rPr>
              <w:t>Fonds fiduciaires</w:t>
            </w:r>
          </w:p>
        </w:tc>
        <w:tc>
          <w:tcPr>
            <w:tcW w:w="3969" w:type="dxa"/>
          </w:tcPr>
          <w:p w:rsidR="00AC78FF" w:rsidRDefault="00DF0757">
            <w:pPr>
              <w:ind w:left="34"/>
              <w:rPr>
                <w:rFonts w:ascii="Times New Roman" w:hAnsi="Times New Roman" w:cs="Times New Roman"/>
                <w:noProof/>
                <w:sz w:val="20"/>
                <w:szCs w:val="20"/>
                <w:u w:val="single"/>
              </w:rPr>
            </w:pPr>
            <w:r>
              <w:rPr>
                <w:rFonts w:ascii="Times New Roman" w:hAnsi="Times New Roman"/>
                <w:noProof/>
                <w:sz w:val="20"/>
                <w:u w:val="single"/>
              </w:rPr>
              <w:t>Fonds fiduciaire d'urgence pour l'Afrique:</w:t>
            </w:r>
          </w:p>
          <w:p w:rsidR="00AC78FF" w:rsidRDefault="00AC78FF">
            <w:pPr>
              <w:rPr>
                <w:rFonts w:ascii="Times New Roman" w:hAnsi="Times New Roman" w:cs="Times New Roman"/>
                <w:noProof/>
                <w:sz w:val="20"/>
                <w:szCs w:val="20"/>
                <w:u w:val="single"/>
              </w:rPr>
            </w:pPr>
          </w:p>
          <w:p w:rsidR="00AC78FF" w:rsidRDefault="00DF0757">
            <w:pPr>
              <w:pStyle w:val="ListParagraph"/>
              <w:numPr>
                <w:ilvl w:val="0"/>
                <w:numId w:val="9"/>
              </w:numPr>
              <w:ind w:left="318"/>
              <w:contextualSpacing w:val="0"/>
              <w:jc w:val="both"/>
              <w:rPr>
                <w:rFonts w:ascii="Times New Roman" w:hAnsi="Times New Roman" w:cs="Times New Roman"/>
                <w:noProof/>
                <w:sz w:val="20"/>
                <w:szCs w:val="20"/>
              </w:rPr>
            </w:pPr>
            <w:r>
              <w:rPr>
                <w:rFonts w:ascii="Times New Roman" w:hAnsi="Times New Roman"/>
                <w:noProof/>
                <w:sz w:val="20"/>
              </w:rPr>
              <w:t>Proposition de la Commission visant à allouer 1 800 000 000 EUR au titre du financement de l'UE (instruments budgétaires de l'UE + FED) pour promouvoir la stabilité et lutter</w:t>
            </w:r>
            <w:r>
              <w:rPr>
                <w:rFonts w:ascii="Times New Roman" w:hAnsi="Times New Roman"/>
                <w:noProof/>
                <w:sz w:val="20"/>
              </w:rPr>
              <w:t xml:space="preserve"> contre les causes profondes de la migration irrégulière et du phénomène des personnes déplacées en Afrique. La couverture géographique est la suivante: neuf pays de la région du Sahel et du lac Tchad, neuf pays de la Corne de l'Afrique et cinq pays d'Afri</w:t>
            </w:r>
            <w:r>
              <w:rPr>
                <w:rFonts w:ascii="Times New Roman" w:hAnsi="Times New Roman"/>
                <w:noProof/>
                <w:sz w:val="20"/>
              </w:rPr>
              <w:t>que du Nord.</w:t>
            </w:r>
          </w:p>
          <w:p w:rsidR="00AC78FF" w:rsidRDefault="00AC78FF">
            <w:pPr>
              <w:jc w:val="both"/>
              <w:rPr>
                <w:rFonts w:ascii="Times New Roman" w:hAnsi="Times New Roman" w:cs="Times New Roman"/>
                <w:noProof/>
                <w:sz w:val="20"/>
                <w:szCs w:val="20"/>
              </w:rPr>
            </w:pPr>
          </w:p>
        </w:tc>
        <w:tc>
          <w:tcPr>
            <w:tcW w:w="4111" w:type="dxa"/>
          </w:tcPr>
          <w:p w:rsidR="00AC78FF" w:rsidRDefault="00AC78FF">
            <w:pPr>
              <w:pStyle w:val="ListParagraph"/>
              <w:ind w:left="318" w:hanging="318"/>
              <w:rPr>
                <w:rFonts w:ascii="Times New Roman" w:hAnsi="Times New Roman" w:cs="Times New Roman"/>
                <w:noProof/>
                <w:sz w:val="20"/>
                <w:szCs w:val="20"/>
                <w:highlight w:val="yellow"/>
              </w:rPr>
            </w:pPr>
          </w:p>
          <w:p w:rsidR="00AC78FF" w:rsidRDefault="00AC78FF">
            <w:pPr>
              <w:pStyle w:val="ListParagraph"/>
              <w:ind w:left="318" w:hanging="318"/>
              <w:rPr>
                <w:rFonts w:ascii="Times New Roman" w:hAnsi="Times New Roman" w:cs="Times New Roman"/>
                <w:noProof/>
                <w:sz w:val="20"/>
                <w:szCs w:val="20"/>
                <w:highlight w:val="yellow"/>
              </w:rPr>
            </w:pPr>
          </w:p>
          <w:p w:rsidR="00AC78FF" w:rsidRDefault="00DF0757">
            <w:pPr>
              <w:pStyle w:val="ListParagraph"/>
              <w:ind w:left="318" w:hanging="318"/>
              <w:rPr>
                <w:rFonts w:ascii="Times New Roman" w:hAnsi="Times New Roman" w:cs="Times New Roman"/>
                <w:noProof/>
                <w:sz w:val="20"/>
                <w:szCs w:val="20"/>
              </w:rPr>
            </w:pPr>
            <w:r>
              <w:rPr>
                <w:rFonts w:ascii="Times New Roman" w:hAnsi="Times New Roman"/>
                <w:noProof/>
                <w:sz w:val="20"/>
              </w:rPr>
              <w:t>-    À ce jour, trois États membres se sont engagés à verser un montant total de 9 000 000 EUR (ES, DE et LU). D'autres États membres, ainsi que la Norvège et la Suisse, ont indiqué leur volonté de contribuer.</w:t>
            </w:r>
          </w:p>
          <w:p w:rsidR="00AC78FF" w:rsidRDefault="00DF0757">
            <w:pPr>
              <w:pStyle w:val="ListParagraph"/>
              <w:ind w:left="318" w:hanging="318"/>
              <w:rPr>
                <w:rFonts w:ascii="Times New Roman" w:hAnsi="Times New Roman" w:cs="Times New Roman"/>
                <w:noProof/>
                <w:sz w:val="20"/>
                <w:szCs w:val="20"/>
              </w:rPr>
            </w:pPr>
            <w:r>
              <w:rPr>
                <w:rFonts w:ascii="Times New Roman" w:hAnsi="Times New Roman"/>
                <w:noProof/>
                <w:sz w:val="20"/>
              </w:rPr>
              <w:t xml:space="preserve"> -   Avis favorable du comité </w:t>
            </w:r>
            <w:r>
              <w:rPr>
                <w:rFonts w:ascii="Times New Roman" w:hAnsi="Times New Roman"/>
                <w:noProof/>
                <w:sz w:val="20"/>
              </w:rPr>
              <w:t>du FED.</w:t>
            </w:r>
          </w:p>
          <w:p w:rsidR="00AC78FF" w:rsidRDefault="00AC78FF">
            <w:pPr>
              <w:pStyle w:val="ListParagraph"/>
              <w:ind w:left="318" w:hanging="318"/>
              <w:rPr>
                <w:rFonts w:ascii="Times New Roman" w:hAnsi="Times New Roman" w:cs="Times New Roman"/>
                <w:noProof/>
                <w:sz w:val="20"/>
                <w:szCs w:val="20"/>
              </w:rPr>
            </w:pPr>
          </w:p>
          <w:p w:rsidR="00AC78FF" w:rsidRDefault="00AC78FF">
            <w:pPr>
              <w:pStyle w:val="ListParagraph"/>
              <w:ind w:left="318" w:hanging="318"/>
              <w:rPr>
                <w:rFonts w:ascii="Times New Roman" w:hAnsi="Times New Roman" w:cs="Times New Roman"/>
                <w:noProof/>
                <w:sz w:val="20"/>
                <w:szCs w:val="20"/>
              </w:rPr>
            </w:pPr>
          </w:p>
          <w:p w:rsidR="00AC78FF" w:rsidRDefault="00AC78FF">
            <w:pPr>
              <w:pStyle w:val="ListParagraph"/>
              <w:ind w:left="318" w:hanging="318"/>
              <w:rPr>
                <w:rFonts w:ascii="Times New Roman" w:hAnsi="Times New Roman" w:cs="Times New Roman"/>
                <w:noProof/>
                <w:sz w:val="20"/>
                <w:szCs w:val="20"/>
              </w:rPr>
            </w:pPr>
          </w:p>
          <w:p w:rsidR="00AC78FF" w:rsidRDefault="00AC78FF">
            <w:pPr>
              <w:pStyle w:val="ListParagraph"/>
              <w:ind w:left="318" w:hanging="318"/>
              <w:rPr>
                <w:rFonts w:ascii="Times New Roman" w:hAnsi="Times New Roman" w:cs="Times New Roman"/>
                <w:noProof/>
                <w:sz w:val="20"/>
                <w:szCs w:val="20"/>
              </w:rPr>
            </w:pPr>
          </w:p>
          <w:p w:rsidR="00AC78FF" w:rsidRDefault="00AC78FF">
            <w:pPr>
              <w:pStyle w:val="ListParagraph"/>
              <w:ind w:left="318" w:hanging="318"/>
              <w:rPr>
                <w:rFonts w:ascii="Times New Roman" w:hAnsi="Times New Roman" w:cs="Times New Roman"/>
                <w:noProof/>
                <w:sz w:val="20"/>
                <w:szCs w:val="20"/>
              </w:rPr>
            </w:pPr>
          </w:p>
          <w:p w:rsidR="00AC78FF" w:rsidRDefault="00AC78FF">
            <w:pPr>
              <w:pStyle w:val="ListParagraph"/>
              <w:ind w:left="318" w:hanging="318"/>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pStyle w:val="ListParagraph"/>
              <w:ind w:left="318" w:hanging="318"/>
              <w:rPr>
                <w:rFonts w:ascii="Times New Roman" w:hAnsi="Times New Roman" w:cs="Times New Roman"/>
                <w:noProof/>
                <w:sz w:val="20"/>
                <w:szCs w:val="20"/>
              </w:rPr>
            </w:pPr>
          </w:p>
          <w:p w:rsidR="00AC78FF" w:rsidRDefault="00AC78FF">
            <w:pPr>
              <w:pStyle w:val="ListParagraph"/>
              <w:ind w:left="318" w:hanging="318"/>
              <w:rPr>
                <w:rFonts w:ascii="Times New Roman" w:hAnsi="Times New Roman" w:cs="Times New Roman"/>
                <w:noProof/>
                <w:sz w:val="20"/>
                <w:szCs w:val="20"/>
              </w:rPr>
            </w:pPr>
          </w:p>
        </w:tc>
        <w:tc>
          <w:tcPr>
            <w:tcW w:w="3764" w:type="dxa"/>
          </w:tcPr>
          <w:p w:rsidR="00AC78FF" w:rsidRDefault="00AC78FF">
            <w:pPr>
              <w:ind w:left="34"/>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Les décisions de la Commission relatives au fonds fiduciaire doivent être adoptées avant le sommet de La Valette.  </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Veiller à ce que les contributions des États membres au fonds soient substantielles et cohérentes, afin qu'elles égalent le financement apporté par l'UE; veiller à ce que les contributions des autres partenaires internationaux soient également substantiell</w:t>
            </w:r>
            <w:r>
              <w:rPr>
                <w:rFonts w:ascii="Times New Roman" w:hAnsi="Times New Roman"/>
                <w:noProof/>
                <w:sz w:val="20"/>
              </w:rPr>
              <w:t xml:space="preserve">es et cohérentes.  </w:t>
            </w:r>
          </w:p>
          <w:p w:rsidR="00AC78FF" w:rsidRDefault="00AC78FF">
            <w:pPr>
              <w:rPr>
                <w:rFonts w:ascii="Times New Roman" w:hAnsi="Times New Roman" w:cs="Times New Roman"/>
                <w:noProof/>
                <w:sz w:val="20"/>
                <w:szCs w:val="20"/>
              </w:rPr>
            </w:pPr>
          </w:p>
          <w:p w:rsidR="00AC78FF" w:rsidRDefault="00AC78FF">
            <w:pPr>
              <w:ind w:left="318"/>
              <w:rPr>
                <w:rFonts w:ascii="Times New Roman" w:hAnsi="Times New Roman" w:cs="Times New Roman"/>
                <w:noProof/>
                <w:sz w:val="20"/>
                <w:szCs w:val="20"/>
              </w:rPr>
            </w:pPr>
          </w:p>
        </w:tc>
      </w:tr>
      <w:tr w:rsidR="00AC78FF">
        <w:trPr>
          <w:trHeight w:val="3580"/>
        </w:trPr>
        <w:tc>
          <w:tcPr>
            <w:tcW w:w="2376" w:type="dxa"/>
            <w:vMerge/>
          </w:tcPr>
          <w:p w:rsidR="00AC78FF" w:rsidRDefault="00AC78FF">
            <w:pPr>
              <w:rPr>
                <w:rFonts w:ascii="Times New Roman" w:hAnsi="Times New Roman" w:cs="Times New Roman"/>
                <w:noProof/>
                <w:sz w:val="20"/>
                <w:szCs w:val="20"/>
              </w:rPr>
            </w:pPr>
          </w:p>
        </w:tc>
        <w:tc>
          <w:tcPr>
            <w:tcW w:w="3969" w:type="dxa"/>
            <w:tcBorders>
              <w:top w:val="single" w:sz="4" w:space="0" w:color="auto"/>
              <w:bottom w:val="single" w:sz="4" w:space="0" w:color="auto"/>
            </w:tcBorders>
          </w:tcPr>
          <w:p w:rsidR="00AC78FF" w:rsidRDefault="00DF0757">
            <w:pPr>
              <w:rPr>
                <w:rFonts w:ascii="Times New Roman" w:hAnsi="Times New Roman" w:cs="Times New Roman"/>
                <w:noProof/>
                <w:sz w:val="20"/>
                <w:szCs w:val="20"/>
              </w:rPr>
            </w:pPr>
            <w:r>
              <w:rPr>
                <w:rFonts w:ascii="Times New Roman" w:hAnsi="Times New Roman"/>
                <w:noProof/>
                <w:sz w:val="20"/>
                <w:u w:val="single"/>
              </w:rPr>
              <w:t>Fonds régional d’affectation spéciale de l'UE en réaction à la crise syrienne</w:t>
            </w:r>
            <w:r>
              <w:rPr>
                <w:rFonts w:ascii="Times New Roman" w:hAnsi="Times New Roman"/>
                <w:noProof/>
                <w:sz w:val="20"/>
              </w:rPr>
              <w:t>:</w:t>
            </w:r>
          </w:p>
          <w:p w:rsidR="00AC78FF" w:rsidRDefault="00AC78FF">
            <w:pPr>
              <w:rPr>
                <w:rFonts w:ascii="Times New Roman" w:hAnsi="Times New Roman" w:cs="Times New Roman"/>
                <w:noProof/>
                <w:sz w:val="20"/>
                <w:szCs w:val="20"/>
              </w:rPr>
            </w:pPr>
          </w:p>
          <w:p w:rsidR="00AC78FF" w:rsidRDefault="00DF0757">
            <w:pPr>
              <w:pStyle w:val="ListParagraph"/>
              <w:numPr>
                <w:ilvl w:val="0"/>
                <w:numId w:val="17"/>
              </w:numPr>
              <w:ind w:left="318"/>
              <w:contextualSpacing w:val="0"/>
              <w:rPr>
                <w:rFonts w:ascii="Times New Roman" w:hAnsi="Times New Roman" w:cs="Times New Roman"/>
                <w:noProof/>
                <w:sz w:val="20"/>
                <w:szCs w:val="20"/>
              </w:rPr>
            </w:pPr>
            <w:r>
              <w:rPr>
                <w:rFonts w:ascii="Times New Roman" w:hAnsi="Times New Roman"/>
                <w:noProof/>
                <w:sz w:val="20"/>
              </w:rPr>
              <w:t>500 000 000 EUR provenant du budget de l'UE.</w:t>
            </w:r>
          </w:p>
          <w:p w:rsidR="00AC78FF" w:rsidRDefault="00AC78FF">
            <w:pPr>
              <w:ind w:left="34"/>
              <w:rPr>
                <w:rFonts w:ascii="Times New Roman" w:hAnsi="Times New Roman" w:cs="Times New Roman"/>
                <w:noProof/>
                <w:sz w:val="20"/>
                <w:szCs w:val="20"/>
                <w:u w:val="single"/>
              </w:rPr>
            </w:pPr>
          </w:p>
        </w:tc>
        <w:tc>
          <w:tcPr>
            <w:tcW w:w="4111" w:type="dxa"/>
            <w:tcBorders>
              <w:top w:val="single" w:sz="4" w:space="0" w:color="auto"/>
            </w:tcBorders>
          </w:tcPr>
          <w:p w:rsidR="00AC78FF" w:rsidRDefault="00AC78FF">
            <w:pPr>
              <w:pStyle w:val="ListParagraph"/>
              <w:ind w:left="318" w:hanging="318"/>
              <w:rPr>
                <w:rFonts w:ascii="Times New Roman" w:hAnsi="Times New Roman" w:cs="Times New Roman"/>
                <w:noProof/>
                <w:sz w:val="20"/>
                <w:szCs w:val="20"/>
              </w:rPr>
            </w:pPr>
          </w:p>
          <w:p w:rsidR="00AC78FF" w:rsidRDefault="00AC78FF">
            <w:pPr>
              <w:pStyle w:val="ListParagraph"/>
              <w:ind w:left="318" w:hanging="318"/>
              <w:rPr>
                <w:rFonts w:ascii="Times New Roman" w:hAnsi="Times New Roman" w:cs="Times New Roman"/>
                <w:noProof/>
                <w:sz w:val="20"/>
                <w:szCs w:val="20"/>
              </w:rPr>
            </w:pPr>
          </w:p>
          <w:p w:rsidR="00AC78FF" w:rsidRDefault="00AC78FF">
            <w:pPr>
              <w:pStyle w:val="ListParagraph"/>
              <w:ind w:left="318" w:hanging="318"/>
              <w:rPr>
                <w:rFonts w:ascii="Times New Roman" w:hAnsi="Times New Roman" w:cs="Times New Roman"/>
                <w:noProof/>
                <w:sz w:val="20"/>
                <w:szCs w:val="20"/>
              </w:rPr>
            </w:pPr>
          </w:p>
          <w:p w:rsidR="00AC78FF" w:rsidRDefault="00DF0757">
            <w:pPr>
              <w:pStyle w:val="ListParagraph"/>
              <w:ind w:left="318" w:hanging="318"/>
              <w:rPr>
                <w:rFonts w:ascii="Times New Roman" w:hAnsi="Times New Roman" w:cs="Times New Roman"/>
                <w:noProof/>
                <w:sz w:val="20"/>
                <w:szCs w:val="20"/>
              </w:rPr>
            </w:pPr>
            <w:r>
              <w:rPr>
                <w:rFonts w:ascii="Times New Roman" w:hAnsi="Times New Roman"/>
                <w:noProof/>
                <w:sz w:val="20"/>
              </w:rPr>
              <w:t xml:space="preserve">-     Deux États membres se sont engagés à apporter un soutien supplémentaire d'un montant total de </w:t>
            </w:r>
            <w:r>
              <w:rPr>
                <w:rFonts w:ascii="Times New Roman" w:hAnsi="Times New Roman"/>
                <w:noProof/>
                <w:sz w:val="20"/>
              </w:rPr>
              <w:t>8 000 000 EUR (IT: 3 000 000 EUR; DE: 5 000 000 EUR).</w:t>
            </w:r>
          </w:p>
        </w:tc>
        <w:tc>
          <w:tcPr>
            <w:tcW w:w="3764" w:type="dxa"/>
            <w:tcBorders>
              <w:top w:val="single" w:sz="4" w:space="0" w:color="auto"/>
            </w:tcBorders>
          </w:tcPr>
          <w:p w:rsidR="00AC78FF" w:rsidRDefault="00AC78FF">
            <w:pPr>
              <w:ind w:left="34"/>
              <w:rPr>
                <w:rFonts w:ascii="Times New Roman" w:hAnsi="Times New Roman" w:cs="Times New Roman"/>
                <w:noProof/>
                <w:sz w:val="20"/>
                <w:szCs w:val="20"/>
              </w:rPr>
            </w:pPr>
          </w:p>
        </w:tc>
      </w:tr>
      <w:tr w:rsidR="00AC78FF">
        <w:tc>
          <w:tcPr>
            <w:tcW w:w="2376" w:type="dxa"/>
            <w:tcBorders>
              <w:bottom w:val="single" w:sz="4" w:space="0" w:color="auto"/>
            </w:tcBorders>
          </w:tcPr>
          <w:p w:rsidR="00AC78FF" w:rsidRDefault="00DF0757">
            <w:pPr>
              <w:rPr>
                <w:rFonts w:ascii="Times New Roman" w:hAnsi="Times New Roman" w:cs="Times New Roman"/>
                <w:noProof/>
                <w:sz w:val="20"/>
                <w:szCs w:val="20"/>
              </w:rPr>
            </w:pPr>
            <w:r>
              <w:rPr>
                <w:rFonts w:ascii="Times New Roman" w:hAnsi="Times New Roman"/>
                <w:noProof/>
                <w:sz w:val="20"/>
              </w:rPr>
              <w:t>Renforcement des capacités</w:t>
            </w:r>
          </w:p>
        </w:tc>
        <w:tc>
          <w:tcPr>
            <w:tcW w:w="3969" w:type="dxa"/>
            <w:tcBorders>
              <w:top w:val="single" w:sz="4" w:space="0" w:color="auto"/>
            </w:tcBorders>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Turquie – plan d'action (voir ci-dessus).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Serbie/ancienne République yougoslave de Macédoine: mesure spéciale d'un montant de 10 000 000 EUR. Soutien au renforcement des </w:t>
            </w:r>
            <w:r>
              <w:rPr>
                <w:rFonts w:ascii="Times New Roman" w:hAnsi="Times New Roman"/>
                <w:noProof/>
                <w:sz w:val="20"/>
              </w:rPr>
              <w:t>capacités dans les deux pays (y compris en matière d'équipements) et aide humanitaire aux réfugiés.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Un programme de 8 000 000 EUR au titre du programme régional de  l'IAP (instrument d'aide de préadhésion) est en cours d'élaboration. L'objectif est de renf</w:t>
            </w:r>
            <w:r>
              <w:rPr>
                <w:rFonts w:ascii="Times New Roman" w:hAnsi="Times New Roman"/>
                <w:noProof/>
                <w:sz w:val="20"/>
              </w:rPr>
              <w:t>orcer les capacités (y compris en matière d'enregistrement des réfugiés) dans les Balkans occidentaux.</w:t>
            </w:r>
          </w:p>
          <w:p w:rsidR="00AC78FF" w:rsidRDefault="00AC78FF">
            <w:pPr>
              <w:rPr>
                <w:rFonts w:ascii="Times New Roman" w:hAnsi="Times New Roman" w:cs="Times New Roman"/>
                <w:noProof/>
                <w:sz w:val="20"/>
                <w:szCs w:val="20"/>
                <w:highlight w:val="yellow"/>
              </w:rPr>
            </w:pPr>
          </w:p>
          <w:p w:rsidR="00AC78FF" w:rsidRDefault="00DF0757">
            <w:pPr>
              <w:jc w:val="both"/>
              <w:rPr>
                <w:noProof/>
              </w:rPr>
            </w:pPr>
            <w:r>
              <w:rPr>
                <w:rFonts w:ascii="Times New Roman" w:hAnsi="Times New Roman"/>
                <w:noProof/>
                <w:sz w:val="20"/>
              </w:rPr>
              <w:t>- Afrique – Niger: renforcement en cours du centre polyvalent d'Agadez, pour fournir une assistance directe et des informations aux migrants, procéder à</w:t>
            </w:r>
            <w:r>
              <w:rPr>
                <w:rFonts w:ascii="Times New Roman" w:hAnsi="Times New Roman"/>
                <w:noProof/>
                <w:sz w:val="20"/>
              </w:rPr>
              <w:t xml:space="preserve"> leur enregistrement, offrir des perspectives de retour et de réintégration volontaires en toute sécurité en coopération avec les pays d'origine. Le renforcement comprend un soutien aux populations locales (1</w:t>
            </w:r>
            <w:r>
              <w:rPr>
                <w:rFonts w:ascii="Times New Roman" w:hAnsi="Times New Roman"/>
                <w:noProof/>
                <w:sz w:val="20"/>
                <w:vertAlign w:val="superscript"/>
              </w:rPr>
              <w:t>re</w:t>
            </w:r>
            <w:r>
              <w:rPr>
                <w:rFonts w:ascii="Times New Roman" w:hAnsi="Times New Roman"/>
                <w:noProof/>
                <w:sz w:val="20"/>
              </w:rPr>
              <w:t> phase financée par l'IcSP - 1 500 000 EUR).</w:t>
            </w:r>
          </w:p>
        </w:tc>
        <w:tc>
          <w:tcPr>
            <w:tcW w:w="4111" w:type="dxa"/>
          </w:tcPr>
          <w:p w:rsidR="00AC78FF" w:rsidRDefault="00AC78FF">
            <w:pPr>
              <w:pStyle w:val="ListParagraph"/>
              <w:numPr>
                <w:ilvl w:val="0"/>
                <w:numId w:val="9"/>
              </w:numPr>
              <w:ind w:left="318" w:hanging="284"/>
              <w:contextualSpacing w:val="0"/>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p w:rsidR="00AC78FF" w:rsidRDefault="00AC78FF">
            <w:pPr>
              <w:ind w:left="34"/>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AC78FF">
            <w:pPr>
              <w:pStyle w:val="ListParagraph"/>
              <w:ind w:left="318"/>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Lancement d'une équipe commune d'enquête au Niger (financé par l'UE et mis en œuvre par l'Espagne et la France) pour renforcer les capacités du Niger à lutter contre la migration irrégulière.</w:t>
            </w:r>
          </w:p>
          <w:p w:rsidR="00AC78FF" w:rsidRDefault="00AC78FF">
            <w:pPr>
              <w:pStyle w:val="ListParagraph"/>
              <w:ind w:left="318"/>
              <w:rPr>
                <w:rFonts w:ascii="Times New Roman" w:hAnsi="Times New Roman" w:cs="Times New Roman"/>
                <w:noProof/>
                <w:sz w:val="20"/>
                <w:szCs w:val="20"/>
              </w:rPr>
            </w:pPr>
          </w:p>
        </w:tc>
        <w:tc>
          <w:tcPr>
            <w:tcW w:w="3764"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Turquie – plan d'action (voir ci-dessus).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w:t>
            </w: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Serbie/ancienne République yougoslave de Macédoine: préparation des contrats en cours, décaissement et mise en œuvre dans les prochaines semaines.</w:t>
            </w: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AC78FF">
            <w:pPr>
              <w:rPr>
                <w:rFonts w:ascii="Times New Roman" w:hAnsi="Times New Roman" w:cs="Times New Roman"/>
                <w:noProof/>
                <w:sz w:val="20"/>
                <w:szCs w:val="20"/>
              </w:rPr>
            </w:pP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Lancement d'un projet destiné à renforcer les capacités des pays d'Afrique de l'Est à lutter contre l</w:t>
            </w:r>
            <w:r>
              <w:rPr>
                <w:rFonts w:ascii="Times New Roman" w:hAnsi="Times New Roman"/>
                <w:noProof/>
                <w:sz w:val="20"/>
              </w:rPr>
              <w:t>a traite des êtres humains et le trafic de migrants – démarrage prévu en janvier 2016.</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Élaboration du programme régional de développement et de protection de l'UE dans la Corne de l'Afrique pour renforcer les capacités du Kenya, de l'Éthiopie et du Soudan </w:t>
            </w:r>
            <w:r>
              <w:rPr>
                <w:rFonts w:ascii="Times New Roman" w:hAnsi="Times New Roman"/>
                <w:noProof/>
                <w:sz w:val="20"/>
              </w:rPr>
              <w:t>dans les domaines de la protection des réfugiés et des capacités d'accueil.</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Lancement d'un projet destiné à renforcer les capacités des gouvernements en matière de retour et de réintégration durable le long des principaux couloirs de migration (en mettant </w:t>
            </w:r>
            <w:r>
              <w:rPr>
                <w:rFonts w:ascii="Times New Roman" w:hAnsi="Times New Roman"/>
                <w:noProof/>
                <w:sz w:val="20"/>
              </w:rPr>
              <w:t>l'accent sur l'Afrique) – démarrage prévu en janvier 2016.</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Lancement du projet d'appui au dialogue UA-UE sur les migrations et la mobilité ainsi qu'aux processus de Rabat et de Khartoum  – démarrage prévu en décembre 2015.</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Présentation d'un projet de décla</w:t>
            </w:r>
            <w:r>
              <w:rPr>
                <w:rFonts w:ascii="Times New Roman" w:hAnsi="Times New Roman"/>
                <w:noProof/>
                <w:sz w:val="20"/>
              </w:rPr>
              <w:t>ration de partenariat sur la mobilité pour engager un dialogue avec le Liban. Les États membres doivent adopter une approche plus proactive pour garantir la mise en œuvre du partenariat existant UE-Jordanie pour la mobilité et du futur accord UE-Liban.</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Con</w:t>
            </w:r>
            <w:r>
              <w:rPr>
                <w:rFonts w:ascii="Times New Roman" w:hAnsi="Times New Roman"/>
                <w:noProof/>
                <w:sz w:val="20"/>
              </w:rPr>
              <w:t xml:space="preserve">ception et mise en œuvre des nouveaux programmes régionaux de développement et de protection en Afrique du Nord et dans la Corne de l'Afrique, début 2016. </w:t>
            </w:r>
          </w:p>
          <w:p w:rsidR="00AC78FF" w:rsidRDefault="00AC78FF">
            <w:pPr>
              <w:pStyle w:val="ListParagraph"/>
              <w:ind w:left="318"/>
              <w:rPr>
                <w:rFonts w:ascii="Times New Roman" w:hAnsi="Times New Roman" w:cs="Times New Roman"/>
                <w:noProof/>
                <w:sz w:val="20"/>
                <w:szCs w:val="20"/>
              </w:rPr>
            </w:pPr>
          </w:p>
        </w:tc>
      </w:tr>
    </w:tbl>
    <w:p w:rsidR="00AC78FF" w:rsidRDefault="00AC78FF">
      <w:pPr>
        <w:spacing w:line="240" w:lineRule="auto"/>
        <w:rPr>
          <w:rFonts w:ascii="Times New Roman" w:hAnsi="Times New Roman" w:cs="Times New Roman"/>
          <w:noProof/>
          <w:sz w:val="20"/>
          <w:szCs w:val="20"/>
        </w:rPr>
      </w:pPr>
    </w:p>
    <w:p w:rsidR="00AC78FF" w:rsidRDefault="00AC78FF">
      <w:pPr>
        <w:spacing w:line="240" w:lineRule="auto"/>
        <w:rPr>
          <w:rFonts w:ascii="Times New Roman" w:hAnsi="Times New Roman" w:cs="Times New Roman"/>
          <w:noProof/>
          <w:sz w:val="20"/>
          <w:szCs w:val="20"/>
        </w:rPr>
      </w:pPr>
    </w:p>
    <w:p w:rsidR="00AC78FF" w:rsidRDefault="00AC78FF">
      <w:pPr>
        <w:spacing w:line="240" w:lineRule="auto"/>
        <w:rPr>
          <w:rFonts w:ascii="Times New Roman" w:hAnsi="Times New Roman" w:cs="Times New Roman"/>
          <w:noProof/>
          <w:sz w:val="20"/>
          <w:szCs w:val="20"/>
        </w:rPr>
      </w:pPr>
    </w:p>
    <w:p w:rsidR="00AC78FF" w:rsidRDefault="00AC78FF">
      <w:pPr>
        <w:spacing w:line="240" w:lineRule="auto"/>
        <w:rPr>
          <w:rFonts w:ascii="Times New Roman" w:hAnsi="Times New Roman" w:cs="Times New Roman"/>
          <w:noProof/>
          <w:sz w:val="20"/>
          <w:szCs w:val="20"/>
        </w:rPr>
      </w:pPr>
    </w:p>
    <w:p w:rsidR="00DF0757" w:rsidRDefault="00DF0757">
      <w:pPr>
        <w:rPr>
          <w:rFonts w:ascii="Times New Roman" w:hAnsi="Times New Roman" w:cs="Times New Roman"/>
          <w:noProof/>
          <w:sz w:val="20"/>
          <w:szCs w:val="20"/>
        </w:rPr>
      </w:pPr>
      <w:r>
        <w:rPr>
          <w:rFonts w:ascii="Times New Roman" w:hAnsi="Times New Roman" w:cs="Times New Roman"/>
          <w:noProof/>
          <w:sz w:val="20"/>
          <w:szCs w:val="20"/>
        </w:rPr>
        <w:br w:type="page"/>
      </w:r>
    </w:p>
    <w:p w:rsidR="00AC78FF" w:rsidRDefault="00DF0757">
      <w:pPr>
        <w:spacing w:line="240" w:lineRule="auto"/>
        <w:rPr>
          <w:rFonts w:ascii="Times New Roman" w:hAnsi="Times New Roman" w:cs="Times New Roman"/>
          <w:noProof/>
          <w:sz w:val="20"/>
          <w:szCs w:val="20"/>
        </w:rPr>
      </w:pPr>
      <w:bookmarkStart w:id="1" w:name="_GoBack"/>
      <w:bookmarkEnd w:id="1"/>
      <w:r>
        <w:rPr>
          <w:rFonts w:ascii="Times New Roman" w:hAnsi="Times New Roman"/>
          <w:noProof/>
          <w:sz w:val="20"/>
        </w:rPr>
        <w:t>MISE EN OEUVRE DU DROIT DE L'UE</w:t>
      </w:r>
    </w:p>
    <w:tbl>
      <w:tblPr>
        <w:tblStyle w:val="TableGrid"/>
        <w:tblW w:w="0" w:type="auto"/>
        <w:tblLook w:val="04A0" w:firstRow="1" w:lastRow="0" w:firstColumn="1" w:lastColumn="0" w:noHBand="0" w:noVBand="1"/>
      </w:tblPr>
      <w:tblGrid>
        <w:gridCol w:w="2376"/>
        <w:gridCol w:w="3969"/>
        <w:gridCol w:w="4111"/>
        <w:gridCol w:w="3764"/>
      </w:tblGrid>
      <w:tr w:rsidR="00AC78FF">
        <w:tc>
          <w:tcPr>
            <w:tcW w:w="2376" w:type="dxa"/>
            <w:shd w:val="clear" w:color="auto" w:fill="BFBFBF" w:themeFill="background1" w:themeFillShade="BF"/>
          </w:tcPr>
          <w:p w:rsidR="00AC78FF" w:rsidRDefault="00DF0757">
            <w:pPr>
              <w:jc w:val="center"/>
              <w:rPr>
                <w:rFonts w:ascii="Times New Roman" w:hAnsi="Times New Roman" w:cs="Times New Roman"/>
                <w:b/>
                <w:noProof/>
                <w:sz w:val="20"/>
                <w:szCs w:val="20"/>
              </w:rPr>
            </w:pPr>
            <w:r>
              <w:rPr>
                <w:rFonts w:ascii="Times New Roman" w:hAnsi="Times New Roman"/>
                <w:b/>
                <w:noProof/>
                <w:sz w:val="20"/>
              </w:rPr>
              <w:t>Instrument</w:t>
            </w:r>
          </w:p>
        </w:tc>
        <w:tc>
          <w:tcPr>
            <w:tcW w:w="3969" w:type="dxa"/>
            <w:shd w:val="clear" w:color="auto" w:fill="BFBFBF" w:themeFill="background1" w:themeFillShade="BF"/>
          </w:tcPr>
          <w:p w:rsidR="00AC78FF" w:rsidRDefault="00DF0757">
            <w:pPr>
              <w:jc w:val="center"/>
              <w:rPr>
                <w:rFonts w:ascii="Times New Roman" w:hAnsi="Times New Roman" w:cs="Times New Roman"/>
                <w:b/>
                <w:noProof/>
                <w:sz w:val="20"/>
                <w:szCs w:val="20"/>
              </w:rPr>
            </w:pPr>
            <w:r>
              <w:rPr>
                <w:rFonts w:ascii="Times New Roman" w:hAnsi="Times New Roman"/>
                <w:b/>
                <w:noProof/>
                <w:sz w:val="20"/>
              </w:rPr>
              <w:t>Action de l'UE</w:t>
            </w:r>
          </w:p>
        </w:tc>
        <w:tc>
          <w:tcPr>
            <w:tcW w:w="4111" w:type="dxa"/>
            <w:shd w:val="clear" w:color="auto" w:fill="BFBFBF" w:themeFill="background1" w:themeFillShade="BF"/>
          </w:tcPr>
          <w:p w:rsidR="00AC78FF" w:rsidRDefault="00DF0757">
            <w:pPr>
              <w:pStyle w:val="ListParagraph"/>
              <w:ind w:left="318"/>
              <w:jc w:val="center"/>
              <w:rPr>
                <w:rFonts w:ascii="Times New Roman" w:hAnsi="Times New Roman" w:cs="Times New Roman"/>
                <w:b/>
                <w:noProof/>
                <w:sz w:val="20"/>
                <w:szCs w:val="20"/>
              </w:rPr>
            </w:pPr>
            <w:r>
              <w:rPr>
                <w:rFonts w:ascii="Times New Roman" w:hAnsi="Times New Roman"/>
                <w:b/>
                <w:noProof/>
                <w:sz w:val="20"/>
              </w:rPr>
              <w:t xml:space="preserve">Mesures prises par les États </w:t>
            </w:r>
            <w:r>
              <w:rPr>
                <w:rFonts w:ascii="Times New Roman" w:hAnsi="Times New Roman"/>
                <w:b/>
                <w:noProof/>
                <w:sz w:val="20"/>
              </w:rPr>
              <w:t>membres</w:t>
            </w:r>
          </w:p>
        </w:tc>
        <w:tc>
          <w:tcPr>
            <w:tcW w:w="3764" w:type="dxa"/>
            <w:shd w:val="clear" w:color="auto" w:fill="BFBFBF" w:themeFill="background1" w:themeFillShade="BF"/>
          </w:tcPr>
          <w:p w:rsidR="00AC78FF" w:rsidRDefault="00DF0757">
            <w:pPr>
              <w:pStyle w:val="ListParagraph"/>
              <w:ind w:left="318"/>
              <w:jc w:val="center"/>
              <w:rPr>
                <w:rFonts w:ascii="Times New Roman" w:hAnsi="Times New Roman" w:cs="Times New Roman"/>
                <w:b/>
                <w:noProof/>
                <w:sz w:val="20"/>
                <w:szCs w:val="20"/>
              </w:rPr>
            </w:pPr>
            <w:r>
              <w:rPr>
                <w:rFonts w:ascii="Times New Roman" w:hAnsi="Times New Roman"/>
                <w:b/>
                <w:noProof/>
                <w:sz w:val="20"/>
              </w:rPr>
              <w:t>Prochaines étapes</w:t>
            </w:r>
          </w:p>
        </w:tc>
      </w:tr>
      <w:tr w:rsidR="00AC78FF">
        <w:tc>
          <w:tcPr>
            <w:tcW w:w="2376" w:type="dxa"/>
          </w:tcPr>
          <w:p w:rsidR="00AC78FF" w:rsidRDefault="00DF0757">
            <w:pPr>
              <w:rPr>
                <w:rFonts w:ascii="Times New Roman" w:hAnsi="Times New Roman" w:cs="Times New Roman"/>
                <w:noProof/>
                <w:sz w:val="20"/>
                <w:szCs w:val="20"/>
              </w:rPr>
            </w:pPr>
            <w:r>
              <w:rPr>
                <w:rFonts w:ascii="Times New Roman" w:hAnsi="Times New Roman"/>
                <w:noProof/>
                <w:sz w:val="20"/>
              </w:rPr>
              <w:t>Directive 2013/32/UE (directive sur les procédures d'asile)</w:t>
            </w:r>
          </w:p>
        </w:tc>
        <w:tc>
          <w:tcPr>
            <w:tcW w:w="3969"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18 procédures d'infraction ouvertes pour non-communication ou communication partielle des mesures de transposition; des lettres de mise en demeure ont été envoyées aux </w:t>
            </w:r>
            <w:r>
              <w:rPr>
                <w:rFonts w:ascii="Times New Roman" w:hAnsi="Times New Roman"/>
                <w:noProof/>
                <w:sz w:val="20"/>
              </w:rPr>
              <w:t>États membres concernés;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6 procédures d'infraction ouvertes pour non-conformité/mauvaise application (stade de la mise en demeure);</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1 lettre administrative faisant part de préoccupations concernant la conformité de la  législation récente avec les disposit</w:t>
            </w:r>
            <w:r>
              <w:rPr>
                <w:rFonts w:ascii="Times New Roman" w:hAnsi="Times New Roman"/>
                <w:noProof/>
                <w:sz w:val="20"/>
              </w:rPr>
              <w:t>ions de cet instrument, adressée à un État membre.</w:t>
            </w:r>
          </w:p>
        </w:tc>
        <w:tc>
          <w:tcPr>
            <w:tcW w:w="4111" w:type="dxa"/>
          </w:tcPr>
          <w:p w:rsidR="00AC78FF" w:rsidRDefault="00DF0757">
            <w:pPr>
              <w:pStyle w:val="ListParagraph"/>
              <w:ind w:left="318"/>
              <w:contextualSpacing w:val="0"/>
              <w:rPr>
                <w:rFonts w:ascii="Times New Roman" w:hAnsi="Times New Roman" w:cs="Times New Roman"/>
                <w:noProof/>
                <w:sz w:val="20"/>
                <w:szCs w:val="20"/>
              </w:rPr>
            </w:pPr>
            <w:r>
              <w:rPr>
                <w:rFonts w:ascii="Times New Roman" w:hAnsi="Times New Roman"/>
                <w:noProof/>
                <w:sz w:val="20"/>
              </w:rPr>
              <w:t>Un État membre a notifié la transposition intégrale de la directive. Cette notification est en cours d'examen (FR).</w:t>
            </w:r>
          </w:p>
        </w:tc>
        <w:tc>
          <w:tcPr>
            <w:tcW w:w="3764"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Si les États membres ne transposent pas intégralement la directive, des avis motivés puis</w:t>
            </w:r>
            <w:r>
              <w:rPr>
                <w:rFonts w:ascii="Times New Roman" w:hAnsi="Times New Roman"/>
                <w:noProof/>
                <w:sz w:val="20"/>
              </w:rPr>
              <w:t xml:space="preserve"> des saisines de la Cour de justice pourraient s'ensuivre.</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Si les États membres ne respectent pas la directive, des avis motivés puis des saisines de la Cour de justice pourraient s'ensuivre.</w:t>
            </w:r>
          </w:p>
        </w:tc>
      </w:tr>
      <w:tr w:rsidR="00AC78FF">
        <w:tc>
          <w:tcPr>
            <w:tcW w:w="2376" w:type="dxa"/>
          </w:tcPr>
          <w:p w:rsidR="00AC78FF" w:rsidRDefault="00DF0757">
            <w:pPr>
              <w:rPr>
                <w:rFonts w:ascii="Times New Roman" w:hAnsi="Times New Roman" w:cs="Times New Roman"/>
                <w:noProof/>
                <w:sz w:val="20"/>
                <w:szCs w:val="20"/>
              </w:rPr>
            </w:pPr>
            <w:r>
              <w:rPr>
                <w:rFonts w:ascii="Times New Roman" w:hAnsi="Times New Roman"/>
                <w:noProof/>
                <w:sz w:val="20"/>
              </w:rPr>
              <w:t xml:space="preserve">Directive 2013/33/UE (directive relative aux conditions </w:t>
            </w:r>
            <w:r>
              <w:rPr>
                <w:rFonts w:ascii="Times New Roman" w:hAnsi="Times New Roman"/>
                <w:noProof/>
                <w:sz w:val="20"/>
              </w:rPr>
              <w:t>d'accueil)</w:t>
            </w:r>
          </w:p>
        </w:tc>
        <w:tc>
          <w:tcPr>
            <w:tcW w:w="3969"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19 procédures d'infraction ouvertes pour non-communication ou communication partielle des mesures de transposition; des lettres de mise en demeure ont été envoyées aux États membres concernés;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8 procédures d'infraction ouvertes pour non-conformi</w:t>
            </w:r>
            <w:r>
              <w:rPr>
                <w:rFonts w:ascii="Times New Roman" w:hAnsi="Times New Roman"/>
                <w:noProof/>
                <w:sz w:val="20"/>
              </w:rPr>
              <w:t>té/mauvaise application (stade de la mise en demeure);</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1 lettre administrative faisant part de préoccupations concernant la conformité de la  législation récente avec les dispositions de cet instrument, adressée à un État membre.</w:t>
            </w:r>
          </w:p>
        </w:tc>
        <w:tc>
          <w:tcPr>
            <w:tcW w:w="4111" w:type="dxa"/>
          </w:tcPr>
          <w:p w:rsidR="00AC78FF" w:rsidRDefault="00DF0757">
            <w:pPr>
              <w:pStyle w:val="ListParagraph"/>
              <w:ind w:left="318"/>
              <w:contextualSpacing w:val="0"/>
              <w:rPr>
                <w:rFonts w:ascii="Times New Roman" w:hAnsi="Times New Roman" w:cs="Times New Roman"/>
                <w:noProof/>
                <w:sz w:val="20"/>
                <w:szCs w:val="20"/>
              </w:rPr>
            </w:pPr>
            <w:r>
              <w:rPr>
                <w:rFonts w:ascii="Times New Roman" w:hAnsi="Times New Roman"/>
                <w:noProof/>
                <w:sz w:val="20"/>
              </w:rPr>
              <w:t>2 États membres ont notifi</w:t>
            </w:r>
            <w:r>
              <w:rPr>
                <w:rFonts w:ascii="Times New Roman" w:hAnsi="Times New Roman"/>
                <w:noProof/>
                <w:sz w:val="20"/>
              </w:rPr>
              <w:t>é la transposition intégrale de la directive. Ces notifications sont en cours d'examen (FR/ES).</w:t>
            </w:r>
          </w:p>
        </w:tc>
        <w:tc>
          <w:tcPr>
            <w:tcW w:w="3764" w:type="dxa"/>
          </w:tcPr>
          <w:p w:rsidR="00AC78FF" w:rsidRDefault="00DF0757">
            <w:pPr>
              <w:pStyle w:val="ListParagraph"/>
              <w:numPr>
                <w:ilvl w:val="0"/>
                <w:numId w:val="9"/>
              </w:numPr>
              <w:ind w:left="417"/>
              <w:contextualSpacing w:val="0"/>
              <w:rPr>
                <w:rFonts w:ascii="Times New Roman" w:hAnsi="Times New Roman" w:cs="Times New Roman"/>
                <w:noProof/>
                <w:sz w:val="20"/>
                <w:szCs w:val="20"/>
              </w:rPr>
            </w:pPr>
            <w:r>
              <w:rPr>
                <w:rFonts w:ascii="Times New Roman" w:hAnsi="Times New Roman"/>
                <w:noProof/>
                <w:sz w:val="20"/>
              </w:rPr>
              <w:t>Si les États membres ne transposent pas intégralement la directive, des avis motivés puis des saisines de la Cour de justice pourraient s'ensuivre.</w:t>
            </w:r>
          </w:p>
          <w:p w:rsidR="00AC78FF" w:rsidRDefault="00DF0757">
            <w:pPr>
              <w:pStyle w:val="ListParagraph"/>
              <w:numPr>
                <w:ilvl w:val="0"/>
                <w:numId w:val="9"/>
              </w:numPr>
              <w:ind w:left="417"/>
              <w:contextualSpacing w:val="0"/>
              <w:rPr>
                <w:rFonts w:ascii="Times New Roman" w:hAnsi="Times New Roman" w:cs="Times New Roman"/>
                <w:noProof/>
                <w:sz w:val="20"/>
                <w:szCs w:val="20"/>
              </w:rPr>
            </w:pPr>
            <w:r>
              <w:rPr>
                <w:rFonts w:ascii="Times New Roman" w:hAnsi="Times New Roman"/>
                <w:noProof/>
                <w:sz w:val="20"/>
              </w:rPr>
              <w:t>Si les États</w:t>
            </w:r>
            <w:r>
              <w:rPr>
                <w:rFonts w:ascii="Times New Roman" w:hAnsi="Times New Roman"/>
                <w:noProof/>
                <w:sz w:val="20"/>
              </w:rPr>
              <w:t xml:space="preserve"> membres ne respectent pas la directive, des avis motivés puis des saisines de la Cour de justice pourraient s'ensuivre.</w:t>
            </w:r>
          </w:p>
        </w:tc>
      </w:tr>
      <w:tr w:rsidR="00AC78FF">
        <w:tc>
          <w:tcPr>
            <w:tcW w:w="2376" w:type="dxa"/>
          </w:tcPr>
          <w:p w:rsidR="00AC78FF" w:rsidRDefault="00DF0757">
            <w:pPr>
              <w:rPr>
                <w:rFonts w:ascii="Times New Roman" w:hAnsi="Times New Roman" w:cs="Times New Roman"/>
                <w:noProof/>
                <w:sz w:val="20"/>
                <w:szCs w:val="20"/>
              </w:rPr>
            </w:pPr>
            <w:r>
              <w:rPr>
                <w:rFonts w:ascii="Times New Roman" w:hAnsi="Times New Roman"/>
                <w:noProof/>
                <w:sz w:val="20"/>
              </w:rPr>
              <w:t>Directive 2011/95/UE (directive relative aux conditions à remplir pour bénéficier d'une protection internationale)</w:t>
            </w:r>
          </w:p>
        </w:tc>
        <w:tc>
          <w:tcPr>
            <w:tcW w:w="3969"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13 procédures d'inf</w:t>
            </w:r>
            <w:r>
              <w:rPr>
                <w:rFonts w:ascii="Times New Roman" w:hAnsi="Times New Roman"/>
                <w:noProof/>
                <w:sz w:val="20"/>
              </w:rPr>
              <w:t>raction ouvertes pour non-communication ou communication partielle des mesures de transposition;</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des lettres de mise en demeure ont été envoyées à 11 États membres;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des avis motivés ont été adressés à deux États membres;</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1 procédure d'infraction ouverte po</w:t>
            </w:r>
            <w:r>
              <w:rPr>
                <w:rFonts w:ascii="Times New Roman" w:hAnsi="Times New Roman"/>
                <w:noProof/>
                <w:sz w:val="20"/>
              </w:rPr>
              <w:t>ur non-conformité/mauvaise application.</w:t>
            </w:r>
          </w:p>
        </w:tc>
        <w:tc>
          <w:tcPr>
            <w:tcW w:w="4111" w:type="dxa"/>
          </w:tcPr>
          <w:p w:rsidR="00AC78FF" w:rsidRDefault="00AC78FF">
            <w:pPr>
              <w:pStyle w:val="ListParagraph"/>
              <w:ind w:left="318"/>
              <w:contextualSpacing w:val="0"/>
              <w:rPr>
                <w:rFonts w:ascii="Times New Roman" w:hAnsi="Times New Roman" w:cs="Times New Roman"/>
                <w:noProof/>
                <w:sz w:val="20"/>
                <w:szCs w:val="20"/>
              </w:rPr>
            </w:pPr>
          </w:p>
        </w:tc>
        <w:tc>
          <w:tcPr>
            <w:tcW w:w="3764"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Si les États membres ne transposent pas intégralement la directive, des avis motivés puis des saisines de la Cour de justice pourraient s'ensuivre.</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Si l'État membre ne respecte pas la directive, des avis motivés </w:t>
            </w:r>
            <w:r>
              <w:rPr>
                <w:rFonts w:ascii="Times New Roman" w:hAnsi="Times New Roman"/>
                <w:noProof/>
                <w:sz w:val="20"/>
              </w:rPr>
              <w:t>puis des saisines de la Cour de justice pourraient s'ensuivre.</w:t>
            </w:r>
          </w:p>
        </w:tc>
      </w:tr>
      <w:tr w:rsidR="00AC78FF">
        <w:tc>
          <w:tcPr>
            <w:tcW w:w="2376" w:type="dxa"/>
          </w:tcPr>
          <w:p w:rsidR="00AC78FF" w:rsidRDefault="00DF0757">
            <w:pPr>
              <w:rPr>
                <w:rFonts w:ascii="Times New Roman" w:hAnsi="Times New Roman" w:cs="Times New Roman"/>
                <w:noProof/>
                <w:sz w:val="20"/>
                <w:szCs w:val="20"/>
              </w:rPr>
            </w:pPr>
            <w:r>
              <w:rPr>
                <w:rFonts w:ascii="Times New Roman" w:hAnsi="Times New Roman"/>
                <w:noProof/>
                <w:sz w:val="20"/>
              </w:rPr>
              <w:t>Règlement (UE) n° 604/2013 (règlement de Dublin)</w:t>
            </w:r>
          </w:p>
        </w:tc>
        <w:tc>
          <w:tcPr>
            <w:tcW w:w="3969"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1 procédure d'infraction ouverte pour non-conformité; une lettre de mise en demeure a été envoyée à l'État membre concerné.</w:t>
            </w:r>
          </w:p>
        </w:tc>
        <w:tc>
          <w:tcPr>
            <w:tcW w:w="4111" w:type="dxa"/>
          </w:tcPr>
          <w:p w:rsidR="00AC78FF" w:rsidRDefault="00AC78FF">
            <w:pPr>
              <w:pStyle w:val="ListParagraph"/>
              <w:ind w:left="318"/>
              <w:contextualSpacing w:val="0"/>
              <w:rPr>
                <w:rFonts w:ascii="Times New Roman" w:hAnsi="Times New Roman" w:cs="Times New Roman"/>
                <w:noProof/>
                <w:sz w:val="20"/>
                <w:szCs w:val="20"/>
              </w:rPr>
            </w:pPr>
          </w:p>
        </w:tc>
        <w:tc>
          <w:tcPr>
            <w:tcW w:w="3764"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Si l'État membre </w:t>
            </w:r>
            <w:r>
              <w:rPr>
                <w:rFonts w:ascii="Times New Roman" w:hAnsi="Times New Roman"/>
                <w:noProof/>
                <w:sz w:val="20"/>
              </w:rPr>
              <w:t>ne respecte pas la directive, un avis motivé puis une saisine de la Cour de justice pourraient s'ensuivre.</w:t>
            </w:r>
          </w:p>
        </w:tc>
      </w:tr>
      <w:tr w:rsidR="00AC78FF">
        <w:tc>
          <w:tcPr>
            <w:tcW w:w="2376" w:type="dxa"/>
          </w:tcPr>
          <w:p w:rsidR="00AC78FF" w:rsidRDefault="00DF0757">
            <w:pPr>
              <w:rPr>
                <w:rFonts w:ascii="Times New Roman" w:hAnsi="Times New Roman" w:cs="Times New Roman"/>
                <w:noProof/>
                <w:sz w:val="20"/>
                <w:szCs w:val="20"/>
              </w:rPr>
            </w:pPr>
            <w:r>
              <w:rPr>
                <w:rFonts w:ascii="Times New Roman" w:hAnsi="Times New Roman"/>
                <w:noProof/>
                <w:sz w:val="20"/>
              </w:rPr>
              <w:t>Règlement (UE) n° 603/2013 (règlement Eurodac)</w:t>
            </w:r>
          </w:p>
        </w:tc>
        <w:tc>
          <w:tcPr>
            <w:tcW w:w="3969" w:type="dxa"/>
          </w:tcPr>
          <w:p w:rsidR="00AC78FF" w:rsidRDefault="00DF0757">
            <w:pPr>
              <w:pStyle w:val="ListParagraph"/>
              <w:numPr>
                <w:ilvl w:val="0"/>
                <w:numId w:val="18"/>
              </w:numPr>
              <w:ind w:left="384"/>
              <w:contextualSpacing w:val="0"/>
              <w:rPr>
                <w:rFonts w:ascii="Times New Roman" w:hAnsi="Times New Roman" w:cs="Times New Roman"/>
                <w:noProof/>
                <w:sz w:val="20"/>
                <w:szCs w:val="20"/>
              </w:rPr>
            </w:pPr>
            <w:r>
              <w:rPr>
                <w:rFonts w:ascii="Times New Roman" w:hAnsi="Times New Roman"/>
                <w:noProof/>
                <w:sz w:val="20"/>
              </w:rPr>
              <w:t>5 lettres administratives ont été envoyées aux États membres concernés, leur demandant des éclairciss</w:t>
            </w:r>
            <w:r>
              <w:rPr>
                <w:rFonts w:ascii="Times New Roman" w:hAnsi="Times New Roman"/>
                <w:noProof/>
                <w:sz w:val="20"/>
              </w:rPr>
              <w:t>ements concernant la conformité à la réglementation en matière de transmission des empreintes digitales.</w:t>
            </w:r>
          </w:p>
        </w:tc>
        <w:tc>
          <w:tcPr>
            <w:tcW w:w="4111" w:type="dxa"/>
          </w:tcPr>
          <w:p w:rsidR="00AC78FF" w:rsidRDefault="00DF0757">
            <w:pPr>
              <w:pStyle w:val="ListParagraph"/>
              <w:ind w:left="318"/>
              <w:contextualSpacing w:val="0"/>
              <w:rPr>
                <w:rFonts w:ascii="Times New Roman" w:hAnsi="Times New Roman" w:cs="Times New Roman"/>
                <w:noProof/>
                <w:sz w:val="20"/>
                <w:szCs w:val="20"/>
              </w:rPr>
            </w:pPr>
            <w:r>
              <w:rPr>
                <w:rFonts w:ascii="Times New Roman" w:hAnsi="Times New Roman"/>
                <w:noProof/>
                <w:sz w:val="20"/>
              </w:rPr>
              <w:t>Les États membres ont répondu aux lettres administratives.</w:t>
            </w:r>
          </w:p>
        </w:tc>
        <w:tc>
          <w:tcPr>
            <w:tcW w:w="3764"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En fonction des résultats de l’évaluation des réponses aux lettres administratives, des proc</w:t>
            </w:r>
            <w:r>
              <w:rPr>
                <w:rFonts w:ascii="Times New Roman" w:hAnsi="Times New Roman"/>
                <w:noProof/>
                <w:sz w:val="20"/>
              </w:rPr>
              <w:t>édures formelles d’infraction pourraient être engagées.</w:t>
            </w:r>
          </w:p>
        </w:tc>
      </w:tr>
      <w:tr w:rsidR="00AC78FF">
        <w:tc>
          <w:tcPr>
            <w:tcW w:w="2376" w:type="dxa"/>
          </w:tcPr>
          <w:p w:rsidR="00AC78FF" w:rsidRDefault="00DF0757">
            <w:pPr>
              <w:rPr>
                <w:rFonts w:ascii="Times New Roman" w:hAnsi="Times New Roman" w:cs="Times New Roman"/>
                <w:noProof/>
                <w:sz w:val="20"/>
                <w:szCs w:val="20"/>
              </w:rPr>
            </w:pPr>
            <w:r>
              <w:rPr>
                <w:rFonts w:ascii="Times New Roman" w:hAnsi="Times New Roman"/>
                <w:noProof/>
                <w:sz w:val="20"/>
              </w:rPr>
              <w:t xml:space="preserve">Directive 2011/51/UE relative aux résidents de longue durée </w:t>
            </w:r>
          </w:p>
        </w:tc>
        <w:tc>
          <w:tcPr>
            <w:tcW w:w="3969"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 xml:space="preserve">7 procédures d'infraction ouvertes pour non-communication ou communication partielle des mesures de transposition; des lettres de mise en </w:t>
            </w:r>
            <w:r>
              <w:rPr>
                <w:rFonts w:ascii="Times New Roman" w:hAnsi="Times New Roman"/>
                <w:noProof/>
                <w:sz w:val="20"/>
              </w:rPr>
              <w:t>demeure ont été envoyées aux États membres concernés.</w:t>
            </w:r>
          </w:p>
        </w:tc>
        <w:tc>
          <w:tcPr>
            <w:tcW w:w="4111" w:type="dxa"/>
          </w:tcPr>
          <w:p w:rsidR="00AC78FF" w:rsidRDefault="00AC78FF">
            <w:pPr>
              <w:pStyle w:val="ListParagraph"/>
              <w:ind w:left="318"/>
              <w:contextualSpacing w:val="0"/>
              <w:rPr>
                <w:rFonts w:ascii="Times New Roman" w:hAnsi="Times New Roman" w:cs="Times New Roman"/>
                <w:noProof/>
                <w:sz w:val="20"/>
                <w:szCs w:val="20"/>
              </w:rPr>
            </w:pPr>
          </w:p>
        </w:tc>
        <w:tc>
          <w:tcPr>
            <w:tcW w:w="3764"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Si les États membres ne transposent pas intégralement la directive, des avis motivés puis des saisines de la Cour de justice pourraient s'ensuivre.</w:t>
            </w:r>
          </w:p>
        </w:tc>
      </w:tr>
      <w:tr w:rsidR="00AC78FF">
        <w:tc>
          <w:tcPr>
            <w:tcW w:w="2376" w:type="dxa"/>
          </w:tcPr>
          <w:p w:rsidR="00AC78FF" w:rsidRDefault="00DF0757">
            <w:pPr>
              <w:rPr>
                <w:rFonts w:ascii="Times New Roman" w:hAnsi="Times New Roman" w:cs="Times New Roman"/>
                <w:noProof/>
                <w:sz w:val="20"/>
                <w:szCs w:val="20"/>
              </w:rPr>
            </w:pPr>
            <w:r>
              <w:rPr>
                <w:rFonts w:ascii="Times New Roman" w:hAnsi="Times New Roman"/>
                <w:noProof/>
                <w:sz w:val="20"/>
              </w:rPr>
              <w:t>Directive 2008/115/CE (directive «retour»)</w:t>
            </w:r>
          </w:p>
        </w:tc>
        <w:tc>
          <w:tcPr>
            <w:tcW w:w="3969"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4 procédures d'infraction ouvertes pour non-conformité; des lettres de mise en demeure ont été envoyées aux États membres concernés; 3 lettres administratives ont été envoyées aux États membres, leur demandant des éclaircissements sur l'adoption de décisio</w:t>
            </w:r>
            <w:r>
              <w:rPr>
                <w:rFonts w:ascii="Times New Roman" w:hAnsi="Times New Roman"/>
                <w:noProof/>
                <w:sz w:val="20"/>
              </w:rPr>
              <w:t>ns de retour à l'encontre de ressortissants de pays tiers en séjour irrégulier;</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7 lettres administratives ont été envoyées aux États membres concernés, leur demandant des éclaircissements sur l'exécution de décisions de retour adoptées à l'encontre de ress</w:t>
            </w:r>
            <w:r>
              <w:rPr>
                <w:rFonts w:ascii="Times New Roman" w:hAnsi="Times New Roman"/>
                <w:noProof/>
                <w:sz w:val="20"/>
              </w:rPr>
              <w:t>ortissants de pays tiers en séjour irrégulier; 1 lettre administrative faisant part de préoccupations concernant la conformité de la  législation récente avec les dispositions de cet instrument, adressée à un État membre.</w:t>
            </w:r>
          </w:p>
        </w:tc>
        <w:tc>
          <w:tcPr>
            <w:tcW w:w="4111" w:type="dxa"/>
          </w:tcPr>
          <w:p w:rsidR="00AC78FF" w:rsidRDefault="00AC78FF">
            <w:pPr>
              <w:pStyle w:val="ListParagraph"/>
              <w:numPr>
                <w:ilvl w:val="0"/>
                <w:numId w:val="9"/>
              </w:numPr>
              <w:ind w:left="318" w:hanging="284"/>
              <w:contextualSpacing w:val="0"/>
              <w:rPr>
                <w:rFonts w:ascii="Times New Roman" w:hAnsi="Times New Roman" w:cs="Times New Roman"/>
                <w:noProof/>
                <w:sz w:val="20"/>
                <w:szCs w:val="20"/>
              </w:rPr>
            </w:pPr>
          </w:p>
        </w:tc>
        <w:tc>
          <w:tcPr>
            <w:tcW w:w="3764"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Si les États membres ne se confor</w:t>
            </w:r>
            <w:r>
              <w:rPr>
                <w:rFonts w:ascii="Times New Roman" w:hAnsi="Times New Roman"/>
                <w:noProof/>
                <w:sz w:val="20"/>
              </w:rPr>
              <w:t>ment pas à la directive, les lettres de mise en demeure pourraient être suivies d'avis motivés et de saisines de la Cour de justice.</w:t>
            </w:r>
          </w:p>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En fonction des résultats de l’évaluation des réponses aux lettres administratives, des procédures formelles d’infraction p</w:t>
            </w:r>
            <w:r>
              <w:rPr>
                <w:rFonts w:ascii="Times New Roman" w:hAnsi="Times New Roman"/>
                <w:noProof/>
                <w:sz w:val="20"/>
              </w:rPr>
              <w:t>ourraient être engagées.</w:t>
            </w:r>
          </w:p>
        </w:tc>
      </w:tr>
      <w:tr w:rsidR="00AC78FF">
        <w:tc>
          <w:tcPr>
            <w:tcW w:w="2376" w:type="dxa"/>
          </w:tcPr>
          <w:p w:rsidR="00AC78FF" w:rsidRDefault="00DF0757">
            <w:pPr>
              <w:rPr>
                <w:rFonts w:ascii="Times New Roman" w:hAnsi="Times New Roman" w:cs="Times New Roman"/>
                <w:noProof/>
                <w:sz w:val="20"/>
                <w:szCs w:val="20"/>
              </w:rPr>
            </w:pPr>
            <w:r>
              <w:rPr>
                <w:rFonts w:ascii="Times New Roman" w:hAnsi="Times New Roman"/>
                <w:noProof/>
                <w:sz w:val="20"/>
              </w:rPr>
              <w:t>Règlement (CE) n° 562/2006 (code frontières Schengen)</w:t>
            </w:r>
          </w:p>
        </w:tc>
        <w:tc>
          <w:tcPr>
            <w:tcW w:w="3969"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1 lettre administrative faisant part de préoccupations concernant la conformité de la  législation récente avec les dispositions de cet instrument, adressée à un État membre.</w:t>
            </w:r>
          </w:p>
        </w:tc>
        <w:tc>
          <w:tcPr>
            <w:tcW w:w="4111" w:type="dxa"/>
          </w:tcPr>
          <w:p w:rsidR="00AC78FF" w:rsidRDefault="00AC78FF">
            <w:pPr>
              <w:pStyle w:val="ListParagraph"/>
              <w:numPr>
                <w:ilvl w:val="0"/>
                <w:numId w:val="9"/>
              </w:numPr>
              <w:ind w:left="318" w:hanging="284"/>
              <w:contextualSpacing w:val="0"/>
              <w:rPr>
                <w:rFonts w:ascii="Times New Roman" w:hAnsi="Times New Roman" w:cs="Times New Roman"/>
                <w:noProof/>
                <w:sz w:val="20"/>
                <w:szCs w:val="20"/>
              </w:rPr>
            </w:pPr>
          </w:p>
        </w:tc>
        <w:tc>
          <w:tcPr>
            <w:tcW w:w="3764" w:type="dxa"/>
          </w:tcPr>
          <w:p w:rsidR="00AC78FF" w:rsidRDefault="00DF0757">
            <w:pPr>
              <w:pStyle w:val="ListParagraph"/>
              <w:numPr>
                <w:ilvl w:val="0"/>
                <w:numId w:val="9"/>
              </w:numPr>
              <w:ind w:left="318" w:hanging="284"/>
              <w:contextualSpacing w:val="0"/>
              <w:rPr>
                <w:rFonts w:ascii="Times New Roman" w:hAnsi="Times New Roman" w:cs="Times New Roman"/>
                <w:noProof/>
                <w:sz w:val="20"/>
                <w:szCs w:val="20"/>
              </w:rPr>
            </w:pPr>
            <w:r>
              <w:rPr>
                <w:rFonts w:ascii="Times New Roman" w:hAnsi="Times New Roman"/>
                <w:noProof/>
                <w:sz w:val="20"/>
              </w:rPr>
              <w:t>En fonction des résultats de l’évaluation des réponses à la lettre administrative, des procédures formelles d’infraction pourraient être engagées.</w:t>
            </w:r>
          </w:p>
        </w:tc>
      </w:tr>
    </w:tbl>
    <w:p w:rsidR="00AC78FF" w:rsidRDefault="00AC78FF">
      <w:pPr>
        <w:spacing w:line="240" w:lineRule="auto"/>
        <w:rPr>
          <w:rFonts w:ascii="Times New Roman" w:hAnsi="Times New Roman" w:cs="Times New Roman"/>
          <w:noProof/>
          <w:sz w:val="20"/>
          <w:szCs w:val="20"/>
        </w:rPr>
      </w:pPr>
    </w:p>
    <w:p w:rsidR="00AC78FF" w:rsidRDefault="00AC78FF">
      <w:pPr>
        <w:jc w:val="center"/>
        <w:rPr>
          <w:rFonts w:ascii="Times New Roman" w:hAnsi="Times New Roman" w:cs="Times New Roman"/>
          <w:noProof/>
          <w:sz w:val="20"/>
          <w:szCs w:val="20"/>
        </w:rPr>
      </w:pPr>
    </w:p>
    <w:sectPr w:rsidR="00AC78FF">
      <w:headerReference w:type="even" r:id="rId16"/>
      <w:headerReference w:type="default" r:id="rId17"/>
      <w:footerReference w:type="even" r:id="rId18"/>
      <w:footerReference w:type="default" r:id="rId19"/>
      <w:headerReference w:type="first" r:id="rId20"/>
      <w:footerReference w:type="first" r:id="rId21"/>
      <w:pgSz w:w="16838" w:h="11906" w:orient="landscape"/>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8FF" w:rsidRDefault="00DF0757">
      <w:pPr>
        <w:spacing w:after="0" w:line="240" w:lineRule="auto"/>
      </w:pPr>
      <w:r>
        <w:separator/>
      </w:r>
    </w:p>
  </w:endnote>
  <w:endnote w:type="continuationSeparator" w:id="0">
    <w:p w:rsidR="00AC78FF" w:rsidRDefault="00DF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FF" w:rsidRDefault="00AC78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FF" w:rsidRDefault="00DF0757">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FF" w:rsidRDefault="00AC78F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FF" w:rsidRDefault="00AC78F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908989"/>
      <w:docPartObj>
        <w:docPartGallery w:val="Page Numbers (Bottom of Page)"/>
        <w:docPartUnique/>
      </w:docPartObj>
    </w:sdtPr>
    <w:sdtEndPr>
      <w:rPr>
        <w:noProof/>
      </w:rPr>
    </w:sdtEndPr>
    <w:sdtContent>
      <w:p w:rsidR="00AC78FF" w:rsidRDefault="00DF0757">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AC78FF" w:rsidRDefault="00AC78FF">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FF" w:rsidRDefault="00AC7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8FF" w:rsidRDefault="00DF0757">
      <w:pPr>
        <w:spacing w:after="0" w:line="240" w:lineRule="auto"/>
      </w:pPr>
      <w:r>
        <w:separator/>
      </w:r>
    </w:p>
  </w:footnote>
  <w:footnote w:type="continuationSeparator" w:id="0">
    <w:p w:rsidR="00AC78FF" w:rsidRDefault="00DF0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FF" w:rsidRDefault="00AC78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FF" w:rsidRDefault="00AC78FF">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FF" w:rsidRDefault="00AC78F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FF" w:rsidRDefault="00AC78F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FF" w:rsidRDefault="00AC78F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FF" w:rsidRDefault="00AC78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141B"/>
    <w:multiLevelType w:val="hybridMultilevel"/>
    <w:tmpl w:val="031A79F6"/>
    <w:lvl w:ilvl="0" w:tplc="92D45F40">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E57D97"/>
    <w:multiLevelType w:val="hybridMultilevel"/>
    <w:tmpl w:val="1B7A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B8056B"/>
    <w:multiLevelType w:val="hybridMultilevel"/>
    <w:tmpl w:val="10281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1573D97"/>
    <w:multiLevelType w:val="hybridMultilevel"/>
    <w:tmpl w:val="3314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474C58"/>
    <w:multiLevelType w:val="hybridMultilevel"/>
    <w:tmpl w:val="2680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E37A0F"/>
    <w:multiLevelType w:val="hybridMultilevel"/>
    <w:tmpl w:val="8940F8AE"/>
    <w:lvl w:ilvl="0" w:tplc="92D45F40">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1EA20D7"/>
    <w:multiLevelType w:val="hybridMultilevel"/>
    <w:tmpl w:val="4410AF68"/>
    <w:lvl w:ilvl="0" w:tplc="92D45F40">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924DCA"/>
    <w:multiLevelType w:val="hybridMultilevel"/>
    <w:tmpl w:val="F5043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nsid w:val="3ABB5FF8"/>
    <w:multiLevelType w:val="hybridMultilevel"/>
    <w:tmpl w:val="4CEE954C"/>
    <w:lvl w:ilvl="0" w:tplc="92D45F40">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78321F"/>
    <w:multiLevelType w:val="hybridMultilevel"/>
    <w:tmpl w:val="CBA63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7426059"/>
    <w:multiLevelType w:val="hybridMultilevel"/>
    <w:tmpl w:val="515EEEAC"/>
    <w:lvl w:ilvl="0" w:tplc="92D45F40">
      <w:start w:val="1"/>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ECF11CB"/>
    <w:multiLevelType w:val="hybridMultilevel"/>
    <w:tmpl w:val="A4CC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8456F0"/>
    <w:multiLevelType w:val="hybridMultilevel"/>
    <w:tmpl w:val="82601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FB87262"/>
    <w:multiLevelType w:val="hybridMultilevel"/>
    <w:tmpl w:val="84260B96"/>
    <w:lvl w:ilvl="0" w:tplc="92D45F40">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C50607"/>
    <w:multiLevelType w:val="hybridMultilevel"/>
    <w:tmpl w:val="D5640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D90F15"/>
    <w:multiLevelType w:val="hybridMultilevel"/>
    <w:tmpl w:val="8A7886CC"/>
    <w:lvl w:ilvl="0" w:tplc="92D45F40">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011FC4"/>
    <w:multiLevelType w:val="hybridMultilevel"/>
    <w:tmpl w:val="405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9D79C5"/>
    <w:multiLevelType w:val="hybridMultilevel"/>
    <w:tmpl w:val="809A1B14"/>
    <w:lvl w:ilvl="0" w:tplc="92D45F40">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4D71B7"/>
    <w:multiLevelType w:val="hybridMultilevel"/>
    <w:tmpl w:val="2ABE2A1C"/>
    <w:lvl w:ilvl="0" w:tplc="92D45F40">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6"/>
  </w:num>
  <w:num w:numId="4">
    <w:abstractNumId w:val="3"/>
  </w:num>
  <w:num w:numId="5">
    <w:abstractNumId w:val="1"/>
  </w:num>
  <w:num w:numId="6">
    <w:abstractNumId w:val="7"/>
  </w:num>
  <w:num w:numId="7">
    <w:abstractNumId w:val="9"/>
  </w:num>
  <w:num w:numId="8">
    <w:abstractNumId w:val="2"/>
  </w:num>
  <w:num w:numId="9">
    <w:abstractNumId w:val="8"/>
  </w:num>
  <w:num w:numId="10">
    <w:abstractNumId w:val="17"/>
  </w:num>
  <w:num w:numId="11">
    <w:abstractNumId w:val="12"/>
  </w:num>
  <w:num w:numId="12">
    <w:abstractNumId w:val="10"/>
  </w:num>
  <w:num w:numId="13">
    <w:abstractNumId w:val="13"/>
  </w:num>
  <w:num w:numId="14">
    <w:abstractNumId w:val="6"/>
  </w:num>
  <w:num w:numId="15">
    <w:abstractNumId w:val="5"/>
  </w:num>
  <w:num w:numId="16">
    <w:abstractNumId w:val="18"/>
  </w:num>
  <w:num w:numId="17">
    <w:abstractNumId w:val="0"/>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à la"/>
    <w:docVar w:name="LW_ANNEX_NBR_FIRST" w:val="1"/>
    <w:docVar w:name="LW_ANNEX_NBR_LAST" w:val="1"/>
    <w:docVar w:name="LW_CONFIDENCE" w:val=" "/>
    <w:docVar w:name="LW_CONST_RESTREINT_UE" w:val="RESTREINT UE"/>
    <w:docVar w:name="LW_CORRIGENDUM" w:val="&lt;UNUSED&gt;"/>
    <w:docVar w:name="LW_COVERPAGE_GUID" w:val="5D4F39467BEB4039B1B8A316F3EBB18E"/>
    <w:docVar w:name="LW_CROSSREFERENCE" w:val="&lt;UNUSED&gt;"/>
    <w:docVar w:name="LW_DocType" w:val="NORMAL"/>
    <w:docVar w:name="LW_EMISSION" w:val="14.10.2015"/>
    <w:docVar w:name="LW_EMISSION_ISODATE" w:val="2015-10-14"/>
    <w:docVar w:name="LW_EMISSION_LOCATION" w:val="BRX"/>
    <w:docVar w:name="LW_EMISSION_PREFIX" w:val="Bruxelles, le "/>
    <w:docVar w:name="LW_EMISSION_SUFFIX" w:val=" "/>
    <w:docVar w:name="LW_ID_DOCTYPE_NONLW" w:val="CP-039"/>
    <w:docVar w:name="LW_LANGUE" w:val="FR"/>
    <w:docVar w:name="LW_MARKING" w:val="&lt;UNUSED&gt;"/>
    <w:docVar w:name="LW_NOM.INST" w:val="COMMISSION EUROPÉENNE"/>
    <w:docVar w:name="LW_NOM.INST_JOINTDOC" w:val="&lt;EMPTY&gt;"/>
    <w:docVar w:name="LW_OBJETACTEPRINCIPAL.CP" w:val="Gestion de la crise des réfugiés: état d'avancement de la mise en \u339?uvre des actions prioritaires prévues par l'agenda européen en matière de migration_x000b__x000b_"/>
    <w:docVar w:name="LW_PART_NBR" w:val="1"/>
    <w:docVar w:name="LW_PART_NBR_TOTAL" w:val="1"/>
    <w:docVar w:name="LW_REF.INST.NEW" w:val="COM"/>
    <w:docVar w:name="LW_REF.INST.NEW_ADOPTED" w:val="final"/>
    <w:docVar w:name="LW_REF.INST.NEW_TEXT" w:val="(2015) 510"/>
    <w:docVar w:name="LW_REF.INTERNE" w:val="&lt;UNUSED&gt;"/>
    <w:docVar w:name="LW_SUPERTITRE" w:val="&lt;UNUSED&gt;"/>
    <w:docVar w:name="LW_TITRE.OBJ.CP" w:val="&lt;UNUSED&gt;"/>
    <w:docVar w:name="LW_TYPE.DOC.CP" w:val="ANNEXE_x000b_"/>
    <w:docVar w:name="LW_TYPEACTEPRINCIPAL.CP" w:val="COMMUNICATION DE LA COMMISSION AU PARLEMENT EUROPÉEN, AU CONSEIL EUROPÉEN ET AU CONSEIL_x000b_"/>
  </w:docVars>
  <w:rsids>
    <w:rsidRoot w:val="00AC78FF"/>
    <w:rsid w:val="00AC78FF"/>
    <w:rsid w:val="00DF0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FootnoteText">
    <w:name w:val="footnote text"/>
    <w:aliases w:val="Footnote,Text,single space,Footnote Text Char Char,Footnote Text Char1 Char,Footnote Text Char Char Char1,Footnote Text Char1 Char Char Char1,Footnote Text Char1 Char1 Char,Footnote Text Char Char Char Char,fn,ADB,fn1,ft,Fußnote,f"/>
    <w:basedOn w:val="Normal"/>
    <w:link w:val="FootnoteTextChar"/>
    <w:uiPriority w:val="99"/>
    <w:unhideWhenUsed/>
    <w:qFormat/>
    <w:pPr>
      <w:spacing w:after="0" w:line="240" w:lineRule="auto"/>
    </w:pPr>
    <w:rPr>
      <w:rFonts w:ascii="Calibri" w:eastAsia="Calibri" w:hAnsi="Calibri" w:cs="Arial"/>
      <w:sz w:val="20"/>
      <w:szCs w:val="20"/>
    </w:rPr>
  </w:style>
  <w:style w:type="character" w:customStyle="1" w:styleId="FootnoteTextChar">
    <w:name w:val="Footnote Text Char"/>
    <w:aliases w:val="Footnote Char,Text Char,single space Char,Footnote Text Char Char Char,Footnote Text Char1 Char Char,Footnote Text Char Char Char1 Char,Footnote Text Char1 Char Char Char1 Char,Footnote Text Char1 Char1 Char Char,fn Char,ADB Char"/>
    <w:basedOn w:val="DefaultParagraphFont"/>
    <w:link w:val="FootnoteText"/>
    <w:uiPriority w:val="99"/>
    <w:rPr>
      <w:rFonts w:ascii="Calibri" w:eastAsia="Calibri" w:hAnsi="Calibri" w:cs="Arial"/>
      <w:sz w:val="20"/>
      <w:szCs w:val="20"/>
      <w:lang w:val="fr-FR"/>
    </w:rPr>
  </w:style>
  <w:style w:type="character" w:styleId="FootnoteReference">
    <w:name w:val="footnote reference"/>
    <w:aliases w:val="Footnotes refss Char,Ref Char,de nota al pie Char,16 Point Char,Superscript 6 Point Char,ftref Char,Footnote Reference Number Char,Footnote Reference1 Char, BVI fnr Car Car1 Car Car Char Car Char Car Char Char Char,BVI fnr, BVI fnr"/>
    <w:link w:val="Footnotesrefss"/>
    <w:uiPriority w:val="99"/>
    <w:unhideWhenUsed/>
    <w:qFormat/>
    <w:rPr>
      <w:vertAlign w:val="superscript"/>
    </w:rPr>
  </w:style>
  <w:style w:type="paragraph" w:customStyle="1" w:styleId="Footnotesrefss">
    <w:name w:val="Footnotes refss"/>
    <w:aliases w:val="Ref,de nota al pie,16 Point,Superscript 6 Point,ftref,Footnote Reference Number,Footnote Reference1, BVI fnr Car Car1 Car Car Char Car Char Car Char Char,BVI fnr Car Car1 Car Car Char Car Char Car Char Char"/>
    <w:basedOn w:val="Normal"/>
    <w:link w:val="FootnoteReference"/>
    <w:uiPriority w:val="99"/>
    <w:pPr>
      <w:spacing w:after="160" w:line="240" w:lineRule="exact"/>
    </w:pPr>
    <w:rPr>
      <w:vertAlign w:val="superscript"/>
    </w:rPr>
  </w:style>
  <w:style w:type="paragraph" w:styleId="PlainText">
    <w:name w:val="Plain Text"/>
    <w:basedOn w:val="Normal"/>
    <w:link w:val="PlainTextChar"/>
    <w:uiPriority w:val="99"/>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lang w:val="fr-FR"/>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FootnoteText">
    <w:name w:val="footnote text"/>
    <w:aliases w:val="Footnote,Text,single space,Footnote Text Char Char,Footnote Text Char1 Char,Footnote Text Char Char Char1,Footnote Text Char1 Char Char Char1,Footnote Text Char1 Char1 Char,Footnote Text Char Char Char Char,fn,ADB,fn1,ft,Fußnote,f"/>
    <w:basedOn w:val="Normal"/>
    <w:link w:val="FootnoteTextChar"/>
    <w:uiPriority w:val="99"/>
    <w:unhideWhenUsed/>
    <w:qFormat/>
    <w:pPr>
      <w:spacing w:after="0" w:line="240" w:lineRule="auto"/>
    </w:pPr>
    <w:rPr>
      <w:rFonts w:ascii="Calibri" w:eastAsia="Calibri" w:hAnsi="Calibri" w:cs="Arial"/>
      <w:sz w:val="20"/>
      <w:szCs w:val="20"/>
    </w:rPr>
  </w:style>
  <w:style w:type="character" w:customStyle="1" w:styleId="FootnoteTextChar">
    <w:name w:val="Footnote Text Char"/>
    <w:aliases w:val="Footnote Char,Text Char,single space Char,Footnote Text Char Char Char,Footnote Text Char1 Char Char,Footnote Text Char Char Char1 Char,Footnote Text Char1 Char Char Char1 Char,Footnote Text Char1 Char1 Char Char,fn Char,ADB Char"/>
    <w:basedOn w:val="DefaultParagraphFont"/>
    <w:link w:val="FootnoteText"/>
    <w:uiPriority w:val="99"/>
    <w:rPr>
      <w:rFonts w:ascii="Calibri" w:eastAsia="Calibri" w:hAnsi="Calibri" w:cs="Arial"/>
      <w:sz w:val="20"/>
      <w:szCs w:val="20"/>
      <w:lang w:val="fr-FR"/>
    </w:rPr>
  </w:style>
  <w:style w:type="character" w:styleId="FootnoteReference">
    <w:name w:val="footnote reference"/>
    <w:aliases w:val="Footnotes refss Char,Ref Char,de nota al pie Char,16 Point Char,Superscript 6 Point Char,ftref Char,Footnote Reference Number Char,Footnote Reference1 Char, BVI fnr Car Car1 Car Car Char Car Char Car Char Char Char,BVI fnr, BVI fnr"/>
    <w:link w:val="Footnotesrefss"/>
    <w:uiPriority w:val="99"/>
    <w:unhideWhenUsed/>
    <w:qFormat/>
    <w:rPr>
      <w:vertAlign w:val="superscript"/>
    </w:rPr>
  </w:style>
  <w:style w:type="paragraph" w:customStyle="1" w:styleId="Footnotesrefss">
    <w:name w:val="Footnotes refss"/>
    <w:aliases w:val="Ref,de nota al pie,16 Point,Superscript 6 Point,ftref,Footnote Reference Number,Footnote Reference1, BVI fnr Car Car1 Car Car Char Car Char Car Char Char,BVI fnr Car Car1 Car Car Char Car Char Car Char Char"/>
    <w:basedOn w:val="Normal"/>
    <w:link w:val="FootnoteReference"/>
    <w:uiPriority w:val="99"/>
    <w:pPr>
      <w:spacing w:after="160" w:line="240" w:lineRule="exact"/>
    </w:pPr>
    <w:rPr>
      <w:vertAlign w:val="superscript"/>
    </w:rPr>
  </w:style>
  <w:style w:type="paragraph" w:styleId="PlainText">
    <w:name w:val="Plain Text"/>
    <w:basedOn w:val="Normal"/>
    <w:link w:val="PlainTextChar"/>
    <w:uiPriority w:val="99"/>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lang w:val="fr-FR"/>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7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558D-49DC-401D-BA12-DA972465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21</Pages>
  <Words>6099</Words>
  <Characters>33243</Characters>
  <Application>Microsoft Office Word</Application>
  <DocSecurity>0</DocSecurity>
  <Lines>791</Lines>
  <Paragraphs>442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GEENIS-PALERMO Mildred (SG)</dc:creator>
  <cp:lastModifiedBy>Stefanie Heilemann</cp:lastModifiedBy>
  <cp:revision>18</cp:revision>
  <cp:lastPrinted>2015-10-20T06:46:00Z</cp:lastPrinted>
  <dcterms:created xsi:type="dcterms:W3CDTF">2015-10-14T08:52:00Z</dcterms:created>
  <dcterms:modified xsi:type="dcterms:W3CDTF">2015-10-20T12:03:00Z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DocStatus">
    <vt:lpwstr>Green</vt:lpwstr>
  </property>
</Properties>
</file>