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3C861FC4BA7436BAEF09778F91A882C" style="width:450.75pt;height:406.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ind w:left="-142"/>
        <w:jc w:val="center"/>
        <w:rPr>
          <w:rFonts w:ascii="Times New Roman" w:hAnsi="Times New Roman" w:cs="Times New Roman"/>
          <w:b/>
          <w:noProof/>
          <w:sz w:val="20"/>
          <w:szCs w:val="20"/>
        </w:rPr>
      </w:pPr>
      <w:bookmarkStart w:id="1" w:name="_GoBack"/>
      <w:bookmarkEnd w:id="1"/>
      <w:r>
        <w:rPr>
          <w:rFonts w:ascii="Times New Roman" w:hAnsi="Times New Roman"/>
          <w:b/>
          <w:noProof/>
          <w:sz w:val="20"/>
        </w:rPr>
        <w:lastRenderedPageBreak/>
        <w:t>Annexe 9: fonctionnement de l'accord de réadmission UE-Pakistan sur la période 2012-2014</w:t>
      </w:r>
    </w:p>
    <w:tbl>
      <w:tblPr>
        <w:tblW w:w="0" w:type="auto"/>
        <w:tblInd w:w="93" w:type="dxa"/>
        <w:tblLook w:val="04A0" w:firstRow="1" w:lastRow="0" w:firstColumn="1" w:lastColumn="0" w:noHBand="0" w:noVBand="1"/>
      </w:tblPr>
      <w:tblGrid>
        <w:gridCol w:w="1350"/>
        <w:gridCol w:w="1412"/>
        <w:gridCol w:w="1336"/>
        <w:gridCol w:w="1336"/>
        <w:gridCol w:w="916"/>
        <w:gridCol w:w="866"/>
        <w:gridCol w:w="866"/>
        <w:gridCol w:w="866"/>
        <w:gridCol w:w="916"/>
        <w:gridCol w:w="1049"/>
        <w:gridCol w:w="1049"/>
        <w:gridCol w:w="1049"/>
        <w:gridCol w:w="972"/>
      </w:tblGrid>
      <w:tr>
        <w:trPr>
          <w:trHeight w:val="690"/>
        </w:trPr>
        <w:tc>
          <w:tcPr>
            <w:tcW w:w="0" w:type="auto"/>
            <w:tcBorders>
              <w:top w:val="single" w:sz="4" w:space="0" w:color="auto"/>
              <w:left w:val="single" w:sz="4" w:space="0" w:color="auto"/>
              <w:bottom w:val="single" w:sz="4" w:space="0" w:color="auto"/>
              <w:right w:val="dotted" w:sz="4" w:space="0" w:color="auto"/>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 </w:t>
            </w:r>
          </w:p>
        </w:tc>
        <w:tc>
          <w:tcPr>
            <w:tcW w:w="0" w:type="auto"/>
            <w:gridSpan w:val="3"/>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Décisions de retour signifiées à des citoyens pakistanais</w:t>
            </w:r>
          </w:p>
        </w:tc>
        <w:tc>
          <w:tcPr>
            <w:tcW w:w="0" w:type="auto"/>
            <w:tcBorders>
              <w:top w:val="single" w:sz="4" w:space="0" w:color="auto"/>
              <w:left w:val="nil"/>
              <w:bottom w:val="single" w:sz="4" w:space="0" w:color="auto"/>
              <w:right w:val="dotted"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 </w:t>
            </w:r>
          </w:p>
        </w:tc>
        <w:tc>
          <w:tcPr>
            <w:tcW w:w="0" w:type="auto"/>
            <w:gridSpan w:val="4"/>
            <w:tcBorders>
              <w:top w:val="single" w:sz="4" w:space="0" w:color="auto"/>
              <w:left w:val="nil"/>
              <w:bottom w:val="single" w:sz="4" w:space="0" w:color="auto"/>
              <w:right w:val="dotted" w:sz="4" w:space="0" w:color="000000"/>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Retours effectifs de citoyens pakistanais</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Taux de retour des citoyens pakistanais</w:t>
            </w:r>
          </w:p>
        </w:tc>
      </w:tr>
      <w:tr>
        <w:trPr>
          <w:trHeight w:hRule="exact" w:val="284"/>
        </w:trPr>
        <w:tc>
          <w:tcPr>
            <w:tcW w:w="0" w:type="auto"/>
            <w:tcBorders>
              <w:top w:val="nil"/>
              <w:left w:val="single" w:sz="4"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dotted" w:sz="4" w:space="0" w:color="auto"/>
              <w:bottom w:val="single" w:sz="8"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2012</w:t>
            </w:r>
          </w:p>
        </w:tc>
        <w:tc>
          <w:tcPr>
            <w:tcW w:w="0" w:type="auto"/>
            <w:tcBorders>
              <w:top w:val="nil"/>
              <w:left w:val="nil"/>
              <w:bottom w:val="single" w:sz="8"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2013</w:t>
            </w:r>
          </w:p>
        </w:tc>
        <w:tc>
          <w:tcPr>
            <w:tcW w:w="0" w:type="auto"/>
            <w:tcBorders>
              <w:top w:val="nil"/>
              <w:left w:val="nil"/>
              <w:bottom w:val="single" w:sz="8"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2014</w:t>
            </w:r>
          </w:p>
        </w:tc>
        <w:tc>
          <w:tcPr>
            <w:tcW w:w="0" w:type="auto"/>
            <w:tcBorders>
              <w:top w:val="nil"/>
              <w:left w:val="nil"/>
              <w:bottom w:val="single" w:sz="8" w:space="0" w:color="auto"/>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Total</w:t>
            </w:r>
          </w:p>
        </w:tc>
        <w:tc>
          <w:tcPr>
            <w:tcW w:w="0" w:type="auto"/>
            <w:tcBorders>
              <w:top w:val="nil"/>
              <w:left w:val="nil"/>
              <w:bottom w:val="single" w:sz="8"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2012</w:t>
            </w:r>
          </w:p>
        </w:tc>
        <w:tc>
          <w:tcPr>
            <w:tcW w:w="0" w:type="auto"/>
            <w:tcBorders>
              <w:top w:val="nil"/>
              <w:left w:val="nil"/>
              <w:bottom w:val="single" w:sz="8"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2013</w:t>
            </w:r>
          </w:p>
        </w:tc>
        <w:tc>
          <w:tcPr>
            <w:tcW w:w="0" w:type="auto"/>
            <w:tcBorders>
              <w:top w:val="nil"/>
              <w:left w:val="nil"/>
              <w:bottom w:val="single" w:sz="8"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2014</w:t>
            </w:r>
          </w:p>
        </w:tc>
        <w:tc>
          <w:tcPr>
            <w:tcW w:w="0" w:type="auto"/>
            <w:tcBorders>
              <w:top w:val="nil"/>
              <w:left w:val="nil"/>
              <w:bottom w:val="single" w:sz="8" w:space="0" w:color="auto"/>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Total</w:t>
            </w:r>
          </w:p>
        </w:tc>
        <w:tc>
          <w:tcPr>
            <w:tcW w:w="0" w:type="auto"/>
            <w:tcBorders>
              <w:top w:val="nil"/>
              <w:left w:val="nil"/>
              <w:bottom w:val="single" w:sz="8"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2012</w:t>
            </w:r>
          </w:p>
        </w:tc>
        <w:tc>
          <w:tcPr>
            <w:tcW w:w="0" w:type="auto"/>
            <w:tcBorders>
              <w:top w:val="nil"/>
              <w:left w:val="nil"/>
              <w:bottom w:val="single" w:sz="8"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2013</w:t>
            </w:r>
          </w:p>
        </w:tc>
        <w:tc>
          <w:tcPr>
            <w:tcW w:w="0" w:type="auto"/>
            <w:tcBorders>
              <w:top w:val="nil"/>
              <w:left w:val="nil"/>
              <w:bottom w:val="single" w:sz="8"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2014</w:t>
            </w:r>
          </w:p>
        </w:tc>
        <w:tc>
          <w:tcPr>
            <w:tcW w:w="0" w:type="auto"/>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Moyenne</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b/>
                <w:bCs/>
                <w:i/>
                <w:iCs/>
                <w:noProof/>
                <w:color w:val="000000"/>
                <w:sz w:val="20"/>
                <w:szCs w:val="20"/>
              </w:rPr>
            </w:pPr>
            <w:r>
              <w:rPr>
                <w:rFonts w:ascii="Times New Roman" w:hAnsi="Times New Roman"/>
                <w:b/>
                <w:i/>
                <w:noProof/>
                <w:color w:val="000000"/>
                <w:sz w:val="20"/>
              </w:rPr>
              <w:t>Total UE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b/>
                <w:bCs/>
                <w:i/>
                <w:iCs/>
                <w:noProof/>
                <w:color w:val="000000"/>
                <w:sz w:val="20"/>
                <w:szCs w:val="20"/>
              </w:rPr>
            </w:pPr>
            <w:r>
              <w:rPr>
                <w:rFonts w:ascii="Times New Roman" w:hAnsi="Times New Roman"/>
                <w:b/>
                <w:i/>
                <w:noProof/>
                <w:color w:val="000000"/>
                <w:sz w:val="20"/>
              </w:rPr>
              <w:t xml:space="preserve">  35 460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b/>
                <w:bCs/>
                <w:i/>
                <w:iCs/>
                <w:noProof/>
                <w:color w:val="000000"/>
                <w:sz w:val="20"/>
                <w:szCs w:val="20"/>
              </w:rPr>
            </w:pPr>
            <w:r>
              <w:rPr>
                <w:rFonts w:ascii="Times New Roman" w:hAnsi="Times New Roman"/>
                <w:b/>
                <w:i/>
                <w:noProof/>
                <w:color w:val="000000"/>
                <w:sz w:val="20"/>
              </w:rPr>
              <w:t xml:space="preserve">  25 360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b/>
                <w:bCs/>
                <w:i/>
                <w:iCs/>
                <w:noProof/>
                <w:color w:val="000000"/>
                <w:sz w:val="20"/>
                <w:szCs w:val="20"/>
              </w:rPr>
            </w:pPr>
            <w:r>
              <w:rPr>
                <w:rFonts w:ascii="Times New Roman" w:hAnsi="Times New Roman"/>
                <w:b/>
                <w:i/>
                <w:noProof/>
                <w:color w:val="000000"/>
                <w:sz w:val="20"/>
              </w:rPr>
              <w:t xml:space="preserve">  19 945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i/>
                <w:iCs/>
                <w:noProof/>
                <w:color w:val="000000"/>
                <w:sz w:val="20"/>
                <w:szCs w:val="20"/>
              </w:rPr>
            </w:pPr>
            <w:r>
              <w:rPr>
                <w:rFonts w:ascii="Times New Roman" w:hAnsi="Times New Roman"/>
                <w:b/>
                <w:i/>
                <w:noProof/>
                <w:color w:val="000000"/>
                <w:sz w:val="20"/>
              </w:rPr>
              <w:t xml:space="preserve">  80 765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b/>
                <w:bCs/>
                <w:i/>
                <w:iCs/>
                <w:noProof/>
                <w:color w:val="000000"/>
                <w:sz w:val="20"/>
                <w:szCs w:val="20"/>
              </w:rPr>
            </w:pPr>
            <w:r>
              <w:rPr>
                <w:rFonts w:ascii="Times New Roman" w:hAnsi="Times New Roman"/>
                <w:b/>
                <w:i/>
                <w:noProof/>
                <w:color w:val="000000"/>
                <w:sz w:val="20"/>
              </w:rPr>
              <w:t xml:space="preserve">  13 565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b/>
                <w:bCs/>
                <w:i/>
                <w:iCs/>
                <w:noProof/>
                <w:color w:val="000000"/>
                <w:sz w:val="20"/>
                <w:szCs w:val="20"/>
              </w:rPr>
            </w:pPr>
            <w:r>
              <w:rPr>
                <w:rFonts w:ascii="Times New Roman" w:hAnsi="Times New Roman"/>
                <w:b/>
                <w:i/>
                <w:noProof/>
                <w:color w:val="000000"/>
                <w:sz w:val="20"/>
              </w:rPr>
              <w:t xml:space="preserve">  13 705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b/>
                <w:bCs/>
                <w:i/>
                <w:iCs/>
                <w:noProof/>
                <w:color w:val="000000"/>
                <w:sz w:val="20"/>
                <w:szCs w:val="20"/>
              </w:rPr>
            </w:pPr>
            <w:r>
              <w:rPr>
                <w:rFonts w:ascii="Times New Roman" w:hAnsi="Times New Roman"/>
                <w:b/>
                <w:i/>
                <w:noProof/>
                <w:color w:val="000000"/>
                <w:sz w:val="20"/>
              </w:rPr>
              <w:t xml:space="preserve">  10 725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i/>
                <w:iCs/>
                <w:noProof/>
                <w:color w:val="000000"/>
                <w:sz w:val="20"/>
                <w:szCs w:val="20"/>
              </w:rPr>
            </w:pPr>
            <w:r>
              <w:rPr>
                <w:rFonts w:ascii="Times New Roman" w:hAnsi="Times New Roman"/>
                <w:b/>
                <w:i/>
                <w:noProof/>
                <w:color w:val="000000"/>
                <w:sz w:val="20"/>
              </w:rPr>
              <w:t xml:space="preserve">  37 995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b/>
                <w:bCs/>
                <w:i/>
                <w:iCs/>
                <w:noProof/>
                <w:color w:val="000000"/>
                <w:sz w:val="20"/>
                <w:szCs w:val="20"/>
              </w:rPr>
            </w:pPr>
            <w:r>
              <w:rPr>
                <w:rFonts w:ascii="Times New Roman" w:hAnsi="Times New Roman"/>
                <w:b/>
                <w:i/>
                <w:noProof/>
                <w:color w:val="000000"/>
                <w:sz w:val="20"/>
              </w:rPr>
              <w:t xml:space="preserve">      38,3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b/>
                <w:bCs/>
                <w:i/>
                <w:iCs/>
                <w:noProof/>
                <w:color w:val="000000"/>
                <w:sz w:val="20"/>
                <w:szCs w:val="20"/>
              </w:rPr>
            </w:pPr>
            <w:r>
              <w:rPr>
                <w:rFonts w:ascii="Times New Roman" w:hAnsi="Times New Roman"/>
                <w:b/>
                <w:i/>
                <w:noProof/>
                <w:color w:val="000000"/>
                <w:sz w:val="20"/>
              </w:rPr>
              <w:t xml:space="preserve">      54,0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b/>
                <w:bCs/>
                <w:i/>
                <w:iCs/>
                <w:noProof/>
                <w:color w:val="000000"/>
                <w:sz w:val="20"/>
                <w:szCs w:val="20"/>
              </w:rPr>
            </w:pPr>
            <w:r>
              <w:rPr>
                <w:rFonts w:ascii="Times New Roman" w:hAnsi="Times New Roman"/>
                <w:b/>
                <w:i/>
                <w:noProof/>
                <w:color w:val="000000"/>
                <w:sz w:val="20"/>
              </w:rPr>
              <w:t xml:space="preserve">      53,8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i/>
                <w:iCs/>
                <w:noProof/>
                <w:color w:val="000000"/>
                <w:sz w:val="20"/>
                <w:szCs w:val="20"/>
              </w:rPr>
            </w:pPr>
            <w:r>
              <w:rPr>
                <w:rFonts w:ascii="Times New Roman" w:hAnsi="Times New Roman"/>
                <w:b/>
                <w:i/>
                <w:noProof/>
                <w:color w:val="000000"/>
                <w:sz w:val="20"/>
              </w:rPr>
              <w:t xml:space="preserve">      47,0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Royaume-Uni</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7 125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8 240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9 790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25 155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5 625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6 210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5 605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17 440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78,9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75,4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57,3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69,3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Grèce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18 010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7 620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3 525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29 155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5 135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4 835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3 565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13 535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28,5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63,5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101,1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46,4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France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1 915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2 180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2 240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6 335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505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555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590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1 650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26,4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25,5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26,3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26,0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Belgique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1 420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1 535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1 005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3 960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125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175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145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445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8,8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11,4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14,4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11,2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Espagne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2 540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1 370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1 800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5 710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220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155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125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500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8,7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11,3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6,9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8,8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Autriche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1 205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1 035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2 240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80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230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310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6,6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22,2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13,8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Hongrie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790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665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90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1 545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690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585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95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1 370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87,3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88,0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105,6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88,7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Allemagne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375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545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810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1 730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220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185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170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575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58,7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33,9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21,0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33,2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Italie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400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520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330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1 250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90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8,8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5,8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7,6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7,2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Pays-Bas</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280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390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670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70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130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25,0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15,4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19,4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Chypre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295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330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240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865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415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290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165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870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140,7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87,9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68,8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100,6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Suède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220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255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215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690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255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25,0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39,2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46,5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37,0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Croatie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185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85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270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75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130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29,7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88,2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48,1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Portugal</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235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440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10,6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4,8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10,0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9,1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Danemark</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90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85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110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285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165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66,7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52,9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54,5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57,9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Irlande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190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70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305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85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28,9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28,6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22,2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27,9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Bulgarie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220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345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95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41,7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46,2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18,2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27,5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Pologne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95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185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47,4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44,4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77,8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54,1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Roumanie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165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90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170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90,0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142,9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100,0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103,0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Finlande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70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66,7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16,7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20,0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28,6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Slovénie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120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45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130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110,0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180,0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66,7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108,3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Lituanie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100,0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50,0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50,0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60,0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Rép. tchèque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Estonie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50,0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100,0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aucun cas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66,7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Malte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25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30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100,0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aucun cas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16,7 </w:t>
            </w:r>
          </w:p>
        </w:tc>
      </w:tr>
      <w:tr>
        <w:trPr>
          <w:trHeight w:hRule="exact" w:val="284"/>
        </w:trPr>
        <w:tc>
          <w:tcPr>
            <w:tcW w:w="0" w:type="auto"/>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Lettonie</w:t>
            </w:r>
          </w:p>
        </w:tc>
        <w:tc>
          <w:tcPr>
            <w:tcW w:w="0" w:type="auto"/>
            <w:tcBorders>
              <w:top w:val="nil"/>
              <w:left w:val="dotted" w:sz="4" w:space="0" w:color="auto"/>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 </w:t>
            </w:r>
          </w:p>
        </w:tc>
        <w:tc>
          <w:tcPr>
            <w:tcW w:w="0" w:type="auto"/>
            <w:tcBorders>
              <w:top w:val="nil"/>
              <w:left w:val="nil"/>
              <w:bottom w:val="nil"/>
              <w:right w:val="dotted"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15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100,0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aucun cas </w:t>
            </w:r>
          </w:p>
        </w:tc>
        <w:tc>
          <w:tcPr>
            <w:tcW w:w="0" w:type="auto"/>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100,0 </w:t>
            </w:r>
          </w:p>
        </w:tc>
        <w:tc>
          <w:tcPr>
            <w:tcW w:w="0" w:type="auto"/>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100,0 </w:t>
            </w:r>
          </w:p>
        </w:tc>
      </w:tr>
      <w:tr>
        <w:trPr>
          <w:trHeight w:hRule="exact" w:val="284"/>
        </w:trPr>
        <w:tc>
          <w:tcPr>
            <w:tcW w:w="0" w:type="auto"/>
            <w:tcBorders>
              <w:top w:val="nil"/>
              <w:left w:val="single" w:sz="4"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Slovaquie</w:t>
            </w:r>
          </w:p>
        </w:tc>
        <w:tc>
          <w:tcPr>
            <w:tcW w:w="0" w:type="auto"/>
            <w:tcBorders>
              <w:top w:val="nil"/>
              <w:left w:val="dotted"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 </w:t>
            </w:r>
          </w:p>
        </w:tc>
        <w:tc>
          <w:tcPr>
            <w:tcW w:w="0" w:type="auto"/>
            <w:tcBorders>
              <w:top w:val="nil"/>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 </w:t>
            </w:r>
          </w:p>
        </w:tc>
        <w:tc>
          <w:tcPr>
            <w:tcW w:w="0" w:type="auto"/>
            <w:tcBorders>
              <w:top w:val="nil"/>
              <w:left w:val="dotted"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   </w:t>
            </w:r>
          </w:p>
        </w:tc>
        <w:tc>
          <w:tcPr>
            <w:tcW w:w="0" w:type="auto"/>
            <w:tcBorders>
              <w:top w:val="nil"/>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aucun cas </w:t>
            </w:r>
          </w:p>
        </w:tc>
        <w:tc>
          <w:tcPr>
            <w:tcW w:w="0" w:type="auto"/>
            <w:tcBorders>
              <w:top w:val="nil"/>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aucun cas </w:t>
            </w:r>
          </w:p>
        </w:tc>
        <w:tc>
          <w:tcPr>
            <w:tcW w:w="0" w:type="auto"/>
            <w:tcBorders>
              <w:top w:val="nil"/>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     100,0 </w:t>
            </w:r>
          </w:p>
        </w:tc>
      </w:tr>
    </w:tbl>
    <w:p>
      <w:pPr>
        <w:rPr>
          <w:rFonts w:ascii="Times New Roman" w:hAnsi="Times New Roman" w:cs="Times New Roman"/>
          <w:i/>
          <w:noProof/>
          <w:sz w:val="20"/>
          <w:szCs w:val="20"/>
        </w:rPr>
      </w:pPr>
      <w:r>
        <w:rPr>
          <w:rFonts w:ascii="Times New Roman" w:hAnsi="Times New Roman"/>
          <w:i/>
          <w:noProof/>
          <w:sz w:val="20"/>
        </w:rPr>
        <w:t>Source: Eurostat, 2015.</w:t>
      </w:r>
    </w:p>
    <w:sectPr>
      <w:headerReference w:type="even" r:id="rId16"/>
      <w:headerReference w:type="default" r:id="rId17"/>
      <w:footerReference w:type="even" r:id="rId18"/>
      <w:footerReference w:type="default" r:id="rId19"/>
      <w:headerReference w:type="first" r:id="rId20"/>
      <w:footerReference w:type="first" r:id="rId21"/>
      <w:pgSz w:w="16838" w:h="11906" w:orient="landscape"/>
      <w:pgMar w:top="851" w:right="1418" w:bottom="284" w:left="1560"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4002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FA2"/>
    <w:multiLevelType w:val="multilevel"/>
    <w:tmpl w:val="27A0B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8A68EF"/>
    <w:multiLevelType w:val="multilevel"/>
    <w:tmpl w:val="DC589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4D1D1D"/>
    <w:multiLevelType w:val="multilevel"/>
    <w:tmpl w:val="23B2C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B406CC3"/>
    <w:multiLevelType w:val="multilevel"/>
    <w:tmpl w:val="9934E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570A24"/>
    <w:multiLevelType w:val="multilevel"/>
    <w:tmpl w:val="664CF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22B5518"/>
    <w:multiLevelType w:val="multilevel"/>
    <w:tmpl w:val="977CE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913541"/>
    <w:multiLevelType w:val="multilevel"/>
    <w:tmpl w:val="7EA04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9"/>
  </w:num>
  <w:num w:numId="3">
    <w:abstractNumId w:val="13"/>
  </w:num>
  <w:num w:numId="4">
    <w:abstractNumId w:val="4"/>
  </w:num>
  <w:num w:numId="5">
    <w:abstractNumId w:val="2"/>
  </w:num>
  <w:num w:numId="6">
    <w:abstractNumId w:val="7"/>
  </w:num>
  <w:num w:numId="7">
    <w:abstractNumId w:val="8"/>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revisionView w:markup="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
    <w:docVar w:name="LW_ANNEX_NBR_FIRST" w:val="9"/>
    <w:docVar w:name="LW_ANNEX_NBR_LAST" w:val="9"/>
    <w:docVar w:name="LW_CONFIDENCE" w:val=" "/>
    <w:docVar w:name="LW_CONST_RESTREINT_UE" w:val="RESTREINT UE"/>
    <w:docVar w:name="LW_CORRIGENDUM" w:val="&lt;UNUSED&gt;"/>
    <w:docVar w:name="LW_COVERPAGE_GUID" w:val="B3C861FC4BA7436BAEF09778F91A882C"/>
    <w:docVar w:name="LW_CROSSREFERENCE" w:val="&lt;UNUSED&gt;"/>
    <w:docVar w:name="LW_DATE.ADOPT.CP_ISODATE" w:val="&lt;EMPTY&gt;"/>
    <w:docVar w:name="LW_DocType" w:val="NORMAL"/>
    <w:docVar w:name="LW_EMISSION" w:val="14.10.2015"/>
    <w:docVar w:name="LW_EMISSION_ISODATE" w:val="2015-10-14"/>
    <w:docVar w:name="LW_EMISSION_LOCATION" w:val="BRX"/>
    <w:docVar w:name="LW_EMISSION_PREFIX" w:val="Bruxelles, le "/>
    <w:docVar w:name="LW_EMISSION_SUFFIX" w:val=" "/>
    <w:docVar w:name="LW_ID_DOCTYPE_NONLW" w:val="CP-039"/>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Gestion de la crise des réfugiés: état d'avancement de la mise en oeuvre des actions prioritaires prévues par l'agenda européen en matière de migration"/>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10"/>
    <w:docVar w:name="LW_REF.INTERNE" w:val="&lt;UNUSED&gt;"/>
    <w:docVar w:name="LW_SOUS.TITRE.OBJ.CP" w:val="&lt;UNUSED&gt;"/>
    <w:docVar w:name="LW_SUPERTITRE" w:val="&lt;UNUSED&gt;"/>
    <w:docVar w:name="LW_TITRE.OBJ.CP" w:val="&lt;UNUSED&gt;"/>
    <w:docVar w:name="LW_TYPE.DOC.CP" w:val="ANNEXE_x000b_"/>
    <w:docVar w:name="LW_TYPEACTEPRINCIPAL.CP" w:val="COMMUNICATION DE LA COMMISSION AU PARLEMENT EUROPÉEN, AU CONSEIL EUROPÉEN ET AU CONSEIL_x000b_"/>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fr-FR"/>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fr-FR"/>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8274D-0BB9-4707-B300-3A2BFDB8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1095</Words>
  <Characters>3570</Characters>
  <Application>Microsoft Office Word</Application>
  <DocSecurity>0</DocSecurity>
  <Lines>1190</Lines>
  <Paragraphs>1166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DIGIT/A3</cp:lastModifiedBy>
  <cp:revision>10</cp:revision>
  <cp:lastPrinted>2015-10-14T13:51:00Z</cp:lastPrinted>
  <dcterms:created xsi:type="dcterms:W3CDTF">2015-10-14T14:15:00Z</dcterms:created>
  <dcterms:modified xsi:type="dcterms:W3CDTF">2015-10-20T11:39:00Z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9</vt:lpwstr>
  </property>
  <property fmtid="{D5CDD505-2E9C-101B-9397-08002B2CF9AE}" pid="3" name="Last annex">
    <vt:lpwstr>9</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