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B2" w:rsidRDefault="00913D73">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B61B963821B42E4A0FD88DD7686304A" style="width:450pt;height:435pt">
            <v:imagedata r:id="rId9" o:title=""/>
          </v:shape>
        </w:pict>
      </w:r>
    </w:p>
    <w:bookmarkEnd w:id="0"/>
    <w:p w:rsidR="00CB2BB2" w:rsidRDefault="00CB2BB2">
      <w:pPr>
        <w:rPr>
          <w:rFonts w:ascii="Times New Roman" w:hAnsi="Times New Roman" w:cs="Times New Roman"/>
          <w:noProof/>
          <w:sz w:val="20"/>
          <w:szCs w:val="20"/>
        </w:rPr>
        <w:sectPr w:rsidR="00CB2BB2">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CB2BB2" w:rsidRDefault="00913D73">
      <w:pPr>
        <w:spacing w:line="240" w:lineRule="auto"/>
        <w:jc w:val="center"/>
        <w:rPr>
          <w:rFonts w:ascii="Times New Roman" w:hAnsi="Times New Roman" w:cs="Times New Roman"/>
          <w:b/>
          <w:noProof/>
          <w:sz w:val="20"/>
          <w:szCs w:val="20"/>
        </w:rPr>
      </w:pPr>
      <w:r>
        <w:rPr>
          <w:rFonts w:ascii="Times New Roman" w:hAnsi="Times New Roman"/>
          <w:b/>
          <w:noProof/>
          <w:sz w:val="20"/>
        </w:rPr>
        <w:lastRenderedPageBreak/>
        <w:t>ПРИЛОЖЕНИЕ 1</w:t>
      </w:r>
    </w:p>
    <w:p w:rsidR="00CB2BB2" w:rsidRDefault="00913D73">
      <w:pPr>
        <w:spacing w:line="240" w:lineRule="auto"/>
        <w:jc w:val="center"/>
        <w:rPr>
          <w:rFonts w:ascii="Times New Roman" w:hAnsi="Times New Roman" w:cs="Times New Roman"/>
          <w:noProof/>
          <w:sz w:val="20"/>
          <w:szCs w:val="20"/>
        </w:rPr>
      </w:pPr>
      <w:r>
        <w:rPr>
          <w:rFonts w:ascii="Times New Roman" w:hAnsi="Times New Roman"/>
          <w:noProof/>
          <w:sz w:val="20"/>
        </w:rPr>
        <w:t>ПРОСЛЕДЯВАНЕ НА ПРИОРИТЕТНИТЕ ДЕЙСТВИЯ</w:t>
      </w:r>
    </w:p>
    <w:p w:rsidR="00CB2BB2" w:rsidRDefault="00913D73">
      <w:pPr>
        <w:spacing w:line="240" w:lineRule="auto"/>
        <w:jc w:val="center"/>
        <w:rPr>
          <w:rFonts w:ascii="Times New Roman" w:hAnsi="Times New Roman" w:cs="Times New Roman"/>
          <w:noProof/>
          <w:sz w:val="20"/>
          <w:szCs w:val="20"/>
        </w:rPr>
      </w:pPr>
      <w:r>
        <w:rPr>
          <w:rFonts w:ascii="Times New Roman" w:hAnsi="Times New Roman"/>
          <w:noProof/>
          <w:sz w:val="20"/>
        </w:rPr>
        <w:t>Ситуация към 14 октомври 2015 г.</w:t>
      </w:r>
    </w:p>
    <w:p w:rsidR="00CB2BB2" w:rsidRDefault="00913D73">
      <w:pPr>
        <w:spacing w:line="240" w:lineRule="auto"/>
        <w:rPr>
          <w:rFonts w:ascii="Times New Roman" w:hAnsi="Times New Roman" w:cs="Times New Roman"/>
          <w:noProof/>
          <w:sz w:val="20"/>
          <w:szCs w:val="20"/>
        </w:rPr>
      </w:pPr>
      <w:r>
        <w:rPr>
          <w:rFonts w:ascii="Times New Roman" w:hAnsi="Times New Roman"/>
          <w:noProof/>
          <w:sz w:val="20"/>
        </w:rPr>
        <w:t xml:space="preserve">ОПЕРАТИВНИ МЕРКИ В </w:t>
      </w:r>
      <w:r>
        <w:rPr>
          <w:rFonts w:ascii="Times New Roman" w:hAnsi="Times New Roman"/>
          <w:noProof/>
          <w:sz w:val="20"/>
        </w:rPr>
        <w:t>РАМКИТЕ НА ЕС</w:t>
      </w:r>
    </w:p>
    <w:tbl>
      <w:tblPr>
        <w:tblStyle w:val="TableGrid"/>
        <w:tblW w:w="0" w:type="auto"/>
        <w:tblLook w:val="04A0" w:firstRow="1" w:lastRow="0" w:firstColumn="1" w:lastColumn="0" w:noHBand="0" w:noVBand="1"/>
      </w:tblPr>
      <w:tblGrid>
        <w:gridCol w:w="4089"/>
        <w:gridCol w:w="3483"/>
        <w:gridCol w:w="3333"/>
        <w:gridCol w:w="3315"/>
      </w:tblGrid>
      <w:tr w:rsidR="00CB2BB2">
        <w:tc>
          <w:tcPr>
            <w:tcW w:w="4089" w:type="dxa"/>
            <w:shd w:val="pct15" w:color="auto" w:fill="auto"/>
          </w:tcPr>
          <w:p w:rsidR="00CB2BB2" w:rsidRDefault="00CB2BB2">
            <w:pPr>
              <w:rPr>
                <w:rFonts w:ascii="Times New Roman" w:hAnsi="Times New Roman" w:cs="Times New Roman"/>
                <w:noProof/>
                <w:sz w:val="20"/>
                <w:szCs w:val="20"/>
              </w:rPr>
            </w:pPr>
          </w:p>
        </w:tc>
        <w:tc>
          <w:tcPr>
            <w:tcW w:w="3483" w:type="dxa"/>
            <w:shd w:val="pct15" w:color="auto" w:fill="auto"/>
          </w:tcPr>
          <w:p w:rsidR="00CB2BB2" w:rsidRDefault="00913D73">
            <w:pPr>
              <w:ind w:left="-108"/>
              <w:jc w:val="center"/>
              <w:rPr>
                <w:rFonts w:ascii="Times New Roman" w:hAnsi="Times New Roman" w:cs="Times New Roman"/>
                <w:b/>
                <w:noProof/>
                <w:sz w:val="20"/>
                <w:szCs w:val="20"/>
              </w:rPr>
            </w:pPr>
            <w:r>
              <w:rPr>
                <w:rFonts w:ascii="Times New Roman" w:hAnsi="Times New Roman"/>
                <w:b/>
                <w:noProof/>
                <w:sz w:val="20"/>
              </w:rPr>
              <w:t>Действия, предприети от Комисията и агенциите на ЕС</w:t>
            </w:r>
          </w:p>
        </w:tc>
        <w:tc>
          <w:tcPr>
            <w:tcW w:w="3333" w:type="dxa"/>
            <w:shd w:val="pct15" w:color="auto" w:fill="auto"/>
          </w:tcPr>
          <w:p w:rsidR="00CB2BB2" w:rsidRDefault="00913D73">
            <w:pPr>
              <w:jc w:val="center"/>
              <w:rPr>
                <w:rFonts w:ascii="Times New Roman" w:hAnsi="Times New Roman" w:cs="Times New Roman"/>
                <w:b/>
                <w:noProof/>
                <w:sz w:val="20"/>
                <w:szCs w:val="20"/>
              </w:rPr>
            </w:pPr>
            <w:r>
              <w:rPr>
                <w:rFonts w:ascii="Times New Roman" w:hAnsi="Times New Roman"/>
                <w:b/>
                <w:noProof/>
                <w:sz w:val="20"/>
              </w:rPr>
              <w:t>Действия, предприети от държавите членки</w:t>
            </w:r>
          </w:p>
        </w:tc>
        <w:tc>
          <w:tcPr>
            <w:tcW w:w="3315" w:type="dxa"/>
            <w:shd w:val="pct15" w:color="auto" w:fill="auto"/>
          </w:tcPr>
          <w:p w:rsidR="00CB2BB2" w:rsidRDefault="00913D73">
            <w:pPr>
              <w:jc w:val="center"/>
              <w:rPr>
                <w:rFonts w:ascii="Times New Roman" w:hAnsi="Times New Roman" w:cs="Times New Roman"/>
                <w:b/>
                <w:noProof/>
                <w:sz w:val="20"/>
                <w:szCs w:val="20"/>
              </w:rPr>
            </w:pPr>
            <w:r>
              <w:rPr>
                <w:rFonts w:ascii="Times New Roman" w:hAnsi="Times New Roman"/>
                <w:b/>
                <w:noProof/>
                <w:sz w:val="20"/>
              </w:rPr>
              <w:t>Следващи стъпки</w:t>
            </w:r>
          </w:p>
        </w:tc>
      </w:tr>
      <w:tr w:rsidR="00CB2BB2">
        <w:tc>
          <w:tcPr>
            <w:tcW w:w="4089" w:type="dxa"/>
          </w:tcPr>
          <w:p w:rsidR="00CB2BB2" w:rsidRDefault="00913D73">
            <w:pPr>
              <w:rPr>
                <w:rFonts w:ascii="Times New Roman" w:hAnsi="Times New Roman" w:cs="Times New Roman"/>
                <w:noProof/>
                <w:sz w:val="20"/>
                <w:szCs w:val="20"/>
              </w:rPr>
            </w:pPr>
            <w:r>
              <w:rPr>
                <w:rFonts w:ascii="Times New Roman" w:hAnsi="Times New Roman"/>
                <w:noProof/>
                <w:sz w:val="20"/>
              </w:rPr>
              <w:t xml:space="preserve">Изпълнение на подхода на „горещите точки“ и решенията за преместване </w:t>
            </w: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tc>
        <w:tc>
          <w:tcPr>
            <w:tcW w:w="348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u w:val="single"/>
              </w:rPr>
            </w:pPr>
            <w:r>
              <w:rPr>
                <w:rFonts w:ascii="Times New Roman" w:hAnsi="Times New Roman"/>
                <w:noProof/>
                <w:sz w:val="20"/>
                <w:u w:val="single"/>
              </w:rPr>
              <w:t>Координация на място:</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noProof/>
                <w:sz w:val="20"/>
              </w:rPr>
              <w:t xml:space="preserve">Комисията организира технически срещи между агенциите и Италия/Гърция. </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noProof/>
                <w:sz w:val="20"/>
              </w:rPr>
              <w:t xml:space="preserve">Координация с международните организации, които извършват дейност на място (Международната организация за миграция и Върховният комисариат за бежанците на ООН). Специални пратеници на </w:t>
            </w:r>
            <w:r>
              <w:rPr>
                <w:rFonts w:ascii="Times New Roman" w:hAnsi="Times New Roman"/>
                <w:noProof/>
                <w:sz w:val="20"/>
              </w:rPr>
              <w:t>Комисията бяха изпратени в Италия и Гърция с цел да координират въвеждането на подхода на „горещите точки“ и процедурата за преместване.</w:t>
            </w:r>
          </w:p>
          <w:p w:rsidR="00CB2BB2" w:rsidRDefault="00CB2BB2">
            <w:pPr>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u w:val="single"/>
              </w:rPr>
            </w:pPr>
            <w:r>
              <w:rPr>
                <w:rFonts w:ascii="Times New Roman" w:hAnsi="Times New Roman"/>
                <w:noProof/>
                <w:sz w:val="20"/>
                <w:u w:val="single"/>
              </w:rPr>
              <w:t>Налични екипи за съдействие в управлението на миграцията:</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noProof/>
                <w:sz w:val="20"/>
              </w:rPr>
              <w:t xml:space="preserve">Италия: Регионална работна група на ЕС беше създадена в Катания; съвместна операция на Frontex „Тритон“, включително и екипи за оценка на състоянието на мигрантите и за получаване на информация в Сицилия и Лампедуза; експерти на EASO </w:t>
            </w:r>
            <w:r>
              <w:rPr>
                <w:rFonts w:ascii="Times New Roman" w:hAnsi="Times New Roman"/>
                <w:noProof/>
                <w:sz w:val="20"/>
              </w:rPr>
              <w:lastRenderedPageBreak/>
              <w:t>бяха разположени на мя</w:t>
            </w:r>
            <w:r>
              <w:rPr>
                <w:rFonts w:ascii="Times New Roman" w:hAnsi="Times New Roman"/>
                <w:noProof/>
                <w:sz w:val="20"/>
              </w:rPr>
              <w:t>сто, за да съдействат при предоставянето на информация и за процедурата за преместване.</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noProof/>
                <w:sz w:val="20"/>
              </w:rPr>
              <w:t xml:space="preserve">Гърция: беше създадена регионална работна група на ЕС; съвместна операция на Frontex „Посейдон“, която  включва екипи за оценка на състоянието на мигрантите и за </w:t>
            </w:r>
            <w:r>
              <w:rPr>
                <w:rFonts w:ascii="Times New Roman" w:hAnsi="Times New Roman"/>
                <w:noProof/>
                <w:sz w:val="20"/>
              </w:rPr>
              <w:t>получаване на информация от тях на островите в Егейско море. Експерти на EASO ще бъдат разположени в скоро време за изпълнението на задачи, свързани с предоставянето на информация и обработването на молби за убежище.</w:t>
            </w:r>
          </w:p>
          <w:p w:rsidR="00CB2BB2" w:rsidRDefault="00CB2BB2">
            <w:pPr>
              <w:ind w:left="34"/>
              <w:rPr>
                <w:rFonts w:ascii="Times New Roman" w:hAnsi="Times New Roman" w:cs="Times New Roman"/>
                <w:noProof/>
                <w:sz w:val="20"/>
                <w:szCs w:val="20"/>
              </w:rPr>
            </w:pPr>
          </w:p>
          <w:p w:rsidR="00CB2BB2" w:rsidRDefault="00913D73">
            <w:pPr>
              <w:ind w:left="34"/>
              <w:rPr>
                <w:rFonts w:ascii="Times New Roman" w:hAnsi="Times New Roman" w:cs="Times New Roman"/>
                <w:i/>
                <w:noProof/>
                <w:sz w:val="20"/>
                <w:szCs w:val="20"/>
              </w:rPr>
            </w:pPr>
            <w:r>
              <w:rPr>
                <w:rFonts w:ascii="Times New Roman" w:hAnsi="Times New Roman"/>
                <w:i/>
                <w:noProof/>
                <w:sz w:val="20"/>
              </w:rPr>
              <w:t xml:space="preserve">     Агенции</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noProof/>
                <w:sz w:val="20"/>
              </w:rPr>
              <w:t>Екипи на Frontex за оценк</w:t>
            </w:r>
            <w:r>
              <w:rPr>
                <w:rFonts w:ascii="Times New Roman" w:hAnsi="Times New Roman"/>
                <w:noProof/>
                <w:sz w:val="20"/>
              </w:rPr>
              <w:t>а на състоянието на мигрантите и за получаване на информация от тях извършват своята дейност като част от съвместната операция, на която домакин е държавата членка, в която се изпълнява подходът на „горещите точки“.</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noProof/>
                <w:sz w:val="20"/>
              </w:rPr>
              <w:t xml:space="preserve"> На 2.10.2015 г. Frontex и EASO публикув</w:t>
            </w:r>
            <w:r>
              <w:rPr>
                <w:rFonts w:ascii="Times New Roman" w:hAnsi="Times New Roman"/>
                <w:noProof/>
                <w:sz w:val="20"/>
              </w:rPr>
              <w:t xml:space="preserve">аха </w:t>
            </w:r>
            <w:r>
              <w:rPr>
                <w:rFonts w:ascii="Times New Roman" w:hAnsi="Times New Roman"/>
                <w:noProof/>
                <w:sz w:val="20"/>
                <w:u w:val="single"/>
              </w:rPr>
              <w:t>покани за набиране на експерти и оборудване</w:t>
            </w:r>
            <w:r>
              <w:rPr>
                <w:rFonts w:ascii="Times New Roman" w:hAnsi="Times New Roman"/>
                <w:noProof/>
                <w:sz w:val="20"/>
              </w:rPr>
              <w:t xml:space="preserve"> с оглед  на по-нататъшното укрепване на екипите за съдействие в управлението на миграцията в Италия и  Гърция. </w:t>
            </w:r>
          </w:p>
          <w:p w:rsidR="00CB2BB2" w:rsidRDefault="00913D73">
            <w:pPr>
              <w:pStyle w:val="ListParagraph"/>
              <w:ind w:left="360" w:hanging="142"/>
              <w:contextualSpacing w:val="0"/>
              <w:rPr>
                <w:rFonts w:ascii="Times New Roman" w:hAnsi="Times New Roman" w:cs="Times New Roman"/>
                <w:noProof/>
                <w:sz w:val="20"/>
                <w:szCs w:val="20"/>
              </w:rPr>
            </w:pPr>
            <w:r>
              <w:rPr>
                <w:rFonts w:ascii="Times New Roman" w:hAnsi="Times New Roman"/>
                <w:noProof/>
                <w:sz w:val="20"/>
              </w:rPr>
              <w:t xml:space="preserve">- в Италия Евроюст подкрепя оперативния регионален екип на Frontex в Катания, като съдейства за </w:t>
            </w:r>
            <w:r>
              <w:rPr>
                <w:rFonts w:ascii="Times New Roman" w:hAnsi="Times New Roman"/>
                <w:noProof/>
                <w:sz w:val="20"/>
              </w:rPr>
              <w:t xml:space="preserve">исканията за правна взаимопомощ и осигурява координацията между държавите членки. — в Гърция двама гръцки прокурори от Апелативния съд на Пирея бяха определени като лица за контакт с Евроюст, като те информират Евроюст в реално време за всяка необходимост </w:t>
            </w:r>
            <w:r>
              <w:rPr>
                <w:rFonts w:ascii="Times New Roman" w:hAnsi="Times New Roman"/>
                <w:noProof/>
                <w:sz w:val="20"/>
              </w:rPr>
              <w:t>от последващи съдебни действия и координация на равнище ЕС.</w:t>
            </w:r>
          </w:p>
          <w:p w:rsidR="00CB2BB2" w:rsidRDefault="00CB2BB2">
            <w:pPr>
              <w:pStyle w:val="ListParagraph"/>
              <w:ind w:left="360" w:hanging="142"/>
              <w:rPr>
                <w:rFonts w:ascii="Times New Roman" w:hAnsi="Times New Roman" w:cs="Times New Roman"/>
                <w:noProof/>
                <w:sz w:val="20"/>
                <w:szCs w:val="20"/>
              </w:rPr>
            </w:pPr>
          </w:p>
          <w:p w:rsidR="00CB2BB2" w:rsidRDefault="00913D73">
            <w:pPr>
              <w:pStyle w:val="ListParagraph"/>
              <w:numPr>
                <w:ilvl w:val="0"/>
                <w:numId w:val="9"/>
              </w:numPr>
              <w:ind w:left="318" w:hanging="261"/>
              <w:contextualSpacing w:val="0"/>
              <w:rPr>
                <w:rFonts w:ascii="Times New Roman" w:hAnsi="Times New Roman" w:cs="Times New Roman"/>
                <w:noProof/>
                <w:sz w:val="20"/>
                <w:szCs w:val="20"/>
                <w:u w:val="single"/>
              </w:rPr>
            </w:pPr>
            <w:r>
              <w:rPr>
                <w:rFonts w:ascii="Times New Roman" w:hAnsi="Times New Roman"/>
                <w:noProof/>
                <w:sz w:val="20"/>
                <w:u w:val="single"/>
              </w:rPr>
              <w:t>Контакти с държавите членки за уреждане на практическите изисквания за преместване:</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noProof/>
                <w:sz w:val="20"/>
              </w:rPr>
              <w:t>Комисията изпрати писмо до всички държави членки, в което потвърди необходимостта да определят служители за връ</w:t>
            </w:r>
            <w:r>
              <w:rPr>
                <w:rFonts w:ascii="Times New Roman" w:hAnsi="Times New Roman"/>
                <w:noProof/>
                <w:sz w:val="20"/>
              </w:rPr>
              <w:t>зка и ги прикани да посочат определен брой кандидатури за преместване в близко бъдеще.</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noProof/>
                <w:sz w:val="20"/>
              </w:rPr>
              <w:t>Бяха осъществени двустранни контакти преди първото преместване от Италия и Гърция.</w:t>
            </w:r>
          </w:p>
          <w:p w:rsidR="00CB2BB2" w:rsidRDefault="00CB2BB2">
            <w:pPr>
              <w:ind w:left="57"/>
              <w:rPr>
                <w:rFonts w:ascii="Times New Roman" w:hAnsi="Times New Roman" w:cs="Times New Roman"/>
                <w:noProof/>
                <w:sz w:val="20"/>
                <w:szCs w:val="20"/>
              </w:rPr>
            </w:pPr>
          </w:p>
          <w:p w:rsidR="00CB2BB2" w:rsidRDefault="00913D73">
            <w:pPr>
              <w:pStyle w:val="ListParagraph"/>
              <w:numPr>
                <w:ilvl w:val="0"/>
                <w:numId w:val="9"/>
              </w:numPr>
              <w:ind w:left="318" w:hanging="261"/>
              <w:contextualSpacing w:val="0"/>
              <w:rPr>
                <w:rFonts w:ascii="Times New Roman" w:hAnsi="Times New Roman" w:cs="Times New Roman"/>
                <w:noProof/>
                <w:sz w:val="20"/>
                <w:szCs w:val="20"/>
              </w:rPr>
            </w:pPr>
            <w:r>
              <w:rPr>
                <w:rFonts w:ascii="Times New Roman" w:hAnsi="Times New Roman" w:cs="Times New Roman"/>
                <w:noProof/>
                <w:sz w:val="20"/>
                <w:szCs w:val="20"/>
                <w:u w:val="single"/>
              </w:rPr>
              <w:t>Форум по въпросите на преместването и презаселването, проведен на 1.10.2015 г.:</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noProof/>
                <w:sz w:val="20"/>
              </w:rPr>
              <w:t>На дъ</w:t>
            </w:r>
            <w:r>
              <w:rPr>
                <w:rFonts w:ascii="Times New Roman" w:hAnsi="Times New Roman"/>
                <w:noProof/>
                <w:sz w:val="20"/>
              </w:rPr>
              <w:t xml:space="preserve">ржавите членки беше предоставена информация относно актуалното състояние на изпълнението на решенията за преместване на Съвета. </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noProof/>
                <w:sz w:val="20"/>
              </w:rPr>
              <w:t xml:space="preserve">Италия и Гърция представиха своите пътни карти и държавите членки отправиха пояснителни въпроси. </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noProof/>
                <w:sz w:val="20"/>
              </w:rPr>
              <w:t>Споразумение за използване на</w:t>
            </w:r>
            <w:r>
              <w:rPr>
                <w:rFonts w:ascii="Times New Roman" w:hAnsi="Times New Roman"/>
                <w:noProof/>
                <w:sz w:val="20"/>
              </w:rPr>
              <w:t xml:space="preserve"> схемата и оперативните заключения от работната среща по въпросите на преместването от 21.9.2015 г. като </w:t>
            </w:r>
            <w:r>
              <w:rPr>
                <w:rFonts w:ascii="Times New Roman" w:hAnsi="Times New Roman"/>
                <w:i/>
                <w:noProof/>
                <w:sz w:val="20"/>
              </w:rPr>
              <w:t>modus operandi</w:t>
            </w:r>
            <w:r>
              <w:rPr>
                <w:rFonts w:ascii="Times New Roman" w:hAnsi="Times New Roman"/>
                <w:noProof/>
                <w:sz w:val="20"/>
              </w:rPr>
              <w:t xml:space="preserve"> за изпълнението на схемите за преместване. </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Комисията поясни финансовите аспекти на схемите за преместване и презаселване.</w:t>
            </w:r>
          </w:p>
          <w:p w:rsidR="00CB2BB2" w:rsidRDefault="00CB2BB2">
            <w:pPr>
              <w:pStyle w:val="ListParagraph"/>
              <w:ind w:left="318"/>
              <w:rPr>
                <w:rFonts w:ascii="Times New Roman" w:hAnsi="Times New Roman" w:cs="Times New Roman"/>
                <w:noProof/>
                <w:sz w:val="20"/>
                <w:szCs w:val="20"/>
              </w:rPr>
            </w:pPr>
          </w:p>
        </w:tc>
        <w:tc>
          <w:tcPr>
            <w:tcW w:w="3333" w:type="dxa"/>
          </w:tcPr>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lastRenderedPageBreak/>
              <w:t xml:space="preserve">Първите </w:t>
            </w:r>
            <w:r>
              <w:rPr>
                <w:rFonts w:ascii="Times New Roman" w:hAnsi="Times New Roman"/>
                <w:noProof/>
                <w:sz w:val="20"/>
              </w:rPr>
              <w:t>премествания бяха приключени на 9.10.2015 г.</w:t>
            </w:r>
          </w:p>
          <w:p w:rsidR="00CB2BB2" w:rsidRDefault="00CB2BB2">
            <w:pPr>
              <w:rPr>
                <w:rFonts w:ascii="Times New Roman" w:hAnsi="Times New Roman" w:cs="Times New Roman"/>
                <w:i/>
                <w:noProof/>
                <w:sz w:val="20"/>
                <w:szCs w:val="20"/>
              </w:rPr>
            </w:pPr>
          </w:p>
          <w:p w:rsidR="00CB2BB2" w:rsidRDefault="00913D73">
            <w:pPr>
              <w:rPr>
                <w:rFonts w:ascii="Times New Roman" w:hAnsi="Times New Roman" w:cs="Times New Roman"/>
                <w:noProof/>
                <w:sz w:val="20"/>
                <w:szCs w:val="20"/>
              </w:rPr>
            </w:pPr>
            <w:r>
              <w:rPr>
                <w:rFonts w:ascii="Times New Roman" w:hAnsi="Times New Roman"/>
                <w:i/>
                <w:noProof/>
                <w:sz w:val="20"/>
              </w:rPr>
              <w:t xml:space="preserve">Италия </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В ход е изпълнението на пътната карта, представена на 1.10.2015 г. на Форума по въпросите на преместването и презаселването.</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 xml:space="preserve">Създадени бяха първите екипи за съдействие в Лампедуза. </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Завършени бяха прием</w:t>
            </w:r>
            <w:r>
              <w:rPr>
                <w:rFonts w:ascii="Times New Roman" w:hAnsi="Times New Roman"/>
                <w:noProof/>
                <w:sz w:val="20"/>
              </w:rPr>
              <w:t xml:space="preserve">ните центрове на 3 други места в Сицилия и се очаква в скоро време там да започнат работа екипите за съдействие.  </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Предоставено беше офис пространство във Вила Сикания и Катания.</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Във всички съответни национални и местни правителствени органи бяха определен</w:t>
            </w:r>
            <w:r>
              <w:rPr>
                <w:rFonts w:ascii="Times New Roman" w:hAnsi="Times New Roman"/>
                <w:noProof/>
                <w:sz w:val="20"/>
              </w:rPr>
              <w:t>и бюра за връзка.</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Оценка на нуждите от персонал на екипите за съдействие в управлението на миграцията беше включена в пътната карта.</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lastRenderedPageBreak/>
              <w:t>Италия поиска Frontex да ѝ съдейства с 10 експерти по пръстови отпечатъци.</w:t>
            </w:r>
          </w:p>
          <w:p w:rsidR="00CB2BB2" w:rsidRDefault="00CB2BB2">
            <w:pPr>
              <w:rPr>
                <w:rFonts w:ascii="Times New Roman" w:hAnsi="Times New Roman" w:cs="Times New Roman"/>
                <w:i/>
                <w:noProof/>
                <w:sz w:val="20"/>
                <w:szCs w:val="20"/>
              </w:rPr>
            </w:pPr>
          </w:p>
          <w:p w:rsidR="00CB2BB2" w:rsidRDefault="00913D73">
            <w:pPr>
              <w:rPr>
                <w:rFonts w:ascii="Times New Roman" w:hAnsi="Times New Roman" w:cs="Times New Roman"/>
                <w:noProof/>
                <w:sz w:val="20"/>
                <w:szCs w:val="20"/>
              </w:rPr>
            </w:pPr>
            <w:r>
              <w:rPr>
                <w:rFonts w:ascii="Times New Roman" w:hAnsi="Times New Roman"/>
                <w:i/>
                <w:noProof/>
                <w:sz w:val="20"/>
              </w:rPr>
              <w:t xml:space="preserve">Гърция </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Пътната карта, представена на 1.10.2015</w:t>
            </w:r>
            <w:r>
              <w:rPr>
                <w:rFonts w:ascii="Times New Roman" w:hAnsi="Times New Roman"/>
                <w:noProof/>
                <w:sz w:val="20"/>
              </w:rPr>
              <w:t xml:space="preserve"> г. на Форума по въпросите на преместването и презаселването, е в действие.</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На остров Лесвос бяха сформирани  екипи за съдействие и такива екипи предстои да бъдат създадени на четири други острова (Хиос, Самос, Кос и Лерос), като присъствие на Frontex е ос</w:t>
            </w:r>
            <w:r>
              <w:rPr>
                <w:rFonts w:ascii="Times New Roman" w:hAnsi="Times New Roman"/>
                <w:noProof/>
                <w:sz w:val="20"/>
              </w:rPr>
              <w:t xml:space="preserve">игурено на пет острова, а в кратки срокове ще бъдат разположени и експерти на EASO. </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Офис пространство за европейската регионална работна група в Пирея беше предоставено в офиса на служителя за връзка на Frontex.</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 xml:space="preserve">Във всички съответни национални и местни </w:t>
            </w:r>
            <w:r>
              <w:rPr>
                <w:rFonts w:ascii="Times New Roman" w:hAnsi="Times New Roman"/>
                <w:noProof/>
                <w:sz w:val="20"/>
              </w:rPr>
              <w:t>правителствени органи бяха определени бюра за връзка.</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Оценка на нуждите на екипите за съдействие в управлението на миграцията беше представена на Стратегическия комитет за имиграция, граници и убежище (SCIFA) на 5.10.2015 г. и предадена на Комисията чрез н</w:t>
            </w:r>
            <w:r>
              <w:rPr>
                <w:rFonts w:ascii="Times New Roman" w:hAnsi="Times New Roman"/>
                <w:noProof/>
                <w:sz w:val="20"/>
              </w:rPr>
              <w:t>ейните пратеници в Гърция.</w:t>
            </w:r>
          </w:p>
          <w:p w:rsidR="00CB2BB2" w:rsidRDefault="00CB2BB2">
            <w:pPr>
              <w:rPr>
                <w:rFonts w:ascii="Times New Roman" w:hAnsi="Times New Roman" w:cs="Times New Roman"/>
                <w:noProof/>
                <w:sz w:val="20"/>
                <w:szCs w:val="20"/>
              </w:rPr>
            </w:pPr>
          </w:p>
          <w:p w:rsidR="00CB2BB2" w:rsidRDefault="00913D73">
            <w:pPr>
              <w:pStyle w:val="ListParagraph"/>
              <w:ind w:left="33"/>
              <w:rPr>
                <w:rFonts w:ascii="Times New Roman" w:hAnsi="Times New Roman" w:cs="Times New Roman"/>
                <w:i/>
                <w:noProof/>
                <w:sz w:val="20"/>
                <w:szCs w:val="20"/>
              </w:rPr>
            </w:pPr>
            <w:r>
              <w:rPr>
                <w:rFonts w:ascii="Times New Roman" w:hAnsi="Times New Roman"/>
                <w:i/>
                <w:noProof/>
                <w:sz w:val="20"/>
              </w:rPr>
              <w:t>Други държави членки</w:t>
            </w:r>
          </w:p>
          <w:p w:rsidR="00CB2BB2" w:rsidRDefault="00CB2BB2">
            <w:pPr>
              <w:pStyle w:val="ListParagraph"/>
              <w:ind w:left="33"/>
              <w:rPr>
                <w:rFonts w:ascii="Times New Roman" w:hAnsi="Times New Roman" w:cs="Times New Roman"/>
                <w:i/>
                <w:noProof/>
                <w:sz w:val="20"/>
                <w:szCs w:val="20"/>
              </w:rPr>
            </w:pP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Беше определена мрежа от национални звена за контакт и служители за връзка бяха изпратени в Италия и Гърция.</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 xml:space="preserve">20 държави членки са определили своите звена за контакт; досега 22 държави членки са определили </w:t>
            </w:r>
            <w:r>
              <w:rPr>
                <w:rFonts w:ascii="Times New Roman" w:hAnsi="Times New Roman"/>
                <w:noProof/>
                <w:sz w:val="20"/>
              </w:rPr>
              <w:t>служители за връзка в Италия, в това число и 1 държава членка, която е определила служител за връзка както за Италия, така и за Гърция.</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Някои държави членки уведомиха Италия, Гърция и ЕASO за броя на лицата, които биха могли да преместят в кратки срокове.</w:t>
            </w: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60"/>
              <w:rPr>
                <w:rFonts w:ascii="Times New Roman" w:hAnsi="Times New Roman" w:cs="Times New Roman"/>
                <w:noProof/>
                <w:sz w:val="20"/>
                <w:szCs w:val="20"/>
              </w:rPr>
            </w:pPr>
          </w:p>
          <w:p w:rsidR="00CB2BB2" w:rsidRDefault="00CB2BB2">
            <w:pPr>
              <w:pStyle w:val="ListParagraph"/>
              <w:ind w:left="360"/>
              <w:rPr>
                <w:rFonts w:ascii="Times New Roman" w:hAnsi="Times New Roman" w:cs="Times New Roman"/>
                <w:noProof/>
                <w:sz w:val="20"/>
                <w:szCs w:val="20"/>
              </w:rPr>
            </w:pPr>
          </w:p>
          <w:p w:rsidR="00CB2BB2" w:rsidRDefault="00CB2BB2">
            <w:pPr>
              <w:pStyle w:val="ListParagraph"/>
              <w:ind w:left="360"/>
              <w:rPr>
                <w:rFonts w:ascii="Times New Roman" w:hAnsi="Times New Roman" w:cs="Times New Roman"/>
                <w:noProof/>
                <w:sz w:val="20"/>
                <w:szCs w:val="20"/>
              </w:rPr>
            </w:pPr>
          </w:p>
          <w:p w:rsidR="00CB2BB2" w:rsidRDefault="00913D73">
            <w:pPr>
              <w:ind w:left="33"/>
              <w:rPr>
                <w:rFonts w:ascii="Times New Roman" w:hAnsi="Times New Roman" w:cs="Times New Roman"/>
                <w:i/>
                <w:noProof/>
                <w:sz w:val="20"/>
                <w:szCs w:val="20"/>
              </w:rPr>
            </w:pPr>
            <w:r>
              <w:rPr>
                <w:rFonts w:ascii="Times New Roman" w:hAnsi="Times New Roman"/>
                <w:i/>
                <w:noProof/>
                <w:sz w:val="20"/>
              </w:rPr>
              <w:t>Отговор на поканите за участие на агенциите</w:t>
            </w:r>
          </w:p>
          <w:p w:rsidR="00CB2BB2" w:rsidRDefault="00CB2BB2">
            <w:pPr>
              <w:rPr>
                <w:rFonts w:ascii="Times New Roman" w:hAnsi="Times New Roman" w:cs="Times New Roman"/>
                <w:noProof/>
                <w:sz w:val="20"/>
                <w:szCs w:val="20"/>
              </w:rPr>
            </w:pPr>
          </w:p>
          <w:p w:rsidR="00CB2BB2" w:rsidRDefault="00913D73">
            <w:pPr>
              <w:numPr>
                <w:ilvl w:val="0"/>
                <w:numId w:val="11"/>
              </w:numPr>
              <w:rPr>
                <w:rFonts w:ascii="Times New Roman" w:hAnsi="Times New Roman" w:cs="Times New Roman"/>
                <w:noProof/>
                <w:sz w:val="20"/>
                <w:szCs w:val="20"/>
              </w:rPr>
            </w:pPr>
            <w:r>
              <w:rPr>
                <w:rFonts w:ascii="Times New Roman" w:hAnsi="Times New Roman"/>
                <w:noProof/>
                <w:sz w:val="20"/>
              </w:rPr>
              <w:t>Национални експерти за екипите за съдействие в управлението на миграцията в отговор на поканите за участие на Frontex (670 до края на януари 2016 г.) и EASO (370 експерти до третото тримесечие на 2017 г.):</w:t>
            </w:r>
          </w:p>
          <w:p w:rsidR="00CB2BB2" w:rsidRDefault="00913D73">
            <w:pPr>
              <w:numPr>
                <w:ilvl w:val="0"/>
                <w:numId w:val="11"/>
              </w:numPr>
              <w:rPr>
                <w:rFonts w:ascii="Times New Roman" w:hAnsi="Times New Roman" w:cs="Times New Roman"/>
                <w:noProof/>
                <w:sz w:val="20"/>
                <w:szCs w:val="20"/>
              </w:rPr>
            </w:pPr>
            <w:r>
              <w:rPr>
                <w:rFonts w:ascii="Times New Roman" w:hAnsi="Times New Roman"/>
                <w:noProof/>
                <w:sz w:val="20"/>
              </w:rPr>
              <w:t>з</w:t>
            </w:r>
            <w:r>
              <w:rPr>
                <w:rFonts w:ascii="Times New Roman" w:hAnsi="Times New Roman"/>
                <w:noProof/>
                <w:sz w:val="20"/>
              </w:rPr>
              <w:t>а Италия: 1) Frontex — 18 единици техническо оборудване (кораби, патрулни автомобили и т.н.) и 42 гостуващи служители.</w:t>
            </w:r>
          </w:p>
          <w:p w:rsidR="00CB2BB2" w:rsidRDefault="00913D73">
            <w:pPr>
              <w:pStyle w:val="ListParagraph"/>
              <w:numPr>
                <w:ilvl w:val="0"/>
                <w:numId w:val="11"/>
              </w:numPr>
              <w:contextualSpacing w:val="0"/>
              <w:rPr>
                <w:rFonts w:ascii="Times New Roman" w:hAnsi="Times New Roman" w:cs="Times New Roman"/>
                <w:noProof/>
                <w:sz w:val="20"/>
                <w:szCs w:val="20"/>
              </w:rPr>
            </w:pPr>
            <w:r>
              <w:rPr>
                <w:rFonts w:ascii="Times New Roman" w:hAnsi="Times New Roman"/>
                <w:noProof/>
                <w:sz w:val="20"/>
              </w:rPr>
              <w:t>за Гърция: 1) Frontex — 27 единици техническо оборудване и разполагане на 53 експерти (общият брой на експертите, разположени по сухопътн</w:t>
            </w:r>
            <w:r>
              <w:rPr>
                <w:rFonts w:ascii="Times New Roman" w:hAnsi="Times New Roman"/>
                <w:noProof/>
                <w:sz w:val="20"/>
              </w:rPr>
              <w:t xml:space="preserve">ите и морските граници, е 95, в това число гръцки длъжностни лица) </w:t>
            </w:r>
          </w:p>
          <w:p w:rsidR="00CB2BB2" w:rsidRDefault="00CB2BB2">
            <w:pPr>
              <w:pStyle w:val="ListParagraph"/>
              <w:ind w:left="360"/>
              <w:rPr>
                <w:rFonts w:ascii="Times New Roman" w:hAnsi="Times New Roman" w:cs="Times New Roman"/>
                <w:noProof/>
                <w:sz w:val="20"/>
                <w:szCs w:val="20"/>
              </w:rPr>
            </w:pPr>
          </w:p>
        </w:tc>
        <w:tc>
          <w:tcPr>
            <w:tcW w:w="3315"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lastRenderedPageBreak/>
              <w:t xml:space="preserve">Преместване: Държавите членки ще посочат предварително колко премествания ще поемат до края на годината. </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7" w:hanging="283"/>
              <w:contextualSpacing w:val="0"/>
              <w:rPr>
                <w:rFonts w:ascii="Times New Roman" w:hAnsi="Times New Roman" w:cs="Times New Roman"/>
                <w:noProof/>
                <w:sz w:val="20"/>
                <w:szCs w:val="20"/>
              </w:rPr>
            </w:pPr>
            <w:r>
              <w:rPr>
                <w:rFonts w:ascii="Times New Roman" w:hAnsi="Times New Roman" w:cs="Times New Roman"/>
                <w:noProof/>
                <w:sz w:val="20"/>
                <w:szCs w:val="20"/>
                <w:u w:val="single"/>
              </w:rPr>
              <w:t>Преразглеждането на националните програми</w:t>
            </w:r>
            <w:r>
              <w:rPr>
                <w:rFonts w:ascii="Times New Roman" w:hAnsi="Times New Roman" w:cs="Times New Roman"/>
                <w:noProof/>
                <w:sz w:val="20"/>
                <w:szCs w:val="20"/>
              </w:rPr>
              <w:t xml:space="preserve"> по линия на фонд „Убежище, миграция и интеграция“ (ФУМИ) с цел да се предоставят на държавите членки допълнителните финансови средства, съответстващи на еднократните суми за преместени лица, ще започне, след като държавите членки официално потвърдят до 30</w:t>
            </w:r>
            <w:r>
              <w:rPr>
                <w:rFonts w:ascii="Times New Roman" w:hAnsi="Times New Roman" w:cs="Times New Roman"/>
                <w:noProof/>
                <w:sz w:val="20"/>
                <w:szCs w:val="20"/>
              </w:rPr>
              <w:t>.10.2015 г. ангажиментите, поети на 20.7.2015 г.</w:t>
            </w:r>
          </w:p>
          <w:p w:rsidR="00CB2BB2" w:rsidRDefault="00CB2BB2">
            <w:pPr>
              <w:pStyle w:val="ListParagraph"/>
              <w:ind w:left="317"/>
              <w:rPr>
                <w:rFonts w:ascii="Times New Roman" w:hAnsi="Times New Roman" w:cs="Times New Roman"/>
                <w:noProof/>
                <w:sz w:val="20"/>
                <w:szCs w:val="20"/>
              </w:rPr>
            </w:pPr>
          </w:p>
          <w:p w:rsidR="00CB2BB2" w:rsidRDefault="00913D73">
            <w:pPr>
              <w:pStyle w:val="ListParagraph"/>
              <w:numPr>
                <w:ilvl w:val="0"/>
                <w:numId w:val="9"/>
              </w:numPr>
              <w:ind w:left="317" w:hanging="283"/>
              <w:contextualSpacing w:val="0"/>
              <w:rPr>
                <w:rFonts w:ascii="Times New Roman" w:hAnsi="Times New Roman" w:cs="Times New Roman"/>
                <w:noProof/>
                <w:sz w:val="20"/>
                <w:szCs w:val="20"/>
              </w:rPr>
            </w:pPr>
            <w:r>
              <w:rPr>
                <w:rFonts w:ascii="Times New Roman" w:hAnsi="Times New Roman" w:cs="Times New Roman"/>
                <w:noProof/>
                <w:sz w:val="20"/>
                <w:szCs w:val="20"/>
                <w:u w:val="single"/>
              </w:rPr>
              <w:t>Подкрепа за Гърция от спешната помощ по линия на ФУМИ</w:t>
            </w:r>
            <w:r>
              <w:rPr>
                <w:rFonts w:ascii="Times New Roman" w:hAnsi="Times New Roman" w:cs="Times New Roman"/>
                <w:noProof/>
                <w:sz w:val="20"/>
                <w:szCs w:val="20"/>
              </w:rPr>
              <w:t xml:space="preserve"> за покриване на вътрешни разходи за транспорта на регистрираните лица от островите в източно </w:t>
            </w:r>
            <w:r>
              <w:rPr>
                <w:rFonts w:ascii="Times New Roman" w:hAnsi="Times New Roman" w:cs="Times New Roman"/>
                <w:noProof/>
                <w:sz w:val="20"/>
                <w:szCs w:val="20"/>
              </w:rPr>
              <w:lastRenderedPageBreak/>
              <w:t>Егейско море до континенталната част на Гърция (предстои пр</w:t>
            </w:r>
            <w:r>
              <w:rPr>
                <w:rFonts w:ascii="Times New Roman" w:hAnsi="Times New Roman" w:cs="Times New Roman"/>
                <w:noProof/>
                <w:sz w:val="20"/>
                <w:szCs w:val="20"/>
              </w:rPr>
              <w:t>едоставянето на спешна помощ от ФУМИ на стойност 5,99 милиона евро; в ход</w:t>
            </w:r>
            <w:r>
              <w:rPr>
                <w:rFonts w:ascii="Times New Roman" w:hAnsi="Times New Roman"/>
                <w:noProof/>
                <w:sz w:val="20"/>
              </w:rPr>
              <w:t xml:space="preserve"> е изготвянето на споразумение за отпускане на безвъзмездни средства).</w:t>
            </w:r>
          </w:p>
          <w:p w:rsidR="00CB2BB2" w:rsidRDefault="00CB2BB2">
            <w:pPr>
              <w:rPr>
                <w:rFonts w:ascii="Times New Roman" w:hAnsi="Times New Roman" w:cs="Times New Roman"/>
                <w:noProof/>
                <w:sz w:val="20"/>
                <w:szCs w:val="20"/>
              </w:rPr>
            </w:pPr>
          </w:p>
          <w:p w:rsidR="00CB2BB2" w:rsidRDefault="00913D73">
            <w:pPr>
              <w:pStyle w:val="ListParagraph"/>
              <w:numPr>
                <w:ilvl w:val="0"/>
                <w:numId w:val="9"/>
              </w:numPr>
              <w:ind w:left="317" w:hanging="283"/>
              <w:contextualSpacing w:val="0"/>
              <w:rPr>
                <w:rFonts w:ascii="Times New Roman" w:hAnsi="Times New Roman" w:cs="Times New Roman"/>
                <w:noProof/>
                <w:sz w:val="20"/>
                <w:szCs w:val="20"/>
              </w:rPr>
            </w:pPr>
            <w:r>
              <w:rPr>
                <w:rFonts w:ascii="Times New Roman" w:hAnsi="Times New Roman"/>
                <w:noProof/>
                <w:sz w:val="20"/>
              </w:rPr>
              <w:t>Ще бъде направена оценка на необходимостта от подпомагане за Италия за покриване на вътрешните разходи за транс</w:t>
            </w:r>
            <w:r>
              <w:rPr>
                <w:rFonts w:ascii="Times New Roman" w:hAnsi="Times New Roman"/>
                <w:noProof/>
                <w:sz w:val="20"/>
              </w:rPr>
              <w:t>порта на регистрираните лица от Лампедуза до континенталната част на Италия.</w:t>
            </w:r>
          </w:p>
          <w:p w:rsidR="00CB2BB2" w:rsidRDefault="00CB2BB2">
            <w:pPr>
              <w:pStyle w:val="ListParagraph"/>
              <w:ind w:left="317"/>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913D73">
            <w:pPr>
              <w:pStyle w:val="ListParagraph"/>
              <w:numPr>
                <w:ilvl w:val="0"/>
                <w:numId w:val="9"/>
              </w:numPr>
              <w:ind w:left="317" w:hanging="283"/>
              <w:contextualSpacing w:val="0"/>
              <w:rPr>
                <w:rFonts w:ascii="Times New Roman" w:hAnsi="Times New Roman" w:cs="Times New Roman"/>
                <w:noProof/>
                <w:sz w:val="20"/>
                <w:szCs w:val="20"/>
              </w:rPr>
            </w:pPr>
            <w:r>
              <w:rPr>
                <w:rFonts w:ascii="Times New Roman" w:hAnsi="Times New Roman"/>
                <w:noProof/>
                <w:sz w:val="20"/>
              </w:rPr>
              <w:t>Държавите членки редовно ще актуализират информацията относно броя на лицата, подлежащи на бързо преместване.</w:t>
            </w:r>
            <w:r>
              <w:rPr>
                <w:rFonts w:ascii="Times New Roman" w:hAnsi="Times New Roman"/>
                <w:noProof/>
                <w:sz w:val="20"/>
                <w:u w:val="single"/>
              </w:rPr>
              <w:t xml:space="preserve"> </w:t>
            </w: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913D73">
            <w:pPr>
              <w:pStyle w:val="ListParagraph"/>
              <w:numPr>
                <w:ilvl w:val="0"/>
                <w:numId w:val="9"/>
              </w:numPr>
              <w:ind w:left="317" w:hanging="283"/>
              <w:contextualSpacing w:val="0"/>
              <w:rPr>
                <w:rFonts w:ascii="Times New Roman" w:hAnsi="Times New Roman" w:cs="Times New Roman"/>
                <w:noProof/>
                <w:sz w:val="20"/>
                <w:szCs w:val="20"/>
              </w:rPr>
            </w:pPr>
            <w:r>
              <w:rPr>
                <w:rFonts w:ascii="Times New Roman" w:hAnsi="Times New Roman"/>
                <w:noProof/>
                <w:sz w:val="20"/>
              </w:rPr>
              <w:t xml:space="preserve">Държавите членки ще финализират процеса на определяне на национални звена за контакт и служители за връзка. </w:t>
            </w: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Покани за участие с цел набиране на експерти, публикувани от Frontex и EASO:</w:t>
            </w:r>
          </w:p>
          <w:p w:rsidR="00CB2BB2" w:rsidRDefault="00913D73">
            <w:pPr>
              <w:pStyle w:val="ListParagraph"/>
              <w:ind w:left="318"/>
              <w:rPr>
                <w:rFonts w:ascii="Times New Roman" w:hAnsi="Times New Roman" w:cs="Times New Roman"/>
                <w:noProof/>
                <w:sz w:val="20"/>
                <w:szCs w:val="20"/>
              </w:rPr>
            </w:pPr>
            <w:r>
              <w:rPr>
                <w:rFonts w:ascii="Times New Roman" w:hAnsi="Times New Roman"/>
                <w:noProof/>
                <w:sz w:val="20"/>
              </w:rPr>
              <w:t>отговорите на държавите членки на поканата за участие на Fro</w:t>
            </w:r>
            <w:r>
              <w:rPr>
                <w:rFonts w:ascii="Times New Roman" w:hAnsi="Times New Roman"/>
                <w:noProof/>
                <w:sz w:val="20"/>
              </w:rPr>
              <w:t>ntex се очакват най-късно до 16.10.2015 г.</w:t>
            </w:r>
          </w:p>
          <w:p w:rsidR="00CB2BB2" w:rsidRDefault="00CB2BB2">
            <w:pPr>
              <w:pStyle w:val="ListParagraph"/>
              <w:ind w:left="318"/>
              <w:rPr>
                <w:rFonts w:ascii="Times New Roman" w:hAnsi="Times New Roman" w:cs="Times New Roman"/>
                <w:noProof/>
                <w:sz w:val="20"/>
                <w:szCs w:val="20"/>
              </w:rPr>
            </w:pPr>
          </w:p>
        </w:tc>
      </w:tr>
      <w:tr w:rsidR="00CB2BB2">
        <w:trPr>
          <w:trHeight w:val="603"/>
        </w:trPr>
        <w:tc>
          <w:tcPr>
            <w:tcW w:w="4089" w:type="dxa"/>
          </w:tcPr>
          <w:p w:rsidR="00CB2BB2" w:rsidRDefault="00913D73">
            <w:pPr>
              <w:rPr>
                <w:rFonts w:ascii="Times New Roman" w:hAnsi="Times New Roman" w:cs="Times New Roman"/>
                <w:noProof/>
                <w:sz w:val="20"/>
                <w:szCs w:val="20"/>
              </w:rPr>
            </w:pPr>
            <w:r>
              <w:rPr>
                <w:rFonts w:ascii="Times New Roman" w:hAnsi="Times New Roman"/>
                <w:noProof/>
                <w:sz w:val="20"/>
              </w:rPr>
              <w:lastRenderedPageBreak/>
              <w:t>Подкрепа за съвместните операции (СО) на Frontex „Тритон“ и „Посейдон“</w:t>
            </w:r>
          </w:p>
        </w:tc>
        <w:tc>
          <w:tcPr>
            <w:tcW w:w="348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СО „Тритон“ и „Посейдон“ постепенно бяха засилени (във връзка с изпълнението на подхода на „горещите точки“ в Италия и Гърция).</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cs="Times New Roman"/>
                <w:noProof/>
                <w:sz w:val="20"/>
                <w:szCs w:val="20"/>
                <w:u w:val="single"/>
              </w:rPr>
              <w:t>СО „Тритон“:</w:t>
            </w:r>
            <w:r>
              <w:rPr>
                <w:rFonts w:ascii="Times New Roman" w:hAnsi="Times New Roman" w:cs="Times New Roman"/>
                <w:noProof/>
                <w:sz w:val="20"/>
                <w:szCs w:val="20"/>
              </w:rPr>
              <w:t xml:space="preserve"> бяха увеличени броят на активите за патрулиране и броят на екипите за оценка на състоянието на мигрантите и за получаване на информация от тях (18 единици техническо оборудване (кораби, патрулни автомобили и т.н.) и 42 гостуващи служители)</w:t>
            </w:r>
          </w:p>
          <w:p w:rsidR="00CB2BB2" w:rsidRDefault="00913D73">
            <w:pPr>
              <w:pStyle w:val="ListParagraph"/>
              <w:numPr>
                <w:ilvl w:val="0"/>
                <w:numId w:val="10"/>
              </w:numPr>
              <w:ind w:left="318" w:hanging="119"/>
              <w:contextualSpacing w:val="0"/>
              <w:rPr>
                <w:rFonts w:ascii="Times New Roman" w:hAnsi="Times New Roman" w:cs="Times New Roman"/>
                <w:noProof/>
                <w:sz w:val="20"/>
                <w:szCs w:val="20"/>
              </w:rPr>
            </w:pPr>
            <w:r>
              <w:rPr>
                <w:rFonts w:ascii="Times New Roman" w:hAnsi="Times New Roman" w:cs="Times New Roman"/>
                <w:noProof/>
                <w:sz w:val="20"/>
                <w:szCs w:val="20"/>
                <w:u w:val="single"/>
              </w:rPr>
              <w:t>Провежданата по</w:t>
            </w:r>
            <w:r>
              <w:rPr>
                <w:rFonts w:ascii="Times New Roman" w:hAnsi="Times New Roman" w:cs="Times New Roman"/>
                <w:noProof/>
                <w:sz w:val="20"/>
                <w:szCs w:val="20"/>
                <w:u w:val="single"/>
              </w:rPr>
              <w:t xml:space="preserve"> море СО „Посейдон“:</w:t>
            </w:r>
            <w:r>
              <w:rPr>
                <w:rFonts w:ascii="Times New Roman" w:hAnsi="Times New Roman" w:cs="Times New Roman"/>
                <w:noProof/>
                <w:sz w:val="20"/>
                <w:szCs w:val="20"/>
              </w:rPr>
              <w:t xml:space="preserve"> Frontex</w:t>
            </w:r>
            <w:r>
              <w:rPr>
                <w:rFonts w:ascii="Times New Roman" w:hAnsi="Times New Roman"/>
                <w:noProof/>
                <w:sz w:val="20"/>
              </w:rPr>
              <w:t xml:space="preserve"> увеличи броя на разположените активи и експерти за оценка на състоянието на мигрантите и за получаване на информация от тях и на преводачите (27 единици техническо оборудване и 53 експерти). Frontex предложи да разположи допълн</w:t>
            </w:r>
            <w:r>
              <w:rPr>
                <w:rFonts w:ascii="Times New Roman" w:hAnsi="Times New Roman"/>
                <w:noProof/>
                <w:sz w:val="20"/>
              </w:rPr>
              <w:t>ителни 104 гостуващи служители и да съфинансира 31 ръководители на екипи от гръцката полиция.</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На 2.10.2015 г. Frontex публикува покана за допълнителен принос, която обхваща също и нуждите на СО „Тритон“ и „Посейдон“.</w:t>
            </w:r>
          </w:p>
          <w:p w:rsidR="00CB2BB2" w:rsidRDefault="00CB2BB2">
            <w:pPr>
              <w:ind w:left="34"/>
              <w:rPr>
                <w:rFonts w:ascii="Times New Roman" w:hAnsi="Times New Roman" w:cs="Times New Roman"/>
                <w:noProof/>
                <w:sz w:val="20"/>
                <w:szCs w:val="20"/>
              </w:rPr>
            </w:pPr>
          </w:p>
          <w:p w:rsidR="00CB2BB2" w:rsidRDefault="00913D73">
            <w:pPr>
              <w:ind w:left="34"/>
              <w:rPr>
                <w:rFonts w:ascii="Times New Roman" w:hAnsi="Times New Roman" w:cs="Times New Roman"/>
                <w:noProof/>
                <w:sz w:val="20"/>
                <w:szCs w:val="20"/>
              </w:rPr>
            </w:pPr>
            <w:r>
              <w:rPr>
                <w:rFonts w:ascii="Times New Roman" w:hAnsi="Times New Roman"/>
                <w:noProof/>
                <w:sz w:val="20"/>
              </w:rPr>
              <w:t xml:space="preserve"> </w:t>
            </w:r>
          </w:p>
        </w:tc>
        <w:tc>
          <w:tcPr>
            <w:tcW w:w="333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Предоставяйки на разположение свои </w:t>
            </w:r>
            <w:r>
              <w:rPr>
                <w:rFonts w:ascii="Times New Roman" w:hAnsi="Times New Roman"/>
                <w:noProof/>
                <w:sz w:val="20"/>
              </w:rPr>
              <w:t>ресурси, държавите членки направиха възможно засилването на оперативната подкрепа за Италия и Гърция в рамките на съвместните операции „Тритон“ и „Посейдон“, по-специално укрепването на дейностите за оценка на състоянието на мигрантите и за получаване на и</w:t>
            </w:r>
            <w:r>
              <w:rPr>
                <w:rFonts w:ascii="Times New Roman" w:hAnsi="Times New Roman"/>
                <w:noProof/>
                <w:sz w:val="20"/>
              </w:rPr>
              <w:t>нформация от тях.</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СО „Тритон“: Участват 26 държави членки и асоциирани към Шенген държави: Австрия, Белгия, Хърватия, Чешката република, Дания, Естония, Финландия, Франция, Германия, Гърция, Исландия, Ирландия, Латвия, Литва, Люксембург, Малта, Нидерландия</w:t>
            </w:r>
            <w:r>
              <w:rPr>
                <w:rFonts w:ascii="Times New Roman" w:hAnsi="Times New Roman"/>
                <w:noProof/>
                <w:sz w:val="20"/>
              </w:rPr>
              <w:t>, Норвегия, Полша, Португалия, Румъния, Швеция, Швейцария, Словения, Испания, Обединеното кралство. До момента 17 от тях са предоставили на разположение активи и/или гостуващи служители: Малта, Португалия, Нидерландия, Франция, Норвегия, Испания, Гърция, П</w:t>
            </w:r>
            <w:r>
              <w:rPr>
                <w:rFonts w:ascii="Times New Roman" w:hAnsi="Times New Roman"/>
                <w:noProof/>
                <w:sz w:val="20"/>
              </w:rPr>
              <w:t>олша, Румъния, Обединеното кралство, Германия, Дания, Чешка република, България, Латвия,</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СО „Посейдон“: Участват 25 държави членки: (Австрия, Белгия, България, Хърватия, Дания, Естония, Финландия, Франция, Германия, Исландия, Италия, Латвия, Литва, Люксемб</w:t>
            </w:r>
            <w:r>
              <w:rPr>
                <w:rFonts w:ascii="Times New Roman" w:hAnsi="Times New Roman"/>
                <w:noProof/>
                <w:sz w:val="20"/>
              </w:rPr>
              <w:t>ург, Малта, Нидерландия, Норвегия, Полша, Португалия, Румъния, Словакия, Словения, Испания, Швеция, Обединеното кралство). До този момент 18 от тях са предоставили на разположение активи и/или гостуващи служители (Дания, Чешката република, Норвегия, Швеция</w:t>
            </w:r>
            <w:r>
              <w:rPr>
                <w:rFonts w:ascii="Times New Roman" w:hAnsi="Times New Roman"/>
                <w:noProof/>
                <w:sz w:val="20"/>
              </w:rPr>
              <w:t xml:space="preserve">, Португалия, Полша, Латвия, Дания, Хърватия, Нидерландия, Финландия, Италия, Франция, Испания, Белгия, Обединеното кралство, България и Румъния). </w:t>
            </w:r>
          </w:p>
          <w:p w:rsidR="00CB2BB2" w:rsidRDefault="00CB2BB2">
            <w:pPr>
              <w:pStyle w:val="ListParagraph"/>
              <w:ind w:left="318"/>
              <w:contextualSpacing w:val="0"/>
              <w:rPr>
                <w:rFonts w:ascii="Times New Roman" w:hAnsi="Times New Roman" w:cs="Times New Roman"/>
                <w:noProof/>
                <w:sz w:val="20"/>
                <w:szCs w:val="20"/>
              </w:rPr>
            </w:pPr>
          </w:p>
        </w:tc>
        <w:tc>
          <w:tcPr>
            <w:tcW w:w="3315"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Държавите членки се ангажират да запазят или увеличат равнището на подкрепа за текущите съвместни операции,</w:t>
            </w:r>
            <w:r>
              <w:rPr>
                <w:rFonts w:ascii="Times New Roman" w:hAnsi="Times New Roman"/>
                <w:noProof/>
                <w:sz w:val="20"/>
              </w:rPr>
              <w:t xml:space="preserve"> чиито домакини са Италия и Гърция. Съответно всички държави членки трябва да се отзоват на поканата на Frontex от 2.10.2015 г.</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Frontex и Гърция ще извършат допълнителното разполагане на гостуващи служители.</w:t>
            </w:r>
          </w:p>
          <w:p w:rsidR="00CB2BB2" w:rsidRDefault="00CB2BB2">
            <w:pPr>
              <w:ind w:left="34"/>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tc>
      </w:tr>
      <w:tr w:rsidR="00CB2BB2">
        <w:tc>
          <w:tcPr>
            <w:tcW w:w="4089" w:type="dxa"/>
          </w:tcPr>
          <w:p w:rsidR="00CB2BB2" w:rsidRDefault="00913D73">
            <w:pPr>
              <w:rPr>
                <w:rFonts w:ascii="Times New Roman" w:hAnsi="Times New Roman" w:cs="Times New Roman"/>
                <w:noProof/>
                <w:sz w:val="20"/>
                <w:szCs w:val="20"/>
              </w:rPr>
            </w:pPr>
            <w:r>
              <w:rPr>
                <w:rFonts w:ascii="Times New Roman" w:hAnsi="Times New Roman"/>
                <w:noProof/>
                <w:sz w:val="20"/>
              </w:rPr>
              <w:t xml:space="preserve">Капацитет и условия за приемане </w:t>
            </w:r>
          </w:p>
        </w:tc>
        <w:tc>
          <w:tcPr>
            <w:tcW w:w="348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Наблюдение </w:t>
            </w:r>
            <w:r>
              <w:rPr>
                <w:rFonts w:ascii="Times New Roman" w:hAnsi="Times New Roman"/>
                <w:noProof/>
                <w:sz w:val="20"/>
              </w:rPr>
              <w:t>и ако е необходимо, стартиране на процедури за нарушение във връзка с условията и капацитета за приемане.</w:t>
            </w:r>
          </w:p>
          <w:p w:rsidR="00CB2BB2" w:rsidRDefault="00CB2BB2">
            <w:pPr>
              <w:pStyle w:val="ListParagraph"/>
              <w:ind w:left="318"/>
              <w:rPr>
                <w:rFonts w:ascii="Times New Roman" w:hAnsi="Times New Roman" w:cs="Times New Roman"/>
                <w:noProof/>
                <w:sz w:val="20"/>
                <w:szCs w:val="20"/>
              </w:rPr>
            </w:pPr>
          </w:p>
        </w:tc>
        <w:tc>
          <w:tcPr>
            <w:tcW w:w="333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Италия и Гърция полагат усилия за увеличаване на капацитета за приемане. Италия е на път да постигне първия капацитет за приемане от 2 500 души до кр</w:t>
            </w:r>
            <w:r>
              <w:rPr>
                <w:rFonts w:ascii="Times New Roman" w:hAnsi="Times New Roman"/>
                <w:noProof/>
                <w:sz w:val="20"/>
              </w:rPr>
              <w:t>ая на годината, а капацитетът за приемане в Гърция от 2 000 души също е в процес на разширяване.</w:t>
            </w:r>
          </w:p>
        </w:tc>
        <w:tc>
          <w:tcPr>
            <w:tcW w:w="3315"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Допълнителни насоки за подобряване на стандартите по отношение на условията за приемане (EASO) </w:t>
            </w:r>
          </w:p>
          <w:p w:rsidR="00CB2BB2" w:rsidRDefault="00CB2BB2">
            <w:pPr>
              <w:ind w:left="34"/>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Всички държави членки, засегнати от кризата, и по-специално Гъ</w:t>
            </w:r>
            <w:r>
              <w:rPr>
                <w:rFonts w:ascii="Times New Roman" w:hAnsi="Times New Roman"/>
                <w:noProof/>
                <w:sz w:val="20"/>
              </w:rPr>
              <w:t>рция ще започнат да използват значително по размер финансиране от европейските структурни и инвестиционни фондове и Европейския фонд за регионално развитие и Европейската инвестиционна банка с цел увеличаване на своя капацитет за приемане.</w:t>
            </w:r>
          </w:p>
          <w:p w:rsidR="00CB2BB2" w:rsidRDefault="00CB2BB2">
            <w:pPr>
              <w:pStyle w:val="ListParagraph"/>
              <w:contextualSpacing w:val="0"/>
              <w:rPr>
                <w:rFonts w:ascii="Times New Roman" w:hAnsi="Times New Roman" w:cs="Times New Roman"/>
                <w:noProof/>
                <w:sz w:val="20"/>
                <w:szCs w:val="20"/>
              </w:rPr>
            </w:pPr>
          </w:p>
          <w:p w:rsidR="00CB2BB2" w:rsidRDefault="00CB2BB2">
            <w:pPr>
              <w:pStyle w:val="ListParagraph"/>
              <w:contextualSpacing w:val="0"/>
              <w:rPr>
                <w:rFonts w:ascii="Times New Roman" w:hAnsi="Times New Roman" w:cs="Times New Roman"/>
                <w:noProof/>
                <w:sz w:val="20"/>
                <w:szCs w:val="20"/>
              </w:rPr>
            </w:pPr>
          </w:p>
        </w:tc>
      </w:tr>
      <w:tr w:rsidR="00CB2BB2">
        <w:tc>
          <w:tcPr>
            <w:tcW w:w="4089" w:type="dxa"/>
          </w:tcPr>
          <w:p w:rsidR="00CB2BB2" w:rsidRDefault="00913D73">
            <w:pPr>
              <w:rPr>
                <w:rFonts w:ascii="Times New Roman" w:hAnsi="Times New Roman" w:cs="Times New Roman"/>
                <w:noProof/>
                <w:sz w:val="20"/>
                <w:szCs w:val="20"/>
              </w:rPr>
            </w:pPr>
            <w:r>
              <w:rPr>
                <w:rFonts w:ascii="Times New Roman" w:hAnsi="Times New Roman"/>
                <w:noProof/>
                <w:sz w:val="20"/>
              </w:rPr>
              <w:t>Връщане</w:t>
            </w:r>
          </w:p>
          <w:p w:rsidR="00CB2BB2" w:rsidRDefault="00CB2BB2">
            <w:pPr>
              <w:rPr>
                <w:rFonts w:ascii="Times New Roman" w:hAnsi="Times New Roman" w:cs="Times New Roman"/>
                <w:noProof/>
                <w:sz w:val="20"/>
                <w:szCs w:val="20"/>
              </w:rPr>
            </w:pPr>
          </w:p>
        </w:tc>
        <w:tc>
          <w:tcPr>
            <w:tcW w:w="348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Първи връщания под ръководството на екипите за съдействие в управлението на миграцията се проведоха на 10.10.2015 г.</w:t>
            </w:r>
          </w:p>
          <w:p w:rsidR="00CB2BB2" w:rsidRDefault="00CB2BB2">
            <w:pPr>
              <w:pStyle w:val="ListParagraph"/>
              <w:ind w:left="318"/>
              <w:contextualSpacing w:val="0"/>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На 5.10.2015 г. беше стартирана оценка на Шенгенската информационна система, за да се включат в ШИС всички решения за връщане и забрани за</w:t>
            </w:r>
            <w:r>
              <w:rPr>
                <w:rFonts w:ascii="Times New Roman" w:hAnsi="Times New Roman"/>
                <w:noProof/>
                <w:sz w:val="20"/>
              </w:rPr>
              <w:t xml:space="preserve"> влизане</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Европейски служители за връзка по въпросите на миграцията: концепцията беше представена на 15.9.2015 г. и включваше конкретни функции, свързани с връщането</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Създаване на система за интегрирано управление на връщането: процесът между Комисията, аг</w:t>
            </w:r>
            <w:r>
              <w:rPr>
                <w:rFonts w:ascii="Times New Roman" w:hAnsi="Times New Roman"/>
                <w:noProof/>
                <w:sz w:val="20"/>
              </w:rPr>
              <w:t>енциите (Frontex и EASO) и съответните мрежи започна на 15.9.2015 г.</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Бяха изготвени оценки по Шенген на системите за връщане на Австрия, Белгия, Германия и Нидерландия през 2015 г., както и една оценка на основата на въпросник (Лихтенщайн)</w:t>
            </w:r>
          </w:p>
          <w:p w:rsidR="00CB2BB2" w:rsidRDefault="00CB2BB2">
            <w:pPr>
              <w:rPr>
                <w:rFonts w:ascii="Times New Roman" w:hAnsi="Times New Roman" w:cs="Times New Roman"/>
                <w:noProof/>
                <w:sz w:val="20"/>
                <w:szCs w:val="20"/>
              </w:rPr>
            </w:pPr>
          </w:p>
        </w:tc>
        <w:tc>
          <w:tcPr>
            <w:tcW w:w="3333" w:type="dxa"/>
          </w:tcPr>
          <w:p w:rsidR="00CB2BB2" w:rsidRDefault="00913D73">
            <w:pPr>
              <w:pStyle w:val="ListParagraph"/>
              <w:numPr>
                <w:ilvl w:val="0"/>
                <w:numId w:val="12"/>
              </w:numPr>
              <w:contextualSpacing w:val="0"/>
              <w:rPr>
                <w:rFonts w:ascii="Times New Roman" w:hAnsi="Times New Roman" w:cs="Times New Roman"/>
                <w:noProof/>
                <w:sz w:val="20"/>
                <w:szCs w:val="20"/>
              </w:rPr>
            </w:pPr>
            <w:r>
              <w:rPr>
                <w:rFonts w:ascii="Times New Roman" w:hAnsi="Times New Roman"/>
                <w:noProof/>
                <w:sz w:val="20"/>
              </w:rPr>
              <w:t xml:space="preserve">Обратната </w:t>
            </w:r>
            <w:r>
              <w:rPr>
                <w:rFonts w:ascii="Times New Roman" w:hAnsi="Times New Roman"/>
                <w:noProof/>
                <w:sz w:val="20"/>
              </w:rPr>
              <w:t>връзка от държавите членки потвърди важното значение на връщането</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Държавите членки (и асоциираните страни), които не са част от съществуващите мрежи, бяха поканени да обмислят възможността за участие или асоцииране.</w:t>
            </w:r>
          </w:p>
        </w:tc>
        <w:tc>
          <w:tcPr>
            <w:tcW w:w="3315" w:type="dxa"/>
          </w:tcPr>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До края на 2015 г. ще бъдат набрани и </w:t>
            </w:r>
            <w:r>
              <w:rPr>
                <w:rFonts w:ascii="Times New Roman" w:hAnsi="Times New Roman"/>
                <w:noProof/>
                <w:sz w:val="20"/>
              </w:rPr>
              <w:t xml:space="preserve">разположени първите европейски служители за връзка по въпросите на миграцията  </w:t>
            </w:r>
          </w:p>
          <w:p w:rsidR="00CB2BB2" w:rsidRDefault="00CB2BB2">
            <w:pPr>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На 28.10.2015 г. ще се проведе оперативно последващо заседание, организирано от Frontex </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Системите за връщане на шест държави членки ще бъдат оценени през 2016 г. (Италия, Гъ</w:t>
            </w:r>
            <w:r>
              <w:rPr>
                <w:rFonts w:ascii="Times New Roman" w:hAnsi="Times New Roman"/>
                <w:noProof/>
                <w:sz w:val="20"/>
              </w:rPr>
              <w:t>рция, Люксембург, Франция, Малта, Хърватия)</w:t>
            </w:r>
          </w:p>
          <w:p w:rsidR="00CB2BB2" w:rsidRDefault="00CB2BB2">
            <w:pPr>
              <w:rPr>
                <w:rFonts w:ascii="Times New Roman" w:hAnsi="Times New Roman" w:cs="Times New Roman"/>
                <w:noProof/>
                <w:sz w:val="20"/>
                <w:szCs w:val="20"/>
              </w:rPr>
            </w:pPr>
          </w:p>
        </w:tc>
      </w:tr>
      <w:tr w:rsidR="00CB2BB2">
        <w:tc>
          <w:tcPr>
            <w:tcW w:w="4089" w:type="dxa"/>
          </w:tcPr>
          <w:p w:rsidR="00CB2BB2" w:rsidRDefault="00913D73">
            <w:pPr>
              <w:rPr>
                <w:rFonts w:ascii="Times New Roman" w:hAnsi="Times New Roman" w:cs="Times New Roman"/>
                <w:noProof/>
                <w:sz w:val="20"/>
                <w:szCs w:val="20"/>
              </w:rPr>
            </w:pPr>
            <w:r>
              <w:rPr>
                <w:rFonts w:ascii="Times New Roman" w:hAnsi="Times New Roman"/>
                <w:noProof/>
                <w:sz w:val="20"/>
              </w:rPr>
              <w:t>Презаселване</w:t>
            </w:r>
          </w:p>
        </w:tc>
        <w:tc>
          <w:tcPr>
            <w:tcW w:w="3483" w:type="dxa"/>
          </w:tcPr>
          <w:p w:rsidR="00CB2BB2" w:rsidRDefault="00913D73">
            <w:pPr>
              <w:ind w:left="318"/>
              <w:rPr>
                <w:rFonts w:ascii="Times New Roman" w:hAnsi="Times New Roman" w:cs="Times New Roman"/>
                <w:noProof/>
                <w:sz w:val="20"/>
                <w:szCs w:val="20"/>
                <w:u w:val="single"/>
              </w:rPr>
            </w:pPr>
            <w:r>
              <w:rPr>
                <w:rFonts w:ascii="Times New Roman" w:hAnsi="Times New Roman"/>
                <w:noProof/>
                <w:sz w:val="20"/>
                <w:u w:val="single"/>
              </w:rPr>
              <w:t>Форум по въпросите на презаселването и преместването от 1.10.2015 г.:</w:t>
            </w:r>
          </w:p>
          <w:p w:rsidR="00CB2BB2" w:rsidRDefault="00913D73">
            <w:pPr>
              <w:numPr>
                <w:ilvl w:val="0"/>
                <w:numId w:val="9"/>
              </w:numPr>
              <w:rPr>
                <w:rFonts w:ascii="Times New Roman" w:hAnsi="Times New Roman" w:cs="Times New Roman"/>
                <w:noProof/>
                <w:sz w:val="20"/>
                <w:szCs w:val="20"/>
              </w:rPr>
            </w:pPr>
            <w:r>
              <w:rPr>
                <w:rFonts w:ascii="Times New Roman" w:hAnsi="Times New Roman"/>
                <w:noProof/>
                <w:sz w:val="20"/>
              </w:rPr>
              <w:t xml:space="preserve">ВКБООН представи тенденциите и приоритетите за 2016 г. в областта на презаселването и посочи областите на сътрудничество с </w:t>
            </w:r>
            <w:r>
              <w:rPr>
                <w:rFonts w:ascii="Times New Roman" w:hAnsi="Times New Roman"/>
                <w:noProof/>
                <w:sz w:val="20"/>
              </w:rPr>
              <w:t>държавите на презаселване</w:t>
            </w:r>
          </w:p>
          <w:p w:rsidR="00CB2BB2" w:rsidRDefault="00913D73">
            <w:pPr>
              <w:numPr>
                <w:ilvl w:val="0"/>
                <w:numId w:val="9"/>
              </w:numPr>
              <w:rPr>
                <w:rFonts w:ascii="Times New Roman" w:hAnsi="Times New Roman" w:cs="Times New Roman"/>
                <w:noProof/>
                <w:sz w:val="20"/>
                <w:szCs w:val="20"/>
              </w:rPr>
            </w:pPr>
            <w:r>
              <w:rPr>
                <w:rFonts w:ascii="Times New Roman" w:hAnsi="Times New Roman"/>
                <w:noProof/>
                <w:sz w:val="20"/>
              </w:rPr>
              <w:t>МОМ представи области на експертен опит в процеса на презаселване и подкрепата, която може да предостави на държавите на презаселване</w:t>
            </w:r>
          </w:p>
          <w:p w:rsidR="00CB2BB2" w:rsidRDefault="00913D73">
            <w:pPr>
              <w:numPr>
                <w:ilvl w:val="0"/>
                <w:numId w:val="9"/>
              </w:numPr>
              <w:rPr>
                <w:rFonts w:ascii="Times New Roman" w:hAnsi="Times New Roman" w:cs="Times New Roman"/>
                <w:noProof/>
                <w:sz w:val="20"/>
                <w:szCs w:val="20"/>
              </w:rPr>
            </w:pPr>
            <w:r>
              <w:rPr>
                <w:rFonts w:ascii="Times New Roman" w:hAnsi="Times New Roman"/>
                <w:noProof/>
                <w:sz w:val="20"/>
              </w:rPr>
              <w:t xml:space="preserve">Комисията представи насоки за финансова подкрепа </w:t>
            </w:r>
          </w:p>
          <w:p w:rsidR="00CB2BB2" w:rsidRDefault="00CB2BB2">
            <w:pPr>
              <w:ind w:left="318"/>
              <w:rPr>
                <w:rFonts w:ascii="Times New Roman" w:hAnsi="Times New Roman" w:cs="Times New Roman"/>
                <w:noProof/>
                <w:sz w:val="20"/>
                <w:szCs w:val="20"/>
                <w:u w:val="single"/>
              </w:rPr>
            </w:pPr>
          </w:p>
          <w:p w:rsidR="00CB2BB2" w:rsidRDefault="00913D73">
            <w:pPr>
              <w:ind w:left="318"/>
              <w:rPr>
                <w:rFonts w:ascii="Times New Roman" w:hAnsi="Times New Roman" w:cs="Times New Roman"/>
                <w:noProof/>
                <w:sz w:val="20"/>
                <w:szCs w:val="20"/>
                <w:u w:val="single"/>
              </w:rPr>
            </w:pPr>
            <w:r>
              <w:rPr>
                <w:rFonts w:ascii="Times New Roman" w:hAnsi="Times New Roman"/>
                <w:noProof/>
                <w:sz w:val="20"/>
                <w:u w:val="single"/>
              </w:rPr>
              <w:t>Работна среща на EASO по въпросите на презасе</w:t>
            </w:r>
            <w:r>
              <w:rPr>
                <w:rFonts w:ascii="Times New Roman" w:hAnsi="Times New Roman"/>
                <w:noProof/>
                <w:sz w:val="20"/>
                <w:u w:val="single"/>
              </w:rPr>
              <w:t>лването от 2.10.2015 г.:</w:t>
            </w:r>
          </w:p>
          <w:p w:rsidR="00CB2BB2" w:rsidRDefault="00913D73">
            <w:pPr>
              <w:numPr>
                <w:ilvl w:val="0"/>
                <w:numId w:val="9"/>
              </w:numPr>
              <w:rPr>
                <w:rFonts w:ascii="Times New Roman" w:hAnsi="Times New Roman" w:cs="Times New Roman"/>
                <w:noProof/>
                <w:sz w:val="20"/>
                <w:szCs w:val="20"/>
              </w:rPr>
            </w:pPr>
            <w:r>
              <w:rPr>
                <w:rFonts w:ascii="Times New Roman" w:hAnsi="Times New Roman"/>
                <w:noProof/>
                <w:sz w:val="20"/>
              </w:rPr>
              <w:t>ВКБООН представи различни стъпки в процеса на презаселване под свое ръководство</w:t>
            </w:r>
          </w:p>
          <w:p w:rsidR="00CB2BB2" w:rsidRDefault="00913D73">
            <w:pPr>
              <w:numPr>
                <w:ilvl w:val="0"/>
                <w:numId w:val="9"/>
              </w:numPr>
              <w:rPr>
                <w:rFonts w:ascii="Times New Roman" w:hAnsi="Times New Roman" w:cs="Times New Roman"/>
                <w:noProof/>
                <w:sz w:val="20"/>
                <w:szCs w:val="20"/>
              </w:rPr>
            </w:pPr>
            <w:r>
              <w:rPr>
                <w:rFonts w:ascii="Times New Roman" w:hAnsi="Times New Roman"/>
                <w:noProof/>
                <w:sz w:val="20"/>
              </w:rPr>
              <w:t>Италия, Нидерландия и Швеция представиха различни аспекти на своите програми за презаселване с цел обмен на добри практики</w:t>
            </w:r>
          </w:p>
          <w:p w:rsidR="00CB2BB2" w:rsidRDefault="00913D73">
            <w:pPr>
              <w:numPr>
                <w:ilvl w:val="0"/>
                <w:numId w:val="9"/>
              </w:numPr>
              <w:rPr>
                <w:rFonts w:ascii="Times New Roman" w:hAnsi="Times New Roman" w:cs="Times New Roman"/>
                <w:noProof/>
                <w:sz w:val="20"/>
                <w:szCs w:val="20"/>
              </w:rPr>
            </w:pPr>
            <w:r>
              <w:rPr>
                <w:rFonts w:ascii="Times New Roman" w:hAnsi="Times New Roman"/>
                <w:noProof/>
                <w:sz w:val="20"/>
              </w:rPr>
              <w:t xml:space="preserve">Беше представен проектът за </w:t>
            </w:r>
            <w:r>
              <w:rPr>
                <w:rFonts w:ascii="Times New Roman" w:hAnsi="Times New Roman"/>
                <w:noProof/>
                <w:sz w:val="20"/>
              </w:rPr>
              <w:t>презаселване EU-FRANK, който има за цел да се улеснят презаселването и приемането на бежанци чрез споделяне на знания</w:t>
            </w:r>
          </w:p>
          <w:p w:rsidR="00CB2BB2" w:rsidRDefault="00913D73">
            <w:pPr>
              <w:numPr>
                <w:ilvl w:val="0"/>
                <w:numId w:val="9"/>
              </w:numPr>
              <w:rPr>
                <w:rFonts w:ascii="Times New Roman" w:hAnsi="Times New Roman" w:cs="Times New Roman"/>
                <w:noProof/>
                <w:sz w:val="20"/>
                <w:szCs w:val="20"/>
              </w:rPr>
            </w:pPr>
            <w:r>
              <w:rPr>
                <w:rFonts w:ascii="Times New Roman" w:hAnsi="Times New Roman"/>
                <w:noProof/>
                <w:sz w:val="20"/>
              </w:rPr>
              <w:t>Международната католическа комисия за миграцията (ICMC) направи презентация относно интеграционните практики</w:t>
            </w:r>
          </w:p>
          <w:p w:rsidR="00CB2BB2" w:rsidRDefault="00913D73">
            <w:pPr>
              <w:numPr>
                <w:ilvl w:val="0"/>
                <w:numId w:val="9"/>
              </w:numPr>
              <w:rPr>
                <w:rFonts w:ascii="Times New Roman" w:hAnsi="Times New Roman" w:cs="Times New Roman"/>
                <w:noProof/>
                <w:sz w:val="20"/>
                <w:szCs w:val="20"/>
              </w:rPr>
            </w:pPr>
            <w:r>
              <w:rPr>
                <w:rFonts w:ascii="Times New Roman" w:hAnsi="Times New Roman"/>
                <w:noProof/>
                <w:sz w:val="20"/>
              </w:rPr>
              <w:t>Оперативните нужди на държави</w:t>
            </w:r>
            <w:r>
              <w:rPr>
                <w:rFonts w:ascii="Times New Roman" w:hAnsi="Times New Roman"/>
                <w:noProof/>
                <w:sz w:val="20"/>
              </w:rPr>
              <w:t>те членки в областта на презаселването бяха картографирани и бяха определени мерки за оперативно подпомагане за посрещане на тези нужди</w:t>
            </w:r>
          </w:p>
          <w:p w:rsidR="00CB2BB2" w:rsidRDefault="00CB2BB2">
            <w:pPr>
              <w:pStyle w:val="ListParagraph"/>
              <w:numPr>
                <w:ilvl w:val="0"/>
                <w:numId w:val="9"/>
              </w:numPr>
              <w:contextualSpacing w:val="0"/>
              <w:rPr>
                <w:rFonts w:ascii="Times New Roman" w:hAnsi="Times New Roman" w:cs="Times New Roman"/>
                <w:noProof/>
                <w:sz w:val="20"/>
                <w:szCs w:val="20"/>
              </w:rPr>
            </w:pPr>
          </w:p>
        </w:tc>
        <w:tc>
          <w:tcPr>
            <w:tcW w:w="3333" w:type="dxa"/>
          </w:tcPr>
          <w:p w:rsidR="00CB2BB2" w:rsidRDefault="00913D73">
            <w:pPr>
              <w:numPr>
                <w:ilvl w:val="0"/>
                <w:numId w:val="9"/>
              </w:numPr>
              <w:ind w:left="318" w:hanging="284"/>
              <w:rPr>
                <w:rFonts w:ascii="Times New Roman" w:hAnsi="Times New Roman" w:cs="Times New Roman"/>
                <w:noProof/>
                <w:sz w:val="20"/>
                <w:szCs w:val="20"/>
                <w:u w:val="single"/>
              </w:rPr>
            </w:pPr>
            <w:r>
              <w:rPr>
                <w:rFonts w:ascii="Times New Roman" w:hAnsi="Times New Roman"/>
                <w:noProof/>
                <w:sz w:val="20"/>
                <w:u w:val="single"/>
              </w:rPr>
              <w:t>Форум по въпросите на презаселването и преместването от 1.10.2015 г.:</w:t>
            </w:r>
          </w:p>
          <w:p w:rsidR="00CB2BB2" w:rsidRDefault="00913D73">
            <w:pPr>
              <w:numPr>
                <w:ilvl w:val="0"/>
                <w:numId w:val="10"/>
              </w:numPr>
              <w:ind w:left="318" w:hanging="119"/>
              <w:rPr>
                <w:rFonts w:ascii="Times New Roman" w:hAnsi="Times New Roman" w:cs="Times New Roman"/>
                <w:noProof/>
                <w:sz w:val="20"/>
                <w:szCs w:val="20"/>
              </w:rPr>
            </w:pPr>
            <w:r>
              <w:rPr>
                <w:rFonts w:ascii="Times New Roman" w:hAnsi="Times New Roman"/>
                <w:noProof/>
                <w:sz w:val="20"/>
              </w:rPr>
              <w:t>Всички държави членки потвърдиха ангажиментите си</w:t>
            </w:r>
            <w:r>
              <w:rPr>
                <w:rFonts w:ascii="Times New Roman" w:hAnsi="Times New Roman"/>
                <w:noProof/>
                <w:sz w:val="20"/>
              </w:rPr>
              <w:t xml:space="preserve"> от 20.7.2015 г., като голяма част от тях посочиха изрично своето сътрудничество с ВКБООН и МОМ в този процес</w:t>
            </w:r>
          </w:p>
          <w:p w:rsidR="00CB2BB2" w:rsidRDefault="00913D73">
            <w:pPr>
              <w:numPr>
                <w:ilvl w:val="0"/>
                <w:numId w:val="10"/>
              </w:numPr>
              <w:ind w:left="318" w:hanging="119"/>
              <w:rPr>
                <w:rFonts w:ascii="Times New Roman" w:hAnsi="Times New Roman" w:cs="Times New Roman"/>
                <w:noProof/>
                <w:sz w:val="20"/>
                <w:szCs w:val="20"/>
              </w:rPr>
            </w:pPr>
            <w:r>
              <w:rPr>
                <w:rFonts w:ascii="Times New Roman" w:hAnsi="Times New Roman"/>
                <w:noProof/>
                <w:sz w:val="20"/>
              </w:rPr>
              <w:t>Всички държави потвърдиха спазването на договорените приоритети по отношение на регионите за презаселване. Повечето от тях ще се съсредоточат върх</w:t>
            </w:r>
            <w:r>
              <w:rPr>
                <w:rFonts w:ascii="Times New Roman" w:hAnsi="Times New Roman"/>
                <w:noProof/>
                <w:sz w:val="20"/>
              </w:rPr>
              <w:t>у сирийските бежанци в Ливан, Йордания и Турция. Някои посочиха също така, че ще извършат презаселвания от други региони, като например от региона на Африканския рог (Судан) и Северна Африка (Египет).</w:t>
            </w:r>
          </w:p>
          <w:p w:rsidR="00CB2BB2" w:rsidRDefault="00913D73">
            <w:pPr>
              <w:numPr>
                <w:ilvl w:val="0"/>
                <w:numId w:val="10"/>
              </w:numPr>
              <w:ind w:left="318" w:hanging="119"/>
              <w:rPr>
                <w:rFonts w:ascii="Times New Roman" w:hAnsi="Times New Roman" w:cs="Times New Roman"/>
                <w:noProof/>
                <w:sz w:val="20"/>
                <w:szCs w:val="20"/>
              </w:rPr>
            </w:pPr>
            <w:r>
              <w:rPr>
                <w:rFonts w:ascii="Times New Roman" w:hAnsi="Times New Roman"/>
                <w:noProof/>
                <w:sz w:val="20"/>
              </w:rPr>
              <w:t xml:space="preserve">Някои държави членки вече започнаха ограничено </w:t>
            </w:r>
            <w:r>
              <w:rPr>
                <w:rFonts w:ascii="Times New Roman" w:hAnsi="Times New Roman"/>
                <w:noProof/>
                <w:sz w:val="20"/>
              </w:rPr>
              <w:t>презаселване по схемата (Италия, Чешката република), докато Лихтенщайн посочи, че вече е изпълнил своя ангажимент чрез презаселването на 20 сирийци от Турция</w:t>
            </w:r>
          </w:p>
          <w:p w:rsidR="00CB2BB2" w:rsidRDefault="00913D73">
            <w:pPr>
              <w:pStyle w:val="ListParagraph"/>
              <w:numPr>
                <w:ilvl w:val="0"/>
                <w:numId w:val="12"/>
              </w:numPr>
              <w:contextualSpacing w:val="0"/>
              <w:rPr>
                <w:rFonts w:ascii="Times New Roman" w:hAnsi="Times New Roman" w:cs="Times New Roman"/>
                <w:noProof/>
                <w:sz w:val="20"/>
                <w:szCs w:val="20"/>
              </w:rPr>
            </w:pPr>
            <w:r>
              <w:rPr>
                <w:rFonts w:ascii="Times New Roman" w:hAnsi="Times New Roman"/>
                <w:noProof/>
                <w:sz w:val="20"/>
              </w:rPr>
              <w:t xml:space="preserve">Някои държави членки посочиха броя на лицата от общия си ангажимент, които планират да презаселят </w:t>
            </w:r>
            <w:r>
              <w:rPr>
                <w:rFonts w:ascii="Times New Roman" w:hAnsi="Times New Roman"/>
                <w:noProof/>
                <w:sz w:val="20"/>
              </w:rPr>
              <w:t>съответно през 2016 и 2017 г.</w:t>
            </w:r>
          </w:p>
        </w:tc>
        <w:tc>
          <w:tcPr>
            <w:tcW w:w="3315" w:type="dxa"/>
          </w:tcPr>
          <w:p w:rsidR="00CB2BB2" w:rsidRDefault="00913D73">
            <w:pPr>
              <w:pStyle w:val="ListParagraph"/>
              <w:numPr>
                <w:ilvl w:val="0"/>
                <w:numId w:val="12"/>
              </w:numPr>
              <w:contextualSpacing w:val="0"/>
              <w:rPr>
                <w:rFonts w:ascii="Times New Roman" w:hAnsi="Times New Roman" w:cs="Times New Roman"/>
                <w:noProof/>
                <w:sz w:val="20"/>
                <w:szCs w:val="20"/>
              </w:rPr>
            </w:pPr>
            <w:r>
              <w:rPr>
                <w:rFonts w:ascii="Times New Roman" w:hAnsi="Times New Roman"/>
                <w:noProof/>
                <w:sz w:val="20"/>
              </w:rPr>
              <w:t>До 30.10.2015 г. държавите членки трябва да потвърдят пред Комисията официално броя на лицата, които ще бъдат презаселени в съответствие с поетите ангажименти съгласно схемата за презаселване от 20.7.2015 г.</w:t>
            </w:r>
          </w:p>
          <w:p w:rsidR="00CB2BB2" w:rsidRDefault="00913D73">
            <w:pPr>
              <w:pStyle w:val="ListParagraph"/>
              <w:numPr>
                <w:ilvl w:val="0"/>
                <w:numId w:val="12"/>
              </w:numPr>
              <w:contextualSpacing w:val="0"/>
              <w:rPr>
                <w:rFonts w:ascii="Times New Roman" w:hAnsi="Times New Roman" w:cs="Times New Roman"/>
                <w:noProof/>
                <w:sz w:val="20"/>
                <w:szCs w:val="20"/>
              </w:rPr>
            </w:pPr>
            <w:r>
              <w:rPr>
                <w:rFonts w:ascii="Times New Roman" w:hAnsi="Times New Roman"/>
                <w:noProof/>
                <w:sz w:val="20"/>
              </w:rPr>
              <w:t xml:space="preserve">На тази основа </w:t>
            </w:r>
            <w:r>
              <w:rPr>
                <w:rFonts w:ascii="Times New Roman" w:hAnsi="Times New Roman"/>
                <w:noProof/>
                <w:sz w:val="20"/>
              </w:rPr>
              <w:t>Комисията ще преразгледа националните програми на държавите членки в рамките на ФУМИ.</w:t>
            </w:r>
          </w:p>
          <w:p w:rsidR="00CB2BB2" w:rsidRDefault="00913D73">
            <w:pPr>
              <w:pStyle w:val="ListParagraph"/>
              <w:numPr>
                <w:ilvl w:val="0"/>
                <w:numId w:val="12"/>
              </w:numPr>
              <w:contextualSpacing w:val="0"/>
              <w:rPr>
                <w:rFonts w:ascii="Times New Roman" w:hAnsi="Times New Roman" w:cs="Times New Roman"/>
                <w:noProof/>
                <w:sz w:val="20"/>
                <w:szCs w:val="20"/>
              </w:rPr>
            </w:pPr>
            <w:r>
              <w:rPr>
                <w:rFonts w:ascii="Times New Roman" w:hAnsi="Times New Roman"/>
                <w:noProof/>
                <w:sz w:val="20"/>
              </w:rPr>
              <w:t>Държавите членки в сътрудничество с Върховния комисариат на ООН за бежанците ще определят лицата, които ще бъдат презаселени.</w:t>
            </w: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tc>
      </w:tr>
      <w:tr w:rsidR="00CB2BB2">
        <w:tc>
          <w:tcPr>
            <w:tcW w:w="4089" w:type="dxa"/>
          </w:tcPr>
          <w:p w:rsidR="00CB2BB2" w:rsidRDefault="00913D73">
            <w:pPr>
              <w:rPr>
                <w:rFonts w:ascii="Times New Roman" w:hAnsi="Times New Roman" w:cs="Times New Roman"/>
                <w:noProof/>
                <w:sz w:val="20"/>
                <w:szCs w:val="20"/>
              </w:rPr>
            </w:pPr>
            <w:r>
              <w:rPr>
                <w:rFonts w:ascii="Times New Roman" w:hAnsi="Times New Roman"/>
                <w:noProof/>
                <w:sz w:val="20"/>
              </w:rPr>
              <w:t>Контрабанда на мигранти</w:t>
            </w:r>
          </w:p>
        </w:tc>
        <w:tc>
          <w:tcPr>
            <w:tcW w:w="348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Съвместният опера</w:t>
            </w:r>
            <w:r>
              <w:rPr>
                <w:rFonts w:ascii="Times New Roman" w:hAnsi="Times New Roman"/>
                <w:noProof/>
                <w:sz w:val="20"/>
              </w:rPr>
              <w:t>тивен екип на Европол JOT MARE беше</w:t>
            </w:r>
            <w:r>
              <w:rPr>
                <w:rFonts w:ascii="Times New Roman" w:hAnsi="Times New Roman"/>
                <w:b/>
                <w:noProof/>
                <w:sz w:val="20"/>
              </w:rPr>
              <w:t xml:space="preserve"> </w:t>
            </w:r>
            <w:r>
              <w:rPr>
                <w:rFonts w:ascii="Times New Roman" w:hAnsi="Times New Roman"/>
                <w:noProof/>
                <w:sz w:val="20"/>
              </w:rPr>
              <w:t>задействан като основен информационен център относно контрабандата на мигранти за подкрепа на разследванията на държавите членки и на наказателното преследване на лицата, извършващи контрабанда на мигранти.</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Подкрепа за X</w:t>
            </w:r>
            <w:r>
              <w:rPr>
                <w:rFonts w:ascii="Times New Roman" w:hAnsi="Times New Roman"/>
                <w:noProof/>
                <w:sz w:val="20"/>
              </w:rPr>
              <w:t>X разследвания и XX съвместни операции за борба с контрабандата на мигранти в ХХ държави членки</w:t>
            </w:r>
          </w:p>
        </w:tc>
        <w:tc>
          <w:tcPr>
            <w:tcW w:w="333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Разполагане на ХХ от ХХ държави членки за JOT MARE</w:t>
            </w:r>
          </w:p>
        </w:tc>
        <w:tc>
          <w:tcPr>
            <w:tcW w:w="3315"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Допълнително укрепване на междуведомственото сътрудничество в областта на борбата с контрабандата на мигранти</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По-нататъшно използване на съвместни екипи за разследване и съвместни операции в областта на борбата с контрабандата на мигранти</w:t>
            </w:r>
          </w:p>
        </w:tc>
      </w:tr>
      <w:tr w:rsidR="00CB2BB2">
        <w:tc>
          <w:tcPr>
            <w:tcW w:w="4089" w:type="dxa"/>
          </w:tcPr>
          <w:p w:rsidR="00CB2BB2" w:rsidRDefault="00913D73">
            <w:pPr>
              <w:rPr>
                <w:rFonts w:ascii="Times New Roman" w:hAnsi="Times New Roman" w:cs="Times New Roman"/>
                <w:noProof/>
                <w:sz w:val="20"/>
                <w:szCs w:val="20"/>
              </w:rPr>
            </w:pPr>
            <w:r>
              <w:rPr>
                <w:rFonts w:ascii="Times New Roman" w:hAnsi="Times New Roman"/>
                <w:noProof/>
                <w:sz w:val="20"/>
              </w:rPr>
              <w:t>Гражданска защита</w:t>
            </w:r>
          </w:p>
        </w:tc>
        <w:tc>
          <w:tcPr>
            <w:tcW w:w="348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Комисията изпрати писмо до всички държави членки на 24.9.2015 г. с искане за уточняване на активите, които </w:t>
            </w:r>
            <w:r>
              <w:rPr>
                <w:rFonts w:ascii="Times New Roman" w:hAnsi="Times New Roman"/>
                <w:noProof/>
                <w:sz w:val="20"/>
              </w:rPr>
              <w:t xml:space="preserve">биха могли да предоставят, ако механизмът бъде задействан по време на кризата с бежанците. </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Последната координационна среща се проведе на 8.10.2015 г.</w:t>
            </w:r>
          </w:p>
        </w:tc>
        <w:tc>
          <w:tcPr>
            <w:tcW w:w="333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Досега 19 държави членки отговориха на писмото, като 8 от тях положително (Белгия, Кипър, Финландия, </w:t>
            </w:r>
            <w:r>
              <w:rPr>
                <w:rFonts w:ascii="Times New Roman" w:hAnsi="Times New Roman"/>
                <w:noProof/>
                <w:sz w:val="20"/>
              </w:rPr>
              <w:t>Литва, Швеция, Словакия, Чешката република и Латвия). Други четири държави (Aвстрия, България, Словения, Обединеното кралство) може да дадат отговор за всеки отделен случай.</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Унгария задейства механизма за гражданска защита на 18.6.2015 г. и 11.9.2015 г.</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Съ</w:t>
            </w:r>
            <w:r>
              <w:rPr>
                <w:rFonts w:ascii="Times New Roman" w:hAnsi="Times New Roman"/>
                <w:noProof/>
                <w:sz w:val="20"/>
              </w:rPr>
              <w:t>рбия задейства механизма за гражданска защита на 21.9.2015 г.</w:t>
            </w:r>
          </w:p>
        </w:tc>
        <w:tc>
          <w:tcPr>
            <w:tcW w:w="3315"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Нуждаещите се държави членки могат да задействат механизма. </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Държавите членки ще изготвят планиране за извънредни ситуации на гражданската защита, от която биха имали нужда при различни сценарии</w:t>
            </w:r>
            <w:r>
              <w:rPr>
                <w:rFonts w:ascii="Times New Roman" w:hAnsi="Times New Roman"/>
                <w:noProof/>
                <w:sz w:val="20"/>
              </w:rPr>
              <w:t>, и информация какви активи могат да бъдат предоставени.</w:t>
            </w:r>
          </w:p>
        </w:tc>
      </w:tr>
      <w:tr w:rsidR="00CB2BB2">
        <w:tc>
          <w:tcPr>
            <w:tcW w:w="4089" w:type="dxa"/>
          </w:tcPr>
          <w:p w:rsidR="00CB2BB2" w:rsidRDefault="00913D73">
            <w:pPr>
              <w:rPr>
                <w:rFonts w:ascii="Times New Roman" w:hAnsi="Times New Roman" w:cs="Times New Roman"/>
                <w:noProof/>
                <w:sz w:val="20"/>
                <w:szCs w:val="20"/>
              </w:rPr>
            </w:pPr>
            <w:r>
              <w:rPr>
                <w:rFonts w:ascii="Times New Roman" w:hAnsi="Times New Roman"/>
                <w:noProof/>
                <w:sz w:val="20"/>
              </w:rPr>
              <w:t>Екипи за бърза гранична намеса (RABIT)</w:t>
            </w:r>
          </w:p>
        </w:tc>
        <w:tc>
          <w:tcPr>
            <w:tcW w:w="348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Frontex изпрати писмо до управителния съвет на Агенцията на 18.9.2015 г., в което подчерта готовността си да отговори на всяко искане за бърза намеса от страна</w:t>
            </w:r>
            <w:r>
              <w:rPr>
                <w:rFonts w:ascii="Times New Roman" w:hAnsi="Times New Roman"/>
                <w:noProof/>
                <w:sz w:val="20"/>
              </w:rPr>
              <w:t xml:space="preserve"> на държава членка, изправена пред внезапен и особено голям натиск от незаконна имиграция по външните граници, и призова за подкрепа за всяка такава намеса, както и за изпълнението на текущите засилени съвместни операции.</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Комисията в своето съобщение отно</w:t>
            </w:r>
            <w:r>
              <w:rPr>
                <w:rFonts w:ascii="Times New Roman" w:hAnsi="Times New Roman"/>
                <w:noProof/>
                <w:sz w:val="20"/>
              </w:rPr>
              <w:t>сно управлението на кризата с бежанците насочи вниманието към възможността за задействане на механизма RABIT.</w:t>
            </w:r>
          </w:p>
        </w:tc>
        <w:tc>
          <w:tcPr>
            <w:tcW w:w="3333"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13 държави членки отговориха на писмото на изпълнителния директор. </w:t>
            </w:r>
          </w:p>
          <w:p w:rsidR="00CB2BB2" w:rsidRDefault="00CB2BB2">
            <w:pPr>
              <w:ind w:left="34"/>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До този момент нито една държава членка не е уведомила Frontex за намерението</w:t>
            </w:r>
            <w:r>
              <w:rPr>
                <w:rFonts w:ascii="Times New Roman" w:hAnsi="Times New Roman"/>
                <w:noProof/>
                <w:sz w:val="20"/>
              </w:rPr>
              <w:t xml:space="preserve"> си да поиска бърза намеса (към 7.10.2015 г.).</w:t>
            </w:r>
          </w:p>
          <w:p w:rsidR="00CB2BB2" w:rsidRDefault="00CB2BB2">
            <w:pPr>
              <w:ind w:left="34"/>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6 държави членки изразиха готовност да разположат човешки или технически ресурси, което би могло да се осъществи още през тази година [в случай на отправено искане].</w:t>
            </w:r>
          </w:p>
          <w:p w:rsidR="00CB2BB2" w:rsidRDefault="00CB2BB2">
            <w:pPr>
              <w:pStyle w:val="ListParagraph"/>
              <w:numPr>
                <w:ilvl w:val="0"/>
                <w:numId w:val="9"/>
              </w:numPr>
              <w:ind w:left="318" w:hanging="284"/>
              <w:contextualSpacing w:val="0"/>
              <w:rPr>
                <w:rFonts w:ascii="Times New Roman" w:hAnsi="Times New Roman" w:cs="Times New Roman"/>
                <w:noProof/>
                <w:sz w:val="20"/>
                <w:szCs w:val="20"/>
              </w:rPr>
            </w:pPr>
          </w:p>
        </w:tc>
        <w:tc>
          <w:tcPr>
            <w:tcW w:w="3315"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Всяка държава членка, която е изправена пред ситуация на спешен и изключителен натиск поради големия брой мигранти, опитващи се да влязат на територията на страната незаконно, който надхвърля капацитета на съответната държава членка, може да задейства меха</w:t>
            </w:r>
            <w:r>
              <w:rPr>
                <w:rFonts w:ascii="Times New Roman" w:hAnsi="Times New Roman"/>
                <w:noProof/>
                <w:sz w:val="20"/>
              </w:rPr>
              <w:t xml:space="preserve">низма за бърза намеса,  координирана от Frontex. </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Frontex ще следи постоянно, в сътрудничество с държавите членки, развитието на ситуацията по външните граници на ЕС, особено за онези държави членки, изправени пред конкретен и несъразмерен натиск.</w:t>
            </w:r>
          </w:p>
          <w:p w:rsidR="00CB2BB2" w:rsidRDefault="00CB2BB2">
            <w:pPr>
              <w:pStyle w:val="ListParagraph"/>
              <w:numPr>
                <w:ilvl w:val="0"/>
                <w:numId w:val="9"/>
              </w:numPr>
              <w:ind w:left="318" w:hanging="284"/>
              <w:contextualSpacing w:val="0"/>
              <w:rPr>
                <w:rFonts w:ascii="Times New Roman" w:hAnsi="Times New Roman" w:cs="Times New Roman"/>
                <w:noProof/>
                <w:sz w:val="20"/>
                <w:szCs w:val="20"/>
              </w:rPr>
            </w:pPr>
          </w:p>
        </w:tc>
      </w:tr>
    </w:tbl>
    <w:p w:rsidR="00CB2BB2" w:rsidRDefault="00CB2BB2">
      <w:pPr>
        <w:spacing w:line="240" w:lineRule="auto"/>
        <w:rPr>
          <w:rFonts w:ascii="Times New Roman" w:hAnsi="Times New Roman" w:cs="Times New Roman"/>
          <w:noProof/>
          <w:sz w:val="20"/>
          <w:szCs w:val="20"/>
        </w:rPr>
      </w:pPr>
    </w:p>
    <w:p w:rsidR="00913D73" w:rsidRDefault="00913D73">
      <w:pPr>
        <w:rPr>
          <w:rFonts w:ascii="Times New Roman" w:hAnsi="Times New Roman"/>
          <w:noProof/>
          <w:sz w:val="20"/>
        </w:rPr>
      </w:pPr>
      <w:r>
        <w:rPr>
          <w:rFonts w:ascii="Times New Roman" w:hAnsi="Times New Roman"/>
          <w:noProof/>
          <w:sz w:val="20"/>
        </w:rPr>
        <w:br w:type="page"/>
      </w:r>
    </w:p>
    <w:p w:rsidR="00CB2BB2" w:rsidRDefault="00913D73">
      <w:pPr>
        <w:keepNext/>
        <w:spacing w:line="240" w:lineRule="auto"/>
        <w:rPr>
          <w:rFonts w:ascii="Times New Roman" w:hAnsi="Times New Roman" w:cs="Times New Roman"/>
          <w:noProof/>
          <w:sz w:val="20"/>
          <w:szCs w:val="20"/>
        </w:rPr>
      </w:pPr>
      <w:r>
        <w:rPr>
          <w:rFonts w:ascii="Times New Roman" w:hAnsi="Times New Roman"/>
          <w:noProof/>
          <w:sz w:val="20"/>
        </w:rPr>
        <w:t>БЮДЖ</w:t>
      </w:r>
      <w:r>
        <w:rPr>
          <w:rFonts w:ascii="Times New Roman" w:hAnsi="Times New Roman"/>
          <w:noProof/>
          <w:sz w:val="20"/>
        </w:rPr>
        <w:t>ЕТНА ПОДКРЕПА ЗА ДЕЙСТВИЯ В РАМКИТЕ НА ЕС</w:t>
      </w:r>
    </w:p>
    <w:tbl>
      <w:tblPr>
        <w:tblStyle w:val="TableGrid"/>
        <w:tblW w:w="0" w:type="auto"/>
        <w:tblLook w:val="04A0" w:firstRow="1" w:lastRow="0" w:firstColumn="1" w:lastColumn="0" w:noHBand="0" w:noVBand="1"/>
      </w:tblPr>
      <w:tblGrid>
        <w:gridCol w:w="2376"/>
        <w:gridCol w:w="3969"/>
        <w:gridCol w:w="4111"/>
        <w:gridCol w:w="3764"/>
      </w:tblGrid>
      <w:tr w:rsidR="00CB2BB2">
        <w:tc>
          <w:tcPr>
            <w:tcW w:w="2376" w:type="dxa"/>
            <w:tcBorders>
              <w:top w:val="single" w:sz="4" w:space="0" w:color="auto"/>
              <w:left w:val="single" w:sz="4" w:space="0" w:color="auto"/>
              <w:bottom w:val="single" w:sz="4" w:space="0" w:color="auto"/>
              <w:right w:val="single" w:sz="4" w:space="0" w:color="auto"/>
            </w:tcBorders>
            <w:shd w:val="pct15" w:color="auto" w:fill="auto"/>
          </w:tcPr>
          <w:p w:rsidR="00CB2BB2" w:rsidRDefault="00CB2BB2">
            <w:pPr>
              <w:rPr>
                <w:rFonts w:ascii="Times New Roman" w:hAnsi="Times New Roman" w:cs="Times New Roman"/>
                <w:noProof/>
                <w:sz w:val="20"/>
                <w:szCs w:val="20"/>
              </w:rPr>
            </w:pPr>
          </w:p>
        </w:tc>
        <w:tc>
          <w:tcPr>
            <w:tcW w:w="3969" w:type="dxa"/>
            <w:tcBorders>
              <w:top w:val="single" w:sz="4" w:space="0" w:color="auto"/>
              <w:left w:val="single" w:sz="4" w:space="0" w:color="auto"/>
              <w:bottom w:val="single" w:sz="4" w:space="0" w:color="auto"/>
              <w:right w:val="single" w:sz="4" w:space="0" w:color="auto"/>
            </w:tcBorders>
            <w:shd w:val="pct15" w:color="auto" w:fill="auto"/>
            <w:hideMark/>
          </w:tcPr>
          <w:p w:rsidR="00CB2BB2" w:rsidRDefault="00913D73">
            <w:pPr>
              <w:ind w:left="-108"/>
              <w:jc w:val="center"/>
              <w:rPr>
                <w:rFonts w:ascii="Times New Roman" w:hAnsi="Times New Roman" w:cs="Times New Roman"/>
                <w:b/>
                <w:noProof/>
                <w:sz w:val="20"/>
                <w:szCs w:val="20"/>
              </w:rPr>
            </w:pPr>
            <w:r>
              <w:rPr>
                <w:rFonts w:ascii="Times New Roman" w:hAnsi="Times New Roman"/>
                <w:b/>
                <w:noProof/>
                <w:sz w:val="20"/>
              </w:rPr>
              <w:t>Действия на равнището на ЕС</w:t>
            </w:r>
          </w:p>
        </w:tc>
        <w:tc>
          <w:tcPr>
            <w:tcW w:w="4111" w:type="dxa"/>
            <w:tcBorders>
              <w:top w:val="single" w:sz="4" w:space="0" w:color="auto"/>
              <w:left w:val="single" w:sz="4" w:space="0" w:color="auto"/>
              <w:bottom w:val="single" w:sz="4" w:space="0" w:color="auto"/>
              <w:right w:val="single" w:sz="4" w:space="0" w:color="auto"/>
            </w:tcBorders>
            <w:shd w:val="pct15" w:color="auto" w:fill="auto"/>
            <w:hideMark/>
          </w:tcPr>
          <w:p w:rsidR="00CB2BB2" w:rsidRDefault="00913D73">
            <w:pPr>
              <w:jc w:val="center"/>
              <w:rPr>
                <w:rFonts w:ascii="Times New Roman" w:hAnsi="Times New Roman" w:cs="Times New Roman"/>
                <w:b/>
                <w:noProof/>
                <w:sz w:val="20"/>
                <w:szCs w:val="20"/>
              </w:rPr>
            </w:pPr>
            <w:r>
              <w:rPr>
                <w:rFonts w:ascii="Times New Roman" w:hAnsi="Times New Roman"/>
                <w:b/>
                <w:noProof/>
                <w:sz w:val="20"/>
              </w:rPr>
              <w:t>Действия, предприети от държавите членки</w:t>
            </w:r>
          </w:p>
        </w:tc>
        <w:tc>
          <w:tcPr>
            <w:tcW w:w="3764" w:type="dxa"/>
            <w:tcBorders>
              <w:top w:val="single" w:sz="4" w:space="0" w:color="auto"/>
              <w:left w:val="single" w:sz="4" w:space="0" w:color="auto"/>
              <w:bottom w:val="single" w:sz="4" w:space="0" w:color="auto"/>
              <w:right w:val="single" w:sz="4" w:space="0" w:color="auto"/>
            </w:tcBorders>
            <w:shd w:val="pct15" w:color="auto" w:fill="auto"/>
            <w:hideMark/>
          </w:tcPr>
          <w:p w:rsidR="00CB2BB2" w:rsidRDefault="00913D73">
            <w:pPr>
              <w:jc w:val="center"/>
              <w:rPr>
                <w:rFonts w:ascii="Times New Roman" w:hAnsi="Times New Roman" w:cs="Times New Roman"/>
                <w:b/>
                <w:noProof/>
                <w:sz w:val="20"/>
                <w:szCs w:val="20"/>
              </w:rPr>
            </w:pPr>
            <w:r>
              <w:rPr>
                <w:rFonts w:ascii="Times New Roman" w:hAnsi="Times New Roman"/>
                <w:b/>
                <w:noProof/>
                <w:sz w:val="20"/>
              </w:rPr>
              <w:t>Следващи стъпки</w:t>
            </w:r>
          </w:p>
        </w:tc>
      </w:tr>
      <w:tr w:rsidR="00CB2BB2">
        <w:tc>
          <w:tcPr>
            <w:tcW w:w="2376" w:type="dxa"/>
            <w:tcBorders>
              <w:top w:val="single" w:sz="4" w:space="0" w:color="auto"/>
              <w:left w:val="single" w:sz="4" w:space="0" w:color="auto"/>
              <w:bottom w:val="single" w:sz="4" w:space="0" w:color="auto"/>
              <w:right w:val="single" w:sz="4" w:space="0" w:color="auto"/>
            </w:tcBorders>
          </w:tcPr>
          <w:p w:rsidR="00CB2BB2" w:rsidRDefault="00913D73">
            <w:pPr>
              <w:rPr>
                <w:rFonts w:ascii="Times New Roman" w:hAnsi="Times New Roman" w:cs="Times New Roman"/>
                <w:noProof/>
                <w:sz w:val="20"/>
                <w:szCs w:val="20"/>
                <w:highlight w:val="yellow"/>
              </w:rPr>
            </w:pPr>
            <w:r>
              <w:rPr>
                <w:rFonts w:ascii="Times New Roman" w:hAnsi="Times New Roman"/>
                <w:noProof/>
                <w:sz w:val="20"/>
              </w:rPr>
              <w:t xml:space="preserve">Засилена финансова подкрепа за управление на миграцията: граничен контрол, системи за предоставяне на убежище, приемане, </w:t>
            </w:r>
            <w:r>
              <w:rPr>
                <w:rFonts w:ascii="Times New Roman" w:hAnsi="Times New Roman"/>
                <w:noProof/>
                <w:sz w:val="20"/>
              </w:rPr>
              <w:t>връщане (</w:t>
            </w:r>
            <w:r>
              <w:rPr>
                <w:rFonts w:ascii="Times New Roman" w:hAnsi="Times New Roman"/>
                <w:i/>
                <w:noProof/>
                <w:sz w:val="20"/>
              </w:rPr>
              <w:t>включени в коригиращия бюджет № 7/2015 г. и писмото за внасяне на корекции № 2/2016 г.).</w:t>
            </w:r>
          </w:p>
        </w:tc>
        <w:tc>
          <w:tcPr>
            <w:tcW w:w="3969" w:type="dxa"/>
            <w:tcBorders>
              <w:top w:val="single" w:sz="4" w:space="0" w:color="auto"/>
              <w:left w:val="single" w:sz="4" w:space="0" w:color="auto"/>
              <w:bottom w:val="single" w:sz="4" w:space="0" w:color="auto"/>
              <w:right w:val="single" w:sz="4" w:space="0" w:color="auto"/>
            </w:tcBorders>
          </w:tcPr>
          <w:p w:rsidR="00CB2BB2" w:rsidRDefault="00913D73">
            <w:pPr>
              <w:ind w:left="318" w:hanging="284"/>
              <w:rPr>
                <w:rFonts w:ascii="Times New Roman" w:hAnsi="Times New Roman" w:cs="Times New Roman"/>
                <w:noProof/>
                <w:sz w:val="20"/>
                <w:szCs w:val="20"/>
              </w:rPr>
            </w:pPr>
            <w:r>
              <w:rPr>
                <w:rFonts w:ascii="Times New Roman" w:hAnsi="Times New Roman"/>
                <w:noProof/>
                <w:sz w:val="20"/>
              </w:rPr>
              <w:t>-    Допълнително финансиране от 100 милиона евро за спешно подпомагане по линия на ФУМИ и ФВС през 2015 г. беше осигурено чрез изменение, предложено от Комис</w:t>
            </w:r>
            <w:r>
              <w:rPr>
                <w:rFonts w:ascii="Times New Roman" w:hAnsi="Times New Roman"/>
                <w:noProof/>
                <w:sz w:val="20"/>
              </w:rPr>
              <w:t xml:space="preserve">ията, и прието по ускорена процедура от бюджетния орган </w:t>
            </w:r>
          </w:p>
          <w:p w:rsidR="00CB2BB2" w:rsidRDefault="00913D73">
            <w:pPr>
              <w:numPr>
                <w:ilvl w:val="0"/>
                <w:numId w:val="9"/>
              </w:numPr>
              <w:ind w:left="318"/>
              <w:rPr>
                <w:rFonts w:ascii="Times New Roman" w:hAnsi="Times New Roman" w:cs="Times New Roman"/>
                <w:noProof/>
                <w:sz w:val="20"/>
                <w:szCs w:val="20"/>
              </w:rPr>
            </w:pPr>
            <w:r>
              <w:rPr>
                <w:rFonts w:ascii="Times New Roman" w:hAnsi="Times New Roman"/>
                <w:noProof/>
                <w:sz w:val="20"/>
              </w:rPr>
              <w:t>Бюджетното въздействие на второто предложение за преместване на 120 000 бежанци (включително разходите по преместването) в размер на общо 780 милиона евро за 2016 г., включени в писмото за внасяне на</w:t>
            </w:r>
            <w:r>
              <w:rPr>
                <w:rFonts w:ascii="Times New Roman" w:hAnsi="Times New Roman"/>
                <w:noProof/>
                <w:sz w:val="20"/>
              </w:rPr>
              <w:t xml:space="preserve"> корекции № 2, ще бъде прието от Комисията на 14.10.2015 г.</w:t>
            </w:r>
          </w:p>
          <w:p w:rsidR="00CB2BB2" w:rsidRDefault="00913D73">
            <w:pPr>
              <w:numPr>
                <w:ilvl w:val="0"/>
                <w:numId w:val="9"/>
              </w:numPr>
              <w:ind w:left="318"/>
              <w:rPr>
                <w:rFonts w:ascii="Times New Roman" w:hAnsi="Times New Roman" w:cs="Times New Roman"/>
                <w:noProof/>
                <w:sz w:val="20"/>
                <w:szCs w:val="20"/>
              </w:rPr>
            </w:pPr>
            <w:r>
              <w:rPr>
                <w:rFonts w:ascii="Times New Roman" w:hAnsi="Times New Roman"/>
                <w:noProof/>
                <w:sz w:val="20"/>
              </w:rPr>
              <w:t xml:space="preserve">Друго предложение на Комисията за допълнително финансиране за 2016 г. от 600 милиона евро също е включено в писмото за внасяне на корекции № 2, като в него се предвиждат:  </w:t>
            </w:r>
          </w:p>
          <w:p w:rsidR="00CB2BB2" w:rsidRDefault="00913D73">
            <w:pPr>
              <w:pStyle w:val="ListParagraph"/>
              <w:numPr>
                <w:ilvl w:val="0"/>
                <w:numId w:val="19"/>
              </w:numPr>
              <w:contextualSpacing w:val="0"/>
              <w:rPr>
                <w:rFonts w:ascii="Times New Roman" w:hAnsi="Times New Roman" w:cs="Times New Roman"/>
                <w:noProof/>
                <w:sz w:val="20"/>
                <w:szCs w:val="20"/>
              </w:rPr>
            </w:pPr>
            <w:r>
              <w:rPr>
                <w:rFonts w:ascii="Times New Roman" w:hAnsi="Times New Roman"/>
                <w:noProof/>
                <w:sz w:val="20"/>
              </w:rPr>
              <w:t>310 милиона евро за пов</w:t>
            </w:r>
            <w:r>
              <w:rPr>
                <w:rFonts w:ascii="Times New Roman" w:hAnsi="Times New Roman"/>
                <w:noProof/>
                <w:sz w:val="20"/>
              </w:rPr>
              <w:t>ече структурни средносрочни дейности и дейности за първоначално приемане в държавите членки, засегнати в най-голяма степен;</w:t>
            </w:r>
          </w:p>
          <w:p w:rsidR="00CB2BB2" w:rsidRDefault="00913D73">
            <w:pPr>
              <w:pStyle w:val="ListParagraph"/>
              <w:numPr>
                <w:ilvl w:val="0"/>
                <w:numId w:val="19"/>
              </w:numPr>
              <w:contextualSpacing w:val="0"/>
              <w:rPr>
                <w:rFonts w:ascii="Times New Roman" w:hAnsi="Times New Roman" w:cs="Times New Roman"/>
                <w:noProof/>
                <w:sz w:val="20"/>
                <w:szCs w:val="20"/>
              </w:rPr>
            </w:pPr>
            <w:r>
              <w:rPr>
                <w:rFonts w:ascii="Times New Roman" w:hAnsi="Times New Roman"/>
                <w:noProof/>
                <w:sz w:val="20"/>
              </w:rPr>
              <w:t>допълнителни средства в размер на 94 милиона евро за допълнителна спешна помощ;</w:t>
            </w:r>
          </w:p>
          <w:p w:rsidR="00CB2BB2" w:rsidRDefault="00913D73">
            <w:pPr>
              <w:pStyle w:val="ListParagraph"/>
              <w:numPr>
                <w:ilvl w:val="0"/>
                <w:numId w:val="19"/>
              </w:numPr>
              <w:contextualSpacing w:val="0"/>
              <w:rPr>
                <w:rFonts w:ascii="Times New Roman" w:hAnsi="Times New Roman" w:cs="Times New Roman"/>
                <w:noProof/>
                <w:sz w:val="20"/>
                <w:szCs w:val="20"/>
              </w:rPr>
            </w:pPr>
            <w:r>
              <w:rPr>
                <w:rFonts w:ascii="Times New Roman" w:hAnsi="Times New Roman"/>
                <w:noProof/>
                <w:sz w:val="20"/>
              </w:rPr>
              <w:t>110 милиона евро за бюджетното съгласуване на първия</w:t>
            </w:r>
            <w:r>
              <w:rPr>
                <w:rFonts w:ascii="Times New Roman" w:hAnsi="Times New Roman"/>
                <w:noProof/>
                <w:sz w:val="20"/>
              </w:rPr>
              <w:t xml:space="preserve"> пакет за преместване (40 000 бежанци) с втория пакет;</w:t>
            </w:r>
          </w:p>
          <w:p w:rsidR="00CB2BB2" w:rsidRDefault="00913D73">
            <w:pPr>
              <w:pStyle w:val="ListParagraph"/>
              <w:numPr>
                <w:ilvl w:val="0"/>
                <w:numId w:val="19"/>
              </w:numPr>
              <w:contextualSpacing w:val="0"/>
              <w:rPr>
                <w:rFonts w:ascii="Times New Roman" w:hAnsi="Times New Roman" w:cs="Times New Roman"/>
                <w:noProof/>
                <w:sz w:val="20"/>
                <w:szCs w:val="20"/>
              </w:rPr>
            </w:pPr>
            <w:r>
              <w:rPr>
                <w:rFonts w:ascii="Times New Roman" w:hAnsi="Times New Roman"/>
                <w:noProof/>
                <w:sz w:val="20"/>
              </w:rPr>
              <w:t>допълнителни ресурси за агенциите (вж. по-долу).</w:t>
            </w:r>
          </w:p>
          <w:p w:rsidR="00CB2BB2" w:rsidRDefault="00CB2BB2">
            <w:pPr>
              <w:rPr>
                <w:rFonts w:ascii="Times New Roman" w:hAnsi="Times New Roman" w:cs="Times New Roman"/>
                <w:noProof/>
                <w:sz w:val="20"/>
                <w:szCs w:val="20"/>
              </w:rPr>
            </w:pPr>
          </w:p>
          <w:p w:rsidR="00CB2BB2" w:rsidRDefault="00913D73">
            <w:pPr>
              <w:rPr>
                <w:rFonts w:ascii="Times New Roman" w:hAnsi="Times New Roman" w:cs="Times New Roman"/>
                <w:noProof/>
                <w:sz w:val="20"/>
                <w:szCs w:val="20"/>
              </w:rPr>
            </w:pPr>
            <w:r>
              <w:rPr>
                <w:rFonts w:ascii="Times New Roman" w:hAnsi="Times New Roman"/>
                <w:noProof/>
                <w:sz w:val="20"/>
              </w:rPr>
              <w:t>Текуща спешна помощ:</w:t>
            </w:r>
          </w:p>
          <w:p w:rsidR="00CB2BB2" w:rsidRDefault="00913D73">
            <w:pPr>
              <w:pStyle w:val="ListParagraph"/>
              <w:numPr>
                <w:ilvl w:val="0"/>
                <w:numId w:val="9"/>
              </w:numPr>
              <w:ind w:left="318"/>
              <w:contextualSpacing w:val="0"/>
              <w:rPr>
                <w:rFonts w:ascii="Times New Roman" w:hAnsi="Times New Roman" w:cs="Times New Roman"/>
                <w:noProof/>
                <w:sz w:val="20"/>
                <w:szCs w:val="20"/>
              </w:rPr>
            </w:pPr>
            <w:r>
              <w:rPr>
                <w:rFonts w:ascii="Times New Roman" w:hAnsi="Times New Roman"/>
                <w:noProof/>
                <w:sz w:val="20"/>
              </w:rPr>
              <w:t xml:space="preserve">В рамките на ФУМИ на Австрия беше предоставена спешна помощ в размер на 6,3 милиона евро на 5.10.2015 г., а заявленията от </w:t>
            </w:r>
            <w:r>
              <w:rPr>
                <w:rFonts w:ascii="Times New Roman" w:hAnsi="Times New Roman"/>
                <w:noProof/>
                <w:sz w:val="20"/>
              </w:rPr>
              <w:t>Унгария, Гърция, Германия и Хърватия за общо над 60 милиона евро все още се обработват.</w:t>
            </w:r>
          </w:p>
          <w:p w:rsidR="00CB2BB2" w:rsidRDefault="00913D73">
            <w:pPr>
              <w:pStyle w:val="ListParagraph"/>
              <w:numPr>
                <w:ilvl w:val="0"/>
                <w:numId w:val="9"/>
              </w:numPr>
              <w:ind w:left="318"/>
              <w:contextualSpacing w:val="0"/>
              <w:rPr>
                <w:rFonts w:ascii="Times New Roman" w:hAnsi="Times New Roman" w:cs="Times New Roman"/>
                <w:noProof/>
                <w:sz w:val="20"/>
                <w:szCs w:val="20"/>
              </w:rPr>
            </w:pPr>
            <w:r>
              <w:rPr>
                <w:rFonts w:ascii="Times New Roman" w:hAnsi="Times New Roman"/>
                <w:noProof/>
                <w:sz w:val="20"/>
              </w:rPr>
              <w:t>В рамките на ФВС — Граници в началото на октомври на Гърция бяха отпуснати 10,7 милиона евро, а на Франция 1,7 милиона евро. Допълнителни заявления за финансиране за об</w:t>
            </w:r>
            <w:r>
              <w:rPr>
                <w:rFonts w:ascii="Times New Roman" w:hAnsi="Times New Roman"/>
                <w:noProof/>
                <w:sz w:val="20"/>
              </w:rPr>
              <w:t>що над 8 милиона евро за Гърция и Хърватия са в процес на обработване.</w:t>
            </w:r>
          </w:p>
        </w:tc>
        <w:tc>
          <w:tcPr>
            <w:tcW w:w="4111" w:type="dxa"/>
            <w:tcBorders>
              <w:top w:val="single" w:sz="4" w:space="0" w:color="auto"/>
              <w:left w:val="single" w:sz="4" w:space="0" w:color="auto"/>
              <w:bottom w:val="single" w:sz="4" w:space="0" w:color="auto"/>
              <w:right w:val="single" w:sz="4" w:space="0" w:color="auto"/>
            </w:tcBorders>
          </w:tcPr>
          <w:p w:rsidR="00CB2BB2" w:rsidRDefault="00CB2BB2">
            <w:pPr>
              <w:rPr>
                <w:rFonts w:ascii="Times New Roman" w:hAnsi="Times New Roman" w:cs="Times New Roman"/>
                <w:noProof/>
                <w:sz w:val="20"/>
                <w:szCs w:val="20"/>
                <w:highlight w:val="yellow"/>
              </w:rPr>
            </w:pPr>
          </w:p>
          <w:p w:rsidR="00CB2BB2" w:rsidRDefault="00913D73">
            <w:pPr>
              <w:pStyle w:val="ListParagraph"/>
              <w:numPr>
                <w:ilvl w:val="0"/>
                <w:numId w:val="9"/>
              </w:numPr>
              <w:ind w:left="459"/>
              <w:contextualSpacing w:val="0"/>
              <w:rPr>
                <w:rFonts w:ascii="Times New Roman" w:hAnsi="Times New Roman" w:cs="Times New Roman"/>
                <w:noProof/>
                <w:sz w:val="20"/>
                <w:szCs w:val="20"/>
              </w:rPr>
            </w:pPr>
            <w:r>
              <w:rPr>
                <w:rFonts w:ascii="Times New Roman" w:hAnsi="Times New Roman"/>
                <w:noProof/>
                <w:sz w:val="20"/>
              </w:rPr>
              <w:t>Държавите членки (плюс 3 държави, асоциирани към Шенген) определиха своите компетентни органи.</w:t>
            </w:r>
          </w:p>
          <w:p w:rsidR="00CB2BB2" w:rsidRDefault="00CB2BB2">
            <w:pPr>
              <w:pStyle w:val="ListParagraph"/>
              <w:ind w:left="459"/>
              <w:rPr>
                <w:rFonts w:ascii="Times New Roman" w:hAnsi="Times New Roman" w:cs="Times New Roman"/>
                <w:noProof/>
                <w:sz w:val="20"/>
                <w:szCs w:val="20"/>
              </w:rPr>
            </w:pPr>
          </w:p>
          <w:p w:rsidR="00CB2BB2" w:rsidRDefault="00913D73">
            <w:pPr>
              <w:pStyle w:val="ListParagraph"/>
              <w:numPr>
                <w:ilvl w:val="0"/>
                <w:numId w:val="9"/>
              </w:numPr>
              <w:ind w:left="459"/>
              <w:contextualSpacing w:val="0"/>
              <w:rPr>
                <w:rFonts w:ascii="Times New Roman" w:hAnsi="Times New Roman" w:cs="Times New Roman"/>
                <w:noProof/>
                <w:sz w:val="20"/>
                <w:szCs w:val="20"/>
              </w:rPr>
            </w:pPr>
            <w:r>
              <w:rPr>
                <w:rFonts w:ascii="Times New Roman" w:hAnsi="Times New Roman"/>
                <w:noProof/>
                <w:sz w:val="20"/>
              </w:rPr>
              <w:t xml:space="preserve">75 % от държавите членки създадоха изпълнителната структура и започнаха изпълнението на </w:t>
            </w:r>
            <w:r>
              <w:rPr>
                <w:rFonts w:ascii="Times New Roman" w:hAnsi="Times New Roman"/>
                <w:noProof/>
                <w:sz w:val="20"/>
              </w:rPr>
              <w:t>националните програми.</w:t>
            </w:r>
          </w:p>
          <w:p w:rsidR="00CB2BB2" w:rsidRDefault="00CB2BB2">
            <w:pPr>
              <w:pStyle w:val="ListParagraph"/>
              <w:ind w:left="459"/>
              <w:rPr>
                <w:rFonts w:ascii="Times New Roman" w:hAnsi="Times New Roman" w:cs="Times New Roman"/>
                <w:noProof/>
                <w:sz w:val="20"/>
                <w:szCs w:val="20"/>
              </w:rPr>
            </w:pPr>
          </w:p>
          <w:p w:rsidR="00CB2BB2" w:rsidRDefault="00913D73">
            <w:pPr>
              <w:pStyle w:val="ListParagraph"/>
              <w:numPr>
                <w:ilvl w:val="0"/>
                <w:numId w:val="9"/>
              </w:numPr>
              <w:ind w:left="459"/>
              <w:contextualSpacing w:val="0"/>
              <w:rPr>
                <w:rFonts w:ascii="Times New Roman" w:hAnsi="Times New Roman" w:cs="Times New Roman"/>
                <w:noProof/>
                <w:sz w:val="20"/>
                <w:szCs w:val="20"/>
              </w:rPr>
            </w:pPr>
            <w:r>
              <w:rPr>
                <w:rFonts w:ascii="Times New Roman" w:hAnsi="Times New Roman"/>
                <w:noProof/>
                <w:sz w:val="20"/>
              </w:rPr>
              <w:t>Средствата, отпуснати за националните програми на Италия в рамките на ФУМИ и ФВС, възлизат на около 560 милиона евро за периода 2014—2020 г. Първите плащания на предварително финансиране на стойност приблизително 39 милиона евро бях</w:t>
            </w:r>
            <w:r>
              <w:rPr>
                <w:rFonts w:ascii="Times New Roman" w:hAnsi="Times New Roman"/>
                <w:noProof/>
                <w:sz w:val="20"/>
              </w:rPr>
              <w:t xml:space="preserve">а извършени през август 2015 г. В допълнение 19,12 милиона евро под формата на спешна помощ бяха отпуснати на Италия през 2015 г. </w:t>
            </w:r>
          </w:p>
          <w:p w:rsidR="00CB2BB2" w:rsidRDefault="00CB2BB2">
            <w:pPr>
              <w:pStyle w:val="ListParagraph"/>
              <w:ind w:left="459"/>
              <w:rPr>
                <w:rFonts w:ascii="Times New Roman" w:hAnsi="Times New Roman" w:cs="Times New Roman"/>
                <w:noProof/>
                <w:sz w:val="20"/>
                <w:szCs w:val="20"/>
              </w:rPr>
            </w:pPr>
          </w:p>
          <w:p w:rsidR="00CB2BB2" w:rsidRDefault="00913D73">
            <w:pPr>
              <w:pStyle w:val="ListParagraph"/>
              <w:ind w:left="318"/>
              <w:rPr>
                <w:rFonts w:ascii="Times New Roman" w:hAnsi="Times New Roman" w:cs="Times New Roman"/>
                <w:noProof/>
                <w:sz w:val="20"/>
                <w:szCs w:val="20"/>
              </w:rPr>
            </w:pPr>
            <w:r>
              <w:rPr>
                <w:rFonts w:ascii="Times New Roman" w:hAnsi="Times New Roman"/>
                <w:noProof/>
                <w:sz w:val="20"/>
              </w:rPr>
              <w:t>Средствата, предоставени за националните програми на Гърция в рамките на ФУМИ и ФВС, възлизат на около 474 милиона евро за п</w:t>
            </w:r>
            <w:r>
              <w:rPr>
                <w:rFonts w:ascii="Times New Roman" w:hAnsi="Times New Roman"/>
                <w:noProof/>
                <w:sz w:val="20"/>
              </w:rPr>
              <w:t xml:space="preserve">ериода 2014—2020 г. Първи плащания по предварителното финансиране в размер на около 33 милиона евро бяха направени в средата на септември 2015 г. В допълнение 19,5 милиона евро (включително безвъзмездни средства за ВКБООН) бяха предоставени на Гърция през </w:t>
            </w:r>
            <w:r>
              <w:rPr>
                <w:rFonts w:ascii="Times New Roman" w:hAnsi="Times New Roman"/>
                <w:noProof/>
                <w:sz w:val="20"/>
              </w:rPr>
              <w:t>2015 г. под формата на спешна помощ.</w:t>
            </w:r>
          </w:p>
        </w:tc>
        <w:tc>
          <w:tcPr>
            <w:tcW w:w="3764" w:type="dxa"/>
            <w:tcBorders>
              <w:top w:val="single" w:sz="4" w:space="0" w:color="auto"/>
              <w:left w:val="single" w:sz="4" w:space="0" w:color="auto"/>
              <w:bottom w:val="single" w:sz="4" w:space="0" w:color="auto"/>
              <w:right w:val="single" w:sz="4" w:space="0" w:color="auto"/>
            </w:tcBorders>
          </w:tcPr>
          <w:p w:rsidR="00CB2BB2" w:rsidRDefault="00913D73">
            <w:pPr>
              <w:pStyle w:val="ListParagraph"/>
              <w:numPr>
                <w:ilvl w:val="0"/>
                <w:numId w:val="9"/>
              </w:numPr>
              <w:ind w:left="318"/>
              <w:contextualSpacing w:val="0"/>
              <w:rPr>
                <w:rFonts w:ascii="Times New Roman" w:hAnsi="Times New Roman" w:cs="Times New Roman"/>
                <w:noProof/>
                <w:sz w:val="20"/>
                <w:szCs w:val="20"/>
              </w:rPr>
            </w:pPr>
            <w:r>
              <w:rPr>
                <w:rFonts w:ascii="Times New Roman" w:hAnsi="Times New Roman"/>
                <w:noProof/>
                <w:sz w:val="20"/>
              </w:rPr>
              <w:t>Държавите членки трябва да използват наличното финансиране, предоставяно чрез националните програми по линия на ФУМИ и ФВС. За тази цел някои държави членки все още трябва да определят своите компетентни органи.</w:t>
            </w:r>
          </w:p>
          <w:p w:rsidR="00CB2BB2" w:rsidRDefault="00913D73">
            <w:pPr>
              <w:pStyle w:val="ListParagraph"/>
              <w:numPr>
                <w:ilvl w:val="0"/>
                <w:numId w:val="9"/>
              </w:numPr>
              <w:ind w:left="318"/>
              <w:contextualSpacing w:val="0"/>
              <w:rPr>
                <w:rFonts w:ascii="Times New Roman" w:hAnsi="Times New Roman" w:cs="Times New Roman"/>
                <w:noProof/>
                <w:sz w:val="20"/>
                <w:szCs w:val="20"/>
              </w:rPr>
            </w:pPr>
            <w:r>
              <w:rPr>
                <w:rFonts w:ascii="Times New Roman" w:hAnsi="Times New Roman"/>
                <w:noProof/>
                <w:sz w:val="20"/>
              </w:rPr>
              <w:t>Комисия</w:t>
            </w:r>
            <w:r>
              <w:rPr>
                <w:rFonts w:ascii="Times New Roman" w:hAnsi="Times New Roman"/>
                <w:noProof/>
                <w:sz w:val="20"/>
              </w:rPr>
              <w:t xml:space="preserve">та ще изготви оценка на нуждите от преразглеждане на програмирането на държавите членки в рамките на ФУМИ и ФВС — Граници, за да провери дали то е в съответствие с настоящата ситуация в области като капацитета за приемане. </w:t>
            </w:r>
          </w:p>
          <w:p w:rsidR="00CB2BB2" w:rsidRDefault="00913D73">
            <w:pPr>
              <w:pStyle w:val="ListParagraph"/>
              <w:numPr>
                <w:ilvl w:val="0"/>
                <w:numId w:val="9"/>
              </w:numPr>
              <w:ind w:left="318"/>
              <w:contextualSpacing w:val="0"/>
              <w:rPr>
                <w:rFonts w:ascii="Times New Roman" w:hAnsi="Times New Roman" w:cs="Times New Roman"/>
                <w:noProof/>
                <w:sz w:val="20"/>
                <w:szCs w:val="20"/>
              </w:rPr>
            </w:pPr>
            <w:r>
              <w:rPr>
                <w:rFonts w:ascii="Times New Roman" w:hAnsi="Times New Roman"/>
                <w:noProof/>
                <w:sz w:val="20"/>
              </w:rPr>
              <w:t>Комисията ще поддържа тясна връз</w:t>
            </w:r>
            <w:r>
              <w:rPr>
                <w:rFonts w:ascii="Times New Roman" w:hAnsi="Times New Roman"/>
                <w:noProof/>
                <w:sz w:val="20"/>
              </w:rPr>
              <w:t>ка с държавите членки, които са подложени на най-голям натиск да финализират своята оценка на нуждите и да осигурят структуриран подход (дейности, срокове) за преодоляване на сегашните си спешни ситуации чрез националните програми и спешна помощ.</w:t>
            </w:r>
          </w:p>
          <w:p w:rsidR="00CB2BB2" w:rsidRDefault="00913D73">
            <w:pPr>
              <w:pStyle w:val="ListParagraph"/>
              <w:numPr>
                <w:ilvl w:val="0"/>
                <w:numId w:val="9"/>
              </w:numPr>
              <w:ind w:left="317" w:hanging="284"/>
              <w:contextualSpacing w:val="0"/>
              <w:rPr>
                <w:rFonts w:ascii="Times New Roman" w:hAnsi="Times New Roman" w:cs="Times New Roman"/>
                <w:noProof/>
                <w:sz w:val="20"/>
                <w:szCs w:val="20"/>
              </w:rPr>
            </w:pPr>
            <w:r>
              <w:rPr>
                <w:rFonts w:ascii="Times New Roman" w:hAnsi="Times New Roman"/>
                <w:noProof/>
                <w:sz w:val="20"/>
              </w:rPr>
              <w:t>Останалит</w:t>
            </w:r>
            <w:r>
              <w:rPr>
                <w:rFonts w:ascii="Times New Roman" w:hAnsi="Times New Roman"/>
                <w:noProof/>
                <w:sz w:val="20"/>
              </w:rPr>
              <w:t>е девет национални програми, които все още не са одобрени, ще бъдат приети до края на ноември.</w:t>
            </w: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913D73">
            <w:pPr>
              <w:pStyle w:val="ListParagraph"/>
              <w:numPr>
                <w:ilvl w:val="0"/>
                <w:numId w:val="9"/>
              </w:numPr>
              <w:ind w:left="317" w:hanging="284"/>
              <w:contextualSpacing w:val="0"/>
              <w:rPr>
                <w:rFonts w:ascii="Times New Roman" w:hAnsi="Times New Roman" w:cs="Times New Roman"/>
                <w:noProof/>
                <w:sz w:val="20"/>
                <w:szCs w:val="20"/>
              </w:rPr>
            </w:pPr>
            <w:r>
              <w:rPr>
                <w:rFonts w:ascii="Times New Roman" w:hAnsi="Times New Roman"/>
                <w:noProof/>
                <w:sz w:val="20"/>
              </w:rPr>
              <w:t>На заседание на борда на директорите на Европейската инвестиционна банка през ноември ще бъдат обсъдени специални условия за проектите, свързани с бежанците; о</w:t>
            </w:r>
            <w:r>
              <w:rPr>
                <w:rFonts w:ascii="Times New Roman" w:hAnsi="Times New Roman"/>
                <w:noProof/>
                <w:sz w:val="20"/>
              </w:rPr>
              <w:t>ценка на нуждите до края на ноември</w:t>
            </w:r>
          </w:p>
        </w:tc>
      </w:tr>
      <w:tr w:rsidR="00CB2BB2">
        <w:tc>
          <w:tcPr>
            <w:tcW w:w="2376" w:type="dxa"/>
            <w:tcBorders>
              <w:top w:val="single" w:sz="4" w:space="0" w:color="auto"/>
              <w:left w:val="single" w:sz="4" w:space="0" w:color="auto"/>
              <w:bottom w:val="single" w:sz="4" w:space="0" w:color="auto"/>
              <w:right w:val="single" w:sz="4" w:space="0" w:color="auto"/>
            </w:tcBorders>
            <w:hideMark/>
          </w:tcPr>
          <w:p w:rsidR="00CB2BB2" w:rsidRDefault="00913D73">
            <w:pPr>
              <w:rPr>
                <w:rFonts w:ascii="Times New Roman" w:hAnsi="Times New Roman" w:cs="Times New Roman"/>
                <w:noProof/>
                <w:sz w:val="20"/>
                <w:szCs w:val="20"/>
              </w:rPr>
            </w:pPr>
            <w:r>
              <w:rPr>
                <w:rFonts w:ascii="Times New Roman" w:hAnsi="Times New Roman"/>
                <w:noProof/>
                <w:sz w:val="20"/>
              </w:rPr>
              <w:t>Подкрепа за агенциите на ЕС</w:t>
            </w:r>
          </w:p>
        </w:tc>
        <w:tc>
          <w:tcPr>
            <w:tcW w:w="3969" w:type="dxa"/>
            <w:tcBorders>
              <w:top w:val="single" w:sz="4" w:space="0" w:color="auto"/>
              <w:left w:val="single" w:sz="4" w:space="0" w:color="auto"/>
              <w:bottom w:val="single" w:sz="4" w:space="0" w:color="auto"/>
              <w:right w:val="single" w:sz="4" w:space="0" w:color="auto"/>
            </w:tcBorders>
          </w:tcPr>
          <w:p w:rsidR="00CB2BB2" w:rsidRDefault="00913D73">
            <w:pPr>
              <w:pStyle w:val="ListParagraph"/>
              <w:numPr>
                <w:ilvl w:val="0"/>
                <w:numId w:val="9"/>
              </w:numPr>
              <w:ind w:left="318"/>
              <w:contextualSpacing w:val="0"/>
              <w:rPr>
                <w:rFonts w:ascii="Times New Roman" w:hAnsi="Times New Roman" w:cs="Times New Roman"/>
                <w:noProof/>
                <w:sz w:val="20"/>
                <w:szCs w:val="20"/>
              </w:rPr>
            </w:pPr>
            <w:r>
              <w:rPr>
                <w:rFonts w:ascii="Times New Roman" w:hAnsi="Times New Roman"/>
                <w:noProof/>
                <w:sz w:val="20"/>
              </w:rPr>
              <w:t>Човешките ресурси на агенциите за 2015 г. и 2016 г. бяха засилени с</w:t>
            </w:r>
          </w:p>
          <w:p w:rsidR="00CB2BB2" w:rsidRDefault="00913D73">
            <w:pPr>
              <w:pStyle w:val="ListParagraph"/>
              <w:numPr>
                <w:ilvl w:val="0"/>
                <w:numId w:val="9"/>
              </w:numPr>
              <w:contextualSpacing w:val="0"/>
              <w:rPr>
                <w:rFonts w:ascii="Times New Roman" w:hAnsi="Times New Roman" w:cs="Times New Roman"/>
                <w:noProof/>
                <w:sz w:val="20"/>
                <w:szCs w:val="20"/>
              </w:rPr>
            </w:pPr>
            <w:r>
              <w:rPr>
                <w:rFonts w:ascii="Times New Roman" w:hAnsi="Times New Roman"/>
                <w:noProof/>
                <w:sz w:val="20"/>
              </w:rPr>
              <w:t xml:space="preserve">60 длъжности за Frontex, </w:t>
            </w:r>
          </w:p>
          <w:p w:rsidR="00CB2BB2" w:rsidRDefault="00913D73">
            <w:pPr>
              <w:pStyle w:val="ListParagraph"/>
              <w:numPr>
                <w:ilvl w:val="0"/>
                <w:numId w:val="9"/>
              </w:numPr>
              <w:contextualSpacing w:val="0"/>
              <w:rPr>
                <w:rFonts w:ascii="Times New Roman" w:hAnsi="Times New Roman" w:cs="Times New Roman"/>
                <w:noProof/>
                <w:sz w:val="20"/>
                <w:szCs w:val="20"/>
              </w:rPr>
            </w:pPr>
            <w:r>
              <w:rPr>
                <w:rFonts w:ascii="Times New Roman" w:hAnsi="Times New Roman"/>
                <w:noProof/>
                <w:sz w:val="20"/>
              </w:rPr>
              <w:t xml:space="preserve">30 длъжности за EASO, </w:t>
            </w:r>
          </w:p>
          <w:p w:rsidR="00CB2BB2" w:rsidRDefault="00913D73">
            <w:pPr>
              <w:pStyle w:val="ListParagraph"/>
              <w:numPr>
                <w:ilvl w:val="0"/>
                <w:numId w:val="9"/>
              </w:numPr>
              <w:contextualSpacing w:val="0"/>
              <w:rPr>
                <w:rFonts w:ascii="Times New Roman" w:hAnsi="Times New Roman" w:cs="Times New Roman"/>
                <w:noProof/>
                <w:sz w:val="20"/>
                <w:szCs w:val="20"/>
              </w:rPr>
            </w:pPr>
            <w:r>
              <w:rPr>
                <w:rFonts w:ascii="Times New Roman" w:hAnsi="Times New Roman"/>
                <w:noProof/>
                <w:sz w:val="20"/>
              </w:rPr>
              <w:t xml:space="preserve">30 длъжности за Европол. </w:t>
            </w:r>
          </w:p>
          <w:p w:rsidR="00CB2BB2" w:rsidRDefault="00913D73">
            <w:pPr>
              <w:pStyle w:val="ListParagraph"/>
              <w:numPr>
                <w:ilvl w:val="0"/>
                <w:numId w:val="9"/>
              </w:numPr>
              <w:ind w:left="318"/>
              <w:contextualSpacing w:val="0"/>
              <w:rPr>
                <w:rFonts w:ascii="Times New Roman" w:hAnsi="Times New Roman" w:cs="Times New Roman"/>
                <w:noProof/>
                <w:sz w:val="20"/>
                <w:szCs w:val="20"/>
              </w:rPr>
            </w:pPr>
            <w:r>
              <w:rPr>
                <w:rFonts w:ascii="Times New Roman" w:hAnsi="Times New Roman"/>
                <w:noProof/>
                <w:sz w:val="20"/>
              </w:rPr>
              <w:t xml:space="preserve">50 милиона евро за подпомагане на дейностите на </w:t>
            </w:r>
            <w:r>
              <w:rPr>
                <w:rFonts w:ascii="Times New Roman" w:hAnsi="Times New Roman"/>
                <w:noProof/>
                <w:sz w:val="20"/>
              </w:rPr>
              <w:t>Frontex през 2016 г. в областта на връщането и 20 милиона евро за укрепване на техните дейности, свързани с „горещите точки“.</w:t>
            </w:r>
          </w:p>
          <w:p w:rsidR="00CB2BB2" w:rsidRDefault="00CB2BB2">
            <w:pPr>
              <w:pStyle w:val="ListParagraph"/>
              <w:numPr>
                <w:ilvl w:val="0"/>
                <w:numId w:val="9"/>
              </w:numPr>
              <w:ind w:left="318"/>
              <w:contextualSpacing w:val="0"/>
              <w:rPr>
                <w:rFonts w:ascii="Times New Roman" w:hAnsi="Times New Roman" w:cs="Times New Roman"/>
                <w:noProof/>
                <w:sz w:val="20"/>
                <w:szCs w:val="20"/>
              </w:rPr>
            </w:pPr>
          </w:p>
        </w:tc>
        <w:tc>
          <w:tcPr>
            <w:tcW w:w="4111" w:type="dxa"/>
            <w:tcBorders>
              <w:top w:val="single" w:sz="4" w:space="0" w:color="auto"/>
              <w:left w:val="single" w:sz="4" w:space="0" w:color="auto"/>
              <w:bottom w:val="single" w:sz="4" w:space="0" w:color="auto"/>
              <w:right w:val="single" w:sz="4" w:space="0" w:color="auto"/>
            </w:tcBorders>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Подкрепа от държавите членки за Frontex и операциите на EASO </w:t>
            </w:r>
          </w:p>
        </w:tc>
        <w:tc>
          <w:tcPr>
            <w:tcW w:w="3764" w:type="dxa"/>
            <w:tcBorders>
              <w:top w:val="single" w:sz="4" w:space="0" w:color="auto"/>
              <w:left w:val="single" w:sz="4" w:space="0" w:color="auto"/>
              <w:bottom w:val="single" w:sz="4" w:space="0" w:color="auto"/>
              <w:right w:val="single" w:sz="4" w:space="0" w:color="auto"/>
            </w:tcBorders>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Подкрепа, предложена в бюджета за 2016 г.</w:t>
            </w:r>
          </w:p>
        </w:tc>
      </w:tr>
    </w:tbl>
    <w:p w:rsidR="00CB2BB2" w:rsidRDefault="00CB2BB2">
      <w:pPr>
        <w:spacing w:line="240" w:lineRule="auto"/>
        <w:rPr>
          <w:rFonts w:ascii="Times New Roman" w:hAnsi="Times New Roman" w:cs="Times New Roman"/>
          <w:noProof/>
          <w:sz w:val="20"/>
          <w:szCs w:val="20"/>
        </w:rPr>
      </w:pPr>
    </w:p>
    <w:p w:rsidR="00CB2BB2" w:rsidRDefault="00913D73">
      <w:pPr>
        <w:spacing w:line="240" w:lineRule="auto"/>
        <w:rPr>
          <w:rFonts w:ascii="Times New Roman" w:hAnsi="Times New Roman" w:cs="Times New Roman"/>
          <w:noProof/>
          <w:sz w:val="20"/>
          <w:szCs w:val="20"/>
        </w:rPr>
      </w:pPr>
      <w:r>
        <w:rPr>
          <w:noProof/>
        </w:rPr>
        <w:br w:type="page"/>
      </w:r>
      <w:r>
        <w:rPr>
          <w:rFonts w:ascii="Times New Roman" w:hAnsi="Times New Roman"/>
          <w:noProof/>
          <w:sz w:val="20"/>
        </w:rPr>
        <w:t xml:space="preserve">ОПЕРАТИВНИ И БЮДЖЕТНИ </w:t>
      </w:r>
      <w:r>
        <w:rPr>
          <w:rFonts w:ascii="Times New Roman" w:hAnsi="Times New Roman"/>
          <w:noProof/>
          <w:sz w:val="20"/>
        </w:rPr>
        <w:t>МЕРКИ ВЪНШНИ ДЕЙНОСТИ</w:t>
      </w:r>
    </w:p>
    <w:tbl>
      <w:tblPr>
        <w:tblStyle w:val="TableGrid"/>
        <w:tblW w:w="0" w:type="auto"/>
        <w:tblLook w:val="04A0" w:firstRow="1" w:lastRow="0" w:firstColumn="1" w:lastColumn="0" w:noHBand="0" w:noVBand="1"/>
      </w:tblPr>
      <w:tblGrid>
        <w:gridCol w:w="2376"/>
        <w:gridCol w:w="3969"/>
        <w:gridCol w:w="4111"/>
        <w:gridCol w:w="3764"/>
      </w:tblGrid>
      <w:tr w:rsidR="00CB2BB2">
        <w:tc>
          <w:tcPr>
            <w:tcW w:w="2376" w:type="dxa"/>
            <w:shd w:val="pct15" w:color="auto" w:fill="auto"/>
          </w:tcPr>
          <w:p w:rsidR="00CB2BB2" w:rsidRDefault="00CB2BB2">
            <w:pPr>
              <w:rPr>
                <w:rFonts w:ascii="Times New Roman" w:hAnsi="Times New Roman" w:cs="Times New Roman"/>
                <w:noProof/>
                <w:sz w:val="20"/>
                <w:szCs w:val="20"/>
              </w:rPr>
            </w:pPr>
          </w:p>
        </w:tc>
        <w:tc>
          <w:tcPr>
            <w:tcW w:w="3969" w:type="dxa"/>
            <w:shd w:val="pct15" w:color="auto" w:fill="auto"/>
          </w:tcPr>
          <w:p w:rsidR="00CB2BB2" w:rsidRDefault="00913D73">
            <w:pPr>
              <w:ind w:left="-108"/>
              <w:jc w:val="center"/>
              <w:rPr>
                <w:rFonts w:ascii="Times New Roman" w:hAnsi="Times New Roman" w:cs="Times New Roman"/>
                <w:b/>
                <w:noProof/>
                <w:sz w:val="20"/>
                <w:szCs w:val="20"/>
              </w:rPr>
            </w:pPr>
            <w:r>
              <w:rPr>
                <w:rFonts w:ascii="Times New Roman" w:hAnsi="Times New Roman"/>
                <w:b/>
                <w:noProof/>
                <w:sz w:val="20"/>
              </w:rPr>
              <w:t>Действия на равнището на ЕС</w:t>
            </w:r>
          </w:p>
        </w:tc>
        <w:tc>
          <w:tcPr>
            <w:tcW w:w="4111" w:type="dxa"/>
            <w:shd w:val="pct15" w:color="auto" w:fill="auto"/>
          </w:tcPr>
          <w:p w:rsidR="00CB2BB2" w:rsidRDefault="00913D73">
            <w:pPr>
              <w:jc w:val="center"/>
              <w:rPr>
                <w:rFonts w:ascii="Times New Roman" w:hAnsi="Times New Roman" w:cs="Times New Roman"/>
                <w:b/>
                <w:noProof/>
                <w:sz w:val="20"/>
                <w:szCs w:val="20"/>
              </w:rPr>
            </w:pPr>
            <w:r>
              <w:rPr>
                <w:rFonts w:ascii="Times New Roman" w:hAnsi="Times New Roman"/>
                <w:b/>
                <w:noProof/>
                <w:sz w:val="20"/>
              </w:rPr>
              <w:t>Действия, предприети от държавите членки</w:t>
            </w:r>
          </w:p>
        </w:tc>
        <w:tc>
          <w:tcPr>
            <w:tcW w:w="3764" w:type="dxa"/>
            <w:shd w:val="pct15" w:color="auto" w:fill="auto"/>
          </w:tcPr>
          <w:p w:rsidR="00CB2BB2" w:rsidRDefault="00913D73">
            <w:pPr>
              <w:jc w:val="center"/>
              <w:rPr>
                <w:rFonts w:ascii="Times New Roman" w:hAnsi="Times New Roman" w:cs="Times New Roman"/>
                <w:b/>
                <w:noProof/>
                <w:sz w:val="20"/>
                <w:szCs w:val="20"/>
              </w:rPr>
            </w:pPr>
            <w:r>
              <w:rPr>
                <w:rFonts w:ascii="Times New Roman" w:hAnsi="Times New Roman"/>
                <w:b/>
                <w:noProof/>
                <w:sz w:val="20"/>
              </w:rPr>
              <w:t>Следващи стъпки</w:t>
            </w:r>
          </w:p>
        </w:tc>
      </w:tr>
      <w:tr w:rsidR="00CB2BB2">
        <w:tc>
          <w:tcPr>
            <w:tcW w:w="2376" w:type="dxa"/>
          </w:tcPr>
          <w:p w:rsidR="00CB2BB2" w:rsidRDefault="00913D73">
            <w:pPr>
              <w:rPr>
                <w:rFonts w:ascii="Times New Roman" w:hAnsi="Times New Roman" w:cs="Times New Roman"/>
                <w:noProof/>
                <w:sz w:val="20"/>
                <w:szCs w:val="20"/>
              </w:rPr>
            </w:pPr>
            <w:r>
              <w:rPr>
                <w:rFonts w:ascii="Times New Roman" w:hAnsi="Times New Roman"/>
                <w:noProof/>
                <w:sz w:val="20"/>
              </w:rPr>
              <w:t>Дипломатическа офанзива в областта на миграцията</w:t>
            </w:r>
          </w:p>
        </w:tc>
        <w:tc>
          <w:tcPr>
            <w:tcW w:w="3969"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Беше проведена конференция на високо равнище относно маршрута през Източното Средиземноморие и </w:t>
            </w:r>
            <w:r>
              <w:rPr>
                <w:rFonts w:ascii="Times New Roman" w:hAnsi="Times New Roman"/>
                <w:noProof/>
                <w:sz w:val="20"/>
              </w:rPr>
              <w:t>Западните Балкани, Люксембург, 8.10.2015 г. Установени бяха пет основни области на дейност (в декларация): 1) подкрепа за Йордания, Ливан, Турция; 2) подкрепа за държавите на транзитно преминаване; 3) борба с организираната престъпност и контрабандата на м</w:t>
            </w:r>
            <w:r>
              <w:rPr>
                <w:rFonts w:ascii="Times New Roman" w:hAnsi="Times New Roman"/>
                <w:noProof/>
                <w:sz w:val="20"/>
              </w:rPr>
              <w:t>игранти; 4) справяне с първопричините; 5) осигуряване участието на държавите на произход на незаконните мигранти.</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Турция — беше представен план за действие в областта на миграцията между ЕС и Турция, включително мерки за подпомагане на Турция в рамките на</w:t>
            </w:r>
            <w:r>
              <w:rPr>
                <w:rFonts w:ascii="Times New Roman" w:hAnsi="Times New Roman"/>
                <w:noProof/>
                <w:sz w:val="20"/>
              </w:rPr>
              <w:t xml:space="preserve"> кризата с бежанците и за намаляване на незаконното заминаване. </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w:t>
            </w:r>
          </w:p>
          <w:p w:rsidR="00CB2BB2" w:rsidRDefault="00CB2BB2">
            <w:pPr>
              <w:pStyle w:val="ListParagraph"/>
              <w:ind w:left="318"/>
              <w:rPr>
                <w:rFonts w:ascii="Times New Roman" w:hAnsi="Times New Roman" w:cs="Times New Roman"/>
                <w:noProof/>
                <w:sz w:val="20"/>
                <w:szCs w:val="20"/>
              </w:rPr>
            </w:pPr>
          </w:p>
        </w:tc>
        <w:tc>
          <w:tcPr>
            <w:tcW w:w="4111"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Германия обяви установяването на диалог на високо равнище с Турция по въпросите на миграцията.</w:t>
            </w:r>
          </w:p>
          <w:p w:rsidR="00CB2BB2" w:rsidRDefault="00CB2BB2">
            <w:pPr>
              <w:pStyle w:val="ListParagraph"/>
              <w:ind w:left="176"/>
              <w:rPr>
                <w:rFonts w:ascii="Times New Roman" w:hAnsi="Times New Roman" w:cs="Times New Roman"/>
                <w:noProof/>
                <w:sz w:val="20"/>
                <w:szCs w:val="20"/>
              </w:rPr>
            </w:pPr>
          </w:p>
        </w:tc>
        <w:tc>
          <w:tcPr>
            <w:tcW w:w="3764" w:type="dxa"/>
          </w:tcPr>
          <w:p w:rsidR="00CB2BB2" w:rsidRDefault="00913D73">
            <w:pPr>
              <w:tabs>
                <w:tab w:val="left" w:pos="34"/>
              </w:tabs>
              <w:rPr>
                <w:rFonts w:ascii="Times New Roman" w:hAnsi="Times New Roman" w:cs="Times New Roman"/>
                <w:noProof/>
                <w:sz w:val="20"/>
                <w:szCs w:val="20"/>
              </w:rPr>
            </w:pPr>
            <w:r>
              <w:rPr>
                <w:rFonts w:ascii="Times New Roman" w:hAnsi="Times New Roman"/>
                <w:noProof/>
                <w:sz w:val="20"/>
                <w:u w:val="single"/>
              </w:rPr>
              <w:t>Конференция на високо равнище</w:t>
            </w:r>
          </w:p>
          <w:p w:rsidR="00CB2BB2" w:rsidRDefault="00913D73">
            <w:pPr>
              <w:ind w:left="317" w:hanging="283"/>
              <w:rPr>
                <w:rFonts w:ascii="Times New Roman" w:hAnsi="Times New Roman" w:cs="Times New Roman"/>
                <w:noProof/>
                <w:sz w:val="20"/>
                <w:szCs w:val="20"/>
              </w:rPr>
            </w:pPr>
            <w:r>
              <w:rPr>
                <w:rFonts w:ascii="Times New Roman" w:hAnsi="Times New Roman"/>
                <w:noProof/>
                <w:sz w:val="20"/>
              </w:rPr>
              <w:t>— Използване на вече съществуващи двустранни и регионални рамк</w:t>
            </w:r>
            <w:r>
              <w:rPr>
                <w:rFonts w:ascii="Times New Roman" w:hAnsi="Times New Roman"/>
                <w:noProof/>
                <w:sz w:val="20"/>
              </w:rPr>
              <w:t>и за диалог и сътрудничество</w:t>
            </w:r>
          </w:p>
          <w:p w:rsidR="00CB2BB2" w:rsidRDefault="00913D73">
            <w:pPr>
              <w:ind w:left="317" w:hanging="283"/>
              <w:rPr>
                <w:rFonts w:ascii="Times New Roman" w:hAnsi="Times New Roman" w:cs="Times New Roman"/>
                <w:noProof/>
                <w:sz w:val="20"/>
                <w:szCs w:val="20"/>
              </w:rPr>
            </w:pPr>
            <w:r>
              <w:rPr>
                <w:rFonts w:ascii="Times New Roman" w:hAnsi="Times New Roman"/>
                <w:noProof/>
                <w:sz w:val="20"/>
              </w:rPr>
              <w:t>— Договаряне на планове за действие за изпълнение</w:t>
            </w:r>
          </w:p>
          <w:p w:rsidR="00CB2BB2" w:rsidRDefault="00913D73">
            <w:pPr>
              <w:ind w:left="317" w:hanging="283"/>
              <w:rPr>
                <w:rFonts w:ascii="Times New Roman" w:hAnsi="Times New Roman" w:cs="Times New Roman"/>
                <w:noProof/>
                <w:sz w:val="20"/>
                <w:szCs w:val="20"/>
              </w:rPr>
            </w:pPr>
            <w:r>
              <w:rPr>
                <w:rFonts w:ascii="Times New Roman" w:hAnsi="Times New Roman"/>
                <w:noProof/>
                <w:sz w:val="20"/>
              </w:rPr>
              <w:t>— Сътрудничество с ООН и други международни организации</w:t>
            </w:r>
          </w:p>
          <w:p w:rsidR="00CB2BB2" w:rsidRDefault="00913D73">
            <w:pPr>
              <w:ind w:left="459" w:hanging="425"/>
              <w:rPr>
                <w:rFonts w:ascii="Times New Roman" w:hAnsi="Times New Roman" w:cs="Times New Roman"/>
                <w:noProof/>
                <w:sz w:val="20"/>
                <w:szCs w:val="20"/>
              </w:rPr>
            </w:pPr>
            <w:r>
              <w:rPr>
                <w:rFonts w:ascii="Times New Roman" w:hAnsi="Times New Roman"/>
                <w:noProof/>
                <w:sz w:val="20"/>
              </w:rPr>
              <w:t xml:space="preserve">—  Министерски форум ЕС—Западни Балкани в областта на правосъдието и вътрешните работи (до края на 2015 г.) </w:t>
            </w:r>
          </w:p>
          <w:p w:rsidR="00CB2BB2" w:rsidRDefault="00913D73">
            <w:pPr>
              <w:ind w:left="99"/>
              <w:rPr>
                <w:rFonts w:ascii="Times New Roman" w:hAnsi="Times New Roman" w:cs="Times New Roman"/>
                <w:noProof/>
                <w:sz w:val="20"/>
                <w:szCs w:val="20"/>
              </w:rPr>
            </w:pPr>
            <w:r>
              <w:rPr>
                <w:rFonts w:ascii="Times New Roman" w:hAnsi="Times New Roman"/>
                <w:noProof/>
                <w:sz w:val="20"/>
              </w:rPr>
              <w:t xml:space="preserve">Мониторинг: </w:t>
            </w:r>
            <w:r>
              <w:rPr>
                <w:rFonts w:ascii="Times New Roman" w:hAnsi="Times New Roman"/>
                <w:noProof/>
                <w:sz w:val="20"/>
              </w:rPr>
              <w:t>Среща на равнище висши служители в началото на 2016 г. относно изпълнението на декларацията от конференцията.</w:t>
            </w:r>
          </w:p>
          <w:p w:rsidR="00CB2BB2" w:rsidRDefault="00CB2BB2">
            <w:pPr>
              <w:pStyle w:val="ListParagraph"/>
              <w:ind w:left="176"/>
              <w:rPr>
                <w:rFonts w:ascii="Times New Roman" w:hAnsi="Times New Roman" w:cs="Times New Roman"/>
                <w:noProof/>
                <w:sz w:val="20"/>
                <w:szCs w:val="20"/>
              </w:rPr>
            </w:pPr>
          </w:p>
          <w:p w:rsidR="00CB2BB2" w:rsidRDefault="00913D73">
            <w:pPr>
              <w:spacing w:after="120"/>
              <w:jc w:val="both"/>
              <w:rPr>
                <w:rFonts w:ascii="Times New Roman" w:hAnsi="Times New Roman" w:cs="Times New Roman"/>
                <w:noProof/>
                <w:sz w:val="20"/>
                <w:szCs w:val="20"/>
              </w:rPr>
            </w:pPr>
            <w:r>
              <w:rPr>
                <w:rFonts w:ascii="Times New Roman" w:hAnsi="Times New Roman" w:cs="Times New Roman"/>
                <w:noProof/>
                <w:sz w:val="20"/>
                <w:szCs w:val="20"/>
                <w:u w:val="single"/>
              </w:rPr>
              <w:t>Среща на върха във Валета</w:t>
            </w:r>
            <w:r>
              <w:rPr>
                <w:rFonts w:ascii="Times New Roman" w:hAnsi="Times New Roman" w:cs="Times New Roman"/>
                <w:noProof/>
                <w:sz w:val="20"/>
                <w:szCs w:val="20"/>
              </w:rPr>
              <w:t xml:space="preserve"> 11—12.11.2015 г.</w:t>
            </w:r>
          </w:p>
          <w:p w:rsidR="00CB2BB2" w:rsidRDefault="00913D73">
            <w:pPr>
              <w:pStyle w:val="ListParagraph"/>
              <w:numPr>
                <w:ilvl w:val="0"/>
                <w:numId w:val="13"/>
              </w:numPr>
              <w:spacing w:after="120"/>
              <w:ind w:left="317"/>
              <w:contextualSpacing w:val="0"/>
              <w:jc w:val="both"/>
              <w:rPr>
                <w:rFonts w:ascii="Times New Roman" w:hAnsi="Times New Roman" w:cs="Times New Roman"/>
                <w:noProof/>
                <w:sz w:val="20"/>
                <w:szCs w:val="20"/>
              </w:rPr>
            </w:pPr>
            <w:r>
              <w:rPr>
                <w:rFonts w:ascii="Times New Roman" w:hAnsi="Times New Roman"/>
                <w:noProof/>
                <w:sz w:val="20"/>
              </w:rPr>
              <w:t xml:space="preserve">Политическа декларация и план за действие </w:t>
            </w:r>
          </w:p>
          <w:p w:rsidR="00CB2BB2" w:rsidRDefault="00913D73">
            <w:pPr>
              <w:pStyle w:val="ListParagraph"/>
              <w:numPr>
                <w:ilvl w:val="0"/>
                <w:numId w:val="13"/>
              </w:numPr>
              <w:spacing w:after="120"/>
              <w:ind w:left="317"/>
              <w:contextualSpacing w:val="0"/>
              <w:jc w:val="both"/>
              <w:rPr>
                <w:rFonts w:ascii="Times New Roman" w:hAnsi="Times New Roman" w:cs="Times New Roman"/>
                <w:noProof/>
                <w:sz w:val="20"/>
                <w:szCs w:val="20"/>
              </w:rPr>
            </w:pPr>
            <w:r>
              <w:rPr>
                <w:rFonts w:ascii="Times New Roman" w:hAnsi="Times New Roman"/>
                <w:noProof/>
                <w:sz w:val="20"/>
              </w:rPr>
              <w:t xml:space="preserve">Проследяване на действия в областта на целевата помощ, </w:t>
            </w:r>
            <w:r>
              <w:rPr>
                <w:rFonts w:ascii="Times New Roman" w:hAnsi="Times New Roman"/>
                <w:noProof/>
                <w:sz w:val="20"/>
              </w:rPr>
              <w:t>законната миграция, борбата с контрабандата на мигранти и осезаем напредък по отношение на връщането и обратното приемане</w:t>
            </w:r>
          </w:p>
          <w:p w:rsidR="00CB2BB2" w:rsidRDefault="00913D73">
            <w:pPr>
              <w:pStyle w:val="Default"/>
              <w:numPr>
                <w:ilvl w:val="0"/>
                <w:numId w:val="13"/>
              </w:numPr>
              <w:ind w:left="317"/>
              <w:rPr>
                <w:rFonts w:ascii="Times New Roman" w:hAnsi="Times New Roman" w:cs="Times New Roman"/>
                <w:noProof/>
                <w:sz w:val="20"/>
                <w:szCs w:val="20"/>
              </w:rPr>
            </w:pPr>
            <w:r>
              <w:rPr>
                <w:rFonts w:ascii="Times New Roman" w:hAnsi="Times New Roman"/>
                <w:noProof/>
                <w:sz w:val="20"/>
              </w:rPr>
              <w:t>Държавите членки ще направят принос за Извънредния доверителен фонд за стабилност и ще се занимаят с първопричините за незаконната миг</w:t>
            </w:r>
            <w:r>
              <w:rPr>
                <w:rFonts w:ascii="Times New Roman" w:hAnsi="Times New Roman"/>
                <w:noProof/>
                <w:sz w:val="20"/>
              </w:rPr>
              <w:t>рация и разселените лица в Африка</w:t>
            </w:r>
          </w:p>
          <w:p w:rsidR="00CB2BB2" w:rsidRDefault="00CB2BB2">
            <w:pPr>
              <w:pStyle w:val="Default"/>
              <w:rPr>
                <w:rFonts w:ascii="Times New Roman" w:hAnsi="Times New Roman" w:cs="Times New Roman"/>
                <w:noProof/>
                <w:sz w:val="20"/>
                <w:szCs w:val="20"/>
              </w:rPr>
            </w:pPr>
          </w:p>
          <w:p w:rsidR="00CB2BB2" w:rsidRDefault="00913D73">
            <w:pPr>
              <w:spacing w:after="120"/>
              <w:jc w:val="both"/>
              <w:rPr>
                <w:rFonts w:ascii="Times New Roman" w:hAnsi="Times New Roman" w:cs="Times New Roman"/>
                <w:noProof/>
                <w:sz w:val="20"/>
                <w:szCs w:val="20"/>
              </w:rPr>
            </w:pPr>
            <w:r>
              <w:rPr>
                <w:rFonts w:ascii="Times New Roman" w:hAnsi="Times New Roman"/>
                <w:noProof/>
                <w:sz w:val="20"/>
              </w:rPr>
              <w:t xml:space="preserve"> </w:t>
            </w:r>
            <w:r>
              <w:rPr>
                <w:rFonts w:ascii="Times New Roman" w:hAnsi="Times New Roman"/>
                <w:noProof/>
                <w:sz w:val="20"/>
                <w:u w:val="single"/>
              </w:rPr>
              <w:t>ЕС — Африка:</w:t>
            </w:r>
            <w:r>
              <w:rPr>
                <w:rFonts w:ascii="Times New Roman" w:hAnsi="Times New Roman"/>
                <w:noProof/>
                <w:sz w:val="20"/>
              </w:rPr>
              <w:t xml:space="preserve"> </w:t>
            </w:r>
          </w:p>
          <w:p w:rsidR="00CB2BB2" w:rsidRDefault="00913D73">
            <w:pPr>
              <w:ind w:left="249" w:hanging="357"/>
              <w:rPr>
                <w:rFonts w:ascii="Times New Roman" w:hAnsi="Times New Roman" w:cs="Times New Roman"/>
                <w:noProof/>
                <w:sz w:val="20"/>
                <w:szCs w:val="20"/>
              </w:rPr>
            </w:pPr>
            <w:r>
              <w:rPr>
                <w:rFonts w:ascii="Times New Roman" w:hAnsi="Times New Roman"/>
                <w:noProof/>
                <w:sz w:val="20"/>
              </w:rPr>
              <w:t xml:space="preserve">-     ВПЗП ще посети Етиопия и Комисията на Африканския съюз (20.10.2015 г.), за да постави началото на диалог на високо равнище по въпросите на миграцията. Ще бъде включен ангажимент за стартиране на обща </w:t>
            </w:r>
            <w:r>
              <w:rPr>
                <w:rFonts w:ascii="Times New Roman" w:hAnsi="Times New Roman"/>
                <w:noProof/>
                <w:sz w:val="20"/>
              </w:rPr>
              <w:t>програма за миграция и мобилност, Етиопия — специални дейности в областта на миграцията, засилено сътрудничество в областта на връщането.</w:t>
            </w:r>
          </w:p>
          <w:p w:rsidR="00CB2BB2" w:rsidRDefault="00CB2BB2">
            <w:pPr>
              <w:ind w:left="249" w:hanging="357"/>
              <w:rPr>
                <w:rFonts w:ascii="Times New Roman" w:hAnsi="Times New Roman" w:cs="Times New Roman"/>
                <w:noProof/>
                <w:sz w:val="20"/>
                <w:szCs w:val="20"/>
              </w:rPr>
            </w:pPr>
          </w:p>
          <w:p w:rsidR="00CB2BB2" w:rsidRDefault="00913D73">
            <w:pPr>
              <w:pStyle w:val="ListParagraph"/>
              <w:numPr>
                <w:ilvl w:val="0"/>
                <w:numId w:val="13"/>
              </w:numPr>
              <w:spacing w:after="120"/>
              <w:ind w:left="317"/>
              <w:contextualSpacing w:val="0"/>
              <w:jc w:val="both"/>
              <w:rPr>
                <w:rFonts w:ascii="Times New Roman" w:hAnsi="Times New Roman" w:cs="Times New Roman"/>
                <w:noProof/>
                <w:sz w:val="20"/>
                <w:szCs w:val="20"/>
              </w:rPr>
            </w:pPr>
            <w:r>
              <w:rPr>
                <w:rFonts w:ascii="Times New Roman" w:hAnsi="Times New Roman"/>
                <w:noProof/>
                <w:sz w:val="20"/>
              </w:rPr>
              <w:t xml:space="preserve">ВПЗП ще присъства на следващото заседание на Съвета на министрите на държавите от  региона на Сахел </w:t>
            </w:r>
          </w:p>
          <w:p w:rsidR="00CB2BB2" w:rsidRDefault="00913D73">
            <w:pPr>
              <w:pStyle w:val="ListParagraph"/>
              <w:numPr>
                <w:ilvl w:val="0"/>
                <w:numId w:val="13"/>
              </w:numPr>
              <w:spacing w:after="120"/>
              <w:ind w:left="317"/>
              <w:contextualSpacing w:val="0"/>
              <w:jc w:val="both"/>
              <w:rPr>
                <w:rFonts w:ascii="Times New Roman" w:hAnsi="Times New Roman" w:cs="Times New Roman"/>
                <w:noProof/>
                <w:sz w:val="20"/>
                <w:szCs w:val="20"/>
              </w:rPr>
            </w:pPr>
            <w:r>
              <w:rPr>
                <w:rFonts w:ascii="Times New Roman" w:hAnsi="Times New Roman"/>
                <w:noProof/>
                <w:sz w:val="20"/>
              </w:rPr>
              <w:t>Изпълнение на ми</w:t>
            </w:r>
            <w:r>
              <w:rPr>
                <w:rFonts w:ascii="Times New Roman" w:hAnsi="Times New Roman"/>
                <w:noProof/>
                <w:sz w:val="20"/>
              </w:rPr>
              <w:t>грационния стълб от регионалния план за действие на ЕС за региона на Сахел за периода 2015—2020 г.</w:t>
            </w:r>
          </w:p>
          <w:p w:rsidR="00CB2BB2" w:rsidRDefault="00913D73">
            <w:pPr>
              <w:pStyle w:val="ListParagraph"/>
              <w:ind w:left="176"/>
              <w:rPr>
                <w:rFonts w:ascii="Times New Roman" w:hAnsi="Times New Roman" w:cs="Times New Roman"/>
                <w:noProof/>
                <w:sz w:val="20"/>
                <w:szCs w:val="20"/>
              </w:rPr>
            </w:pPr>
            <w:r>
              <w:rPr>
                <w:rFonts w:ascii="Times New Roman" w:hAnsi="Times New Roman" w:cs="Times New Roman"/>
                <w:noProof/>
                <w:sz w:val="20"/>
                <w:szCs w:val="20"/>
                <w:u w:val="single"/>
              </w:rPr>
              <w:t>Турция:</w:t>
            </w:r>
          </w:p>
          <w:p w:rsidR="00CB2BB2" w:rsidRDefault="00CB2BB2">
            <w:pPr>
              <w:pStyle w:val="ListParagraph"/>
              <w:ind w:left="176"/>
              <w:rPr>
                <w:rFonts w:ascii="Times New Roman" w:hAnsi="Times New Roman" w:cs="Times New Roman"/>
                <w:noProof/>
                <w:sz w:val="20"/>
                <w:szCs w:val="20"/>
              </w:rPr>
            </w:pPr>
          </w:p>
          <w:p w:rsidR="00CB2BB2" w:rsidRDefault="00913D73">
            <w:pPr>
              <w:pStyle w:val="ListParagraph"/>
              <w:numPr>
                <w:ilvl w:val="0"/>
                <w:numId w:val="13"/>
              </w:numPr>
              <w:ind w:left="317"/>
              <w:contextualSpacing w:val="0"/>
              <w:rPr>
                <w:rFonts w:ascii="Times New Roman" w:hAnsi="Times New Roman" w:cs="Times New Roman"/>
                <w:noProof/>
                <w:sz w:val="20"/>
                <w:szCs w:val="20"/>
              </w:rPr>
            </w:pPr>
            <w:r>
              <w:rPr>
                <w:rFonts w:ascii="Times New Roman" w:hAnsi="Times New Roman"/>
                <w:noProof/>
                <w:sz w:val="20"/>
              </w:rPr>
              <w:t>Предстои да бъде финализиран план за действие</w:t>
            </w:r>
          </w:p>
          <w:p w:rsidR="00CB2BB2" w:rsidRDefault="00CB2BB2">
            <w:pPr>
              <w:pStyle w:val="ListParagraph"/>
              <w:ind w:left="176"/>
              <w:rPr>
                <w:rFonts w:ascii="Times New Roman" w:hAnsi="Times New Roman" w:cs="Times New Roman"/>
                <w:noProof/>
                <w:sz w:val="20"/>
                <w:szCs w:val="20"/>
              </w:rPr>
            </w:pPr>
          </w:p>
        </w:tc>
      </w:tr>
      <w:tr w:rsidR="00CB2BB2">
        <w:tc>
          <w:tcPr>
            <w:tcW w:w="2376" w:type="dxa"/>
            <w:tcBorders>
              <w:bottom w:val="nil"/>
            </w:tcBorders>
          </w:tcPr>
          <w:p w:rsidR="00CB2BB2" w:rsidRDefault="00913D73">
            <w:pPr>
              <w:rPr>
                <w:rFonts w:ascii="Times New Roman" w:hAnsi="Times New Roman" w:cs="Times New Roman"/>
                <w:noProof/>
                <w:sz w:val="20"/>
                <w:szCs w:val="20"/>
              </w:rPr>
            </w:pPr>
            <w:r>
              <w:rPr>
                <w:rFonts w:ascii="Times New Roman" w:hAnsi="Times New Roman"/>
                <w:noProof/>
                <w:sz w:val="20"/>
              </w:rPr>
              <w:t>Обратно приемане в трети държави</w:t>
            </w:r>
          </w:p>
        </w:tc>
        <w:tc>
          <w:tcPr>
            <w:tcW w:w="3969" w:type="dxa"/>
          </w:tcPr>
          <w:p w:rsidR="00CB2BB2" w:rsidRDefault="00913D73">
            <w:pPr>
              <w:numPr>
                <w:ilvl w:val="0"/>
                <w:numId w:val="9"/>
              </w:numPr>
              <w:ind w:left="318" w:hanging="284"/>
              <w:rPr>
                <w:rFonts w:ascii="Times New Roman" w:hAnsi="Times New Roman" w:cs="Times New Roman"/>
                <w:noProof/>
                <w:sz w:val="20"/>
                <w:szCs w:val="20"/>
                <w:u w:val="single"/>
              </w:rPr>
            </w:pPr>
            <w:r>
              <w:rPr>
                <w:rFonts w:ascii="Times New Roman" w:hAnsi="Times New Roman"/>
                <w:noProof/>
                <w:sz w:val="20"/>
              </w:rPr>
              <w:t xml:space="preserve">Създаване на инструмент за изграждане на капацитет за обратно </w:t>
            </w:r>
            <w:r>
              <w:rPr>
                <w:rFonts w:ascii="Times New Roman" w:hAnsi="Times New Roman"/>
                <w:noProof/>
                <w:sz w:val="20"/>
              </w:rPr>
              <w:t>приемане (в рамките на годишната работна програма на ФУМИ за 2015 г.)</w:t>
            </w:r>
          </w:p>
        </w:tc>
        <w:tc>
          <w:tcPr>
            <w:tcW w:w="4111" w:type="dxa"/>
          </w:tcPr>
          <w:p w:rsidR="00CB2BB2" w:rsidRDefault="00CB2BB2">
            <w:pPr>
              <w:numPr>
                <w:ilvl w:val="0"/>
                <w:numId w:val="9"/>
              </w:numPr>
              <w:ind w:left="318" w:hanging="284"/>
              <w:rPr>
                <w:rFonts w:ascii="Times New Roman" w:hAnsi="Times New Roman" w:cs="Times New Roman"/>
                <w:noProof/>
                <w:sz w:val="20"/>
                <w:szCs w:val="20"/>
                <w:u w:val="single"/>
              </w:rPr>
            </w:pPr>
          </w:p>
        </w:tc>
        <w:tc>
          <w:tcPr>
            <w:tcW w:w="3764" w:type="dxa"/>
          </w:tcPr>
          <w:p w:rsidR="00CB2BB2" w:rsidRDefault="00913D73">
            <w:pPr>
              <w:pStyle w:val="ListParagraph"/>
              <w:numPr>
                <w:ilvl w:val="0"/>
                <w:numId w:val="9"/>
              </w:numPr>
              <w:ind w:left="317"/>
              <w:contextualSpacing w:val="0"/>
              <w:rPr>
                <w:rFonts w:ascii="Times New Roman" w:hAnsi="Times New Roman" w:cs="Times New Roman"/>
                <w:noProof/>
                <w:sz w:val="20"/>
                <w:szCs w:val="20"/>
              </w:rPr>
            </w:pPr>
            <w:r>
              <w:rPr>
                <w:rFonts w:ascii="Times New Roman" w:hAnsi="Times New Roman"/>
                <w:noProof/>
                <w:sz w:val="20"/>
              </w:rPr>
              <w:t xml:space="preserve">Държавите членки ще предложат проекти за възможно финансиране по инструмента и ще заделят ресурси за подпомагане на доброволното връщане. </w:t>
            </w:r>
          </w:p>
          <w:p w:rsidR="00CB2BB2" w:rsidRDefault="00CB2BB2">
            <w:pPr>
              <w:pStyle w:val="ListParagraph"/>
              <w:ind w:left="317"/>
              <w:rPr>
                <w:rFonts w:ascii="Times New Roman" w:hAnsi="Times New Roman" w:cs="Times New Roman"/>
                <w:noProof/>
                <w:sz w:val="20"/>
                <w:szCs w:val="20"/>
              </w:rPr>
            </w:pPr>
          </w:p>
          <w:p w:rsidR="00CB2BB2" w:rsidRDefault="00913D73">
            <w:pPr>
              <w:pStyle w:val="ListParagraph"/>
              <w:numPr>
                <w:ilvl w:val="0"/>
                <w:numId w:val="9"/>
              </w:numPr>
              <w:ind w:left="317"/>
              <w:contextualSpacing w:val="0"/>
              <w:rPr>
                <w:rFonts w:ascii="Times New Roman" w:hAnsi="Times New Roman" w:cs="Times New Roman"/>
                <w:noProof/>
                <w:sz w:val="20"/>
                <w:szCs w:val="20"/>
              </w:rPr>
            </w:pPr>
            <w:r>
              <w:rPr>
                <w:rFonts w:ascii="Times New Roman" w:hAnsi="Times New Roman"/>
                <w:noProof/>
                <w:sz w:val="20"/>
              </w:rPr>
              <w:t>Ще бъдат определени конкретни проекти за подо</w:t>
            </w:r>
            <w:r>
              <w:rPr>
                <w:rFonts w:ascii="Times New Roman" w:hAnsi="Times New Roman"/>
                <w:noProof/>
                <w:sz w:val="20"/>
              </w:rPr>
              <w:t xml:space="preserve">бряване на сътрудничеството в областта на обратното приемане с ключови партньори. Ще бъде гарантирана достатъчна финансова подкрепа за действия за реинтеграция и връщане в трети държави. </w:t>
            </w:r>
          </w:p>
          <w:p w:rsidR="00CB2BB2" w:rsidRDefault="00CB2BB2">
            <w:pPr>
              <w:pStyle w:val="ListParagraph"/>
              <w:ind w:left="318"/>
              <w:rPr>
                <w:rFonts w:ascii="Times New Roman" w:hAnsi="Times New Roman" w:cs="Times New Roman"/>
                <w:noProof/>
                <w:sz w:val="20"/>
                <w:szCs w:val="20"/>
              </w:rPr>
            </w:pPr>
          </w:p>
        </w:tc>
      </w:tr>
      <w:tr w:rsidR="00CB2BB2">
        <w:tc>
          <w:tcPr>
            <w:tcW w:w="2376" w:type="dxa"/>
            <w:vMerge w:val="restart"/>
            <w:tcBorders>
              <w:top w:val="nil"/>
            </w:tcBorders>
          </w:tcPr>
          <w:p w:rsidR="00CB2BB2" w:rsidRDefault="00CB2BB2">
            <w:pPr>
              <w:rPr>
                <w:rFonts w:ascii="Times New Roman" w:hAnsi="Times New Roman" w:cs="Times New Roman"/>
                <w:noProof/>
                <w:sz w:val="20"/>
                <w:szCs w:val="20"/>
              </w:rPr>
            </w:pPr>
          </w:p>
        </w:tc>
        <w:tc>
          <w:tcPr>
            <w:tcW w:w="3969" w:type="dxa"/>
            <w:tcBorders>
              <w:bottom w:val="single" w:sz="4" w:space="0" w:color="auto"/>
            </w:tcBorders>
          </w:tcPr>
          <w:p w:rsidR="00CB2BB2" w:rsidRDefault="00913D73">
            <w:pPr>
              <w:numPr>
                <w:ilvl w:val="0"/>
                <w:numId w:val="9"/>
              </w:numPr>
              <w:ind w:left="318" w:hanging="283"/>
              <w:rPr>
                <w:rFonts w:ascii="Times New Roman" w:hAnsi="Times New Roman" w:cs="Times New Roman"/>
                <w:noProof/>
                <w:sz w:val="20"/>
                <w:szCs w:val="20"/>
              </w:rPr>
            </w:pPr>
            <w:r>
              <w:rPr>
                <w:rFonts w:ascii="Times New Roman" w:hAnsi="Times New Roman"/>
                <w:noProof/>
                <w:sz w:val="20"/>
              </w:rPr>
              <w:t xml:space="preserve">Семинар за обратно приемане с държавите от АКТБ се проведе в </w:t>
            </w:r>
            <w:r>
              <w:rPr>
                <w:rFonts w:ascii="Times New Roman" w:hAnsi="Times New Roman"/>
                <w:noProof/>
                <w:sz w:val="20"/>
              </w:rPr>
              <w:t>Брюксел (28—29.9.2015 г.).</w:t>
            </w:r>
          </w:p>
        </w:tc>
        <w:tc>
          <w:tcPr>
            <w:tcW w:w="4111" w:type="dxa"/>
            <w:tcBorders>
              <w:bottom w:val="single" w:sz="4" w:space="0" w:color="auto"/>
            </w:tcBorders>
          </w:tcPr>
          <w:p w:rsidR="00CB2BB2" w:rsidRDefault="00913D73">
            <w:pPr>
              <w:numPr>
                <w:ilvl w:val="0"/>
                <w:numId w:val="9"/>
              </w:numPr>
              <w:ind w:left="318" w:hanging="261"/>
              <w:rPr>
                <w:rFonts w:ascii="Times New Roman" w:hAnsi="Times New Roman" w:cs="Times New Roman"/>
                <w:noProof/>
                <w:sz w:val="20"/>
                <w:szCs w:val="20"/>
              </w:rPr>
            </w:pPr>
            <w:r>
              <w:rPr>
                <w:rFonts w:ascii="Times New Roman" w:hAnsi="Times New Roman"/>
                <w:noProof/>
                <w:sz w:val="20"/>
              </w:rPr>
              <w:t>Държавите членки взеха участие в семинар.</w:t>
            </w:r>
          </w:p>
          <w:p w:rsidR="00CB2BB2" w:rsidRDefault="00CB2BB2">
            <w:pPr>
              <w:rPr>
                <w:rFonts w:ascii="Times New Roman" w:hAnsi="Times New Roman" w:cs="Times New Roman"/>
                <w:noProof/>
                <w:sz w:val="20"/>
                <w:szCs w:val="20"/>
              </w:rPr>
            </w:pPr>
          </w:p>
        </w:tc>
        <w:tc>
          <w:tcPr>
            <w:tcW w:w="3764" w:type="dxa"/>
            <w:tcBorders>
              <w:bottom w:val="single" w:sz="4" w:space="0" w:color="auto"/>
            </w:tcBorders>
          </w:tcPr>
          <w:p w:rsidR="00CB2BB2" w:rsidRDefault="00913D73">
            <w:pPr>
              <w:numPr>
                <w:ilvl w:val="0"/>
                <w:numId w:val="9"/>
              </w:numPr>
              <w:ind w:left="318" w:hanging="261"/>
              <w:rPr>
                <w:rFonts w:ascii="Times New Roman" w:hAnsi="Times New Roman" w:cs="Times New Roman"/>
                <w:noProof/>
                <w:sz w:val="20"/>
                <w:szCs w:val="20"/>
              </w:rPr>
            </w:pPr>
            <w:r>
              <w:rPr>
                <w:rFonts w:ascii="Times New Roman" w:hAnsi="Times New Roman"/>
                <w:noProof/>
                <w:sz w:val="20"/>
              </w:rPr>
              <w:t>Ще бъдат създадени национални звена за контакт за обратно приемане в държавите от ЕС—АКТБ</w:t>
            </w:r>
          </w:p>
        </w:tc>
      </w:tr>
      <w:tr w:rsidR="00CB2BB2">
        <w:trPr>
          <w:trHeight w:val="1664"/>
        </w:trPr>
        <w:tc>
          <w:tcPr>
            <w:tcW w:w="2376" w:type="dxa"/>
            <w:vMerge/>
          </w:tcPr>
          <w:p w:rsidR="00CB2BB2" w:rsidRDefault="00CB2BB2">
            <w:pPr>
              <w:rPr>
                <w:rFonts w:ascii="Times New Roman" w:hAnsi="Times New Roman" w:cs="Times New Roman"/>
                <w:noProof/>
                <w:sz w:val="20"/>
                <w:szCs w:val="20"/>
              </w:rPr>
            </w:pPr>
          </w:p>
        </w:tc>
        <w:tc>
          <w:tcPr>
            <w:tcW w:w="3969" w:type="dxa"/>
            <w:tcBorders>
              <w:top w:val="single" w:sz="4" w:space="0" w:color="auto"/>
              <w:bottom w:val="single" w:sz="4" w:space="0" w:color="auto"/>
            </w:tcBorders>
          </w:tcPr>
          <w:p w:rsidR="00CB2BB2" w:rsidRDefault="00913D73">
            <w:pPr>
              <w:pStyle w:val="ListParagraph"/>
              <w:numPr>
                <w:ilvl w:val="0"/>
                <w:numId w:val="9"/>
              </w:numPr>
              <w:ind w:left="459"/>
              <w:contextualSpacing w:val="0"/>
              <w:rPr>
                <w:rFonts w:ascii="Times New Roman" w:hAnsi="Times New Roman" w:cs="Times New Roman"/>
                <w:noProof/>
                <w:sz w:val="20"/>
                <w:szCs w:val="20"/>
              </w:rPr>
            </w:pPr>
            <w:r>
              <w:rPr>
                <w:rFonts w:ascii="Times New Roman" w:hAnsi="Times New Roman"/>
                <w:noProof/>
                <w:sz w:val="20"/>
              </w:rPr>
              <w:t>Бяха определени служители на ЕС за връзка по въпросите на миграцията</w:t>
            </w:r>
          </w:p>
          <w:p w:rsidR="00CB2BB2" w:rsidRDefault="00CB2BB2">
            <w:pPr>
              <w:ind w:left="318"/>
              <w:rPr>
                <w:rFonts w:ascii="Times New Roman" w:hAnsi="Times New Roman" w:cs="Times New Roman"/>
                <w:noProof/>
                <w:sz w:val="20"/>
                <w:szCs w:val="20"/>
                <w:u w:val="single"/>
              </w:rPr>
            </w:pPr>
          </w:p>
        </w:tc>
        <w:tc>
          <w:tcPr>
            <w:tcW w:w="4111" w:type="dxa"/>
            <w:tcBorders>
              <w:top w:val="single" w:sz="4" w:space="0" w:color="auto"/>
              <w:bottom w:val="single" w:sz="4" w:space="0" w:color="auto"/>
            </w:tcBorders>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Беше постигнато общо </w:t>
            </w:r>
            <w:r>
              <w:rPr>
                <w:rFonts w:ascii="Times New Roman" w:hAnsi="Times New Roman"/>
                <w:noProof/>
                <w:sz w:val="20"/>
              </w:rPr>
              <w:t>споразумение за мандата на служителите на ЕС за връзка по въпросите на миграцията, които ще бъдат разположени в делегациите на ЕС в ключови страни</w:t>
            </w:r>
          </w:p>
          <w:p w:rsidR="00CB2BB2" w:rsidRDefault="00CB2BB2">
            <w:pPr>
              <w:ind w:left="318"/>
              <w:rPr>
                <w:rFonts w:ascii="Times New Roman" w:hAnsi="Times New Roman" w:cs="Times New Roman"/>
                <w:noProof/>
                <w:sz w:val="20"/>
                <w:szCs w:val="20"/>
                <w:u w:val="single"/>
              </w:rPr>
            </w:pPr>
          </w:p>
          <w:p w:rsidR="00CB2BB2" w:rsidRDefault="00CB2BB2">
            <w:pPr>
              <w:ind w:left="318"/>
              <w:rPr>
                <w:rFonts w:ascii="Times New Roman" w:hAnsi="Times New Roman" w:cs="Times New Roman"/>
                <w:noProof/>
                <w:sz w:val="20"/>
                <w:szCs w:val="20"/>
                <w:u w:val="single"/>
              </w:rPr>
            </w:pPr>
          </w:p>
        </w:tc>
        <w:tc>
          <w:tcPr>
            <w:tcW w:w="3764" w:type="dxa"/>
            <w:tcBorders>
              <w:top w:val="single" w:sz="4" w:space="0" w:color="auto"/>
              <w:bottom w:val="single" w:sz="4" w:space="0" w:color="auto"/>
            </w:tcBorders>
          </w:tcPr>
          <w:p w:rsidR="00CB2BB2" w:rsidRDefault="00913D73">
            <w:pPr>
              <w:pStyle w:val="ListParagraph"/>
              <w:numPr>
                <w:ilvl w:val="0"/>
                <w:numId w:val="9"/>
              </w:numPr>
              <w:ind w:left="318" w:hanging="284"/>
              <w:rPr>
                <w:noProof/>
              </w:rPr>
            </w:pPr>
            <w:r>
              <w:rPr>
                <w:rFonts w:ascii="Times New Roman" w:hAnsi="Times New Roman"/>
                <w:noProof/>
                <w:sz w:val="20"/>
              </w:rPr>
              <w:t>Подготвяне на потенциално разполагане на служители на ЕС за връзка по въпросите на миграцията в Египет, Лив</w:t>
            </w:r>
            <w:r>
              <w:rPr>
                <w:rFonts w:ascii="Times New Roman" w:hAnsi="Times New Roman"/>
                <w:noProof/>
                <w:sz w:val="20"/>
              </w:rPr>
              <w:t>ан, Нигер, Нигерия, Пакистан, Сенегал, Сърбия, Судан, Етиопия, Тунис, Турция и Йордания (изготвяне на обявления за свободни длъжности, процедура за подбор, действително разполагане).</w:t>
            </w:r>
          </w:p>
        </w:tc>
      </w:tr>
      <w:tr w:rsidR="00CB2BB2">
        <w:trPr>
          <w:trHeight w:val="4439"/>
        </w:trPr>
        <w:tc>
          <w:tcPr>
            <w:tcW w:w="2376" w:type="dxa"/>
            <w:tcBorders>
              <w:top w:val="single" w:sz="4" w:space="0" w:color="auto"/>
              <w:bottom w:val="nil"/>
            </w:tcBorders>
          </w:tcPr>
          <w:p w:rsidR="00CB2BB2" w:rsidRDefault="00CB2BB2">
            <w:pPr>
              <w:rPr>
                <w:rFonts w:ascii="Times New Roman" w:hAnsi="Times New Roman" w:cs="Times New Roman"/>
                <w:noProof/>
                <w:sz w:val="20"/>
                <w:szCs w:val="20"/>
              </w:rPr>
            </w:pPr>
          </w:p>
        </w:tc>
        <w:tc>
          <w:tcPr>
            <w:tcW w:w="3969"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Проведоха се двустранни срещи с държавите от Африка на юг от Сахара и/и</w:t>
            </w:r>
            <w:r>
              <w:rPr>
                <w:rFonts w:ascii="Times New Roman" w:hAnsi="Times New Roman"/>
                <w:noProof/>
                <w:sz w:val="20"/>
              </w:rPr>
              <w:t>ли други страни на произход по въпросите на обратното приемане</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16"/>
              </w:numPr>
              <w:ind w:left="714" w:hanging="357"/>
              <w:contextualSpacing w:val="0"/>
              <w:rPr>
                <w:rFonts w:ascii="Times New Roman" w:hAnsi="Times New Roman" w:cs="Times New Roman"/>
                <w:noProof/>
                <w:sz w:val="20"/>
                <w:szCs w:val="20"/>
              </w:rPr>
            </w:pPr>
            <w:r>
              <w:rPr>
                <w:rFonts w:ascii="Times New Roman" w:hAnsi="Times New Roman"/>
                <w:noProof/>
                <w:sz w:val="20"/>
              </w:rPr>
              <w:t>Среща на Групата на петте държави (Г-5) от региона на Сахел на 17.6.2015 г.</w:t>
            </w:r>
          </w:p>
          <w:p w:rsidR="00CB2BB2" w:rsidRDefault="00913D73">
            <w:pPr>
              <w:pStyle w:val="ListParagraph"/>
              <w:numPr>
                <w:ilvl w:val="0"/>
                <w:numId w:val="16"/>
              </w:numPr>
              <w:ind w:left="714" w:hanging="357"/>
              <w:contextualSpacing w:val="0"/>
              <w:rPr>
                <w:rFonts w:ascii="Times New Roman" w:hAnsi="Times New Roman" w:cs="Times New Roman"/>
                <w:noProof/>
                <w:sz w:val="20"/>
                <w:szCs w:val="20"/>
              </w:rPr>
            </w:pPr>
            <w:r>
              <w:rPr>
                <w:rFonts w:ascii="Times New Roman" w:hAnsi="Times New Roman"/>
                <w:noProof/>
                <w:sz w:val="20"/>
              </w:rPr>
              <w:t>Срещи с министрите на външните работи на Буркина Фасо, Мали, Мавритания, Нигер и Чад</w:t>
            </w:r>
          </w:p>
          <w:p w:rsidR="00CB2BB2" w:rsidRDefault="00913D73">
            <w:pPr>
              <w:pStyle w:val="ListParagraph"/>
              <w:numPr>
                <w:ilvl w:val="0"/>
                <w:numId w:val="16"/>
              </w:numPr>
              <w:ind w:left="714" w:hanging="357"/>
              <w:contextualSpacing w:val="0"/>
              <w:rPr>
                <w:rFonts w:ascii="Times New Roman" w:hAnsi="Times New Roman" w:cs="Times New Roman"/>
                <w:noProof/>
                <w:sz w:val="20"/>
                <w:szCs w:val="20"/>
              </w:rPr>
            </w:pPr>
            <w:r>
              <w:rPr>
                <w:rFonts w:ascii="Times New Roman" w:hAnsi="Times New Roman"/>
                <w:noProof/>
                <w:sz w:val="20"/>
              </w:rPr>
              <w:t xml:space="preserve">Посещение на ВПЗП в Алжир на </w:t>
            </w:r>
            <w:r>
              <w:rPr>
                <w:rFonts w:ascii="Times New Roman" w:hAnsi="Times New Roman"/>
                <w:noProof/>
                <w:sz w:val="20"/>
              </w:rPr>
              <w:t>17.9.2015 г. след информационна среща на Комисията в Алжир на  9—10.9.2015 г.</w:t>
            </w:r>
          </w:p>
          <w:p w:rsidR="00CB2BB2" w:rsidRDefault="00913D73">
            <w:pPr>
              <w:pStyle w:val="ListParagraph"/>
              <w:numPr>
                <w:ilvl w:val="0"/>
                <w:numId w:val="16"/>
              </w:numPr>
              <w:ind w:left="714" w:hanging="357"/>
              <w:contextualSpacing w:val="0"/>
              <w:rPr>
                <w:rFonts w:ascii="Times New Roman" w:hAnsi="Times New Roman" w:cs="Times New Roman"/>
                <w:noProof/>
                <w:sz w:val="20"/>
                <w:szCs w:val="20"/>
              </w:rPr>
            </w:pPr>
            <w:r>
              <w:rPr>
                <w:rFonts w:ascii="Times New Roman" w:hAnsi="Times New Roman"/>
                <w:noProof/>
                <w:sz w:val="20"/>
              </w:rPr>
              <w:t>Посещение на ВПЗП в Нигер на 18.9.2015 г.</w:t>
            </w:r>
          </w:p>
          <w:p w:rsidR="00CB2BB2" w:rsidRDefault="00CB2BB2">
            <w:pPr>
              <w:pStyle w:val="ListParagraph"/>
              <w:ind w:left="318"/>
              <w:rPr>
                <w:rFonts w:ascii="Times New Roman" w:hAnsi="Times New Roman" w:cs="Times New Roman"/>
                <w:noProof/>
                <w:sz w:val="20"/>
                <w:szCs w:val="20"/>
              </w:rPr>
            </w:pPr>
          </w:p>
          <w:p w:rsidR="00CB2BB2" w:rsidRDefault="00CB2BB2">
            <w:pPr>
              <w:spacing w:after="120"/>
              <w:ind w:left="318" w:hanging="284"/>
              <w:jc w:val="both"/>
              <w:rPr>
                <w:rFonts w:ascii="Times New Roman" w:hAnsi="Times New Roman" w:cs="Times New Roman"/>
                <w:noProof/>
                <w:sz w:val="20"/>
                <w:szCs w:val="20"/>
              </w:rPr>
            </w:pPr>
          </w:p>
          <w:p w:rsidR="00CB2BB2" w:rsidRDefault="00CB2BB2">
            <w:pPr>
              <w:spacing w:after="120"/>
              <w:ind w:left="318" w:hanging="284"/>
              <w:jc w:val="both"/>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tc>
        <w:tc>
          <w:tcPr>
            <w:tcW w:w="4111" w:type="dxa"/>
          </w:tcPr>
          <w:p w:rsidR="00CB2BB2" w:rsidRDefault="00913D73">
            <w:pPr>
              <w:pStyle w:val="ListParagraph"/>
              <w:numPr>
                <w:ilvl w:val="0"/>
                <w:numId w:val="9"/>
              </w:numPr>
              <w:ind w:left="318" w:hanging="261"/>
              <w:contextualSpacing w:val="0"/>
              <w:rPr>
                <w:rFonts w:ascii="Times New Roman" w:hAnsi="Times New Roman" w:cs="Times New Roman"/>
                <w:noProof/>
                <w:sz w:val="20"/>
                <w:szCs w:val="20"/>
              </w:rPr>
            </w:pPr>
            <w:r>
              <w:rPr>
                <w:rFonts w:ascii="Times New Roman" w:hAnsi="Times New Roman"/>
                <w:noProof/>
                <w:sz w:val="20"/>
              </w:rPr>
              <w:t>Италия — ръководеща държава на консорциум по програмата за регионално развитие и закрила в Северна Африка</w:t>
            </w:r>
            <w:r>
              <w:rPr>
                <w:rFonts w:ascii="Times New Roman" w:hAnsi="Times New Roman"/>
                <w:b/>
                <w:noProof/>
                <w:sz w:val="20"/>
              </w:rPr>
              <w:t>;</w:t>
            </w:r>
            <w:r>
              <w:rPr>
                <w:rFonts w:ascii="Times New Roman" w:hAnsi="Times New Roman"/>
                <w:noProof/>
                <w:sz w:val="20"/>
              </w:rPr>
              <w:t xml:space="preserve"> необходима е допълнителна</w:t>
            </w:r>
            <w:r>
              <w:rPr>
                <w:rFonts w:ascii="Times New Roman" w:hAnsi="Times New Roman"/>
                <w:noProof/>
                <w:sz w:val="20"/>
              </w:rPr>
              <w:t xml:space="preserve"> подкрепа от страна на Комисията в диалога с алжирските органи.</w:t>
            </w:r>
          </w:p>
          <w:p w:rsidR="00CB2BB2" w:rsidRDefault="00CB2BB2">
            <w:pPr>
              <w:pStyle w:val="ListParagraph"/>
              <w:ind w:left="318"/>
              <w:rPr>
                <w:rFonts w:ascii="Times New Roman" w:hAnsi="Times New Roman" w:cs="Times New Roman"/>
                <w:noProof/>
                <w:sz w:val="20"/>
                <w:szCs w:val="20"/>
              </w:rPr>
            </w:pPr>
          </w:p>
        </w:tc>
        <w:tc>
          <w:tcPr>
            <w:tcW w:w="3764"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Ще бъдат проведени диалози на високо равнище. Предстоящи срещи: </w:t>
            </w:r>
          </w:p>
          <w:p w:rsidR="00CB2BB2" w:rsidRDefault="00913D73">
            <w:pPr>
              <w:pStyle w:val="ListParagraph"/>
              <w:numPr>
                <w:ilvl w:val="0"/>
                <w:numId w:val="14"/>
              </w:numPr>
              <w:contextualSpacing w:val="0"/>
              <w:rPr>
                <w:rFonts w:ascii="Times New Roman" w:hAnsi="Times New Roman" w:cs="Times New Roman"/>
                <w:noProof/>
                <w:sz w:val="20"/>
                <w:szCs w:val="20"/>
              </w:rPr>
            </w:pPr>
            <w:r>
              <w:rPr>
                <w:rFonts w:ascii="Times New Roman" w:hAnsi="Times New Roman"/>
                <w:noProof/>
                <w:sz w:val="20"/>
              </w:rPr>
              <w:t>Сенегал — 19—21.10.2015 г.</w:t>
            </w:r>
          </w:p>
          <w:p w:rsidR="00CB2BB2" w:rsidRDefault="00913D73">
            <w:pPr>
              <w:pStyle w:val="ListParagraph"/>
              <w:numPr>
                <w:ilvl w:val="0"/>
                <w:numId w:val="14"/>
              </w:numPr>
              <w:contextualSpacing w:val="0"/>
              <w:rPr>
                <w:rFonts w:ascii="Times New Roman" w:hAnsi="Times New Roman" w:cs="Times New Roman"/>
                <w:noProof/>
                <w:sz w:val="20"/>
                <w:szCs w:val="20"/>
              </w:rPr>
            </w:pPr>
            <w:r>
              <w:rPr>
                <w:rFonts w:ascii="Times New Roman" w:hAnsi="Times New Roman"/>
                <w:noProof/>
                <w:sz w:val="20"/>
              </w:rPr>
              <w:t>Етиопия — 20.10.2015 г.</w:t>
            </w:r>
          </w:p>
          <w:p w:rsidR="00CB2BB2" w:rsidRDefault="00913D73">
            <w:pPr>
              <w:pStyle w:val="ListParagraph"/>
              <w:numPr>
                <w:ilvl w:val="0"/>
                <w:numId w:val="14"/>
              </w:numPr>
              <w:contextualSpacing w:val="0"/>
              <w:rPr>
                <w:rFonts w:ascii="Times New Roman" w:hAnsi="Times New Roman" w:cs="Times New Roman"/>
                <w:noProof/>
                <w:sz w:val="20"/>
                <w:szCs w:val="20"/>
              </w:rPr>
            </w:pPr>
            <w:r>
              <w:rPr>
                <w:rFonts w:ascii="Times New Roman" w:hAnsi="Times New Roman"/>
                <w:noProof/>
                <w:sz w:val="20"/>
              </w:rPr>
              <w:t xml:space="preserve">Последващи действия във връзка с посещението на ВПЗП в Нигер: Нигер ще </w:t>
            </w:r>
            <w:r>
              <w:rPr>
                <w:rFonts w:ascii="Times New Roman" w:hAnsi="Times New Roman"/>
                <w:noProof/>
                <w:sz w:val="20"/>
              </w:rPr>
              <w:t>представи набор от мерки на Срещата на върха във Валета.</w:t>
            </w:r>
          </w:p>
          <w:p w:rsidR="00CB2BB2" w:rsidRDefault="00CB2BB2">
            <w:pPr>
              <w:rPr>
                <w:rFonts w:ascii="Times New Roman" w:hAnsi="Times New Roman" w:cs="Times New Roman"/>
                <w:noProof/>
                <w:sz w:val="20"/>
                <w:szCs w:val="20"/>
              </w:rPr>
            </w:pPr>
          </w:p>
          <w:p w:rsidR="00CB2BB2" w:rsidRDefault="00913D73">
            <w:pPr>
              <w:pStyle w:val="ListParagraph"/>
              <w:numPr>
                <w:ilvl w:val="0"/>
                <w:numId w:val="9"/>
              </w:numPr>
              <w:ind w:left="317" w:hanging="357"/>
              <w:contextualSpacing w:val="0"/>
              <w:rPr>
                <w:rFonts w:ascii="Times New Roman" w:hAnsi="Times New Roman" w:cs="Times New Roman"/>
                <w:noProof/>
                <w:sz w:val="20"/>
                <w:szCs w:val="20"/>
              </w:rPr>
            </w:pPr>
            <w:r>
              <w:rPr>
                <w:rFonts w:ascii="Times New Roman" w:hAnsi="Times New Roman"/>
                <w:noProof/>
                <w:sz w:val="20"/>
              </w:rPr>
              <w:t>Ще бъдат изработени индивидуализирани пакети със стимули, които ще се използват по отношение на съответните трети страни, които не оказват пълно съдействие в областта на обратното приемане.</w:t>
            </w:r>
          </w:p>
          <w:p w:rsidR="00CB2BB2" w:rsidRDefault="00913D73">
            <w:pPr>
              <w:pStyle w:val="ListParagraph"/>
              <w:numPr>
                <w:ilvl w:val="0"/>
                <w:numId w:val="9"/>
              </w:numPr>
              <w:ind w:left="317" w:hanging="357"/>
              <w:contextualSpacing w:val="0"/>
              <w:rPr>
                <w:rFonts w:ascii="Times New Roman" w:hAnsi="Times New Roman" w:cs="Times New Roman"/>
                <w:noProof/>
                <w:sz w:val="20"/>
                <w:szCs w:val="20"/>
              </w:rPr>
            </w:pPr>
            <w:r>
              <w:rPr>
                <w:rFonts w:ascii="Times New Roman" w:hAnsi="Times New Roman"/>
                <w:noProof/>
                <w:sz w:val="20"/>
              </w:rPr>
              <w:t>Последва</w:t>
            </w:r>
            <w:r>
              <w:rPr>
                <w:rFonts w:ascii="Times New Roman" w:hAnsi="Times New Roman"/>
                <w:noProof/>
                <w:sz w:val="20"/>
              </w:rPr>
              <w:t xml:space="preserve">щи действия във връзка с подновяването на преговорите за сключване на споразумения за обратно приемане с държавите от Северна Африка </w:t>
            </w:r>
          </w:p>
          <w:p w:rsidR="00CB2BB2" w:rsidRDefault="00913D73">
            <w:pPr>
              <w:pStyle w:val="ListParagraph"/>
              <w:numPr>
                <w:ilvl w:val="0"/>
                <w:numId w:val="9"/>
              </w:numPr>
              <w:ind w:left="317" w:hanging="357"/>
              <w:contextualSpacing w:val="0"/>
              <w:rPr>
                <w:rFonts w:ascii="Times New Roman" w:hAnsi="Times New Roman" w:cs="Times New Roman"/>
                <w:noProof/>
                <w:sz w:val="20"/>
                <w:szCs w:val="20"/>
              </w:rPr>
            </w:pPr>
            <w:r>
              <w:rPr>
                <w:rFonts w:ascii="Times New Roman" w:hAnsi="Times New Roman"/>
                <w:noProof/>
                <w:sz w:val="20"/>
              </w:rPr>
              <w:t>Възможно започване на нови преговори с други държави</w:t>
            </w:r>
          </w:p>
        </w:tc>
      </w:tr>
      <w:tr w:rsidR="00CB2BB2">
        <w:tc>
          <w:tcPr>
            <w:tcW w:w="2376" w:type="dxa"/>
            <w:tcBorders>
              <w:top w:val="nil"/>
            </w:tcBorders>
          </w:tcPr>
          <w:p w:rsidR="00CB2BB2" w:rsidRDefault="00CB2BB2">
            <w:pPr>
              <w:rPr>
                <w:rFonts w:ascii="Times New Roman" w:hAnsi="Times New Roman" w:cs="Times New Roman"/>
                <w:noProof/>
                <w:sz w:val="20"/>
                <w:szCs w:val="20"/>
              </w:rPr>
            </w:pPr>
          </w:p>
        </w:tc>
        <w:tc>
          <w:tcPr>
            <w:tcW w:w="3969"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 Пакистан: проведена беше среща по въпросите на обратното приемане </w:t>
            </w:r>
            <w:r>
              <w:rPr>
                <w:rFonts w:ascii="Times New Roman" w:hAnsi="Times New Roman"/>
                <w:noProof/>
                <w:sz w:val="20"/>
              </w:rPr>
              <w:t>между Гърция, Пакистан и Комисията. През 2014 и 2015 г. се проведоха три заседания на съвместните комитета за обратно приемане и беше изготвен план за действие с цел Пакистан да изпълни ангажиментите, договорени през юни 2015 г.</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На специални заседания в Ат</w:t>
            </w:r>
            <w:r>
              <w:rPr>
                <w:rFonts w:ascii="Times New Roman" w:hAnsi="Times New Roman"/>
                <w:noProof/>
                <w:sz w:val="20"/>
              </w:rPr>
              <w:t>ина на 8.10.2015 г. с органите на Гърция и посолството на Пакистан бяха посочени конкретни проблеми и беше постигнато съгласие за тяхното разрешаване.</w:t>
            </w:r>
          </w:p>
        </w:tc>
        <w:tc>
          <w:tcPr>
            <w:tcW w:w="4111" w:type="dxa"/>
          </w:tcPr>
          <w:p w:rsidR="00CB2BB2" w:rsidRDefault="00CB2BB2">
            <w:pPr>
              <w:pStyle w:val="ListParagraph"/>
              <w:numPr>
                <w:ilvl w:val="0"/>
                <w:numId w:val="9"/>
              </w:numPr>
              <w:ind w:left="318" w:hanging="261"/>
              <w:contextualSpacing w:val="0"/>
              <w:rPr>
                <w:rFonts w:ascii="Times New Roman" w:hAnsi="Times New Roman" w:cs="Times New Roman"/>
                <w:noProof/>
                <w:sz w:val="20"/>
                <w:szCs w:val="20"/>
              </w:rPr>
            </w:pPr>
          </w:p>
        </w:tc>
        <w:tc>
          <w:tcPr>
            <w:tcW w:w="3764" w:type="dxa"/>
          </w:tcPr>
          <w:p w:rsidR="00CB2BB2" w:rsidRDefault="00913D73">
            <w:pPr>
              <w:spacing w:after="120"/>
              <w:ind w:left="317" w:hanging="283"/>
              <w:jc w:val="both"/>
              <w:rPr>
                <w:rFonts w:ascii="Times New Roman" w:hAnsi="Times New Roman" w:cs="Times New Roman"/>
                <w:noProof/>
                <w:sz w:val="20"/>
                <w:szCs w:val="20"/>
              </w:rPr>
            </w:pPr>
            <w:r>
              <w:rPr>
                <w:rFonts w:ascii="Times New Roman" w:hAnsi="Times New Roman"/>
                <w:noProof/>
                <w:sz w:val="20"/>
              </w:rPr>
              <w:t>— Пакистан:  Последващи действия във връзка с проведените срещи — Изпълнение на допълнителни ангажименти</w:t>
            </w:r>
            <w:r>
              <w:rPr>
                <w:rFonts w:ascii="Times New Roman" w:hAnsi="Times New Roman"/>
                <w:noProof/>
                <w:sz w:val="20"/>
              </w:rPr>
              <w:t xml:space="preserve"> в рамките на съвместните комитети за обратно приемане от 2014 и 2015 г. Възможен план за действие между ЕС и Пакистан по въпросите на миграцията, който ще обхваща обратното приемане и борбата с контрабандата на мигранти;  подкрепата ще бъде обсъдена при п</w:t>
            </w:r>
            <w:r>
              <w:rPr>
                <w:rFonts w:ascii="Times New Roman" w:hAnsi="Times New Roman"/>
                <w:noProof/>
                <w:sz w:val="20"/>
              </w:rPr>
              <w:t>осещението на комисар Аврамопулос на 29 октомври 2015 г.</w:t>
            </w:r>
          </w:p>
          <w:p w:rsidR="00CB2BB2" w:rsidRDefault="00913D73">
            <w:pPr>
              <w:pStyle w:val="ListParagraph"/>
              <w:numPr>
                <w:ilvl w:val="0"/>
                <w:numId w:val="9"/>
              </w:numPr>
              <w:spacing w:after="120"/>
              <w:ind w:left="317"/>
              <w:contextualSpacing w:val="0"/>
              <w:jc w:val="both"/>
              <w:rPr>
                <w:rFonts w:ascii="Times New Roman" w:hAnsi="Times New Roman" w:cs="Times New Roman"/>
                <w:noProof/>
                <w:sz w:val="20"/>
                <w:szCs w:val="20"/>
              </w:rPr>
            </w:pPr>
            <w:r>
              <w:rPr>
                <w:rFonts w:ascii="Times New Roman" w:hAnsi="Times New Roman"/>
                <w:noProof/>
                <w:sz w:val="20"/>
              </w:rPr>
              <w:t>Следващата среща на Съвместния комитет за обратно приемане ще се проведе през първата половина на 2016 г. в Брюксел.</w:t>
            </w:r>
          </w:p>
        </w:tc>
      </w:tr>
      <w:tr w:rsidR="00CB2BB2">
        <w:tc>
          <w:tcPr>
            <w:tcW w:w="2376" w:type="dxa"/>
          </w:tcPr>
          <w:p w:rsidR="00CB2BB2" w:rsidRDefault="00913D73">
            <w:pPr>
              <w:rPr>
                <w:rFonts w:ascii="Times New Roman" w:hAnsi="Times New Roman" w:cs="Times New Roman"/>
                <w:noProof/>
                <w:sz w:val="20"/>
                <w:szCs w:val="20"/>
              </w:rPr>
            </w:pPr>
            <w:r>
              <w:rPr>
                <w:rFonts w:ascii="Times New Roman" w:hAnsi="Times New Roman"/>
                <w:noProof/>
                <w:sz w:val="20"/>
              </w:rPr>
              <w:t>Хуманитарна помощ</w:t>
            </w:r>
          </w:p>
        </w:tc>
        <w:tc>
          <w:tcPr>
            <w:tcW w:w="3969" w:type="dxa"/>
            <w:tcBorders>
              <w:bottom w:val="single" w:sz="4" w:space="0" w:color="auto"/>
            </w:tcBorders>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Европейският съвет се ангажира да предостави поне още 1 милиард</w:t>
            </w:r>
            <w:r>
              <w:rPr>
                <w:rFonts w:ascii="Times New Roman" w:hAnsi="Times New Roman"/>
                <w:noProof/>
                <w:sz w:val="20"/>
              </w:rPr>
              <w:t xml:space="preserve"> евро от бюджета на ЕС и от националните бюджети в отговор на неотложните нужди на бежанците чрез подкрепа за ВКБООН, Световната програма за изхранване и други хуманитарни организации.</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Комисията вече направи предложение да предостави 200 милиона евро за ху</w:t>
            </w:r>
            <w:r>
              <w:rPr>
                <w:rFonts w:ascii="Times New Roman" w:hAnsi="Times New Roman"/>
                <w:noProof/>
                <w:sz w:val="20"/>
              </w:rPr>
              <w:t xml:space="preserve">манитарна помощ за бежанците през тази година и още 300 милиона евро за хуманитарна помощ през 2016 г. </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Бюджетен орган: Европейският парламент и Съветът работиха по ускорена процедура.</w:t>
            </w:r>
          </w:p>
          <w:p w:rsidR="00CB2BB2" w:rsidRDefault="00913D73">
            <w:pPr>
              <w:pStyle w:val="ListParagraph"/>
              <w:numPr>
                <w:ilvl w:val="0"/>
                <w:numId w:val="9"/>
              </w:numPr>
              <w:ind w:left="318"/>
              <w:contextualSpacing w:val="0"/>
              <w:rPr>
                <w:rFonts w:ascii="Times New Roman" w:hAnsi="Times New Roman" w:cs="Times New Roman"/>
                <w:noProof/>
                <w:sz w:val="20"/>
                <w:szCs w:val="20"/>
              </w:rPr>
            </w:pPr>
            <w:r>
              <w:rPr>
                <w:rFonts w:ascii="Times New Roman" w:hAnsi="Times New Roman"/>
                <w:noProof/>
                <w:sz w:val="20"/>
              </w:rPr>
              <w:t xml:space="preserve">Бяха подписани договори на стойност 50 милиона евро с агенциите на ООН и други хуманитарни организации (например Международния комитет на Червения кръст (МКЧК) и др.), което направи възможно предварителното финансиране. </w:t>
            </w:r>
          </w:p>
          <w:p w:rsidR="00CB2BB2" w:rsidRDefault="00CB2BB2">
            <w:pPr>
              <w:pStyle w:val="ListParagraph"/>
              <w:ind w:left="318"/>
              <w:rPr>
                <w:rFonts w:ascii="Times New Roman" w:hAnsi="Times New Roman" w:cs="Times New Roman"/>
                <w:noProof/>
                <w:sz w:val="20"/>
                <w:szCs w:val="20"/>
              </w:rPr>
            </w:pPr>
          </w:p>
        </w:tc>
        <w:tc>
          <w:tcPr>
            <w:tcW w:w="4111" w:type="dxa"/>
            <w:tcBorders>
              <w:bottom w:val="single" w:sz="4" w:space="0" w:color="auto"/>
            </w:tcBorders>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От 23 септември насам бяха поети </w:t>
            </w:r>
            <w:r>
              <w:rPr>
                <w:rFonts w:ascii="Times New Roman" w:hAnsi="Times New Roman"/>
                <w:noProof/>
                <w:sz w:val="20"/>
              </w:rPr>
              <w:t>ангажименти в размер на почти 275 милиона евро.</w:t>
            </w: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ind w:left="318"/>
              <w:rPr>
                <w:rFonts w:ascii="Times New Roman" w:hAnsi="Times New Roman" w:cs="Times New Roman"/>
                <w:noProof/>
                <w:sz w:val="20"/>
                <w:szCs w:val="20"/>
              </w:rPr>
            </w:pPr>
            <w:r>
              <w:rPr>
                <w:rFonts w:ascii="Times New Roman" w:hAnsi="Times New Roman"/>
                <w:noProof/>
                <w:sz w:val="20"/>
              </w:rPr>
              <w:t xml:space="preserve">    </w:t>
            </w:r>
          </w:p>
        </w:tc>
        <w:tc>
          <w:tcPr>
            <w:tcW w:w="3764" w:type="dxa"/>
            <w:tcBorders>
              <w:bottom w:val="single" w:sz="4" w:space="0" w:color="auto"/>
            </w:tcBorders>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Държавите членки ще допълнят финансирането на ЕС за хуманитарна помощ</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Договори на стойност 200 милиона евро в хуманитарна помощ ще бъдат договорени до края на ноември</w:t>
            </w:r>
          </w:p>
        </w:tc>
      </w:tr>
      <w:tr w:rsidR="00CB2BB2">
        <w:trPr>
          <w:trHeight w:val="3964"/>
        </w:trPr>
        <w:tc>
          <w:tcPr>
            <w:tcW w:w="2376" w:type="dxa"/>
            <w:vMerge w:val="restart"/>
          </w:tcPr>
          <w:p w:rsidR="00CB2BB2" w:rsidRDefault="00913D73">
            <w:pPr>
              <w:rPr>
                <w:rFonts w:ascii="Times New Roman" w:hAnsi="Times New Roman" w:cs="Times New Roman"/>
                <w:noProof/>
                <w:sz w:val="20"/>
                <w:szCs w:val="20"/>
              </w:rPr>
            </w:pPr>
            <w:r>
              <w:rPr>
                <w:rFonts w:ascii="Times New Roman" w:hAnsi="Times New Roman"/>
                <w:noProof/>
                <w:sz w:val="20"/>
              </w:rPr>
              <w:t>Доверителни фондове</w:t>
            </w:r>
          </w:p>
        </w:tc>
        <w:tc>
          <w:tcPr>
            <w:tcW w:w="3969" w:type="dxa"/>
          </w:tcPr>
          <w:p w:rsidR="00CB2BB2" w:rsidRDefault="00913D73">
            <w:pPr>
              <w:ind w:left="34"/>
              <w:rPr>
                <w:rFonts w:ascii="Times New Roman" w:hAnsi="Times New Roman" w:cs="Times New Roman"/>
                <w:noProof/>
                <w:sz w:val="20"/>
                <w:szCs w:val="20"/>
                <w:u w:val="single"/>
              </w:rPr>
            </w:pPr>
            <w:r>
              <w:rPr>
                <w:rFonts w:ascii="Times New Roman" w:hAnsi="Times New Roman"/>
                <w:noProof/>
                <w:sz w:val="20"/>
                <w:u w:val="single"/>
              </w:rPr>
              <w:t>Извънреден дов</w:t>
            </w:r>
            <w:r>
              <w:rPr>
                <w:rFonts w:ascii="Times New Roman" w:hAnsi="Times New Roman"/>
                <w:noProof/>
                <w:sz w:val="20"/>
                <w:u w:val="single"/>
              </w:rPr>
              <w:t>ерителен фонд за Африка</w:t>
            </w:r>
          </w:p>
          <w:p w:rsidR="00CB2BB2" w:rsidRDefault="00CB2BB2">
            <w:pPr>
              <w:rPr>
                <w:rFonts w:ascii="Times New Roman" w:hAnsi="Times New Roman" w:cs="Times New Roman"/>
                <w:noProof/>
                <w:sz w:val="20"/>
                <w:szCs w:val="20"/>
                <w:u w:val="single"/>
              </w:rPr>
            </w:pPr>
          </w:p>
          <w:p w:rsidR="00CB2BB2" w:rsidRDefault="00913D73">
            <w:pPr>
              <w:pStyle w:val="ListParagraph"/>
              <w:numPr>
                <w:ilvl w:val="0"/>
                <w:numId w:val="9"/>
              </w:numPr>
              <w:ind w:left="318"/>
              <w:contextualSpacing w:val="0"/>
              <w:jc w:val="both"/>
              <w:rPr>
                <w:rFonts w:ascii="Times New Roman" w:hAnsi="Times New Roman" w:cs="Times New Roman"/>
                <w:noProof/>
                <w:sz w:val="20"/>
                <w:szCs w:val="20"/>
              </w:rPr>
            </w:pPr>
            <w:r>
              <w:rPr>
                <w:rFonts w:ascii="Times New Roman" w:hAnsi="Times New Roman"/>
                <w:noProof/>
                <w:sz w:val="20"/>
              </w:rPr>
              <w:t>Комисията представи предложение за предоставянето на 1,8 милиарда евро от финансирането на ЕС (бюджетни инструменти на ЕС + ЕФР) за насърчаване на стабилността и борбата с първопричините за незаконната миграция и разселените лица в</w:t>
            </w:r>
            <w:r>
              <w:rPr>
                <w:rFonts w:ascii="Times New Roman" w:hAnsi="Times New Roman"/>
                <w:noProof/>
                <w:sz w:val="20"/>
              </w:rPr>
              <w:t xml:space="preserve"> Африка. В неговия географски обхват влизат девет държави от региона на Сахел и езерото Чад, девет държави в региона на Африканския рог и пет държави в Северна Африка.</w:t>
            </w:r>
          </w:p>
          <w:p w:rsidR="00CB2BB2" w:rsidRDefault="00CB2BB2">
            <w:pPr>
              <w:jc w:val="both"/>
              <w:rPr>
                <w:rFonts w:ascii="Times New Roman" w:hAnsi="Times New Roman" w:cs="Times New Roman"/>
                <w:noProof/>
                <w:sz w:val="20"/>
                <w:szCs w:val="20"/>
              </w:rPr>
            </w:pPr>
          </w:p>
        </w:tc>
        <w:tc>
          <w:tcPr>
            <w:tcW w:w="4111" w:type="dxa"/>
          </w:tcPr>
          <w:p w:rsidR="00CB2BB2" w:rsidRDefault="00CB2BB2">
            <w:pPr>
              <w:pStyle w:val="ListParagraph"/>
              <w:ind w:left="318" w:hanging="318"/>
              <w:rPr>
                <w:rFonts w:ascii="Times New Roman" w:hAnsi="Times New Roman" w:cs="Times New Roman"/>
                <w:noProof/>
                <w:sz w:val="20"/>
                <w:szCs w:val="20"/>
                <w:highlight w:val="yellow"/>
              </w:rPr>
            </w:pPr>
          </w:p>
          <w:p w:rsidR="00CB2BB2" w:rsidRDefault="00CB2BB2">
            <w:pPr>
              <w:pStyle w:val="ListParagraph"/>
              <w:ind w:left="318" w:hanging="318"/>
              <w:rPr>
                <w:rFonts w:ascii="Times New Roman" w:hAnsi="Times New Roman" w:cs="Times New Roman"/>
                <w:noProof/>
                <w:sz w:val="20"/>
                <w:szCs w:val="20"/>
                <w:highlight w:val="yellow"/>
              </w:rPr>
            </w:pPr>
          </w:p>
          <w:p w:rsidR="00CB2BB2" w:rsidRDefault="00913D73">
            <w:pPr>
              <w:pStyle w:val="ListParagraph"/>
              <w:ind w:left="318" w:hanging="318"/>
              <w:rPr>
                <w:rFonts w:ascii="Times New Roman" w:hAnsi="Times New Roman" w:cs="Times New Roman"/>
                <w:noProof/>
                <w:sz w:val="20"/>
                <w:szCs w:val="20"/>
              </w:rPr>
            </w:pPr>
            <w:r>
              <w:rPr>
                <w:rFonts w:ascii="Times New Roman" w:hAnsi="Times New Roman"/>
                <w:noProof/>
                <w:sz w:val="20"/>
              </w:rPr>
              <w:t xml:space="preserve">— До момента три държави членки са се ангажирали да предоставят средства в размер на </w:t>
            </w:r>
            <w:r>
              <w:rPr>
                <w:rFonts w:ascii="Times New Roman" w:hAnsi="Times New Roman"/>
                <w:noProof/>
                <w:sz w:val="20"/>
              </w:rPr>
              <w:t>9 милиона евро (Испания, Германия и Люксембург). Други държави членки са изразили желание да предоставят принос, както и  Норвегия и Швейцария.</w:t>
            </w:r>
          </w:p>
          <w:p w:rsidR="00CB2BB2" w:rsidRDefault="00913D73">
            <w:pPr>
              <w:pStyle w:val="ListParagraph"/>
              <w:ind w:left="318" w:hanging="318"/>
              <w:rPr>
                <w:rFonts w:ascii="Times New Roman" w:hAnsi="Times New Roman" w:cs="Times New Roman"/>
                <w:noProof/>
                <w:sz w:val="20"/>
                <w:szCs w:val="20"/>
              </w:rPr>
            </w:pPr>
            <w:r>
              <w:rPr>
                <w:rFonts w:ascii="Times New Roman" w:hAnsi="Times New Roman"/>
                <w:noProof/>
                <w:sz w:val="20"/>
              </w:rPr>
              <w:t xml:space="preserve"> — Положително становище от Комитета на ЕФР</w:t>
            </w:r>
          </w:p>
          <w:p w:rsidR="00CB2BB2" w:rsidRDefault="00CB2BB2">
            <w:pPr>
              <w:pStyle w:val="ListParagraph"/>
              <w:ind w:left="318" w:hanging="318"/>
              <w:rPr>
                <w:rFonts w:ascii="Times New Roman" w:hAnsi="Times New Roman" w:cs="Times New Roman"/>
                <w:noProof/>
                <w:sz w:val="20"/>
                <w:szCs w:val="20"/>
              </w:rPr>
            </w:pPr>
          </w:p>
          <w:p w:rsidR="00CB2BB2" w:rsidRDefault="00CB2BB2">
            <w:pPr>
              <w:pStyle w:val="ListParagraph"/>
              <w:ind w:left="318" w:hanging="318"/>
              <w:rPr>
                <w:rFonts w:ascii="Times New Roman" w:hAnsi="Times New Roman" w:cs="Times New Roman"/>
                <w:noProof/>
                <w:sz w:val="20"/>
                <w:szCs w:val="20"/>
              </w:rPr>
            </w:pPr>
          </w:p>
          <w:p w:rsidR="00CB2BB2" w:rsidRDefault="00CB2BB2">
            <w:pPr>
              <w:pStyle w:val="ListParagraph"/>
              <w:ind w:left="318" w:hanging="318"/>
              <w:rPr>
                <w:rFonts w:ascii="Times New Roman" w:hAnsi="Times New Roman" w:cs="Times New Roman"/>
                <w:noProof/>
                <w:sz w:val="20"/>
                <w:szCs w:val="20"/>
              </w:rPr>
            </w:pPr>
          </w:p>
          <w:p w:rsidR="00CB2BB2" w:rsidRDefault="00CB2BB2">
            <w:pPr>
              <w:pStyle w:val="ListParagraph"/>
              <w:ind w:left="318" w:hanging="318"/>
              <w:rPr>
                <w:rFonts w:ascii="Times New Roman" w:hAnsi="Times New Roman" w:cs="Times New Roman"/>
                <w:noProof/>
                <w:sz w:val="20"/>
                <w:szCs w:val="20"/>
              </w:rPr>
            </w:pPr>
          </w:p>
          <w:p w:rsidR="00CB2BB2" w:rsidRDefault="00CB2BB2">
            <w:pPr>
              <w:pStyle w:val="ListParagraph"/>
              <w:ind w:left="318" w:hanging="318"/>
              <w:rPr>
                <w:rFonts w:ascii="Times New Roman" w:hAnsi="Times New Roman" w:cs="Times New Roman"/>
                <w:noProof/>
                <w:sz w:val="20"/>
                <w:szCs w:val="20"/>
              </w:rPr>
            </w:pPr>
          </w:p>
          <w:p w:rsidR="00CB2BB2" w:rsidRDefault="00CB2BB2">
            <w:pPr>
              <w:pStyle w:val="ListParagraph"/>
              <w:ind w:left="318" w:hanging="318"/>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pStyle w:val="ListParagraph"/>
              <w:ind w:left="318" w:hanging="318"/>
              <w:rPr>
                <w:rFonts w:ascii="Times New Roman" w:hAnsi="Times New Roman" w:cs="Times New Roman"/>
                <w:noProof/>
                <w:sz w:val="20"/>
                <w:szCs w:val="20"/>
              </w:rPr>
            </w:pPr>
          </w:p>
          <w:p w:rsidR="00CB2BB2" w:rsidRDefault="00CB2BB2">
            <w:pPr>
              <w:pStyle w:val="ListParagraph"/>
              <w:ind w:left="318" w:hanging="318"/>
              <w:rPr>
                <w:rFonts w:ascii="Times New Roman" w:hAnsi="Times New Roman" w:cs="Times New Roman"/>
                <w:noProof/>
                <w:sz w:val="20"/>
                <w:szCs w:val="20"/>
              </w:rPr>
            </w:pPr>
          </w:p>
        </w:tc>
        <w:tc>
          <w:tcPr>
            <w:tcW w:w="3764" w:type="dxa"/>
          </w:tcPr>
          <w:p w:rsidR="00CB2BB2" w:rsidRDefault="00CB2BB2">
            <w:pPr>
              <w:ind w:left="34"/>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Решения на Комисията относно доверителния фонд ще бъдат пр</w:t>
            </w:r>
            <w:r>
              <w:rPr>
                <w:rFonts w:ascii="Times New Roman" w:hAnsi="Times New Roman"/>
                <w:noProof/>
                <w:sz w:val="20"/>
              </w:rPr>
              <w:t xml:space="preserve">иети преди срещата на върха във Валета. </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Държавите — членки на ЕС, и други международни партньори трябва да направят материални и последователни вноски във Фонда, с които да се допълни финансирането от ЕС.  </w:t>
            </w:r>
          </w:p>
          <w:p w:rsidR="00CB2BB2" w:rsidRDefault="00CB2BB2">
            <w:pPr>
              <w:rPr>
                <w:rFonts w:ascii="Times New Roman" w:hAnsi="Times New Roman" w:cs="Times New Roman"/>
                <w:noProof/>
                <w:sz w:val="20"/>
                <w:szCs w:val="20"/>
              </w:rPr>
            </w:pPr>
          </w:p>
          <w:p w:rsidR="00CB2BB2" w:rsidRDefault="00CB2BB2">
            <w:pPr>
              <w:ind w:left="318"/>
              <w:rPr>
                <w:rFonts w:ascii="Times New Roman" w:hAnsi="Times New Roman" w:cs="Times New Roman"/>
                <w:noProof/>
                <w:sz w:val="20"/>
                <w:szCs w:val="20"/>
              </w:rPr>
            </w:pPr>
          </w:p>
        </w:tc>
      </w:tr>
      <w:tr w:rsidR="00CB2BB2">
        <w:trPr>
          <w:trHeight w:val="3580"/>
        </w:trPr>
        <w:tc>
          <w:tcPr>
            <w:tcW w:w="2376" w:type="dxa"/>
            <w:vMerge/>
          </w:tcPr>
          <w:p w:rsidR="00CB2BB2" w:rsidRDefault="00CB2BB2">
            <w:pPr>
              <w:rPr>
                <w:rFonts w:ascii="Times New Roman" w:hAnsi="Times New Roman" w:cs="Times New Roman"/>
                <w:noProof/>
                <w:sz w:val="20"/>
                <w:szCs w:val="20"/>
              </w:rPr>
            </w:pPr>
          </w:p>
        </w:tc>
        <w:tc>
          <w:tcPr>
            <w:tcW w:w="3969" w:type="dxa"/>
            <w:tcBorders>
              <w:top w:val="single" w:sz="4" w:space="0" w:color="auto"/>
              <w:bottom w:val="single" w:sz="4" w:space="0" w:color="auto"/>
            </w:tcBorders>
          </w:tcPr>
          <w:p w:rsidR="00CB2BB2" w:rsidRDefault="00913D73">
            <w:pPr>
              <w:rPr>
                <w:rFonts w:ascii="Times New Roman" w:hAnsi="Times New Roman" w:cs="Times New Roman"/>
                <w:noProof/>
                <w:sz w:val="20"/>
                <w:szCs w:val="20"/>
              </w:rPr>
            </w:pPr>
            <w:r>
              <w:rPr>
                <w:rFonts w:ascii="Times New Roman" w:hAnsi="Times New Roman" w:cs="Times New Roman"/>
                <w:noProof/>
                <w:sz w:val="20"/>
                <w:szCs w:val="20"/>
                <w:u w:val="single"/>
              </w:rPr>
              <w:t xml:space="preserve">Регионален доверителен фонд на ЕС в отговор </w:t>
            </w:r>
            <w:r>
              <w:rPr>
                <w:rFonts w:ascii="Times New Roman" w:hAnsi="Times New Roman" w:cs="Times New Roman"/>
                <w:noProof/>
                <w:sz w:val="20"/>
                <w:szCs w:val="20"/>
                <w:u w:val="single"/>
              </w:rPr>
              <w:t>на кризата в Сирия:</w:t>
            </w:r>
          </w:p>
          <w:p w:rsidR="00CB2BB2" w:rsidRDefault="00CB2BB2">
            <w:pPr>
              <w:rPr>
                <w:rFonts w:ascii="Times New Roman" w:hAnsi="Times New Roman" w:cs="Times New Roman"/>
                <w:noProof/>
                <w:sz w:val="20"/>
                <w:szCs w:val="20"/>
              </w:rPr>
            </w:pPr>
          </w:p>
          <w:p w:rsidR="00CB2BB2" w:rsidRDefault="00913D73">
            <w:pPr>
              <w:pStyle w:val="ListParagraph"/>
              <w:numPr>
                <w:ilvl w:val="0"/>
                <w:numId w:val="17"/>
              </w:numPr>
              <w:ind w:left="318"/>
              <w:contextualSpacing w:val="0"/>
              <w:rPr>
                <w:rFonts w:ascii="Times New Roman" w:hAnsi="Times New Roman" w:cs="Times New Roman"/>
                <w:noProof/>
                <w:sz w:val="20"/>
                <w:szCs w:val="20"/>
              </w:rPr>
            </w:pPr>
            <w:r>
              <w:rPr>
                <w:rFonts w:ascii="Times New Roman" w:hAnsi="Times New Roman"/>
                <w:noProof/>
                <w:sz w:val="20"/>
              </w:rPr>
              <w:t>500 милиона евро от бюджета на ЕС</w:t>
            </w:r>
          </w:p>
          <w:p w:rsidR="00CB2BB2" w:rsidRDefault="00CB2BB2">
            <w:pPr>
              <w:ind w:left="34"/>
              <w:rPr>
                <w:rFonts w:ascii="Times New Roman" w:hAnsi="Times New Roman" w:cs="Times New Roman"/>
                <w:noProof/>
                <w:sz w:val="20"/>
                <w:szCs w:val="20"/>
                <w:u w:val="single"/>
              </w:rPr>
            </w:pPr>
          </w:p>
        </w:tc>
        <w:tc>
          <w:tcPr>
            <w:tcW w:w="4111" w:type="dxa"/>
            <w:tcBorders>
              <w:top w:val="single" w:sz="4" w:space="0" w:color="auto"/>
            </w:tcBorders>
          </w:tcPr>
          <w:p w:rsidR="00CB2BB2" w:rsidRDefault="00CB2BB2">
            <w:pPr>
              <w:pStyle w:val="ListParagraph"/>
              <w:ind w:left="318" w:hanging="318"/>
              <w:rPr>
                <w:rFonts w:ascii="Times New Roman" w:hAnsi="Times New Roman" w:cs="Times New Roman"/>
                <w:noProof/>
                <w:sz w:val="20"/>
                <w:szCs w:val="20"/>
              </w:rPr>
            </w:pPr>
          </w:p>
          <w:p w:rsidR="00CB2BB2" w:rsidRDefault="00CB2BB2">
            <w:pPr>
              <w:pStyle w:val="ListParagraph"/>
              <w:ind w:left="318" w:hanging="318"/>
              <w:rPr>
                <w:rFonts w:ascii="Times New Roman" w:hAnsi="Times New Roman" w:cs="Times New Roman"/>
                <w:noProof/>
                <w:sz w:val="20"/>
                <w:szCs w:val="20"/>
              </w:rPr>
            </w:pPr>
          </w:p>
          <w:p w:rsidR="00CB2BB2" w:rsidRDefault="00CB2BB2">
            <w:pPr>
              <w:pStyle w:val="ListParagraph"/>
              <w:ind w:left="318" w:hanging="318"/>
              <w:rPr>
                <w:rFonts w:ascii="Times New Roman" w:hAnsi="Times New Roman" w:cs="Times New Roman"/>
                <w:noProof/>
                <w:sz w:val="20"/>
                <w:szCs w:val="20"/>
              </w:rPr>
            </w:pPr>
          </w:p>
          <w:p w:rsidR="00CB2BB2" w:rsidRDefault="00913D73">
            <w:pPr>
              <w:pStyle w:val="ListParagraph"/>
              <w:ind w:left="318" w:hanging="318"/>
              <w:rPr>
                <w:rFonts w:ascii="Times New Roman" w:hAnsi="Times New Roman" w:cs="Times New Roman"/>
                <w:noProof/>
                <w:sz w:val="20"/>
                <w:szCs w:val="20"/>
              </w:rPr>
            </w:pPr>
            <w:r>
              <w:rPr>
                <w:rFonts w:ascii="Times New Roman" w:hAnsi="Times New Roman"/>
                <w:noProof/>
                <w:sz w:val="20"/>
              </w:rPr>
              <w:t>— Две държави членки поеха ангажимент да предоставят общо 8 милиона евро за допълнителна помощ (Италия — 3 милиона евро и Германия — 5 милиона евро)</w:t>
            </w:r>
          </w:p>
        </w:tc>
        <w:tc>
          <w:tcPr>
            <w:tcW w:w="3764" w:type="dxa"/>
            <w:tcBorders>
              <w:top w:val="single" w:sz="4" w:space="0" w:color="auto"/>
            </w:tcBorders>
          </w:tcPr>
          <w:p w:rsidR="00CB2BB2" w:rsidRDefault="00CB2BB2">
            <w:pPr>
              <w:ind w:left="34"/>
              <w:rPr>
                <w:rFonts w:ascii="Times New Roman" w:hAnsi="Times New Roman" w:cs="Times New Roman"/>
                <w:noProof/>
                <w:sz w:val="20"/>
                <w:szCs w:val="20"/>
              </w:rPr>
            </w:pPr>
          </w:p>
        </w:tc>
      </w:tr>
      <w:tr w:rsidR="00CB2BB2">
        <w:tc>
          <w:tcPr>
            <w:tcW w:w="2376" w:type="dxa"/>
            <w:tcBorders>
              <w:bottom w:val="single" w:sz="4" w:space="0" w:color="auto"/>
            </w:tcBorders>
          </w:tcPr>
          <w:p w:rsidR="00CB2BB2" w:rsidRDefault="00913D73">
            <w:pPr>
              <w:rPr>
                <w:rFonts w:ascii="Times New Roman" w:hAnsi="Times New Roman" w:cs="Times New Roman"/>
                <w:noProof/>
                <w:sz w:val="20"/>
                <w:szCs w:val="20"/>
              </w:rPr>
            </w:pPr>
            <w:r>
              <w:rPr>
                <w:rFonts w:ascii="Times New Roman" w:hAnsi="Times New Roman"/>
                <w:noProof/>
                <w:sz w:val="20"/>
              </w:rPr>
              <w:t>Изграждане на капацитет</w:t>
            </w:r>
          </w:p>
        </w:tc>
        <w:tc>
          <w:tcPr>
            <w:tcW w:w="3969" w:type="dxa"/>
            <w:tcBorders>
              <w:top w:val="single" w:sz="4" w:space="0" w:color="auto"/>
            </w:tcBorders>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Турция — план за </w:t>
            </w:r>
            <w:r>
              <w:rPr>
                <w:rFonts w:ascii="Times New Roman" w:hAnsi="Times New Roman"/>
                <w:noProof/>
                <w:sz w:val="20"/>
              </w:rPr>
              <w:t>действие (вж. по-горе)</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Сърбия и Бивша югославска република Македония: специална мярка на стойност 10 милиона евро. Беше предоставена подкрепа за изграждането на капацитет в двете държави (включително оборудване) и хуманитарна помощ за бежанците.</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Програма с</w:t>
            </w:r>
            <w:r>
              <w:rPr>
                <w:rFonts w:ascii="Times New Roman" w:hAnsi="Times New Roman"/>
                <w:noProof/>
                <w:sz w:val="20"/>
              </w:rPr>
              <w:t xml:space="preserve"> бюджет от 8 милиона евро от ИПП (Инструмент за предприсъединителна помощ). В ход е изготвянето на регионална програма. Целта е да се подобри капацитетът (включително регистрацията на бежанци) в Западните Балкани.</w:t>
            </w:r>
          </w:p>
          <w:p w:rsidR="00CB2BB2" w:rsidRDefault="00CB2BB2">
            <w:pPr>
              <w:rPr>
                <w:rFonts w:ascii="Times New Roman" w:hAnsi="Times New Roman" w:cs="Times New Roman"/>
                <w:noProof/>
                <w:sz w:val="20"/>
                <w:szCs w:val="20"/>
                <w:highlight w:val="yellow"/>
              </w:rPr>
            </w:pPr>
          </w:p>
          <w:p w:rsidR="00CB2BB2" w:rsidRDefault="00913D73">
            <w:pPr>
              <w:jc w:val="both"/>
              <w:rPr>
                <w:noProof/>
              </w:rPr>
            </w:pPr>
            <w:r>
              <w:rPr>
                <w:rFonts w:ascii="Times New Roman" w:hAnsi="Times New Roman"/>
                <w:noProof/>
                <w:sz w:val="20"/>
              </w:rPr>
              <w:t>— Африка — Нигер: В ход е укрепване на мн</w:t>
            </w:r>
            <w:r>
              <w:rPr>
                <w:rFonts w:ascii="Times New Roman" w:hAnsi="Times New Roman"/>
                <w:noProof/>
                <w:sz w:val="20"/>
              </w:rPr>
              <w:t>огофункционалния център в Агадез, като се предоставят пряка помощ и информация за мигрантите, извършва се регистрацията им и се предоставят възможности за безопасно и доброволно завръщане и реинтеграция в сътрудничество със страните на произход. Той включв</w:t>
            </w:r>
            <w:r>
              <w:rPr>
                <w:rFonts w:ascii="Times New Roman" w:hAnsi="Times New Roman"/>
                <w:noProof/>
                <w:sz w:val="20"/>
              </w:rPr>
              <w:t>а подкрепа за местните общности (1-ва фаза, финансирана от Инструмента, допринасящ за стабилността и мира — 1,5 милиона евро).</w:t>
            </w:r>
          </w:p>
        </w:tc>
        <w:tc>
          <w:tcPr>
            <w:tcW w:w="4111" w:type="dxa"/>
          </w:tcPr>
          <w:p w:rsidR="00CB2BB2" w:rsidRDefault="00CB2BB2">
            <w:pPr>
              <w:pStyle w:val="ListParagraph"/>
              <w:numPr>
                <w:ilvl w:val="0"/>
                <w:numId w:val="9"/>
              </w:numPr>
              <w:ind w:left="318" w:hanging="284"/>
              <w:contextualSpacing w:val="0"/>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p w:rsidR="00CB2BB2" w:rsidRDefault="00CB2BB2">
            <w:pPr>
              <w:ind w:left="34"/>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CB2BB2">
            <w:pPr>
              <w:pStyle w:val="ListParagraph"/>
              <w:ind w:left="318"/>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Беше създаден съвместен екип за разследване в Нигер (финансиран от ЕС, сформиран от Испания и Франция) за </w:t>
            </w:r>
            <w:r>
              <w:rPr>
                <w:rFonts w:ascii="Times New Roman" w:hAnsi="Times New Roman"/>
                <w:noProof/>
                <w:sz w:val="20"/>
              </w:rPr>
              <w:t>укрепване на капацитета на Нигер за борба с незаконната миграция</w:t>
            </w:r>
          </w:p>
          <w:p w:rsidR="00CB2BB2" w:rsidRDefault="00CB2BB2">
            <w:pPr>
              <w:pStyle w:val="ListParagraph"/>
              <w:ind w:left="318"/>
              <w:rPr>
                <w:rFonts w:ascii="Times New Roman" w:hAnsi="Times New Roman" w:cs="Times New Roman"/>
                <w:noProof/>
                <w:sz w:val="20"/>
                <w:szCs w:val="20"/>
              </w:rPr>
            </w:pPr>
          </w:p>
        </w:tc>
        <w:tc>
          <w:tcPr>
            <w:tcW w:w="3764"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Турция — план за действие (вж. по-горе)</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Сърбия и Бивша югославска република Македония: договорите са в процес на подготовка, изплащането и изпълнението ще се извърши през следващите седмици.</w:t>
            </w: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CB2BB2">
            <w:pPr>
              <w:rPr>
                <w:rFonts w:ascii="Times New Roman" w:hAnsi="Times New Roman" w:cs="Times New Roman"/>
                <w:noProof/>
                <w:sz w:val="20"/>
                <w:szCs w:val="20"/>
              </w:rPr>
            </w:pP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Ще бъде стартиран проект за укрепване на капацитета на държавите от Източна Африка в борбата срещу трафика на хора и контрабандата с мигранти: планира се през януари 2016 г.</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Подготовка на програмата на ЕС за регионално развитие и закрила в региона</w:t>
            </w:r>
            <w:r>
              <w:rPr>
                <w:rFonts w:ascii="Times New Roman" w:hAnsi="Times New Roman"/>
                <w:noProof/>
                <w:sz w:val="20"/>
              </w:rPr>
              <w:t xml:space="preserve"> на Африканския рог, която има за цел да се повиши капацитетът на Кения, Етиопия и Судан в областта на закрилата на бежанците и капацитета за прием.</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Ще бъде стартиран проект за укрепване на капацитета на правителствата в областта на връщането и устойчивата</w:t>
            </w:r>
            <w:r>
              <w:rPr>
                <w:rFonts w:ascii="Times New Roman" w:hAnsi="Times New Roman"/>
                <w:noProof/>
                <w:sz w:val="20"/>
              </w:rPr>
              <w:t xml:space="preserve"> реинтеграция по протежение на главните миграционни коридори  (с акцент върху Африка): предвижда се в началото на януари 2016 г.</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Ще бъде стартиран проект за подпомагане на диалога АС—ЕС по въпросите на миграцията и мобилността, процеса от Рабат и процеса о</w:t>
            </w:r>
            <w:r>
              <w:rPr>
                <w:rFonts w:ascii="Times New Roman" w:hAnsi="Times New Roman"/>
                <w:noProof/>
                <w:sz w:val="20"/>
              </w:rPr>
              <w:t>т Хартум — планиран старт декември 2015 г.</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Ще бъде представен проект на декларация за партньорство за мобилност за започване на диалог с Ливан. Ще бъде осигурен по-проактивен подход от страна на държавите членки за осигуряване на изпълнението на съществува</w:t>
            </w:r>
            <w:r>
              <w:rPr>
                <w:rFonts w:ascii="Times New Roman" w:hAnsi="Times New Roman"/>
                <w:noProof/>
                <w:sz w:val="20"/>
              </w:rPr>
              <w:t>щото партньорство за мобилност между ЕС и Йордания и бъдещото споразумение между ЕС и Ливан.</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Ще бъдат разработени и изпълнени новите регионални програми за развитие и закрила (РПРЗ) в Северна Африка и региона на Африканския рог в началото на 2016 г. </w:t>
            </w:r>
          </w:p>
          <w:p w:rsidR="00CB2BB2" w:rsidRDefault="00CB2BB2">
            <w:pPr>
              <w:pStyle w:val="ListParagraph"/>
              <w:ind w:left="318"/>
              <w:rPr>
                <w:rFonts w:ascii="Times New Roman" w:hAnsi="Times New Roman" w:cs="Times New Roman"/>
                <w:noProof/>
                <w:sz w:val="20"/>
                <w:szCs w:val="20"/>
              </w:rPr>
            </w:pPr>
          </w:p>
        </w:tc>
      </w:tr>
    </w:tbl>
    <w:p w:rsidR="00CB2BB2" w:rsidRDefault="00CB2BB2">
      <w:pPr>
        <w:spacing w:line="240" w:lineRule="auto"/>
        <w:rPr>
          <w:rFonts w:ascii="Times New Roman" w:hAnsi="Times New Roman" w:cs="Times New Roman"/>
          <w:noProof/>
          <w:sz w:val="20"/>
          <w:szCs w:val="20"/>
        </w:rPr>
      </w:pPr>
    </w:p>
    <w:p w:rsidR="00913D73" w:rsidRDefault="00913D73">
      <w:pPr>
        <w:rPr>
          <w:rFonts w:ascii="Times New Roman" w:hAnsi="Times New Roman"/>
          <w:noProof/>
          <w:sz w:val="20"/>
        </w:rPr>
      </w:pPr>
      <w:r>
        <w:rPr>
          <w:rFonts w:ascii="Times New Roman" w:hAnsi="Times New Roman"/>
          <w:noProof/>
          <w:sz w:val="20"/>
        </w:rPr>
        <w:br w:type="page"/>
      </w:r>
    </w:p>
    <w:p w:rsidR="00CB2BB2" w:rsidRDefault="00913D73">
      <w:pPr>
        <w:spacing w:line="240" w:lineRule="auto"/>
        <w:rPr>
          <w:rFonts w:ascii="Times New Roman" w:hAnsi="Times New Roman" w:cs="Times New Roman"/>
          <w:noProof/>
          <w:sz w:val="20"/>
          <w:szCs w:val="20"/>
        </w:rPr>
      </w:pPr>
      <w:r>
        <w:rPr>
          <w:rFonts w:ascii="Times New Roman" w:hAnsi="Times New Roman"/>
          <w:noProof/>
          <w:sz w:val="20"/>
        </w:rPr>
        <w:t>ПР</w:t>
      </w:r>
      <w:r>
        <w:rPr>
          <w:rFonts w:ascii="Times New Roman" w:hAnsi="Times New Roman"/>
          <w:noProof/>
          <w:sz w:val="20"/>
        </w:rPr>
        <w:t>ИЛАГАНЕ НА ЗАКОНОДАТЕЛСТВОТО НА ЕС</w:t>
      </w:r>
    </w:p>
    <w:tbl>
      <w:tblPr>
        <w:tblStyle w:val="TableGrid"/>
        <w:tblW w:w="0" w:type="auto"/>
        <w:tblLook w:val="04A0" w:firstRow="1" w:lastRow="0" w:firstColumn="1" w:lastColumn="0" w:noHBand="0" w:noVBand="1"/>
      </w:tblPr>
      <w:tblGrid>
        <w:gridCol w:w="2376"/>
        <w:gridCol w:w="3969"/>
        <w:gridCol w:w="4111"/>
        <w:gridCol w:w="3764"/>
      </w:tblGrid>
      <w:tr w:rsidR="00CB2BB2">
        <w:tc>
          <w:tcPr>
            <w:tcW w:w="2376" w:type="dxa"/>
            <w:shd w:val="clear" w:color="auto" w:fill="BFBFBF" w:themeFill="background1" w:themeFillShade="BF"/>
          </w:tcPr>
          <w:p w:rsidR="00CB2BB2" w:rsidRDefault="00913D73">
            <w:pPr>
              <w:jc w:val="center"/>
              <w:rPr>
                <w:rFonts w:ascii="Times New Roman" w:hAnsi="Times New Roman" w:cs="Times New Roman"/>
                <w:b/>
                <w:noProof/>
                <w:sz w:val="20"/>
                <w:szCs w:val="20"/>
              </w:rPr>
            </w:pPr>
            <w:r>
              <w:rPr>
                <w:rFonts w:ascii="Times New Roman" w:hAnsi="Times New Roman"/>
                <w:b/>
                <w:noProof/>
                <w:sz w:val="20"/>
              </w:rPr>
              <w:t>Инструмент</w:t>
            </w:r>
          </w:p>
        </w:tc>
        <w:tc>
          <w:tcPr>
            <w:tcW w:w="3969" w:type="dxa"/>
            <w:shd w:val="clear" w:color="auto" w:fill="BFBFBF" w:themeFill="background1" w:themeFillShade="BF"/>
          </w:tcPr>
          <w:p w:rsidR="00CB2BB2" w:rsidRDefault="00913D73">
            <w:pPr>
              <w:jc w:val="center"/>
              <w:rPr>
                <w:rFonts w:ascii="Times New Roman" w:hAnsi="Times New Roman" w:cs="Times New Roman"/>
                <w:b/>
                <w:noProof/>
                <w:sz w:val="20"/>
                <w:szCs w:val="20"/>
              </w:rPr>
            </w:pPr>
            <w:r>
              <w:rPr>
                <w:rFonts w:ascii="Times New Roman" w:hAnsi="Times New Roman"/>
                <w:b/>
                <w:noProof/>
                <w:sz w:val="20"/>
              </w:rPr>
              <w:t>Действия на равнището на ЕС</w:t>
            </w:r>
          </w:p>
        </w:tc>
        <w:tc>
          <w:tcPr>
            <w:tcW w:w="4111" w:type="dxa"/>
            <w:shd w:val="clear" w:color="auto" w:fill="BFBFBF" w:themeFill="background1" w:themeFillShade="BF"/>
          </w:tcPr>
          <w:p w:rsidR="00CB2BB2" w:rsidRDefault="00913D73">
            <w:pPr>
              <w:pStyle w:val="ListParagraph"/>
              <w:ind w:left="318"/>
              <w:jc w:val="center"/>
              <w:rPr>
                <w:rFonts w:ascii="Times New Roman" w:hAnsi="Times New Roman" w:cs="Times New Roman"/>
                <w:b/>
                <w:noProof/>
                <w:sz w:val="20"/>
                <w:szCs w:val="20"/>
              </w:rPr>
            </w:pPr>
            <w:r>
              <w:rPr>
                <w:rFonts w:ascii="Times New Roman" w:hAnsi="Times New Roman"/>
                <w:b/>
                <w:noProof/>
                <w:sz w:val="20"/>
              </w:rPr>
              <w:t>Действия, предприети от държавите членки</w:t>
            </w:r>
          </w:p>
        </w:tc>
        <w:tc>
          <w:tcPr>
            <w:tcW w:w="3764" w:type="dxa"/>
            <w:shd w:val="clear" w:color="auto" w:fill="BFBFBF" w:themeFill="background1" w:themeFillShade="BF"/>
          </w:tcPr>
          <w:p w:rsidR="00CB2BB2" w:rsidRDefault="00913D73">
            <w:pPr>
              <w:pStyle w:val="ListParagraph"/>
              <w:ind w:left="318"/>
              <w:jc w:val="center"/>
              <w:rPr>
                <w:rFonts w:ascii="Times New Roman" w:hAnsi="Times New Roman" w:cs="Times New Roman"/>
                <w:b/>
                <w:noProof/>
                <w:sz w:val="20"/>
                <w:szCs w:val="20"/>
              </w:rPr>
            </w:pPr>
            <w:r>
              <w:rPr>
                <w:rFonts w:ascii="Times New Roman" w:hAnsi="Times New Roman"/>
                <w:b/>
                <w:noProof/>
                <w:sz w:val="20"/>
              </w:rPr>
              <w:t>Следващи стъпки</w:t>
            </w:r>
          </w:p>
        </w:tc>
      </w:tr>
      <w:tr w:rsidR="00CB2BB2">
        <w:tc>
          <w:tcPr>
            <w:tcW w:w="2376" w:type="dxa"/>
          </w:tcPr>
          <w:p w:rsidR="00CB2BB2" w:rsidRDefault="00913D73">
            <w:pPr>
              <w:rPr>
                <w:rFonts w:ascii="Times New Roman" w:hAnsi="Times New Roman" w:cs="Times New Roman"/>
                <w:noProof/>
                <w:sz w:val="20"/>
                <w:szCs w:val="20"/>
              </w:rPr>
            </w:pPr>
            <w:r>
              <w:rPr>
                <w:rFonts w:ascii="Times New Roman" w:hAnsi="Times New Roman"/>
                <w:noProof/>
                <w:sz w:val="20"/>
              </w:rPr>
              <w:t>Директива 2013/32/ЕС относно процедурите за убежище </w:t>
            </w:r>
          </w:p>
        </w:tc>
        <w:tc>
          <w:tcPr>
            <w:tcW w:w="3969"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18 открити производства за нарушение за неуведомяване или частично </w:t>
            </w:r>
            <w:r>
              <w:rPr>
                <w:rFonts w:ascii="Times New Roman" w:hAnsi="Times New Roman"/>
                <w:noProof/>
                <w:sz w:val="20"/>
              </w:rPr>
              <w:t>уведомяване за транспониране; на държавите членки бяха изпратени официални уведомителни писма;</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6 открити производства за нарушение за несъответствие/неправилно прилагане на етапа на официалното уведомително писмо</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1 административно писмо, изпратено до държа</w:t>
            </w:r>
            <w:r>
              <w:rPr>
                <w:rFonts w:ascii="Times New Roman" w:hAnsi="Times New Roman"/>
                <w:noProof/>
                <w:sz w:val="20"/>
              </w:rPr>
              <w:t>ва членка, в което са изразени опасения относно съответствието на неотдавна приетото законодателство с разпоредбите на този инструмент</w:t>
            </w:r>
          </w:p>
        </w:tc>
        <w:tc>
          <w:tcPr>
            <w:tcW w:w="4111" w:type="dxa"/>
          </w:tcPr>
          <w:p w:rsidR="00CB2BB2" w:rsidRDefault="00913D73">
            <w:pPr>
              <w:pStyle w:val="ListParagraph"/>
              <w:ind w:left="318"/>
              <w:contextualSpacing w:val="0"/>
              <w:rPr>
                <w:rFonts w:ascii="Times New Roman" w:hAnsi="Times New Roman" w:cs="Times New Roman"/>
                <w:noProof/>
                <w:sz w:val="20"/>
                <w:szCs w:val="20"/>
              </w:rPr>
            </w:pPr>
            <w:r>
              <w:rPr>
                <w:rFonts w:ascii="Times New Roman" w:hAnsi="Times New Roman"/>
                <w:noProof/>
                <w:sz w:val="20"/>
              </w:rPr>
              <w:t>1 държава членка е уведомила за пълното транспониране на директивата Понастоящем се извършва оценка на уведомлението (Фра</w:t>
            </w:r>
            <w:r>
              <w:rPr>
                <w:rFonts w:ascii="Times New Roman" w:hAnsi="Times New Roman"/>
                <w:noProof/>
                <w:sz w:val="20"/>
              </w:rPr>
              <w:t>нция)</w:t>
            </w:r>
          </w:p>
        </w:tc>
        <w:tc>
          <w:tcPr>
            <w:tcW w:w="3764"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Ако държавите членки не транспонират изцяло директивата, може да бъде изготвено мотивирано становище и да бъде сезиран Съдът на ЕС.</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Ако държавите членки не спазват директивата, може да бъде изготвено мотивирано становище и да бъде сезиран Съдът на </w:t>
            </w:r>
            <w:r>
              <w:rPr>
                <w:rFonts w:ascii="Times New Roman" w:hAnsi="Times New Roman"/>
                <w:noProof/>
                <w:sz w:val="20"/>
              </w:rPr>
              <w:t>ЕС.</w:t>
            </w:r>
          </w:p>
        </w:tc>
      </w:tr>
      <w:tr w:rsidR="00CB2BB2">
        <w:tc>
          <w:tcPr>
            <w:tcW w:w="2376" w:type="dxa"/>
          </w:tcPr>
          <w:p w:rsidR="00CB2BB2" w:rsidRDefault="00913D73">
            <w:pPr>
              <w:rPr>
                <w:rFonts w:ascii="Times New Roman" w:hAnsi="Times New Roman" w:cs="Times New Roman"/>
                <w:noProof/>
                <w:sz w:val="20"/>
                <w:szCs w:val="20"/>
              </w:rPr>
            </w:pPr>
            <w:r>
              <w:rPr>
                <w:rFonts w:ascii="Times New Roman" w:hAnsi="Times New Roman"/>
                <w:noProof/>
                <w:sz w:val="20"/>
              </w:rPr>
              <w:t>Директива 2013/33/ЕС относно условията за приемане </w:t>
            </w:r>
          </w:p>
        </w:tc>
        <w:tc>
          <w:tcPr>
            <w:tcW w:w="3969"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19 открити производства за нарушение за неуведомяване или частично уведомяване за транспониране; на държавите членки бяха изпратени официални уведомителни писма;</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8 открити производства за нарушение з</w:t>
            </w:r>
            <w:r>
              <w:rPr>
                <w:rFonts w:ascii="Times New Roman" w:hAnsi="Times New Roman"/>
                <w:noProof/>
                <w:sz w:val="20"/>
              </w:rPr>
              <w:t>а несъответствие/неправилно прилагане на етапа на официалното уведомително писмо</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1 административно писмо, изпратено до държава членка, в което са изразени опасения относно съответствието на неотдавна приетото законодателство с разпоредбите на този инструме</w:t>
            </w:r>
            <w:r>
              <w:rPr>
                <w:rFonts w:ascii="Times New Roman" w:hAnsi="Times New Roman"/>
                <w:noProof/>
                <w:sz w:val="20"/>
              </w:rPr>
              <w:t>нт</w:t>
            </w:r>
          </w:p>
        </w:tc>
        <w:tc>
          <w:tcPr>
            <w:tcW w:w="4111" w:type="dxa"/>
          </w:tcPr>
          <w:p w:rsidR="00CB2BB2" w:rsidRDefault="00913D73">
            <w:pPr>
              <w:pStyle w:val="ListParagraph"/>
              <w:ind w:left="318"/>
              <w:contextualSpacing w:val="0"/>
              <w:rPr>
                <w:rFonts w:ascii="Times New Roman" w:hAnsi="Times New Roman" w:cs="Times New Roman"/>
                <w:noProof/>
                <w:sz w:val="20"/>
                <w:szCs w:val="20"/>
              </w:rPr>
            </w:pPr>
            <w:r>
              <w:rPr>
                <w:rFonts w:ascii="Times New Roman" w:hAnsi="Times New Roman"/>
                <w:noProof/>
                <w:sz w:val="20"/>
              </w:rPr>
              <w:t>2 държави членки са уведомили за пълното транспониране на директивата. Понастоящем се извършва оценка на уведомленията (Франция/Испания)</w:t>
            </w:r>
          </w:p>
        </w:tc>
        <w:tc>
          <w:tcPr>
            <w:tcW w:w="3764" w:type="dxa"/>
          </w:tcPr>
          <w:p w:rsidR="00CB2BB2" w:rsidRDefault="00913D73">
            <w:pPr>
              <w:pStyle w:val="ListParagraph"/>
              <w:numPr>
                <w:ilvl w:val="0"/>
                <w:numId w:val="9"/>
              </w:numPr>
              <w:ind w:left="417"/>
              <w:contextualSpacing w:val="0"/>
              <w:rPr>
                <w:rFonts w:ascii="Times New Roman" w:hAnsi="Times New Roman" w:cs="Times New Roman"/>
                <w:noProof/>
                <w:sz w:val="20"/>
                <w:szCs w:val="20"/>
              </w:rPr>
            </w:pPr>
            <w:r>
              <w:rPr>
                <w:rFonts w:ascii="Times New Roman" w:hAnsi="Times New Roman"/>
                <w:noProof/>
                <w:sz w:val="20"/>
              </w:rPr>
              <w:t>Ако държавите членки не транспонират изцяло директивата, може да бъде изготвено мотивирано становище и да бъде сезир</w:t>
            </w:r>
            <w:r>
              <w:rPr>
                <w:rFonts w:ascii="Times New Roman" w:hAnsi="Times New Roman"/>
                <w:noProof/>
                <w:sz w:val="20"/>
              </w:rPr>
              <w:t>ан Съдът на ЕС.</w:t>
            </w:r>
          </w:p>
          <w:p w:rsidR="00CB2BB2" w:rsidRDefault="00913D73">
            <w:pPr>
              <w:pStyle w:val="ListParagraph"/>
              <w:numPr>
                <w:ilvl w:val="0"/>
                <w:numId w:val="9"/>
              </w:numPr>
              <w:ind w:left="417"/>
              <w:contextualSpacing w:val="0"/>
              <w:rPr>
                <w:rFonts w:ascii="Times New Roman" w:hAnsi="Times New Roman" w:cs="Times New Roman"/>
                <w:noProof/>
                <w:sz w:val="20"/>
                <w:szCs w:val="20"/>
              </w:rPr>
            </w:pPr>
            <w:r>
              <w:rPr>
                <w:rFonts w:ascii="Times New Roman" w:hAnsi="Times New Roman"/>
                <w:noProof/>
                <w:sz w:val="20"/>
              </w:rPr>
              <w:t>Ако държавите членки не спазват директивата,  може да бъде изготвено мотивирано становище и да бъде сезиран Съдът на ЕС.</w:t>
            </w:r>
          </w:p>
        </w:tc>
      </w:tr>
      <w:tr w:rsidR="00CB2BB2">
        <w:tc>
          <w:tcPr>
            <w:tcW w:w="2376" w:type="dxa"/>
          </w:tcPr>
          <w:p w:rsidR="00CB2BB2" w:rsidRDefault="00913D73">
            <w:pPr>
              <w:rPr>
                <w:rFonts w:ascii="Times New Roman" w:hAnsi="Times New Roman" w:cs="Times New Roman"/>
                <w:noProof/>
                <w:sz w:val="20"/>
                <w:szCs w:val="20"/>
              </w:rPr>
            </w:pPr>
            <w:r>
              <w:rPr>
                <w:rFonts w:ascii="Times New Roman" w:hAnsi="Times New Roman"/>
                <w:noProof/>
                <w:sz w:val="20"/>
              </w:rPr>
              <w:t xml:space="preserve">Директива 2011/95/ЕС относно признаването </w:t>
            </w:r>
          </w:p>
        </w:tc>
        <w:tc>
          <w:tcPr>
            <w:tcW w:w="3969"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13 открити производства за нарушение за неуведомяване или частично уведомяв</w:t>
            </w:r>
            <w:r>
              <w:rPr>
                <w:rFonts w:ascii="Times New Roman" w:hAnsi="Times New Roman"/>
                <w:noProof/>
                <w:sz w:val="20"/>
              </w:rPr>
              <w:t>ане за транспониране;</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на 11 държави членки бяха изпратени официални уведомителни писма;</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на 2 държави членки бяха изпратени мотивирани становища;</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1 открито производство за нарушение за несъответствие/неправилно прилагане</w:t>
            </w:r>
          </w:p>
        </w:tc>
        <w:tc>
          <w:tcPr>
            <w:tcW w:w="4111" w:type="dxa"/>
          </w:tcPr>
          <w:p w:rsidR="00CB2BB2" w:rsidRDefault="00CB2BB2">
            <w:pPr>
              <w:pStyle w:val="ListParagraph"/>
              <w:ind w:left="318"/>
              <w:contextualSpacing w:val="0"/>
              <w:rPr>
                <w:rFonts w:ascii="Times New Roman" w:hAnsi="Times New Roman" w:cs="Times New Roman"/>
                <w:noProof/>
                <w:sz w:val="20"/>
                <w:szCs w:val="20"/>
              </w:rPr>
            </w:pPr>
          </w:p>
        </w:tc>
        <w:tc>
          <w:tcPr>
            <w:tcW w:w="3764"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Ако държавите членки не </w:t>
            </w:r>
            <w:r>
              <w:rPr>
                <w:rFonts w:ascii="Times New Roman" w:hAnsi="Times New Roman"/>
                <w:noProof/>
                <w:sz w:val="20"/>
              </w:rPr>
              <w:t>транспонират изцяло директивата, може да бъде изготвено мотивирано становище и да бъде сезиран Съдът на ЕС.</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Ако държавите членки не спазват директивата,  може да бъде изготвено мотивирано становище и да бъде сезиран Съдът на ЕС.</w:t>
            </w:r>
          </w:p>
        </w:tc>
      </w:tr>
      <w:tr w:rsidR="00CB2BB2">
        <w:tc>
          <w:tcPr>
            <w:tcW w:w="2376" w:type="dxa"/>
          </w:tcPr>
          <w:p w:rsidR="00CB2BB2" w:rsidRDefault="00913D73">
            <w:pPr>
              <w:rPr>
                <w:rFonts w:ascii="Times New Roman" w:hAnsi="Times New Roman" w:cs="Times New Roman"/>
                <w:noProof/>
                <w:sz w:val="20"/>
                <w:szCs w:val="20"/>
              </w:rPr>
            </w:pPr>
            <w:r>
              <w:rPr>
                <w:rFonts w:ascii="Times New Roman" w:hAnsi="Times New Roman"/>
                <w:noProof/>
                <w:sz w:val="20"/>
              </w:rPr>
              <w:t>Регламент от Дъблин — EС/6</w:t>
            </w:r>
            <w:r>
              <w:rPr>
                <w:rFonts w:ascii="Times New Roman" w:hAnsi="Times New Roman"/>
                <w:noProof/>
                <w:sz w:val="20"/>
              </w:rPr>
              <w:t>04/2013</w:t>
            </w:r>
          </w:p>
        </w:tc>
        <w:tc>
          <w:tcPr>
            <w:tcW w:w="3969"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1 открито производство за нарушение за несъответствие; на държавата членка беше изпратено официално уведомително писмо</w:t>
            </w:r>
          </w:p>
        </w:tc>
        <w:tc>
          <w:tcPr>
            <w:tcW w:w="4111" w:type="dxa"/>
          </w:tcPr>
          <w:p w:rsidR="00CB2BB2" w:rsidRDefault="00CB2BB2">
            <w:pPr>
              <w:pStyle w:val="ListParagraph"/>
              <w:ind w:left="318"/>
              <w:contextualSpacing w:val="0"/>
              <w:rPr>
                <w:rFonts w:ascii="Times New Roman" w:hAnsi="Times New Roman" w:cs="Times New Roman"/>
                <w:noProof/>
                <w:sz w:val="20"/>
                <w:szCs w:val="20"/>
              </w:rPr>
            </w:pPr>
          </w:p>
        </w:tc>
        <w:tc>
          <w:tcPr>
            <w:tcW w:w="3764"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Ако държавите членки не спазват директивата, може да бъде изготвено мотивирано становище и да бъде сезиран Съдът на ЕС.</w:t>
            </w:r>
          </w:p>
        </w:tc>
      </w:tr>
      <w:tr w:rsidR="00CB2BB2">
        <w:tc>
          <w:tcPr>
            <w:tcW w:w="2376" w:type="dxa"/>
          </w:tcPr>
          <w:p w:rsidR="00CB2BB2" w:rsidRDefault="00913D73">
            <w:pPr>
              <w:rPr>
                <w:rFonts w:ascii="Times New Roman" w:hAnsi="Times New Roman" w:cs="Times New Roman"/>
                <w:noProof/>
                <w:sz w:val="20"/>
                <w:szCs w:val="20"/>
              </w:rPr>
            </w:pPr>
            <w:r>
              <w:rPr>
                <w:rFonts w:ascii="Times New Roman" w:hAnsi="Times New Roman"/>
                <w:noProof/>
                <w:sz w:val="20"/>
              </w:rPr>
              <w:t>Регламе</w:t>
            </w:r>
            <w:r>
              <w:rPr>
                <w:rFonts w:ascii="Times New Roman" w:hAnsi="Times New Roman"/>
                <w:noProof/>
                <w:sz w:val="20"/>
              </w:rPr>
              <w:t>нт за Евродак  — EС/603/2013</w:t>
            </w:r>
          </w:p>
        </w:tc>
        <w:tc>
          <w:tcPr>
            <w:tcW w:w="3969" w:type="dxa"/>
          </w:tcPr>
          <w:p w:rsidR="00CB2BB2" w:rsidRDefault="00913D73">
            <w:pPr>
              <w:pStyle w:val="ListParagraph"/>
              <w:numPr>
                <w:ilvl w:val="0"/>
                <w:numId w:val="18"/>
              </w:numPr>
              <w:ind w:left="384"/>
              <w:contextualSpacing w:val="0"/>
              <w:rPr>
                <w:rFonts w:ascii="Times New Roman" w:hAnsi="Times New Roman" w:cs="Times New Roman"/>
                <w:noProof/>
                <w:sz w:val="20"/>
                <w:szCs w:val="20"/>
              </w:rPr>
            </w:pPr>
            <w:r>
              <w:rPr>
                <w:rFonts w:ascii="Times New Roman" w:hAnsi="Times New Roman"/>
                <w:noProof/>
                <w:sz w:val="20"/>
              </w:rPr>
              <w:t>5 административни писма бяха изпратени до държавите членки с искане за пояснения относно съответствието с правилата относно предаването на пръстови отпечатъци</w:t>
            </w:r>
          </w:p>
        </w:tc>
        <w:tc>
          <w:tcPr>
            <w:tcW w:w="4111" w:type="dxa"/>
          </w:tcPr>
          <w:p w:rsidR="00CB2BB2" w:rsidRDefault="00913D73">
            <w:pPr>
              <w:pStyle w:val="ListParagraph"/>
              <w:ind w:left="318"/>
              <w:contextualSpacing w:val="0"/>
              <w:rPr>
                <w:rFonts w:ascii="Times New Roman" w:hAnsi="Times New Roman" w:cs="Times New Roman"/>
                <w:noProof/>
                <w:sz w:val="20"/>
                <w:szCs w:val="20"/>
              </w:rPr>
            </w:pPr>
            <w:r>
              <w:rPr>
                <w:rFonts w:ascii="Times New Roman" w:hAnsi="Times New Roman"/>
                <w:noProof/>
                <w:sz w:val="20"/>
              </w:rPr>
              <w:t>Държавите членки отговориха на административните писма</w:t>
            </w:r>
          </w:p>
        </w:tc>
        <w:tc>
          <w:tcPr>
            <w:tcW w:w="3764"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В зависимост </w:t>
            </w:r>
            <w:r>
              <w:rPr>
                <w:rFonts w:ascii="Times New Roman" w:hAnsi="Times New Roman"/>
                <w:noProof/>
                <w:sz w:val="20"/>
              </w:rPr>
              <w:t>от резултатите от оценката на отговорите на административните писма може да бъдат стартирани официални процедури за нарушение.</w:t>
            </w:r>
          </w:p>
        </w:tc>
      </w:tr>
      <w:tr w:rsidR="00CB2BB2">
        <w:tc>
          <w:tcPr>
            <w:tcW w:w="2376" w:type="dxa"/>
          </w:tcPr>
          <w:p w:rsidR="00CB2BB2" w:rsidRDefault="00913D73">
            <w:pPr>
              <w:rPr>
                <w:rFonts w:ascii="Times New Roman" w:hAnsi="Times New Roman" w:cs="Times New Roman"/>
                <w:noProof/>
                <w:sz w:val="20"/>
                <w:szCs w:val="20"/>
              </w:rPr>
            </w:pPr>
            <w:r>
              <w:rPr>
                <w:rFonts w:ascii="Times New Roman" w:hAnsi="Times New Roman"/>
                <w:noProof/>
                <w:sz w:val="20"/>
              </w:rPr>
              <w:t xml:space="preserve">Директива 2011/51/ЕС за дългосрочното пребиваване </w:t>
            </w:r>
          </w:p>
        </w:tc>
        <w:tc>
          <w:tcPr>
            <w:tcW w:w="3969"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7 открити производства за нарушение за неуведомяване или частично уведомяване</w:t>
            </w:r>
            <w:r>
              <w:rPr>
                <w:rFonts w:ascii="Times New Roman" w:hAnsi="Times New Roman"/>
                <w:noProof/>
                <w:sz w:val="20"/>
              </w:rPr>
              <w:t xml:space="preserve"> за транспониране; на държавите членки бяха изпратени официални уведомителни писма</w:t>
            </w:r>
          </w:p>
        </w:tc>
        <w:tc>
          <w:tcPr>
            <w:tcW w:w="4111" w:type="dxa"/>
          </w:tcPr>
          <w:p w:rsidR="00CB2BB2" w:rsidRDefault="00CB2BB2">
            <w:pPr>
              <w:pStyle w:val="ListParagraph"/>
              <w:ind w:left="318"/>
              <w:contextualSpacing w:val="0"/>
              <w:rPr>
                <w:rFonts w:ascii="Times New Roman" w:hAnsi="Times New Roman" w:cs="Times New Roman"/>
                <w:noProof/>
                <w:sz w:val="20"/>
                <w:szCs w:val="20"/>
              </w:rPr>
            </w:pPr>
          </w:p>
        </w:tc>
        <w:tc>
          <w:tcPr>
            <w:tcW w:w="3764"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Ако държавите членки не транспонират изцяло директивата, може да бъде изготвено мотивирано становище и да бъде сезиран Съдът на ЕС.</w:t>
            </w:r>
          </w:p>
        </w:tc>
      </w:tr>
      <w:tr w:rsidR="00CB2BB2">
        <w:tc>
          <w:tcPr>
            <w:tcW w:w="2376" w:type="dxa"/>
          </w:tcPr>
          <w:p w:rsidR="00CB2BB2" w:rsidRDefault="00913D73">
            <w:pPr>
              <w:rPr>
                <w:rFonts w:ascii="Times New Roman" w:hAnsi="Times New Roman" w:cs="Times New Roman"/>
                <w:noProof/>
                <w:sz w:val="20"/>
                <w:szCs w:val="20"/>
              </w:rPr>
            </w:pPr>
            <w:r>
              <w:rPr>
                <w:rFonts w:ascii="Times New Roman" w:hAnsi="Times New Roman"/>
                <w:noProof/>
                <w:sz w:val="20"/>
              </w:rPr>
              <w:t>Директива 2008/115/ЕО относно връщането</w:t>
            </w:r>
          </w:p>
        </w:tc>
        <w:tc>
          <w:tcPr>
            <w:tcW w:w="3969"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4 открити производства за нарушение за несъответствие; на държавите членки бяха изпратени официални уведомителни писма; 3 административни писма бяха изпратени до държавите членки с искане за разяснение относно издаването на решения за връщане на незаконно</w:t>
            </w:r>
            <w:r>
              <w:rPr>
                <w:rFonts w:ascii="Times New Roman" w:hAnsi="Times New Roman"/>
                <w:noProof/>
                <w:sz w:val="20"/>
              </w:rPr>
              <w:t xml:space="preserve"> пребиваващи граждани на трети държави;</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 xml:space="preserve">7 административни писма бяха изпратени до държавите членки с искане за разяснение относно прилагането на решенията за връщане на незаконно пребиваващи граждани на трети страни; 1 административно писмо беше изпратено </w:t>
            </w:r>
            <w:r>
              <w:rPr>
                <w:rFonts w:ascii="Times New Roman" w:hAnsi="Times New Roman"/>
                <w:noProof/>
                <w:sz w:val="20"/>
              </w:rPr>
              <w:t>до държава членка, в което се изразяват опасения относно съответствието на неотдавна приетото законодателство с разпоредбите на инструмента</w:t>
            </w:r>
          </w:p>
        </w:tc>
        <w:tc>
          <w:tcPr>
            <w:tcW w:w="4111" w:type="dxa"/>
          </w:tcPr>
          <w:p w:rsidR="00CB2BB2" w:rsidRDefault="00CB2BB2">
            <w:pPr>
              <w:pStyle w:val="ListParagraph"/>
              <w:numPr>
                <w:ilvl w:val="0"/>
                <w:numId w:val="9"/>
              </w:numPr>
              <w:ind w:left="318" w:hanging="284"/>
              <w:contextualSpacing w:val="0"/>
              <w:rPr>
                <w:rFonts w:ascii="Times New Roman" w:hAnsi="Times New Roman" w:cs="Times New Roman"/>
                <w:noProof/>
                <w:sz w:val="20"/>
                <w:szCs w:val="20"/>
              </w:rPr>
            </w:pPr>
          </w:p>
        </w:tc>
        <w:tc>
          <w:tcPr>
            <w:tcW w:w="3764"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Ако държавите членки не спазват директивата, официалното уведомително писмо може да бъде последвано от мотивирано с</w:t>
            </w:r>
            <w:r>
              <w:rPr>
                <w:rFonts w:ascii="Times New Roman" w:hAnsi="Times New Roman"/>
                <w:noProof/>
                <w:sz w:val="20"/>
              </w:rPr>
              <w:t>тановище и сезиране на Съда на Европейския съюз;</w:t>
            </w:r>
          </w:p>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В зависимост от резултатите от оценката на отговорите на административните писма може да бъдат стартирани официални процедури за нарушение.</w:t>
            </w:r>
          </w:p>
        </w:tc>
      </w:tr>
      <w:tr w:rsidR="00CB2BB2">
        <w:tc>
          <w:tcPr>
            <w:tcW w:w="2376" w:type="dxa"/>
          </w:tcPr>
          <w:p w:rsidR="00CB2BB2" w:rsidRDefault="00913D73">
            <w:pPr>
              <w:rPr>
                <w:rFonts w:ascii="Times New Roman" w:hAnsi="Times New Roman" w:cs="Times New Roman"/>
                <w:noProof/>
                <w:sz w:val="20"/>
                <w:szCs w:val="20"/>
              </w:rPr>
            </w:pPr>
            <w:r>
              <w:rPr>
                <w:rFonts w:ascii="Times New Roman" w:hAnsi="Times New Roman"/>
                <w:noProof/>
                <w:sz w:val="20"/>
              </w:rPr>
              <w:t>Кодекс на шенгенските граници — Регламент (ЕО) № 562/2006</w:t>
            </w:r>
          </w:p>
        </w:tc>
        <w:tc>
          <w:tcPr>
            <w:tcW w:w="3969"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1 админи</w:t>
            </w:r>
            <w:r>
              <w:rPr>
                <w:rFonts w:ascii="Times New Roman" w:hAnsi="Times New Roman"/>
                <w:noProof/>
                <w:sz w:val="20"/>
              </w:rPr>
              <w:t>стративно писмо, изпратено до държава членка, в което са изразени опасения относно съответствието на неотдавна приетото законодателство с разпоредбите на този инструмент</w:t>
            </w:r>
          </w:p>
        </w:tc>
        <w:tc>
          <w:tcPr>
            <w:tcW w:w="4111" w:type="dxa"/>
          </w:tcPr>
          <w:p w:rsidR="00CB2BB2" w:rsidRDefault="00CB2BB2">
            <w:pPr>
              <w:pStyle w:val="ListParagraph"/>
              <w:numPr>
                <w:ilvl w:val="0"/>
                <w:numId w:val="9"/>
              </w:numPr>
              <w:ind w:left="318" w:hanging="284"/>
              <w:contextualSpacing w:val="0"/>
              <w:rPr>
                <w:rFonts w:ascii="Times New Roman" w:hAnsi="Times New Roman" w:cs="Times New Roman"/>
                <w:noProof/>
                <w:sz w:val="20"/>
                <w:szCs w:val="20"/>
              </w:rPr>
            </w:pPr>
          </w:p>
        </w:tc>
        <w:tc>
          <w:tcPr>
            <w:tcW w:w="3764" w:type="dxa"/>
          </w:tcPr>
          <w:p w:rsidR="00CB2BB2" w:rsidRDefault="00913D73">
            <w:pPr>
              <w:pStyle w:val="ListParagraph"/>
              <w:numPr>
                <w:ilvl w:val="0"/>
                <w:numId w:val="9"/>
              </w:numPr>
              <w:ind w:left="318" w:hanging="284"/>
              <w:contextualSpacing w:val="0"/>
              <w:rPr>
                <w:rFonts w:ascii="Times New Roman" w:hAnsi="Times New Roman" w:cs="Times New Roman"/>
                <w:noProof/>
                <w:sz w:val="20"/>
                <w:szCs w:val="20"/>
              </w:rPr>
            </w:pPr>
            <w:r>
              <w:rPr>
                <w:rFonts w:ascii="Times New Roman" w:hAnsi="Times New Roman"/>
                <w:noProof/>
                <w:sz w:val="20"/>
              </w:rPr>
              <w:t>В зависимост от резултатите от оценката на отговорите на административното писмо, мог</w:t>
            </w:r>
            <w:r>
              <w:rPr>
                <w:rFonts w:ascii="Times New Roman" w:hAnsi="Times New Roman"/>
                <w:noProof/>
                <w:sz w:val="20"/>
              </w:rPr>
              <w:t>ат да бъдат стартирани официални процедури за нарушение.</w:t>
            </w:r>
          </w:p>
        </w:tc>
      </w:tr>
    </w:tbl>
    <w:p w:rsidR="00CB2BB2" w:rsidRDefault="00CB2BB2">
      <w:pPr>
        <w:jc w:val="center"/>
        <w:rPr>
          <w:rFonts w:ascii="Times New Roman" w:hAnsi="Times New Roman" w:cs="Times New Roman"/>
          <w:noProof/>
          <w:sz w:val="20"/>
          <w:szCs w:val="20"/>
        </w:rPr>
      </w:pPr>
    </w:p>
    <w:sectPr w:rsidR="00CB2BB2">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B2" w:rsidRDefault="00913D73">
      <w:pPr>
        <w:spacing w:after="0" w:line="240" w:lineRule="auto"/>
      </w:pPr>
      <w:r>
        <w:separator/>
      </w:r>
    </w:p>
  </w:endnote>
  <w:endnote w:type="continuationSeparator" w:id="0">
    <w:p w:rsidR="00CB2BB2" w:rsidRDefault="0091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B2" w:rsidRDefault="00CB2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B2" w:rsidRDefault="00913D73">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B2" w:rsidRDefault="00CB2BB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B2" w:rsidRDefault="00CB2B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908989"/>
      <w:docPartObj>
        <w:docPartGallery w:val="Page Numbers (Bottom of Page)"/>
        <w:docPartUnique/>
      </w:docPartObj>
    </w:sdtPr>
    <w:sdtEndPr>
      <w:rPr>
        <w:noProof/>
      </w:rPr>
    </w:sdtEndPr>
    <w:sdtContent>
      <w:p w:rsidR="00CB2BB2" w:rsidRDefault="00913D7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CB2BB2" w:rsidRDefault="00CB2BB2">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B2" w:rsidRDefault="00CB2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B2" w:rsidRDefault="00913D73">
      <w:pPr>
        <w:spacing w:after="0" w:line="240" w:lineRule="auto"/>
      </w:pPr>
      <w:r>
        <w:separator/>
      </w:r>
    </w:p>
  </w:footnote>
  <w:footnote w:type="continuationSeparator" w:id="0">
    <w:p w:rsidR="00CB2BB2" w:rsidRDefault="00913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B2" w:rsidRDefault="00CB2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B2" w:rsidRDefault="00CB2BB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B2" w:rsidRDefault="00CB2BB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B2" w:rsidRDefault="00CB2B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B2" w:rsidRDefault="00CB2B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BB2" w:rsidRDefault="00CB2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1B"/>
    <w:multiLevelType w:val="hybridMultilevel"/>
    <w:tmpl w:val="031A79F6"/>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474C58"/>
    <w:multiLevelType w:val="hybridMultilevel"/>
    <w:tmpl w:val="2680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E37A0F"/>
    <w:multiLevelType w:val="hybridMultilevel"/>
    <w:tmpl w:val="8940F8AE"/>
    <w:lvl w:ilvl="0" w:tplc="92D45F40">
      <w:start w:val="1"/>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EA20D7"/>
    <w:multiLevelType w:val="hybridMultilevel"/>
    <w:tmpl w:val="4410AF68"/>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ABB5FF8"/>
    <w:multiLevelType w:val="hybridMultilevel"/>
    <w:tmpl w:val="4CEE954C"/>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7426059"/>
    <w:multiLevelType w:val="hybridMultilevel"/>
    <w:tmpl w:val="515EEEAC"/>
    <w:lvl w:ilvl="0" w:tplc="92D45F40">
      <w:start w:val="1"/>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8456F0"/>
    <w:multiLevelType w:val="hybridMultilevel"/>
    <w:tmpl w:val="82601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FB87262"/>
    <w:multiLevelType w:val="hybridMultilevel"/>
    <w:tmpl w:val="84260B96"/>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5D90F15"/>
    <w:multiLevelType w:val="hybridMultilevel"/>
    <w:tmpl w:val="8A7886CC"/>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9D79C5"/>
    <w:multiLevelType w:val="hybridMultilevel"/>
    <w:tmpl w:val="809A1B14"/>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4D71B7"/>
    <w:multiLevelType w:val="hybridMultilevel"/>
    <w:tmpl w:val="2ABE2A1C"/>
    <w:lvl w:ilvl="0" w:tplc="92D45F40">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6"/>
  </w:num>
  <w:num w:numId="4">
    <w:abstractNumId w:val="3"/>
  </w:num>
  <w:num w:numId="5">
    <w:abstractNumId w:val="1"/>
  </w:num>
  <w:num w:numId="6">
    <w:abstractNumId w:val="7"/>
  </w:num>
  <w:num w:numId="7">
    <w:abstractNumId w:val="9"/>
  </w:num>
  <w:num w:numId="8">
    <w:abstractNumId w:val="2"/>
  </w:num>
  <w:num w:numId="9">
    <w:abstractNumId w:val="8"/>
  </w:num>
  <w:num w:numId="10">
    <w:abstractNumId w:val="17"/>
  </w:num>
  <w:num w:numId="11">
    <w:abstractNumId w:val="12"/>
  </w:num>
  <w:num w:numId="12">
    <w:abstractNumId w:val="10"/>
  </w:num>
  <w:num w:numId="13">
    <w:abstractNumId w:val="13"/>
  </w:num>
  <w:num w:numId="14">
    <w:abstractNumId w:val="6"/>
  </w:num>
  <w:num w:numId="15">
    <w:abstractNumId w:val="5"/>
  </w:num>
  <w:num w:numId="16">
    <w:abstractNumId w:val="18"/>
  </w:num>
  <w:num w:numId="17">
    <w:abstractNumId w:val="0"/>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FB61B963821B42E4A0FD88DD7686304A"/>
    <w:docVar w:name="LW_CROSSREFERENCE" w:val="&lt;UNUSED&gt;"/>
    <w:docVar w:name="LW_DocType" w:val="NORMAL"/>
    <w:docVar w:name="LW_EMISSION" w:val="14.10.2015"/>
    <w:docVar w:name="LW_EMISSION_ISODATE" w:val="2015-10-14"/>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9?\u1087?\u1088?\u1072?\u1074?\u1083?\u1077?\u1085?\u1080?\u1077? \u1085?\u1072? \u1082?\u1088?\u1080?\u1079?\u1072?\u1090?\u1072? \u1089? \u1073?\u1077?\u1078?\u1072?\u1085?\u1094?\u1080?\u1090?\u1077?: \u1072?\u1082?\u1090?\u1091?\u1072?\u1083?\u1085?\u1086? \u1089?\u1098?\u1089?\u1090?\u1086?\u1103?\u1085?\u1080?\u1077? \u1074?\u1098?\u1074? \u1074?\u1088?\u1098?\u1079?\u1082?\u1072? \u1089? \u1080?\u1079?\u1087?\u1098?\u1083?\u1085?\u1077?\u1085?\u1080?\u1077?\u1090?\u1086? \u1085?\u1072? \u1087?\u1088?\u1080?\u1086?\u1088?\u1080?\u1090?\u1077?\u1090?\u1085?\u1080?\u1090?\u1077? \u1076?\u1077?\u1081?\u1089?\u1090?\u1074?\u1080?\u1103? \u1074? \u1088?\u1072?\u1084?\u1082?\u1080?\u1090?\u1077? \u1085?\u1072? \u1045?\u1074?\u1088?\u1086?\u1087?\u1077?\u1081?\u1089?\u1082?\u1072?\u1090?\u1072? \u1087?\u1088?\u1086?\u1075?\u1088?\u1072?\u1084?\u1072? \u1079?\u1072? \u1084?\u1080?\u1075?\u1088?\u1072?\u1094?\u1080?\u1103?\u1090?\u1072?_x000b_"/>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u1055?\u1056?\u1048?\u1051?\u1054?\u1046?\u1045?\u1053?\u1048?\u1045?_x000b_"/>
    <w:docVar w:name="LW_TYPEACTEPRINCIPAL.CP" w:val="\u1057?\u1066?\u1054?\u1041?\u1065?\u1045?\u1053?\u1048?\u1045? \u1053?\u1040? \u1050?\u1054?\u1052?\u1048?\u1057?\u1048?\u1071?\u1058?\u1040? \u1044?\u1054? \u1045?\u1042?\u1056?\u1054?\u1055?\u1045?\u1049?\u1057?\u1050?\u1048?\u1071? \u1055?\u1040?\u1056?\u1051?\u1040?\u1052?\u1045?\u1053?\u1058?, \u1044?\u1054? \u1045?\u1042?\u1056?\u1054?\u1055?\u1045?\u1049?\u1057?\u1050?\u1048?\u1071? \u1057?\u1066?\u1042?\u1045?\u1058? \u1048? \u1044?\u1054? \u1057?\u1066?\u1042?\u1045?\u1058?\u1040?_x000b_"/>
  </w:docVars>
  <w:rsids>
    <w:rsidRoot w:val="00CB2BB2"/>
    <w:rsid w:val="00913D73"/>
    <w:rsid w:val="00CB2B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bg-BG"/>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bg-BG"/>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1BDD6-2BBF-4947-AD02-2BC81883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5391</Words>
  <Characters>32514</Characters>
  <Application>Microsoft Office Word</Application>
  <DocSecurity>0</DocSecurity>
  <Lines>1548</Lines>
  <Paragraphs>368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21</cp:revision>
  <cp:lastPrinted>2015-10-13T16:28:00Z</cp:lastPrinted>
  <dcterms:created xsi:type="dcterms:W3CDTF">2015-10-14T08:52:00Z</dcterms:created>
  <dcterms:modified xsi:type="dcterms:W3CDTF">2015-10-28T09:34:00Z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