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62C2155371449BFA7D3465A497D364A" style="width:450.75pt;height:4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NormalWeb"/>
        <w:spacing w:before="0" w:beforeAutospacing="0" w:after="240" w:afterAutospacing="0" w:line="254" w:lineRule="auto"/>
        <w:jc w:val="center"/>
        <w:rPr>
          <w:b/>
          <w:noProof/>
        </w:rPr>
      </w:pPr>
      <w:bookmarkStart w:id="1" w:name="_GoBack"/>
      <w:bookmarkEnd w:id="1"/>
      <w:r>
        <w:rPr>
          <w:b/>
          <w:noProof/>
        </w:rPr>
        <w:lastRenderedPageBreak/>
        <w:t>Приложение 2: Гърция — доклад относно актуалното състояние от 11 октомври 2015 г.</w:t>
      </w:r>
    </w:p>
    <w:p>
      <w:pPr>
        <w:pStyle w:val="NormalWeb"/>
        <w:spacing w:before="120" w:beforeAutospacing="0" w:after="120" w:afterAutospacing="0"/>
        <w:jc w:val="both"/>
        <w:rPr>
          <w:b/>
          <w:caps/>
          <w:noProof/>
          <w:color w:val="000000"/>
        </w:rPr>
      </w:pPr>
    </w:p>
    <w:p>
      <w:pPr>
        <w:pStyle w:val="NormalWeb"/>
        <w:spacing w:before="120" w:beforeAutospacing="0" w:after="120" w:afterAutospacing="0"/>
        <w:jc w:val="both"/>
        <w:rPr>
          <w:noProof/>
          <w:color w:val="000000"/>
        </w:rPr>
      </w:pPr>
      <w:r>
        <w:rPr>
          <w:b/>
          <w:caps/>
          <w:noProof/>
          <w:color w:val="000000"/>
        </w:rPr>
        <w:t>I.</w:t>
      </w:r>
      <w:r>
        <w:rPr>
          <w:noProof/>
        </w:rPr>
        <w:tab/>
      </w:r>
      <w:r>
        <w:rPr>
          <w:b/>
          <w:caps/>
          <w:noProof/>
          <w:color w:val="000000"/>
        </w:rPr>
        <w:t>„</w:t>
      </w:r>
      <w:r>
        <w:rPr>
          <w:b/>
          <w:noProof/>
          <w:color w:val="000000"/>
          <w:sz w:val="22"/>
        </w:rPr>
        <w:t>Горещи точки“</w:t>
      </w:r>
    </w:p>
    <w:p>
      <w:pPr>
        <w:pStyle w:val="NormalWeb"/>
        <w:spacing w:before="120" w:beforeAutospacing="0" w:after="120" w:afterAutospacing="0"/>
        <w:jc w:val="both"/>
        <w:rPr>
          <w:noProof/>
          <w:color w:val="000000"/>
        </w:rPr>
      </w:pPr>
      <w:r>
        <w:rPr>
          <w:b/>
          <w:noProof/>
          <w:color w:val="000000"/>
        </w:rPr>
        <w:t>Какво е направено досега</w:t>
      </w:r>
    </w:p>
    <w:p>
      <w:pPr>
        <w:pStyle w:val="NormalWeb"/>
        <w:numPr>
          <w:ilvl w:val="0"/>
          <w:numId w:val="9"/>
        </w:numPr>
        <w:spacing w:before="120" w:beforeAutospacing="0" w:after="120" w:afterAutospacing="0"/>
        <w:jc w:val="both"/>
        <w:rPr>
          <w:noProof/>
          <w:color w:val="000000"/>
        </w:rPr>
      </w:pPr>
      <w:r>
        <w:rPr>
          <w:noProof/>
          <w:color w:val="000000"/>
        </w:rPr>
        <w:t xml:space="preserve">Гръцките органи и Frontex увеличиха броя на допълнителния персонал в най-засегнатите острови (Лесвос, Хиос, Самос, Кос и Лерос). </w:t>
      </w:r>
    </w:p>
    <w:p>
      <w:pPr>
        <w:pStyle w:val="NormalWeb"/>
        <w:numPr>
          <w:ilvl w:val="0"/>
          <w:numId w:val="9"/>
        </w:numPr>
        <w:spacing w:before="120" w:beforeAutospacing="0" w:after="120" w:afterAutospacing="0"/>
        <w:jc w:val="both"/>
        <w:rPr>
          <w:noProof/>
          <w:color w:val="000000"/>
        </w:rPr>
      </w:pPr>
      <w:r>
        <w:rPr>
          <w:noProof/>
          <w:color w:val="000000"/>
        </w:rPr>
        <w:t>Лесвос значително увеличи капацитета си за първоначално приемане (1 480 места за настаняване в центъра за първоначално приемане, центъра за проверки и временното съоръжение в Каратепе) и се очаква скоро да започне да функционира пълноценно.</w:t>
      </w:r>
    </w:p>
    <w:p>
      <w:pPr>
        <w:pStyle w:val="NormalWeb"/>
        <w:numPr>
          <w:ilvl w:val="0"/>
          <w:numId w:val="9"/>
        </w:numPr>
        <w:spacing w:before="120" w:beforeAutospacing="0" w:after="120" w:afterAutospacing="0"/>
        <w:jc w:val="both"/>
        <w:rPr>
          <w:noProof/>
          <w:color w:val="000000"/>
        </w:rPr>
      </w:pPr>
      <w:r>
        <w:rPr>
          <w:noProof/>
          <w:color w:val="000000"/>
        </w:rPr>
        <w:t xml:space="preserve">Frontex и EASO отправиха покани за участие с допълнителен персонал и оборудване въз основа на гръцката пътна карта за преместването и „горещите точки“. Тези покани са в допълнение към поканата за предоставяне на допълнително оборудване в рамките на „Евродак“, която беше отправена през юли миналата година. </w:t>
      </w:r>
    </w:p>
    <w:p>
      <w:pPr>
        <w:pStyle w:val="NormalWeb"/>
        <w:numPr>
          <w:ilvl w:val="0"/>
          <w:numId w:val="9"/>
        </w:numPr>
        <w:spacing w:before="120" w:beforeAutospacing="0" w:after="120" w:afterAutospacing="0"/>
        <w:jc w:val="both"/>
        <w:rPr>
          <w:noProof/>
          <w:color w:val="000000"/>
        </w:rPr>
      </w:pPr>
      <w:r>
        <w:rPr>
          <w:noProof/>
          <w:color w:val="000000"/>
        </w:rPr>
        <w:t xml:space="preserve">Frontex и eu-LISA дадоха началото на пилотен проект за подобряване на капацитета за регистриране и пренос на данни. </w:t>
      </w:r>
    </w:p>
    <w:p>
      <w:pPr>
        <w:pStyle w:val="NormalWeb"/>
        <w:numPr>
          <w:ilvl w:val="0"/>
          <w:numId w:val="9"/>
        </w:numPr>
        <w:spacing w:before="120" w:beforeAutospacing="0" w:after="120" w:afterAutospacing="0"/>
        <w:jc w:val="both"/>
        <w:rPr>
          <w:noProof/>
          <w:color w:val="000000"/>
        </w:rPr>
      </w:pPr>
      <w:r>
        <w:rPr>
          <w:noProof/>
          <w:color w:val="000000"/>
        </w:rPr>
        <w:t xml:space="preserve">Комисията и агенциите на ЕС са в постоянен контакт с държавите членки във връзка с предоставянето на принос в натура (експерти и оборудване). Към днешна дата държавите членки са поели ангажимент за [3 %] от поисканата подкрепа </w:t>
      </w:r>
      <w:r>
        <w:rPr>
          <w:i/>
          <w:noProof/>
          <w:color w:val="000000"/>
        </w:rPr>
        <w:t>[да се финализира преди EUCO]</w:t>
      </w:r>
      <w:r>
        <w:rPr>
          <w:noProof/>
          <w:color w:val="000000"/>
        </w:rPr>
        <w:t>. Всяко подпомагане следва да се осъществява чрез предназначените за това структури на ЕС (Регионалните работни групи на ЕС (EURTF)).</w:t>
      </w:r>
    </w:p>
    <w:p>
      <w:pPr>
        <w:pStyle w:val="NormalWeb"/>
        <w:numPr>
          <w:ilvl w:val="0"/>
          <w:numId w:val="9"/>
        </w:numPr>
        <w:spacing w:before="120" w:beforeAutospacing="0" w:after="120" w:afterAutospacing="0"/>
        <w:jc w:val="both"/>
        <w:rPr>
          <w:noProof/>
          <w:color w:val="000000"/>
        </w:rPr>
      </w:pPr>
      <w:r>
        <w:rPr>
          <w:noProof/>
          <w:color w:val="000000"/>
        </w:rPr>
        <w:t>Комисията направи плащания по предварително финансиране от съответните фондове на ЕС (ФУМИ и ФВС), включително под формата на спешна помощ.</w:t>
      </w:r>
    </w:p>
    <w:p>
      <w:pPr>
        <w:pStyle w:val="NormalWeb"/>
        <w:numPr>
          <w:ilvl w:val="0"/>
          <w:numId w:val="9"/>
        </w:numPr>
        <w:spacing w:before="120" w:beforeAutospacing="0" w:after="120" w:afterAutospacing="0"/>
        <w:jc w:val="both"/>
        <w:rPr>
          <w:noProof/>
          <w:color w:val="000000"/>
        </w:rPr>
      </w:pPr>
      <w:r>
        <w:rPr>
          <w:noProof/>
          <w:color w:val="000000"/>
        </w:rPr>
        <w:t>Гърция увеличи използването на Евродак чрез трансфер на машини от служби, намиращи се в континенталната част на страната, към най-засегнатите острови.</w:t>
      </w:r>
    </w:p>
    <w:p>
      <w:pPr>
        <w:pStyle w:val="NormalWeb"/>
        <w:numPr>
          <w:ilvl w:val="0"/>
          <w:numId w:val="9"/>
        </w:numPr>
        <w:spacing w:before="120" w:beforeAutospacing="0" w:after="120" w:afterAutospacing="0"/>
        <w:jc w:val="both"/>
        <w:rPr>
          <w:noProof/>
          <w:color w:val="000000"/>
        </w:rPr>
      </w:pPr>
      <w:r>
        <w:rPr>
          <w:noProof/>
          <w:color w:val="000000"/>
        </w:rPr>
        <w:t xml:space="preserve">Гърция започна разрешаването на вътрешните проблеми, свързани с усвояването на специализираните фондове на ЕС, чрез създаване на орган, отговарящ за управлението на ФУМИ и ФВС. </w:t>
      </w:r>
    </w:p>
    <w:p>
      <w:pPr>
        <w:pStyle w:val="NormalWeb"/>
        <w:spacing w:before="120" w:beforeAutospacing="0" w:after="120" w:afterAutospacing="0"/>
        <w:jc w:val="both"/>
        <w:rPr>
          <w:noProof/>
          <w:color w:val="000000"/>
        </w:rPr>
      </w:pPr>
      <w:r>
        <w:rPr>
          <w:b/>
          <w:noProof/>
          <w:color w:val="000000"/>
        </w:rPr>
        <w:t>Какво остава да бъде направено</w:t>
      </w:r>
    </w:p>
    <w:p>
      <w:pPr>
        <w:pStyle w:val="NormalWeb"/>
        <w:numPr>
          <w:ilvl w:val="0"/>
          <w:numId w:val="10"/>
        </w:numPr>
        <w:spacing w:before="120" w:beforeAutospacing="0" w:after="120" w:afterAutospacing="0"/>
        <w:jc w:val="both"/>
        <w:rPr>
          <w:noProof/>
          <w:color w:val="000000"/>
        </w:rPr>
      </w:pPr>
      <w:r>
        <w:rPr>
          <w:noProof/>
          <w:color w:val="000000"/>
        </w:rPr>
        <w:t>Гърция трябва да изпълни плана за действие за задействането на оставащите „горещи точки“ до края на ноември 2015 г.</w:t>
      </w:r>
    </w:p>
    <w:p>
      <w:pPr>
        <w:pStyle w:val="NormalWeb"/>
        <w:numPr>
          <w:ilvl w:val="0"/>
          <w:numId w:val="10"/>
        </w:numPr>
        <w:spacing w:before="120" w:beforeAutospacing="0" w:after="120" w:afterAutospacing="0"/>
        <w:jc w:val="both"/>
        <w:rPr>
          <w:noProof/>
          <w:color w:val="000000"/>
        </w:rPr>
      </w:pPr>
      <w:r>
        <w:rPr>
          <w:noProof/>
          <w:color w:val="000000"/>
        </w:rPr>
        <w:t xml:space="preserve">Гърция следва допълнително да подобри капацитета за регистриране в системата „Евродак“ въз основа на констатациите от пилотния проект на Frontex/eu-LISA. </w:t>
      </w:r>
    </w:p>
    <w:p>
      <w:pPr>
        <w:pStyle w:val="NormalWeb"/>
        <w:numPr>
          <w:ilvl w:val="0"/>
          <w:numId w:val="10"/>
        </w:numPr>
        <w:spacing w:before="120" w:beforeAutospacing="0" w:after="120" w:afterAutospacing="0"/>
        <w:jc w:val="both"/>
        <w:rPr>
          <w:noProof/>
          <w:color w:val="000000"/>
        </w:rPr>
      </w:pPr>
      <w:r>
        <w:rPr>
          <w:noProof/>
          <w:color w:val="000000"/>
        </w:rPr>
        <w:t>Държавите членки следва да отговорят на текущата покана на Frontex за предоставяне на машини на „Евродак“ за снемане на дактилоскопични отпечатъци.</w:t>
      </w:r>
    </w:p>
    <w:p>
      <w:pPr>
        <w:pStyle w:val="NormalWeb"/>
        <w:numPr>
          <w:ilvl w:val="0"/>
          <w:numId w:val="10"/>
        </w:numPr>
        <w:spacing w:before="120" w:beforeAutospacing="0" w:after="120" w:afterAutospacing="0"/>
        <w:jc w:val="both"/>
        <w:rPr>
          <w:noProof/>
          <w:color w:val="000000"/>
        </w:rPr>
      </w:pPr>
      <w:r>
        <w:rPr>
          <w:noProof/>
          <w:color w:val="000000"/>
        </w:rPr>
        <w:t>Гърция следва да укрепи допълнително капацитета за временно жилищно настаняване в „горещите точки“.</w:t>
      </w:r>
    </w:p>
    <w:p>
      <w:pPr>
        <w:pStyle w:val="NormalWeb"/>
        <w:numPr>
          <w:ilvl w:val="0"/>
          <w:numId w:val="10"/>
        </w:numPr>
        <w:spacing w:before="120" w:beforeAutospacing="0" w:after="120" w:afterAutospacing="0"/>
        <w:jc w:val="both"/>
        <w:rPr>
          <w:noProof/>
          <w:color w:val="000000"/>
        </w:rPr>
      </w:pPr>
      <w:r>
        <w:rPr>
          <w:noProof/>
          <w:color w:val="000000"/>
        </w:rPr>
        <w:t>Гърция следва да гарантира, че „горещите точки“ разполагат с достатъчен персонал, като проучи възможностите за вътрешно преразпределение на персонала в рамките на публичната служба.</w:t>
      </w:r>
    </w:p>
    <w:p>
      <w:pPr>
        <w:pStyle w:val="NormalWeb"/>
        <w:numPr>
          <w:ilvl w:val="0"/>
          <w:numId w:val="10"/>
        </w:numPr>
        <w:spacing w:before="120" w:beforeAutospacing="0" w:after="120" w:afterAutospacing="0"/>
        <w:jc w:val="both"/>
        <w:rPr>
          <w:noProof/>
          <w:color w:val="000000"/>
        </w:rPr>
      </w:pPr>
      <w:r>
        <w:rPr>
          <w:noProof/>
          <w:color w:val="000000"/>
        </w:rPr>
        <w:t>Гърция следва да подобри ефективността на първоначалното приемане и регистриране в Лесвос чрез създаването на допълнителни звена за регистриране в близост до местата на пристигане.</w:t>
      </w:r>
    </w:p>
    <w:p>
      <w:pPr>
        <w:pStyle w:val="NormalWeb"/>
        <w:numPr>
          <w:ilvl w:val="0"/>
          <w:numId w:val="10"/>
        </w:numPr>
        <w:spacing w:before="120" w:beforeAutospacing="0" w:after="120" w:afterAutospacing="0"/>
        <w:jc w:val="both"/>
        <w:rPr>
          <w:noProof/>
          <w:color w:val="000000"/>
        </w:rPr>
      </w:pPr>
      <w:r>
        <w:rPr>
          <w:noProof/>
          <w:color w:val="000000"/>
        </w:rPr>
        <w:t>Гърция следва да създаде командна структура за управление на кризи с цел да гарантира ежедневния мониторинг на „горещите точки“ и на действията за преместване.</w:t>
      </w:r>
    </w:p>
    <w:p>
      <w:pPr>
        <w:pStyle w:val="NormalWeb"/>
        <w:numPr>
          <w:ilvl w:val="0"/>
          <w:numId w:val="10"/>
        </w:numPr>
        <w:spacing w:before="120" w:beforeAutospacing="0" w:after="120" w:afterAutospacing="0"/>
        <w:jc w:val="both"/>
        <w:rPr>
          <w:noProof/>
          <w:color w:val="000000"/>
        </w:rPr>
      </w:pPr>
      <w:r>
        <w:rPr>
          <w:noProof/>
          <w:color w:val="000000"/>
        </w:rPr>
        <w:t>Комисията следва да гарантира, че участието на държавите членки се насочва чрез установените структури на ЕС (напр. регионалните оперативни групи на ЕС)</w:t>
      </w:r>
    </w:p>
    <w:p>
      <w:pPr>
        <w:pStyle w:val="NormalWeb"/>
        <w:numPr>
          <w:ilvl w:val="0"/>
          <w:numId w:val="10"/>
        </w:numPr>
        <w:spacing w:before="120" w:beforeAutospacing="0" w:after="120" w:afterAutospacing="0"/>
        <w:jc w:val="both"/>
        <w:rPr>
          <w:noProof/>
          <w:color w:val="000000"/>
        </w:rPr>
      </w:pPr>
      <w:r>
        <w:rPr>
          <w:noProof/>
          <w:color w:val="000000"/>
        </w:rPr>
        <w:t>Държавите членки следва да отговорят незабавно на поканите на Frontex и EASO за разполагане на допълнителен персонал в „горещите точки“.</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b/>
          <w:caps/>
          <w:noProof/>
          <w:color w:val="000000"/>
        </w:rPr>
        <w:t>II. В</w:t>
      </w:r>
      <w:r>
        <w:rPr>
          <w:b/>
          <w:noProof/>
          <w:color w:val="000000"/>
        </w:rPr>
        <w:t>ръщания</w:t>
      </w:r>
    </w:p>
    <w:p>
      <w:pPr>
        <w:pStyle w:val="NormalWeb"/>
        <w:spacing w:before="120" w:beforeAutospacing="0" w:after="120" w:afterAutospacing="0"/>
        <w:jc w:val="both"/>
        <w:rPr>
          <w:noProof/>
          <w:color w:val="000000"/>
        </w:rPr>
      </w:pPr>
      <w:r>
        <w:rPr>
          <w:b/>
          <w:noProof/>
          <w:color w:val="000000"/>
        </w:rPr>
        <w:t>Какво е постигнато досега</w:t>
      </w:r>
    </w:p>
    <w:p>
      <w:pPr>
        <w:pStyle w:val="NormalWeb"/>
        <w:numPr>
          <w:ilvl w:val="0"/>
          <w:numId w:val="11"/>
        </w:numPr>
        <w:spacing w:before="120" w:beforeAutospacing="0" w:after="120" w:afterAutospacing="0"/>
        <w:jc w:val="both"/>
        <w:rPr>
          <w:noProof/>
          <w:color w:val="000000"/>
        </w:rPr>
      </w:pPr>
      <w:r>
        <w:rPr>
          <w:noProof/>
          <w:color w:val="000000"/>
        </w:rPr>
        <w:t>Frontex организира съвместен полет за връщане, който ще излети към Нигерия на 15 октомври, и който е първият след прекъсването на програмата за връщане на 30 юни 2015 г.</w:t>
      </w:r>
    </w:p>
    <w:p>
      <w:pPr>
        <w:pStyle w:val="NormalWeb"/>
        <w:numPr>
          <w:ilvl w:val="0"/>
          <w:numId w:val="11"/>
        </w:numPr>
        <w:spacing w:before="120" w:beforeAutospacing="0" w:after="120" w:afterAutospacing="0"/>
        <w:jc w:val="both"/>
        <w:rPr>
          <w:noProof/>
          <w:color w:val="000000"/>
        </w:rPr>
      </w:pPr>
      <w:r>
        <w:rPr>
          <w:noProof/>
          <w:color w:val="000000"/>
        </w:rPr>
        <w:t>Комисията подпомогна Гърция за договарянето на споразумение с посолството на Пакистан в Атина за изясняване и рационализиране на процедурите за връщане по силата на Споразумението за обратно приемане между ЕС и Пакистан.</w:t>
      </w:r>
    </w:p>
    <w:p>
      <w:pPr>
        <w:pStyle w:val="NormalWeb"/>
        <w:numPr>
          <w:ilvl w:val="0"/>
          <w:numId w:val="11"/>
        </w:numPr>
        <w:spacing w:before="120" w:beforeAutospacing="0" w:after="120" w:afterAutospacing="0"/>
        <w:jc w:val="both"/>
        <w:rPr>
          <w:noProof/>
          <w:color w:val="000000"/>
        </w:rPr>
      </w:pPr>
      <w:r>
        <w:rPr>
          <w:noProof/>
          <w:color w:val="000000"/>
        </w:rPr>
        <w:t xml:space="preserve">До края на тази седмица ще бъде открита покана за подаване на оферти за подновяване на програмата за връщане, финансирана по фонд „Вътрешна сигурност“. </w:t>
      </w:r>
    </w:p>
    <w:p>
      <w:pPr>
        <w:pStyle w:val="NormalWeb"/>
        <w:numPr>
          <w:ilvl w:val="0"/>
          <w:numId w:val="11"/>
        </w:numPr>
        <w:spacing w:before="120" w:beforeAutospacing="0" w:after="120" w:afterAutospacing="0"/>
        <w:jc w:val="both"/>
        <w:rPr>
          <w:noProof/>
          <w:color w:val="000000"/>
        </w:rPr>
      </w:pPr>
      <w:r>
        <w:rPr>
          <w:noProof/>
          <w:color w:val="000000"/>
        </w:rPr>
        <w:t>Беше планиран допълнителен съвместен полет за Пакистан, организиран от Frontex. Посолството на Пакистан се ангажира да издаде съответните документи за пътуване на 26 граждани.</w:t>
      </w:r>
    </w:p>
    <w:p>
      <w:pPr>
        <w:pStyle w:val="NormalWeb"/>
        <w:numPr>
          <w:ilvl w:val="0"/>
          <w:numId w:val="11"/>
        </w:numPr>
        <w:spacing w:before="120" w:beforeAutospacing="0" w:after="120" w:afterAutospacing="0"/>
        <w:jc w:val="both"/>
        <w:rPr>
          <w:noProof/>
          <w:color w:val="000000"/>
        </w:rPr>
      </w:pPr>
      <w:r>
        <w:rPr>
          <w:noProof/>
          <w:color w:val="000000"/>
        </w:rPr>
        <w:t>Понастоящем Гърция разполага с достатъчен капацитет за задържане на лицата преди връщането им, който ѝ позволява да прилага програма за принудителни връщания.</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b/>
          <w:noProof/>
          <w:color w:val="000000"/>
        </w:rPr>
        <w:t>Какво остава да бъде направено</w:t>
      </w:r>
    </w:p>
    <w:p>
      <w:pPr>
        <w:pStyle w:val="NormalWeb"/>
        <w:numPr>
          <w:ilvl w:val="0"/>
          <w:numId w:val="12"/>
        </w:numPr>
        <w:spacing w:before="120" w:beforeAutospacing="0" w:after="120" w:afterAutospacing="0"/>
        <w:jc w:val="both"/>
        <w:rPr>
          <w:noProof/>
          <w:color w:val="000000"/>
        </w:rPr>
      </w:pPr>
      <w:r>
        <w:rPr>
          <w:noProof/>
          <w:color w:val="000000"/>
        </w:rPr>
        <w:t xml:space="preserve">Гърция следва да приключи незабавно работата по поканата за подаване на оферти в областта на връщането и да възобнови без забавяне своята програма за връщане. </w:t>
      </w:r>
    </w:p>
    <w:p>
      <w:pPr>
        <w:pStyle w:val="NormalWeb"/>
        <w:numPr>
          <w:ilvl w:val="0"/>
          <w:numId w:val="12"/>
        </w:numPr>
        <w:spacing w:before="120" w:beforeAutospacing="0" w:after="120" w:afterAutospacing="0"/>
        <w:jc w:val="both"/>
        <w:rPr>
          <w:noProof/>
          <w:color w:val="000000"/>
        </w:rPr>
      </w:pPr>
      <w:r>
        <w:rPr>
          <w:noProof/>
          <w:color w:val="000000"/>
        </w:rPr>
        <w:t>Комисията и държавите членки следва да подпомогнат Гърция в предприетите от нея действия със страните на произход в контекста на споразумения за обратно приемане.</w:t>
      </w:r>
    </w:p>
    <w:p>
      <w:pPr>
        <w:pStyle w:val="NormalWeb"/>
        <w:spacing w:before="120" w:beforeAutospacing="0" w:after="120" w:afterAutospacing="0"/>
        <w:ind w:left="720"/>
        <w:jc w:val="both"/>
        <w:rPr>
          <w:noProof/>
          <w:color w:val="000000"/>
        </w:rPr>
      </w:pPr>
      <w:r>
        <w:rPr>
          <w:noProof/>
          <w:color w:val="000000"/>
        </w:rPr>
        <w:t> </w:t>
      </w:r>
    </w:p>
    <w:p>
      <w:pPr>
        <w:pStyle w:val="NormalWeb"/>
        <w:spacing w:before="120" w:beforeAutospacing="0" w:after="120" w:afterAutospacing="0"/>
        <w:jc w:val="both"/>
        <w:rPr>
          <w:b/>
          <w:caps/>
          <w:noProof/>
          <w:color w:val="000000"/>
        </w:rPr>
      </w:pPr>
      <w:r>
        <w:rPr>
          <w:b/>
          <w:caps/>
          <w:noProof/>
          <w:color w:val="000000"/>
        </w:rPr>
        <w:t>III. П</w:t>
      </w:r>
      <w:r>
        <w:rPr>
          <w:b/>
          <w:noProof/>
          <w:color w:val="000000"/>
        </w:rPr>
        <w:t>реместване</w:t>
      </w:r>
    </w:p>
    <w:p>
      <w:pPr>
        <w:pStyle w:val="NormalWeb"/>
        <w:spacing w:before="120" w:beforeAutospacing="0" w:after="120" w:afterAutospacing="0"/>
        <w:jc w:val="both"/>
        <w:rPr>
          <w:noProof/>
          <w:color w:val="000000"/>
        </w:rPr>
      </w:pPr>
      <w:r>
        <w:rPr>
          <w:b/>
          <w:noProof/>
          <w:color w:val="000000"/>
        </w:rPr>
        <w:t>Какво е постигнато досега</w:t>
      </w:r>
    </w:p>
    <w:p>
      <w:pPr>
        <w:pStyle w:val="NormalWeb"/>
        <w:numPr>
          <w:ilvl w:val="0"/>
          <w:numId w:val="13"/>
        </w:numPr>
        <w:spacing w:before="120" w:beforeAutospacing="0" w:after="120" w:afterAutospacing="0"/>
        <w:jc w:val="both"/>
        <w:rPr>
          <w:noProof/>
          <w:color w:val="000000"/>
        </w:rPr>
      </w:pPr>
      <w:r>
        <w:rPr>
          <w:noProof/>
          <w:color w:val="000000"/>
        </w:rPr>
        <w:t>Комисията подпомогна Гърция в изготвянето на необходимите административни процедури за ефективното прилагане на решенията за преместване.</w:t>
      </w:r>
    </w:p>
    <w:p>
      <w:pPr>
        <w:pStyle w:val="NormalWeb"/>
        <w:numPr>
          <w:ilvl w:val="0"/>
          <w:numId w:val="13"/>
        </w:numPr>
        <w:spacing w:before="120" w:beforeAutospacing="0" w:after="120" w:afterAutospacing="0"/>
        <w:jc w:val="both"/>
        <w:rPr>
          <w:noProof/>
          <w:color w:val="000000"/>
        </w:rPr>
      </w:pPr>
      <w:r>
        <w:rPr>
          <w:noProof/>
          <w:color w:val="000000"/>
        </w:rPr>
        <w:t>Гърция започна действия за повишаване на осведомеността, за да се популяризират ползите от програмата за преместване сред отговарящите на условията лица, търсещи убежище.</w:t>
      </w:r>
    </w:p>
    <w:p>
      <w:pPr>
        <w:pStyle w:val="NormalWeb"/>
        <w:numPr>
          <w:ilvl w:val="0"/>
          <w:numId w:val="13"/>
        </w:numPr>
        <w:spacing w:before="120" w:beforeAutospacing="0" w:after="120" w:afterAutospacing="0"/>
        <w:jc w:val="both"/>
        <w:rPr>
          <w:noProof/>
          <w:color w:val="000000"/>
        </w:rPr>
      </w:pPr>
      <w:r>
        <w:rPr>
          <w:noProof/>
          <w:color w:val="000000"/>
        </w:rPr>
        <w:t>В ход е подготовката  на  първия полет за преместване до Люксембург на 30 сирийски граждани.</w:t>
      </w:r>
    </w:p>
    <w:p>
      <w:pPr>
        <w:pStyle w:val="NormalWeb"/>
        <w:numPr>
          <w:ilvl w:val="0"/>
          <w:numId w:val="13"/>
        </w:numPr>
        <w:spacing w:before="120" w:beforeAutospacing="0" w:after="120" w:afterAutospacing="0"/>
        <w:jc w:val="both"/>
        <w:rPr>
          <w:noProof/>
          <w:color w:val="000000"/>
        </w:rPr>
      </w:pPr>
      <w:r>
        <w:rPr>
          <w:noProof/>
          <w:color w:val="000000"/>
        </w:rPr>
        <w:t>Гърция увеличи персонала на Службата си по въпросите на убежището с 30 % от юни 2015 г. насам главно чрез срочно наети служители, наети чрез безвъзмездни средства от ЕИП.</w:t>
      </w:r>
    </w:p>
    <w:p>
      <w:pPr>
        <w:pStyle w:val="NormalWeb"/>
        <w:numPr>
          <w:ilvl w:val="0"/>
          <w:numId w:val="13"/>
        </w:numPr>
        <w:spacing w:before="120" w:beforeAutospacing="0" w:after="120" w:afterAutospacing="0"/>
        <w:jc w:val="both"/>
        <w:rPr>
          <w:noProof/>
          <w:color w:val="000000"/>
        </w:rPr>
      </w:pPr>
      <w:r>
        <w:rPr>
          <w:noProof/>
          <w:color w:val="000000"/>
        </w:rPr>
        <w:t xml:space="preserve">Гърция създаде специален отдел за процедурите по преместване в рамките на Службата по въпросите на убежището. </w:t>
      </w:r>
    </w:p>
    <w:p>
      <w:pPr>
        <w:pStyle w:val="NormalWeb"/>
        <w:numPr>
          <w:ilvl w:val="0"/>
          <w:numId w:val="13"/>
        </w:numPr>
        <w:spacing w:before="120" w:beforeAutospacing="0" w:after="120" w:afterAutospacing="0"/>
        <w:jc w:val="both"/>
        <w:rPr>
          <w:noProof/>
          <w:color w:val="000000"/>
        </w:rPr>
      </w:pPr>
      <w:r>
        <w:rPr>
          <w:noProof/>
          <w:color w:val="000000"/>
        </w:rPr>
        <w:t>Службата по въпросите на убежището и EASO се договориха за оперативен план за определяне на условията за сътрудничество в „горещите точки“ и за програма за преместване.</w:t>
      </w:r>
    </w:p>
    <w:p>
      <w:pPr>
        <w:pStyle w:val="NormalWeb"/>
        <w:spacing w:before="120" w:beforeAutospacing="0" w:after="120" w:afterAutospacing="0"/>
        <w:jc w:val="both"/>
        <w:rPr>
          <w:noProof/>
          <w:color w:val="000000"/>
        </w:rPr>
      </w:pPr>
      <w:r>
        <w:rPr>
          <w:b/>
          <w:noProof/>
          <w:color w:val="000000"/>
        </w:rPr>
        <w:t>Какво остава да бъде направено</w:t>
      </w:r>
    </w:p>
    <w:p>
      <w:pPr>
        <w:pStyle w:val="NormalWeb"/>
        <w:numPr>
          <w:ilvl w:val="0"/>
          <w:numId w:val="14"/>
        </w:numPr>
        <w:spacing w:before="120" w:beforeAutospacing="0" w:after="120" w:afterAutospacing="0"/>
        <w:jc w:val="both"/>
        <w:rPr>
          <w:noProof/>
          <w:color w:val="000000"/>
        </w:rPr>
      </w:pPr>
      <w:r>
        <w:rPr>
          <w:noProof/>
          <w:color w:val="000000"/>
        </w:rPr>
        <w:t>Гърция трябва да засили усилията за популяризиране на програмата за преместване.</w:t>
      </w:r>
    </w:p>
    <w:p>
      <w:pPr>
        <w:pStyle w:val="NormalWeb"/>
        <w:numPr>
          <w:ilvl w:val="0"/>
          <w:numId w:val="14"/>
        </w:numPr>
        <w:spacing w:before="120" w:beforeAutospacing="0" w:after="120" w:afterAutospacing="0"/>
        <w:jc w:val="both"/>
        <w:rPr>
          <w:noProof/>
          <w:color w:val="000000"/>
        </w:rPr>
      </w:pPr>
      <w:r>
        <w:rPr>
          <w:noProof/>
          <w:color w:val="000000"/>
        </w:rPr>
        <w:t>Държавите членки трябва да назначат незабавно служители за връзка в Гърция.</w:t>
      </w:r>
    </w:p>
    <w:p>
      <w:pPr>
        <w:pStyle w:val="NormalWeb"/>
        <w:numPr>
          <w:ilvl w:val="0"/>
          <w:numId w:val="14"/>
        </w:numPr>
        <w:spacing w:before="120" w:beforeAutospacing="0" w:after="120" w:afterAutospacing="0"/>
        <w:jc w:val="both"/>
        <w:rPr>
          <w:noProof/>
          <w:color w:val="000000"/>
        </w:rPr>
      </w:pPr>
      <w:r>
        <w:rPr>
          <w:noProof/>
          <w:color w:val="000000"/>
        </w:rPr>
        <w:t>Държавите членки следва да изготвят и предоставят подходящи информационни пакети с цел повишаване на осведомеността на кандидатите относно програмата.</w:t>
      </w:r>
    </w:p>
    <w:p>
      <w:pPr>
        <w:pStyle w:val="NormalWeb"/>
        <w:numPr>
          <w:ilvl w:val="0"/>
          <w:numId w:val="14"/>
        </w:numPr>
        <w:spacing w:before="120" w:beforeAutospacing="0" w:after="120" w:afterAutospacing="0"/>
        <w:jc w:val="both"/>
        <w:rPr>
          <w:noProof/>
          <w:color w:val="000000"/>
        </w:rPr>
      </w:pPr>
      <w:r>
        <w:rPr>
          <w:noProof/>
          <w:color w:val="000000"/>
        </w:rPr>
        <w:t>Държавите членки следва да създадат подходящи приемни структури и мерки за интеграция (настаняване и временно настаняване, медицински грижи, образование, езикови курсове и т.н.), чрез пълноценното използване на инструментите със споделено управление, за да подкрепят тези усилия (ФУМИ, ЕСФ, ФЕПННЛ, ЕЗФРСР, ЕФРР).</w:t>
      </w:r>
    </w:p>
    <w:p>
      <w:pPr>
        <w:pStyle w:val="NormalWeb"/>
        <w:numPr>
          <w:ilvl w:val="0"/>
          <w:numId w:val="14"/>
        </w:numPr>
        <w:spacing w:before="120" w:beforeAutospacing="0" w:after="120" w:afterAutospacing="0"/>
        <w:jc w:val="both"/>
        <w:rPr>
          <w:noProof/>
          <w:color w:val="000000"/>
        </w:rPr>
      </w:pPr>
      <w:r>
        <w:rPr>
          <w:noProof/>
          <w:color w:val="000000"/>
        </w:rPr>
        <w:t>Гърция следва да увеличи капацитета под формата на отворени структури за приемане.</w:t>
      </w:r>
    </w:p>
    <w:p>
      <w:pPr>
        <w:pStyle w:val="NormalWeb"/>
        <w:numPr>
          <w:ilvl w:val="0"/>
          <w:numId w:val="14"/>
        </w:numPr>
        <w:spacing w:before="120" w:beforeAutospacing="0" w:after="120" w:afterAutospacing="0"/>
        <w:jc w:val="both"/>
        <w:rPr>
          <w:noProof/>
          <w:color w:val="000000"/>
        </w:rPr>
      </w:pPr>
      <w:r>
        <w:rPr>
          <w:noProof/>
          <w:color w:val="000000"/>
        </w:rPr>
        <w:t xml:space="preserve">Гърция следва допълнително да повиши капацитета за обработка на молбите на своята Служба по въпросите на убежището чрез разполагане и увеличаване на броя на служителите на EASO и на ВКБООН. </w:t>
      </w:r>
    </w:p>
    <w:p>
      <w:pPr>
        <w:pStyle w:val="NormalWeb"/>
        <w:spacing w:before="120" w:beforeAutospacing="0" w:after="120" w:afterAutospacing="0"/>
        <w:rPr>
          <w:noProof/>
          <w:color w:val="000000"/>
        </w:rPr>
      </w:pPr>
    </w:p>
    <w:p>
      <w:pPr>
        <w:pStyle w:val="NormalWeb"/>
        <w:spacing w:before="120" w:beforeAutospacing="0" w:after="120" w:afterAutospacing="0"/>
        <w:jc w:val="both"/>
        <w:rPr>
          <w:noProof/>
          <w:color w:val="000000"/>
        </w:rPr>
      </w:pPr>
      <w:r>
        <w:rPr>
          <w:noProof/>
          <w:color w:val="000000"/>
        </w:rPr>
        <w:t> </w:t>
      </w:r>
      <w:r>
        <w:rPr>
          <w:b/>
          <w:caps/>
          <w:noProof/>
          <w:color w:val="000000"/>
        </w:rPr>
        <w:t xml:space="preserve">IV. </w:t>
      </w:r>
      <w:r>
        <w:rPr>
          <w:b/>
          <w:noProof/>
          <w:color w:val="000000"/>
          <w:lang w:eastAsia="en-GB" w:bidi="ar-SA"/>
        </w:rPr>
        <w:t>Действия в средносрочен план</w:t>
      </w:r>
    </w:p>
    <w:p>
      <w:pPr>
        <w:pStyle w:val="NormalWeb"/>
        <w:numPr>
          <w:ilvl w:val="0"/>
          <w:numId w:val="15"/>
        </w:numPr>
        <w:spacing w:before="120" w:beforeAutospacing="0" w:after="120" w:afterAutospacing="0"/>
        <w:jc w:val="both"/>
        <w:rPr>
          <w:noProof/>
          <w:color w:val="000000"/>
        </w:rPr>
      </w:pPr>
      <w:r>
        <w:rPr>
          <w:noProof/>
          <w:color w:val="000000"/>
        </w:rPr>
        <w:t xml:space="preserve">Гърция, с техническата подкрепа на Комисията и държавите членки, следва да гарантира, че системните и структурните недостатъци на системите ѝ в областта на миграцията и предоставянето на убежище ще бъдат преодолени по траен начин в рамките на следващите шест месеца. </w:t>
      </w:r>
    </w:p>
    <w:p>
      <w:pPr>
        <w:pStyle w:val="NormalWeb"/>
        <w:numPr>
          <w:ilvl w:val="0"/>
          <w:numId w:val="15"/>
        </w:numPr>
        <w:spacing w:before="120" w:beforeAutospacing="0" w:after="120" w:afterAutospacing="0"/>
        <w:jc w:val="both"/>
        <w:rPr>
          <w:noProof/>
          <w:color w:val="000000"/>
        </w:rPr>
      </w:pPr>
      <w:r>
        <w:rPr>
          <w:noProof/>
          <w:color w:val="000000"/>
        </w:rPr>
        <w:t>Гърция следва да подобри координацията на управлението на всички равнища на администрацията, включително на децентрализираната администрация.</w:t>
      </w:r>
    </w:p>
    <w:p>
      <w:pPr>
        <w:pStyle w:val="NormalWeb"/>
        <w:numPr>
          <w:ilvl w:val="0"/>
          <w:numId w:val="15"/>
        </w:numPr>
        <w:spacing w:before="120" w:beforeAutospacing="0" w:after="120" w:afterAutospacing="0"/>
        <w:jc w:val="both"/>
        <w:rPr>
          <w:noProof/>
          <w:color w:val="000000"/>
        </w:rPr>
      </w:pPr>
      <w:r>
        <w:rPr>
          <w:noProof/>
          <w:color w:val="000000"/>
        </w:rPr>
        <w:t>Гърция следва допълнително да подобри капацитета си за ефективно използване на специализирани фондове на ЕС.</w:t>
      </w:r>
    </w:p>
    <w:p>
      <w:pPr>
        <w:pStyle w:val="NormalWeb"/>
        <w:numPr>
          <w:ilvl w:val="0"/>
          <w:numId w:val="15"/>
        </w:numPr>
        <w:spacing w:before="120" w:beforeAutospacing="0" w:after="120" w:afterAutospacing="0"/>
        <w:jc w:val="both"/>
        <w:rPr>
          <w:noProof/>
          <w:color w:val="000000"/>
        </w:rPr>
      </w:pPr>
      <w:r>
        <w:rPr>
          <w:noProof/>
          <w:color w:val="000000"/>
        </w:rPr>
        <w:t>Гърция следва да увеличи допълнително капацитета за настаняване в най-засегнатите места и в континенталната част на страната, за да посрещне извънреден брой пристигащи лица.</w:t>
      </w:r>
    </w:p>
    <w:p>
      <w:pPr>
        <w:pStyle w:val="NormalWeb"/>
        <w:numPr>
          <w:ilvl w:val="0"/>
          <w:numId w:val="15"/>
        </w:numPr>
        <w:spacing w:before="120" w:beforeAutospacing="0" w:after="120" w:afterAutospacing="0"/>
        <w:jc w:val="both"/>
        <w:rPr>
          <w:noProof/>
          <w:color w:val="000000"/>
        </w:rPr>
      </w:pPr>
      <w:r>
        <w:rPr>
          <w:noProof/>
          <w:color w:val="000000"/>
        </w:rPr>
        <w:t>Комисията и държавите членки следва да подпомогнат Гърция да укрепи капацитета на съответните министерства и служби, включително във връзка с усвояването на средствата, въз основа на техническа помощ от Комисията.</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p>
    <w:p>
      <w:pPr>
        <w:rPr>
          <w:rFonts w:ascii="Times New Roman" w:hAnsi="Times New Roman" w:cs="Times New Roman"/>
          <w:noProof/>
          <w:sz w:val="24"/>
          <w:szCs w:val="24"/>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515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B62C2155371449BFA7D3465A497D364A"/>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103?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23F4-FC39-417B-A518-86A59BEB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1063</Words>
  <Characters>6128</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16</cp:revision>
  <cp:lastPrinted>2015-10-13T16:29:00Z</cp:lastPrinted>
  <dcterms:created xsi:type="dcterms:W3CDTF">2015-10-14T08:53:00Z</dcterms:created>
  <dcterms:modified xsi:type="dcterms:W3CDTF">2015-10-28T08:59:00Z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