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852945FCCA6461CA7C8841286C4465F" style="width:450.75pt;height:4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NormalWeb"/>
        <w:spacing w:before="0" w:beforeAutospacing="0" w:after="240" w:afterAutospacing="0" w:line="254" w:lineRule="auto"/>
        <w:jc w:val="center"/>
        <w:rPr>
          <w:noProof/>
        </w:rPr>
      </w:pPr>
      <w:bookmarkStart w:id="1" w:name="_GoBack"/>
      <w:bookmarkEnd w:id="1"/>
    </w:p>
    <w:p>
      <w:pPr>
        <w:spacing w:after="240" w:line="254" w:lineRule="auto"/>
        <w:jc w:val="center"/>
        <w:rPr>
          <w:rFonts w:ascii="Times New Roman" w:hAnsi="Times New Roman" w:cs="Times New Roman"/>
          <w:b/>
          <w:noProof/>
          <w:sz w:val="24"/>
          <w:szCs w:val="24"/>
        </w:rPr>
      </w:pPr>
      <w:r>
        <w:rPr>
          <w:rFonts w:ascii="Times New Roman" w:hAnsi="Times New Roman"/>
          <w:b/>
          <w:noProof/>
          <w:sz w:val="24"/>
        </w:rPr>
        <w:t>Приложение 3: Италия — доклад относно актуалното състояние от 11 октомври 2015 г.</w:t>
      </w:r>
    </w:p>
    <w:p>
      <w:pPr>
        <w:widowControl w:val="0"/>
        <w:spacing w:after="0" w:line="240" w:lineRule="auto"/>
        <w:jc w:val="center"/>
        <w:rPr>
          <w:rFonts w:ascii="Liberation Serif" w:eastAsia="SimSun" w:hAnsi="Liberation Serif" w:cs="Mangal" w:hint="eastAsia"/>
          <w:b/>
          <w:bCs/>
          <w:noProof/>
          <w:color w:val="00000A"/>
          <w:sz w:val="24"/>
          <w:szCs w:val="24"/>
        </w:rPr>
      </w:pPr>
    </w:p>
    <w:p>
      <w:pPr>
        <w:widowControl w:val="0"/>
        <w:spacing w:after="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I.</w:t>
      </w:r>
      <w:r>
        <w:rPr>
          <w:noProof/>
        </w:rPr>
        <w:tab/>
      </w:r>
      <w:r>
        <w:rPr>
          <w:rFonts w:ascii="Liberation Serif" w:hAnsi="Liberation Serif"/>
          <w:b/>
          <w:noProof/>
          <w:color w:val="00000A"/>
          <w:sz w:val="24"/>
        </w:rPr>
        <w:t>„Горещи точки“</w:t>
      </w:r>
    </w:p>
    <w:p>
      <w:pPr>
        <w:widowControl w:val="0"/>
        <w:spacing w:after="0" w:line="240" w:lineRule="auto"/>
        <w:jc w:val="both"/>
        <w:rPr>
          <w:rFonts w:ascii="Liberation Serif" w:eastAsia="SimSun" w:hAnsi="Liberation Serif" w:cs="Mangal" w:hint="eastAsia"/>
          <w:b/>
          <w:bCs/>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Какво беше направено досега</w:t>
      </w: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Италианските органи откриха първата „гореща точка“ в Лампедуза преди две седмици. Тя функционира пълноценно, като е осигурено участието</w:t>
      </w:r>
      <w:r>
        <w:rPr>
          <w:rFonts w:ascii="Liberation Serif" w:hAnsi="Liberation Serif"/>
          <w:b/>
          <w:noProof/>
          <w:color w:val="00000A"/>
          <w:sz w:val="24"/>
        </w:rPr>
        <w:t xml:space="preserve"> </w:t>
      </w:r>
      <w:r>
        <w:rPr>
          <w:rFonts w:ascii="Liberation Serif" w:hAnsi="Liberation Serif"/>
          <w:noProof/>
          <w:color w:val="00000A"/>
          <w:sz w:val="24"/>
        </w:rPr>
        <w:t xml:space="preserve">както на Европейската служба за подкрепа в областта на убежището (EASO), така и на Европейската агенция за управление на оперативното сътрудничество по външните граници на държавите членки на Европейския съюз (Frontex). Спазването на правилата за снемане на дактилоскопични отпечатъци в „горещата точка“ се подобрява, макар в някои случаи мигрантите да отказват да се подложат на тази процедура. </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Вече бяха определени всички останали „горещи точки“. Повечето от тях могат да започнат да функционират през идните седмици. Две от тях — Таранто и Аугуста, ще започнат да функционират едва в края на 2015 г.</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 xml:space="preserve">Във всички „горещи точки“ се предвижда минимално присъствие на 10 служители на Frontex, които се занимават със снемането на дактилоскопични отпечатъци, 2 екипа за получаване на информация и 2 екипа за оценка на състоянието на мигрантите, както и на екип от трима експерти на EASO по предоставяне на информация. Текущите покани от Frontex и EASO имат за цел да бъдат удовлетворени всички нужди във всички „горещи точки“, при условие че държавите членки предоставят на разположение достатъчен брой експерти. </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От юли насам в Катания вече работи Регионална работна група на ЕС, която функционира пълноценно, като е осигурено участието на всички агенции. Въпреки това е необходимо дейността на Европол да бъде интегрирана по-ефективно в концепцията за „гореща точка“, по-специално с цел засилване на обмена на информация от страна на италианската прокуратура и на правоприлагащите органи към Европол.</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 xml:space="preserve">С цел да подкрепят пълноценното функциониране на подхода на „горещите точки“ италианските органи понастоящем обобщават своите нужди в обстойна оценка и на тази основа ще поискат пакет от мерки за подпомагане от европейските фондове. На 16 октомври ще се проведе специална техническа среща с Комисията. </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Какво остава да бъде направено</w:t>
      </w: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 xml:space="preserve">Останалите „горещи точки“ трябва да започнат да функционират по предвидения график, за да се осигури пълноценното функциониране на системата и да се отслаби натискът върху Лампедуза. Ситуацията по отношение на входящите и изходящите потоци трябва непрекъснато да се наблюдава, за да се оцени евентуалната необходимост от допълнителни „горещи точки“. </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трябва да осигури пълноценно използване на съществуващия капацитет за задържане, за да се гарантира съответствие с правилата относно установяването на самоличността, и да открие допълнителни места в центровете за задържане с цел осигуряване на необходимия капацитет за провеждане на ефективен процес на установяване на самоличността и на връщане.</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Държавите членки трябва да гарантират незабавното предоставяне на разположение на експерти в отговор на поканите от Frontex и EASO. Тези експерти следва да бъдат на разположение за дългосрочни мисии, за да бъдат възможно най-оперативни.</w:t>
      </w:r>
    </w:p>
    <w:p>
      <w:pPr>
        <w:widowControl w:val="0"/>
        <w:spacing w:after="0" w:line="240" w:lineRule="auto"/>
        <w:ind w:left="720"/>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трябва да обмисли възможни реформи на съществуващите разпоредби относно задържането, за да се гарантира, че дългосрочно задържане е възможно тогава, когато то е от жизненоважно значение за приключването на процедурата по установяване на самоличността при сложни случаи.</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Италианските органи трябва да изготвят допълнителни насоки относно пропорционалното използване на сила в случаите, в които мигрантите отказват да се подложат на процедура по установяване на самоличността, въз основа на издадените от Комисията насоки.</w:t>
      </w:r>
    </w:p>
    <w:p>
      <w:pPr>
        <w:widowControl w:val="0"/>
        <w:spacing w:after="0" w:line="240" w:lineRule="auto"/>
        <w:ind w:left="360"/>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За да се гарантира бързото прехвърляне на мигранти от „горещите точки“ във вторичните приемни центрове или в центровете за задържане, Италия вероятно скоро ще помоли Комисията за логистична подкрепа чрез мобилизиране на специален рамков договор с Генерална дирекция „Хуманитарна помощ и гражданска защита“ за чартиране на самолети.</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II.</w:t>
      </w:r>
      <w:r>
        <w:rPr>
          <w:noProof/>
        </w:rPr>
        <w:tab/>
      </w:r>
      <w:r>
        <w:rPr>
          <w:rFonts w:ascii="Liberation Serif" w:hAnsi="Liberation Serif"/>
          <w:b/>
          <w:noProof/>
          <w:color w:val="00000A"/>
          <w:sz w:val="24"/>
        </w:rPr>
        <w:t>Връщане</w:t>
      </w:r>
    </w:p>
    <w:p>
      <w:pPr>
        <w:widowControl w:val="0"/>
        <w:spacing w:after="0" w:line="240" w:lineRule="auto"/>
        <w:jc w:val="both"/>
        <w:rPr>
          <w:rFonts w:ascii="Liberation Serif" w:eastAsia="SimSun" w:hAnsi="Liberation Serif" w:cs="Mangal" w:hint="eastAsia"/>
          <w:b/>
          <w:bCs/>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Какво е направено досега</w:t>
      </w:r>
    </w:p>
    <w:p>
      <w:pPr>
        <w:widowControl w:val="0"/>
        <w:numPr>
          <w:ilvl w:val="0"/>
          <w:numId w:val="18"/>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Италианските органи инвестираха значителни ресурси в областта на връщането и процедурата вече е добре установена в много случаи (за гражданите на Египет и Тунис). От началото на годината бяха организирани 72 полета за връщане.</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8"/>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е в процес на договаряне с няколко страни от Африка на юг от Сахара на оперативни споразумения, които имат за цел да се гарантира бързото връщане на граждани на трети държави (особено в Западна Африка). Вече беше постигнато споразумение с Гамбия и такива споразумения бяха предложени на други трети държави. Подобрено беше също така и сътрудничеството с Нигерия.</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8"/>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участва в съвместни полети, организирани периодично от Frontex.</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Какво остава да бъде направено</w:t>
      </w:r>
    </w:p>
    <w:p>
      <w:pPr>
        <w:widowControl w:val="0"/>
        <w:numPr>
          <w:ilvl w:val="0"/>
          <w:numId w:val="19"/>
        </w:numPr>
        <w:spacing w:after="0" w:line="240" w:lineRule="auto"/>
        <w:jc w:val="both"/>
        <w:rPr>
          <w:rFonts w:ascii="Liberation Serif" w:eastAsia="Times New Roman" w:hAnsi="Liberation Serif" w:cs="Mangal"/>
          <w:noProof/>
          <w:color w:val="00000A"/>
          <w:sz w:val="24"/>
          <w:szCs w:val="24"/>
        </w:rPr>
      </w:pPr>
      <w:r>
        <w:rPr>
          <w:rFonts w:ascii="Liberation Serif" w:hAnsi="Liberation Serif"/>
          <w:noProof/>
          <w:color w:val="00000A"/>
          <w:sz w:val="24"/>
        </w:rPr>
        <w:t>Италия трябва да засили своите усилия за връщане на незаконните мигранти от държавите от Африка на юг от Сахара. Комисията и ЕСВД трябва да подпомогнат италианските органи за сключването на оперативни споразумения с държавите от Африка на юг от Сахара, за да се гарантира ефикасното и ефективното връщане на незаконните мигранти. Тази подкрепа може да включва предоставянето на финансова помощ за сътрудничество относно обратното приемане между Италия и държавите от Африка на юг от Сахара.</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9"/>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трябва да установи рамков договор за полети за връщане на дълги разстояния (държавите от Африка на юг от Сахара), за които се изисква провеждането на тръжна процедура на стойност над 250 000 EUR. Комисията може да подкрепя такива полети, като за тази цел могат да се използват също и полетите за връщане на Frontex.</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9"/>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трябва да гарантира бързо обработване на молбите за предоставяне на убежище, чиято цел очевидно е осуетяване на връщането. Това може да се постигне чрез осигуряване на специален капацитет за обработване на такива случаи. Може да се обмисли също и евентуална реформа на обжалванията със суспензивен характер при очевидно неоснователни случаи.</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9"/>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За техническата среща на 16 октомври 2016 г. Италия трябва да предостави на Frontex и Комисията навреме ясна оценка на потребностите в областта на връщането.</w:t>
      </w:r>
    </w:p>
    <w:p>
      <w:pPr>
        <w:widowControl w:val="0"/>
        <w:spacing w:after="0" w:line="240" w:lineRule="auto"/>
        <w:ind w:left="720"/>
        <w:contextualSpacing/>
        <w:rPr>
          <w:rFonts w:ascii="Liberation Serif" w:eastAsia="SimSun" w:hAnsi="Liberation Serif" w:cs="Mangal" w:hint="eastAsia"/>
          <w:noProof/>
          <w:color w:val="00000A"/>
          <w:sz w:val="24"/>
          <w:szCs w:val="21"/>
        </w:rPr>
      </w:pPr>
    </w:p>
    <w:p>
      <w:pPr>
        <w:widowControl w:val="0"/>
        <w:numPr>
          <w:ilvl w:val="0"/>
          <w:numId w:val="19"/>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Когато е уместно, съвместните полети за връщане на Frontex, по-специално полетите до държави от Африка на юг от Сахара, трябва да включват междинни кацания в Италия.</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0" w:line="240" w:lineRule="auto"/>
        <w:jc w:val="both"/>
        <w:rPr>
          <w:rFonts w:ascii="Liberation Serif" w:eastAsia="SimSun" w:hAnsi="Liberation Serif" w:cs="Mangal" w:hint="eastAsia"/>
          <w:b/>
          <w:bCs/>
          <w:noProof/>
          <w:color w:val="00000A"/>
          <w:sz w:val="24"/>
          <w:szCs w:val="24"/>
        </w:rPr>
      </w:pPr>
    </w:p>
    <w:p>
      <w:pPr>
        <w:widowControl w:val="0"/>
        <w:spacing w:after="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III.</w:t>
      </w:r>
      <w:r>
        <w:rPr>
          <w:noProof/>
        </w:rPr>
        <w:tab/>
      </w:r>
      <w:r>
        <w:rPr>
          <w:rFonts w:ascii="Liberation Serif" w:hAnsi="Liberation Serif"/>
          <w:b/>
          <w:noProof/>
          <w:color w:val="00000A"/>
          <w:sz w:val="24"/>
        </w:rPr>
        <w:t>Преместване</w:t>
      </w:r>
    </w:p>
    <w:p>
      <w:pPr>
        <w:widowControl w:val="0"/>
        <w:spacing w:after="0" w:line="240" w:lineRule="auto"/>
        <w:jc w:val="both"/>
        <w:rPr>
          <w:rFonts w:ascii="Liberation Serif" w:eastAsia="SimSun" w:hAnsi="Liberation Serif" w:cs="Mangal" w:hint="eastAsia"/>
          <w:b/>
          <w:bCs/>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Какво беше направено досега</w:t>
      </w: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Първият полет за преместване на 19 еритрейци в Швеция се проведе на 9 октомври. Той е доказателство, че вече са налице процедури за въвеждане на системата за преместване.</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определи специализирани центрове за лица, които имат право на преместване. Центърът във Вила Сикания вече функционира, като персонал на EASO е на разположение за провеждане на интервюта за преместване. Други два центъра в Кротоне и Бари трябва да започнат да функционират незабавно.</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Срещи със служителите за връзка в Рим и с другите европейски звена „Дъблин“ бяха организирани съвместно с Комисията, като те имаха за цел да се улесни процедурата и да се обяснят на всички държави членки техническите аспекти на процеса.</w:t>
      </w:r>
    </w:p>
    <w:p>
      <w:pPr>
        <w:widowControl w:val="0"/>
        <w:spacing w:after="0" w:line="240" w:lineRule="auto"/>
        <w:ind w:left="720"/>
        <w:contextualSpacing/>
        <w:rPr>
          <w:rFonts w:ascii="Liberation Serif" w:eastAsia="SimSun" w:hAnsi="Liberation Serif" w:cs="Mangal" w:hint="eastAsia"/>
          <w:noProof/>
          <w:color w:val="00000A"/>
          <w:sz w:val="24"/>
          <w:szCs w:val="21"/>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За да се навакса натрупаното забавяне, екипи на EASO бяха разположени в основните транзитни градове (Рим и Милано), за да окажат подкрепа на италианските органи по регистрацията на кандидатите за преместване.</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 xml:space="preserve">EASO стартира покана за набиране на експерти, които да подкрепят италианското национално звено „Дъблин“ (необходими са 10 експерти, като до този момент са осигурени трима, а още двама ще се присъединят скоро). </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bookmarkStart w:id="2" w:name="__DdeLink__8_1665592969"/>
      <w:bookmarkEnd w:id="2"/>
      <w:r>
        <w:rPr>
          <w:rFonts w:ascii="Liberation Serif" w:hAnsi="Liberation Serif"/>
          <w:noProof/>
          <w:color w:val="00000A"/>
          <w:sz w:val="24"/>
        </w:rPr>
        <w:t>До всички италиански префектури (Prefecturas) беше изпратено специално циркулярно писмо, с което те се информират за началото на процеса на преместване и с което да се гарантира осведомеността на цялата италианска общественост, преди лицата да се обърнат към органите.</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Какво остава да бъде направено</w:t>
      </w: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Всички държави членки трябва да представят подробна информация за броя на местата за преместване, които ще осигурят до края на годината. В началото ангажиментите трябва да бъда ограничени с цел да се осигури постепенно увеличаване на преместванията преди да се достигне нормален ритъм на функциониране.</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трябва да гарантира, че процедурата за преместване, приложена за първи път с Швеция, ще се оформи като стандартна оперативна процедура, прилагана на цялата територия, като освен това тя трябва да засили своето звено „Дъблин“ с цел да се позволи бързото разгръщане на процеса.</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трябва да създаде специална база данни в своето звено „Дъблин“ с цел да подпомогне процедурата за постигане на съответствие и да гарантира бързото осъществяване на необходимите актуализации на информационната система.</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трябва да открие оставащите два центъра, определени за преместване, а EASO трябва бързо да разположи експерти в тях.</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с подкрепата на EASO и ВКБООН, трябва да изготви информация, предназначена за потенциалните лица за преместване. Комисията може да подкрепи тези усилия, например като финансира резерв от специални културни посредници.</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bookmarkStart w:id="3" w:name="__DdeLink__46_817379387"/>
      <w:bookmarkEnd w:id="3"/>
      <w:r>
        <w:rPr>
          <w:rFonts w:ascii="Liberation Serif" w:hAnsi="Liberation Serif"/>
          <w:noProof/>
          <w:color w:val="00000A"/>
          <w:sz w:val="24"/>
        </w:rPr>
        <w:t>Държавите членки трябва да обмислят изготвянето на специални информационни пакети, които да бъдат предоставяни на установените кандидати за преместване.</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p>
    <w:p>
      <w:pPr>
        <w:widowControl w:val="0"/>
        <w:spacing w:after="120" w:line="240" w:lineRule="auto"/>
        <w:jc w:val="both"/>
        <w:rPr>
          <w:rFonts w:ascii="Liberation Serif" w:eastAsia="SimSun" w:hAnsi="Liberation Serif" w:cs="Mangal" w:hint="eastAsia"/>
          <w:noProof/>
          <w:color w:val="00000A"/>
          <w:sz w:val="24"/>
          <w:szCs w:val="24"/>
        </w:rPr>
      </w:pPr>
      <w:r>
        <w:rPr>
          <w:rFonts w:ascii="Liberation Serif" w:hAnsi="Liberation Serif"/>
          <w:b/>
          <w:noProof/>
          <w:color w:val="00000A"/>
          <w:sz w:val="24"/>
        </w:rPr>
        <w:t>IV.</w:t>
      </w:r>
      <w:r>
        <w:rPr>
          <w:noProof/>
        </w:rPr>
        <w:tab/>
      </w:r>
      <w:r>
        <w:rPr>
          <w:rFonts w:ascii="Liberation Serif" w:hAnsi="Liberation Serif"/>
          <w:b/>
          <w:noProof/>
          <w:color w:val="00000A"/>
          <w:sz w:val="24"/>
        </w:rPr>
        <w:t>Средносрочни мерки</w:t>
      </w:r>
    </w:p>
    <w:p>
      <w:pPr>
        <w:widowControl w:val="0"/>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 xml:space="preserve">Като приоритетен въпрос Италия трябва да разгледа възможни начини за увеличаване на общата ефективност на своята процедура за предоставяне на убежище, за да се осигури бързото обработване на лицата, които не отговарят на условията за преместване, и да се гарантира последователността на решенията. Това би могло да включва също и системата за обжалване с цел нейното оптимизиране и за постигане на по-бързи решения на втора инстанция. </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Италия трябва също така да обмисли как да осигури по-уеднаквено качество на условията за прием на цялата територия, за да могат добрите практики, съществуващи в няколко региона, да бъдат пренесени в други области.</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609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265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614FC3"/>
    <w:multiLevelType w:val="multilevel"/>
    <w:tmpl w:val="46F472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6543A7C"/>
    <w:multiLevelType w:val="multilevel"/>
    <w:tmpl w:val="B756EE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A1964A6"/>
    <w:multiLevelType w:val="multilevel"/>
    <w:tmpl w:val="E8E640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041444A"/>
    <w:multiLevelType w:val="multilevel"/>
    <w:tmpl w:val="1472A7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1A93F3B"/>
    <w:multiLevelType w:val="multilevel"/>
    <w:tmpl w:val="D75A3E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7700A"/>
    <w:multiLevelType w:val="multilevel"/>
    <w:tmpl w:val="F30817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4"/>
  </w:num>
  <w:num w:numId="3">
    <w:abstractNumId w:val="19"/>
  </w:num>
  <w:num w:numId="4">
    <w:abstractNumId w:val="7"/>
  </w:num>
  <w:num w:numId="5">
    <w:abstractNumId w:val="2"/>
  </w:num>
  <w:num w:numId="6">
    <w:abstractNumId w:val="10"/>
  </w:num>
  <w:num w:numId="7">
    <w:abstractNumId w:val="11"/>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4"/>
  </w:num>
  <w:num w:numId="19">
    <w:abstractNumId w:val="13"/>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D852945FCCA6461CA7C8841286C4465F"/>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72?\u1082?\u1090?\u1091?\u1072?\u1083?\u1085?\u1086? \u1089?\u1098?\u1089?\u1090?\u1086?\u1103?\u1085?\u1080?\u1077?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_x000b_"/>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4?\u1054? \u1045?\u1042?\u1056?\u1054?\u1055?\u1045?\u1049?\u1057?\u1050?\u1048?\u1071? \u1057?\u1066?\u1042?\u1045?\u1058? \u1048? \u1044?\u1054? \u1057?\u1066?\u1042?\u1045?\u1058?\u1040?_x000b_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1E94-65DF-490D-97EE-EA50CE5E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1448</Words>
  <Characters>8168</Characters>
  <Application>Microsoft Office Word</Application>
  <DocSecurity>0</DocSecurity>
  <Lines>194</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12</cp:revision>
  <cp:lastPrinted>2015-10-13T16:30:00Z</cp:lastPrinted>
  <dcterms:created xsi:type="dcterms:W3CDTF">2015-10-23T15:09:00Z</dcterms:created>
  <dcterms:modified xsi:type="dcterms:W3CDTF">2015-10-28T08:59:00Z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