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042343B1494D0B94EEB1E27AA43D0F" style="width:450.4pt;height:293.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b/>
          <w:noProof/>
          <w:sz w:val="24"/>
          <w:szCs w:val="20"/>
        </w:rPr>
      </w:pPr>
      <w:bookmarkStart w:id="1" w:name="_GoBack"/>
      <w:bookmarkEnd w:id="1"/>
      <w:r>
        <w:rPr>
          <w:rFonts w:ascii="Times New Roman" w:hAnsi="Times New Roman"/>
          <w:b/>
          <w:noProof/>
          <w:sz w:val="24"/>
        </w:rPr>
        <w:lastRenderedPageBreak/>
        <w:t>СЪОБЩЕНИЕ НА КОМИСИЯТА ДО СЪВЕТА</w:t>
      </w:r>
    </w:p>
    <w:p>
      <w:pPr>
        <w:spacing w:before="360" w:after="360" w:line="240" w:lineRule="auto"/>
        <w:jc w:val="center"/>
        <w:rPr>
          <w:rFonts w:ascii="Times New Roman" w:hAnsi="Times New Roman"/>
          <w:b/>
          <w:noProof/>
          <w:sz w:val="24"/>
          <w:szCs w:val="20"/>
        </w:rPr>
      </w:pPr>
      <w:r>
        <w:rPr>
          <w:rFonts w:ascii="Times New Roman" w:hAnsi="Times New Roman"/>
          <w:b/>
          <w:noProof/>
          <w:sz w:val="24"/>
        </w:rPr>
        <w:t>в съответствие с член 395 от Директива 2006/112/ЕО на Съвета</w:t>
      </w:r>
    </w:p>
    <w:p>
      <w:pPr>
        <w:pStyle w:val="Heading1"/>
        <w:rPr>
          <w:noProof/>
        </w:rPr>
      </w:pPr>
      <w:r>
        <w:rPr>
          <w:noProof/>
        </w:rPr>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с цел опростяване на процедурата по събиране на ДДС или предотвратяване на определени форми на отклонение от данъчно облагане или избягване на данъци. Тъй като тази процедура дава възможност за дерогации от общите принципи, приложими по отношение на ДДС, такива дерогации следва да бъдат пропорционални на целите и ограничени по обхват.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писмо, заведено от Комисията на 18 юни 2015 г., Република Австрия, Република България, Чешката Република и Словашката република поискаха разрешение за въвеждането на мярка за дерогация от член 193 от Директивата за ДДС. В съответствие с член 395, параграф 2 от посочената директива, Комисията информира другите държави членки с писмо от 2 юли 2015 г. за направеното от посочените четири държави искане. С писмо от 7 юли 2015 г. Комисията уведоми Република Австрия, Република България, Чешката република и Словашката република, че разполага с пълната информация, необходима според нея за оценка на 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Посочените държави членки искат разрешение за въвеждане на мярка за дерогация от член 193 от Директивата за ДДС по отношение на лицето, отговорно за плащането на ДДС на данъчните органи и за прилагане на т.нар. „механизъм за самоначисляване“.</w:t>
      </w:r>
    </w:p>
    <w:p>
      <w:pPr>
        <w:pStyle w:val="Heading1"/>
        <w:rPr>
          <w:noProof/>
        </w:rPr>
      </w:pPr>
      <w:r>
        <w:rPr>
          <w:noProof/>
        </w:rPr>
        <w:t>САМОНАЧИСЛЯВАНЕ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лице — платец на ДДС, е данъчно задълженото лице, доставящо стоките или услугите. Целта на механизма за самоначисляване е това задължение да премине към данъчно задълженото лице — получател на доставките.</w:t>
      </w:r>
    </w:p>
    <w:p>
      <w:pPr>
        <w:pStyle w:val="Heading1"/>
        <w:rPr>
          <w:noProof/>
        </w:rPr>
      </w:pPr>
      <w:r>
        <w:rPr>
          <w:noProof/>
        </w:rPr>
        <w:t>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Република Австрия, Република България, Чешката република и Словашката република поискаха по силата на член 395 от Директивата за ДДС Съветът, като действа по предложение на Комисията, да им разреши да въведат специална мярка за дерогация от член 193 от Директивата за ДДС по отношение на прилагането на механизма за самоначисляване за всички доставки на стоки или услуги на стойност над 10 000 евро с оглед на борбата с измамите.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Това би позволило на държавите членки да наложат прилагането на механизма за самоначисляване по отношение на всеки избран от тях сектор, отделен вид стока или услуга, а евентуално и за цялата национална икономика. Това би </w:t>
      </w:r>
      <w:r>
        <w:rPr>
          <w:rFonts w:ascii="Times New Roman" w:hAnsi="Times New Roman"/>
          <w:noProof/>
          <w:sz w:val="24"/>
        </w:rPr>
        <w:lastRenderedPageBreak/>
        <w:t>променило из основи действащия механизъм за плащане на части — един от основните принципи, на които се основава настоящата система на ДДС.</w:t>
      </w:r>
    </w:p>
    <w:p>
      <w:pPr>
        <w:pStyle w:val="Heading1"/>
        <w:rPr>
          <w:noProof/>
        </w:rPr>
      </w:pPr>
      <w:r>
        <w:rPr>
          <w:noProof/>
        </w:rPr>
        <w:t>СТАНОВИЩЕ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получава искания по член 395, тя ги разглежда с цел да се увери, че са изпълнени основните условия за тяхното удовлетворяване, т.е. дали предложената специална мярка опростява процедурите за данъчно задължените лица и/или за данъчната администрация, както и дали с предложението се предотвратяват определени форми на отклонение от данъчно облагане или избягване на данъци. В този смисъл Комисията винаги действа, като прилага ограничен и предпазлив подход и по този начин се стреми да гарантира, че дерогациите са ограничени по своя обхват, не накърняват действието на общата система на ДДС, действително са необходими и са съизмерими с целта.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Наред с въпроса дали исканата мярка наистина би била ефективен начин за борба с верижните измами и други видове измами или за намаляването на несъответствието в приходите от ДДС като цяло и факта, че тази напълно незадължителна система би довела до нарушаване на хармонизацията, ясно е, че подобна мащабна мярка излиза извън обхвата на дерогация по член 395 от Директивата за ДДС. Комисията вече посочи, че едно общо и недиференцирано прилагане на механизма за самоначисляване, в този случай потенциално по отношение на всички стоки и услуги, вече не може да се разглежда като специална мярка по смисъла на горепосочения член</w:t>
      </w:r>
      <w:r>
        <w:rPr>
          <w:rStyle w:val="FootnoteReference"/>
          <w:rFonts w:ascii="Times New Roman" w:hAnsi="Times New Roman"/>
          <w:noProof/>
          <w:sz w:val="24"/>
        </w:rPr>
        <w:footnoteReference w:id="1"/>
      </w:r>
      <w:r>
        <w:rPr>
          <w:rFonts w:ascii="Times New Roman" w:hAnsi="Times New Roman"/>
          <w:noProof/>
          <w:sz w:val="24"/>
        </w:rPr>
        <w: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Необходимо е да се докаже, че прилагането на механизма за самоначисляване е обосновано от конкретен проблем, свързан с измами, както и че не надхвърля необходимото за борбата срещу конкретните измами, което непременно предполага, че мярката трябва да бъде целенасочена. При всички случаи е изключена възможността такава мярка да се прилага спрямо големи части или дори цялата икономика и на различните етапи от производството и разпространението.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Това произтича от съдебната практика на Съда на Европейския съюз, който е постановил, че мерките, предприети за прилагането на член 395 от Директивата за ДДС, за да се опрости процедурата за събиране на ДДС или за предотвратяване на определени форми на отклонение от данъчно облагане или избягване на данъци, „трябва да бъдат необходими и подходящи за постигането на преследваната с тях специфична цел и да засягат във възможно най-малка степен целите и принципите на Директивата за ДДС“</w:t>
      </w:r>
      <w:r>
        <w:rPr>
          <w:rStyle w:val="FootnoteReference"/>
          <w:rFonts w:ascii="Times New Roman" w:hAnsi="Times New Roman"/>
          <w:noProof/>
          <w:sz w:val="24"/>
        </w:rPr>
        <w:footnoteReference w:id="2"/>
      </w:r>
      <w:r>
        <w:rPr>
          <w:rFonts w:ascii="Times New Roman" w:hAnsi="Times New Roman"/>
          <w:noProof/>
          <w:sz w:val="24"/>
        </w:rPr>
        <w: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Като се има предвид общият обхват на исканата мярка, основният принцип на плащането на части, на който се основава хармонизираната система на ДДС, категорично ще бъде засегнат.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Комисията смята също така, че всяко значително изменение на принципите на системата на ДДС следва да се решава на равнището на ЕС и в светлината на реформата на системата на ДДС, а не чрез самостоятелни национални решения.</w:t>
      </w:r>
    </w:p>
    <w:p>
      <w:pPr>
        <w:pStyle w:val="Heading1"/>
        <w:rPr>
          <w:noProof/>
        </w:rPr>
      </w:pPr>
      <w:r>
        <w:rPr>
          <w:noProof/>
        </w:rPr>
        <w:lastRenderedPageBreak/>
        <w:t>ЗАКЛЮЧЕНИЕ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горепосочените доводи Комисията възразява срещу отправеното от Република Австрия, Република България, Чешката република и Словашката република искане.</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4303"/>
      </w:tabs>
    </w:pPr>
    <w:r>
      <w:tab/>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Вж. в тази връзка COM(2015)214</w:t>
      </w:r>
    </w:p>
  </w:footnote>
  <w:footnote w:id="2">
    <w:p>
      <w:pPr>
        <w:pStyle w:val="FootnoteText"/>
        <w:rPr>
          <w:lang w:val="en-GB"/>
        </w:rPr>
      </w:pPr>
      <w:r>
        <w:rPr>
          <w:rStyle w:val="FootnoteReference"/>
        </w:rPr>
        <w:footnoteRef/>
      </w:r>
      <w:r>
        <w:t xml:space="preserve"> Вж. например решението по дело C-489/09, </w:t>
      </w:r>
      <w:r>
        <w:rPr>
          <w:i/>
        </w:rPr>
        <w:t>Vandoorne NV</w:t>
      </w:r>
      <w:r>
        <w:t>, параграф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A042343B1494D0B94EEB1E27AA43D0F"/>
    <w:docVar w:name="LW_CROSSREFERENCE" w:val="&lt;UNUSED&gt;"/>
    <w:docVar w:name="LW_DocType" w:val="NORMAL"/>
    <w:docVar w:name="LW_EMISSION" w:val="28.10.2015"/>
    <w:docVar w:name="LW_EMISSION_ISODATE" w:val="2015-10-28"/>
    <w:docVar w:name="LW_EMISSION_LOCATION" w:val="BRX"/>
    <w:docVar w:name="LW_EMISSION_PREFIX" w:val="Брюксел, "/>
    <w:docVar w:name="LW_EMISSION_SUFFIX" w:val=" \u1075?."/>
    <w:docVar w:name="LW_ID_DOCTYPE_NONLW" w:val="CP-010"/>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38"/>
    <w:docVar w:name="LW_REF.INTERNE" w:val="&lt;UNUSED&gt;"/>
    <w:docVar w:name="LW_SOUS.TITRE.OBJ.CP" w:val="&lt;UNUSED&gt;"/>
    <w:docVar w:name="LW_SUPERTITRE" w:val="&lt;UNUSED&gt;"/>
    <w:docVar w:name="LW_TITRE.OBJ.CP" w:val="\u1074? \u1089?\u1098?\u1086?\u1090?\u1074?\u1077?\u1090?\u1089?\u1090?\u1074?\u1080?\u1077? \u1089? \u1095?\u1083?\u1077?\u1085? 395 \u1086?\u1090? \u1044?\u1080?\u1088?\u1077?\u1082?\u1090?\u1080?\u1074?\u1072? 2006/112/\u1045?\u1054? \u1085?\u1072? \u1057?\u1098?\u1074?\u1077?\u1090?\u1072?"/>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customStyle="1" w:styleId="Heading1Char">
    <w:name w:val="Heading 1 Char"/>
    <w:link w:val="Heading1"/>
    <w:uiPriority w:val="9"/>
    <w:rPr>
      <w:rFonts w:ascii="Times New Roman" w:eastAsia="Times New Roman" w:hAnsi="Times New Roman"/>
      <w:b/>
      <w:bCs/>
      <w:smallCaps/>
      <w:sz w:val="24"/>
      <w:szCs w:val="28"/>
      <w:lang w:val="bg-BG" w:eastAsia="bg-BG"/>
    </w:rPr>
  </w:style>
  <w:style w:type="character" w:customStyle="1" w:styleId="Heading2Char">
    <w:name w:val="Heading 2 Char"/>
    <w:link w:val="Heading2"/>
    <w:uiPriority w:val="9"/>
    <w:semiHidden/>
    <w:rPr>
      <w:rFonts w:ascii="Times New Roman" w:eastAsia="Times New Roman" w:hAnsi="Times New Roman"/>
      <w:b/>
      <w:bCs/>
      <w:sz w:val="24"/>
      <w:szCs w:val="26"/>
      <w:lang w:val="bg-BG" w:eastAsia="bg-BG"/>
    </w:rPr>
  </w:style>
  <w:style w:type="character" w:customStyle="1" w:styleId="Heading3Char">
    <w:name w:val="Heading 3 Char"/>
    <w:link w:val="Heading3"/>
    <w:uiPriority w:val="9"/>
    <w:semiHidden/>
    <w:rPr>
      <w:rFonts w:ascii="Times New Roman" w:eastAsia="Times New Roman" w:hAnsi="Times New Roman"/>
      <w:bCs/>
      <w:i/>
      <w:sz w:val="24"/>
      <w:lang w:val="bg-BG" w:eastAsia="bg-BG"/>
    </w:rPr>
  </w:style>
  <w:style w:type="character" w:customStyle="1" w:styleId="Heading4Char">
    <w:name w:val="Heading 4 Char"/>
    <w:link w:val="Heading4"/>
    <w:uiPriority w:val="9"/>
    <w:semiHidden/>
    <w:rPr>
      <w:rFonts w:ascii="Times New Roman" w:eastAsia="Times New Roman" w:hAnsi="Times New Roman"/>
      <w:bCs/>
      <w:iCs/>
      <w:sz w:val="24"/>
      <w:lang w:val="bg-BG" w:eastAsia="bg-BG"/>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7EB5-A17A-4E46-851D-E37D1B07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851</Words>
  <Characters>4698</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16</cp:revision>
  <cp:lastPrinted>2015-06-25T08:37:00Z</cp:lastPrinted>
  <dcterms:created xsi:type="dcterms:W3CDTF">2015-10-07T08:00:00Z</dcterms:created>
  <dcterms:modified xsi:type="dcterms:W3CDTF">2015-10-23T06:44:00Z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