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08B" w:rsidRDefault="00D7421B" w:rsidP="00E21218">
      <w:pPr>
        <w:pStyle w:val="Pagedecouverture"/>
        <w:rPr>
          <w:noProof/>
          <w:lang w:eastAsia="de-DE"/>
        </w:rPr>
      </w:pPr>
      <w:bookmarkStart w:id="0" w:name="LW_BM_COVERPAGE"/>
      <w:bookmarkStart w:id="1" w:name="_GoBack"/>
      <w:bookmarkEnd w:id="1"/>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47C85D4D5C04B5A80665E4B19D5731E" style="width:450.35pt;height:434.05pt">
            <v:imagedata r:id="rId9" o:title=""/>
          </v:shape>
        </w:pict>
      </w:r>
    </w:p>
    <w:bookmarkEnd w:id="0"/>
    <w:p w:rsidR="00A4308B" w:rsidRDefault="00A4308B">
      <w:pPr>
        <w:rPr>
          <w:noProof/>
          <w:lang w:eastAsia="de-DE"/>
        </w:rPr>
        <w:sectPr w:rsidR="00A4308B" w:rsidSect="00E21218">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A4308B" w:rsidRDefault="00E21218">
      <w:pPr>
        <w:spacing w:after="600"/>
        <w:jc w:val="center"/>
        <w:outlineLvl w:val="0"/>
        <w:rPr>
          <w:rFonts w:ascii="Times New Roman" w:hAnsi="Times New Roman"/>
          <w:b/>
          <w:i/>
          <w:noProof/>
          <w:sz w:val="20"/>
          <w:szCs w:val="20"/>
          <w:highlight w:val="yellow"/>
          <w:u w:val="single"/>
          <w:lang w:eastAsia="de-DE"/>
        </w:rPr>
      </w:pPr>
      <w:r>
        <w:rPr>
          <w:rFonts w:ascii="Times New Roman" w:hAnsi="Times New Roman"/>
          <w:b/>
          <w:noProof/>
          <w:sz w:val="28"/>
          <w:szCs w:val="28"/>
          <w:u w:val="single"/>
          <w:lang w:eastAsia="de-DE"/>
        </w:rPr>
        <w:lastRenderedPageBreak/>
        <w:t>Annex I: New initiatives</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381"/>
        <w:gridCol w:w="3264"/>
        <w:gridCol w:w="1676"/>
        <w:gridCol w:w="8983"/>
      </w:tblGrid>
      <w:tr w:rsidR="00A4308B">
        <w:trPr>
          <w:cantSplit/>
          <w:tblHeader/>
        </w:trPr>
        <w:tc>
          <w:tcPr>
            <w:tcW w:w="133" w:type="pct"/>
            <w:tcBorders>
              <w:bottom w:val="single" w:sz="4" w:space="0" w:color="auto"/>
            </w:tcBorders>
            <w:shd w:val="clear" w:color="auto" w:fill="99CCFF"/>
            <w:vAlign w:val="center"/>
          </w:tcPr>
          <w:p w:rsidR="00A4308B" w:rsidRDefault="00E21218">
            <w:pPr>
              <w:spacing w:after="0"/>
              <w:jc w:val="center"/>
              <w:rPr>
                <w:rFonts w:ascii="Times New Roman" w:hAnsi="Times New Roman"/>
                <w:b/>
                <w:noProof/>
                <w:sz w:val="20"/>
                <w:szCs w:val="20"/>
              </w:rPr>
            </w:pPr>
            <w:r>
              <w:rPr>
                <w:rFonts w:ascii="Times New Roman" w:eastAsia="MS Mincho" w:hAnsi="Times New Roman"/>
                <w:b/>
                <w:bCs/>
                <w:noProof/>
                <w:sz w:val="20"/>
                <w:szCs w:val="20"/>
                <w:lang w:eastAsia="ja-JP"/>
              </w:rPr>
              <w:t>Nº</w:t>
            </w:r>
          </w:p>
        </w:tc>
        <w:tc>
          <w:tcPr>
            <w:tcW w:w="1141" w:type="pct"/>
            <w:tcBorders>
              <w:bottom w:val="single" w:sz="4" w:space="0" w:color="auto"/>
            </w:tcBorders>
            <w:shd w:val="clear" w:color="auto" w:fill="99CCFF"/>
            <w:vAlign w:val="center"/>
          </w:tcPr>
          <w:p w:rsidR="00A4308B" w:rsidRDefault="00E21218">
            <w:pPr>
              <w:spacing w:after="0"/>
              <w:jc w:val="center"/>
              <w:rPr>
                <w:rFonts w:ascii="Times New Roman" w:hAnsi="Times New Roman"/>
                <w:b/>
                <w:noProof/>
                <w:sz w:val="20"/>
                <w:szCs w:val="20"/>
              </w:rPr>
            </w:pPr>
            <w:r>
              <w:rPr>
                <w:rFonts w:ascii="Times New Roman" w:hAnsi="Times New Roman"/>
                <w:b/>
                <w:noProof/>
                <w:sz w:val="20"/>
                <w:szCs w:val="20"/>
              </w:rPr>
              <w:t>Title</w:t>
            </w:r>
          </w:p>
        </w:tc>
        <w:tc>
          <w:tcPr>
            <w:tcW w:w="586" w:type="pct"/>
            <w:tcBorders>
              <w:bottom w:val="single" w:sz="4" w:space="0" w:color="auto"/>
            </w:tcBorders>
            <w:shd w:val="clear" w:color="auto" w:fill="99CCFF"/>
            <w:vAlign w:val="center"/>
          </w:tcPr>
          <w:p w:rsidR="00A4308B" w:rsidRDefault="00E21218">
            <w:pPr>
              <w:spacing w:after="0"/>
              <w:jc w:val="center"/>
              <w:rPr>
                <w:rFonts w:ascii="Times New Roman" w:hAnsi="Times New Roman"/>
                <w:b/>
                <w:noProof/>
                <w:sz w:val="20"/>
                <w:szCs w:val="20"/>
              </w:rPr>
            </w:pPr>
            <w:r>
              <w:rPr>
                <w:rFonts w:ascii="Times New Roman" w:hAnsi="Times New Roman"/>
                <w:b/>
                <w:noProof/>
                <w:sz w:val="20"/>
                <w:szCs w:val="20"/>
              </w:rPr>
              <w:t>Type of initiative</w:t>
            </w:r>
          </w:p>
        </w:tc>
        <w:tc>
          <w:tcPr>
            <w:tcW w:w="3140" w:type="pct"/>
            <w:tcBorders>
              <w:bottom w:val="single" w:sz="4" w:space="0" w:color="auto"/>
            </w:tcBorders>
            <w:shd w:val="clear" w:color="auto" w:fill="99CCFF"/>
            <w:vAlign w:val="center"/>
          </w:tcPr>
          <w:p w:rsidR="00A4308B" w:rsidRDefault="00E21218">
            <w:pPr>
              <w:spacing w:after="0"/>
              <w:jc w:val="center"/>
              <w:rPr>
                <w:rFonts w:ascii="Times New Roman" w:hAnsi="Times New Roman"/>
                <w:b/>
                <w:noProof/>
                <w:sz w:val="20"/>
                <w:szCs w:val="20"/>
              </w:rPr>
            </w:pPr>
            <w:r>
              <w:rPr>
                <w:rFonts w:ascii="Times New Roman" w:hAnsi="Times New Roman"/>
                <w:b/>
                <w:noProof/>
                <w:sz w:val="20"/>
                <w:szCs w:val="20"/>
              </w:rPr>
              <w:t>Description of scope and objectives</w:t>
            </w:r>
          </w:p>
        </w:tc>
      </w:tr>
      <w:tr w:rsidR="00A4308B">
        <w:trPr>
          <w:cantSplit/>
        </w:trPr>
        <w:tc>
          <w:tcPr>
            <w:tcW w:w="5000" w:type="pct"/>
            <w:gridSpan w:val="4"/>
            <w:tcBorders>
              <w:top w:val="single" w:sz="4" w:space="0" w:color="auto"/>
              <w:left w:val="single" w:sz="4" w:space="0" w:color="auto"/>
              <w:bottom w:val="single" w:sz="4" w:space="0" w:color="auto"/>
            </w:tcBorders>
            <w:shd w:val="clear" w:color="auto" w:fill="F3F3F3"/>
          </w:tcPr>
          <w:p w:rsidR="00A4308B" w:rsidRDefault="00E21218">
            <w:pPr>
              <w:spacing w:after="0"/>
              <w:rPr>
                <w:rFonts w:ascii="Times New Roman" w:hAnsi="Times New Roman"/>
                <w:b/>
                <w:noProof/>
                <w:sz w:val="20"/>
                <w:szCs w:val="20"/>
              </w:rPr>
            </w:pPr>
            <w:r>
              <w:rPr>
                <w:rFonts w:ascii="Times New Roman" w:hAnsi="Times New Roman"/>
                <w:b/>
                <w:noProof/>
                <w:sz w:val="20"/>
                <w:szCs w:val="20"/>
              </w:rPr>
              <w:t>A New Boost for Jobs, Growth and Investment</w:t>
            </w:r>
          </w:p>
        </w:tc>
      </w:tr>
      <w:tr w:rsidR="00A4308B">
        <w:trPr>
          <w:cantSplit/>
        </w:trPr>
        <w:tc>
          <w:tcPr>
            <w:tcW w:w="133" w:type="pct"/>
            <w:tcBorders>
              <w:top w:val="single" w:sz="4" w:space="0" w:color="auto"/>
              <w:left w:val="single" w:sz="4" w:space="0" w:color="auto"/>
              <w:bottom w:val="single" w:sz="4" w:space="0" w:color="auto"/>
              <w:right w:val="single" w:sz="4" w:space="0" w:color="auto"/>
            </w:tcBorders>
            <w:shd w:val="clear" w:color="auto" w:fill="auto"/>
          </w:tcPr>
          <w:p w:rsidR="00A4308B" w:rsidRDefault="00A4308B">
            <w:pPr>
              <w:numPr>
                <w:ilvl w:val="0"/>
                <w:numId w:val="1"/>
              </w:numPr>
              <w:spacing w:after="0" w:line="240" w:lineRule="auto"/>
              <w:rPr>
                <w:rFonts w:ascii="Times New Roman" w:hAnsi="Times New Roman"/>
                <w:noProof/>
                <w:color w:val="000000"/>
                <w:sz w:val="20"/>
                <w:szCs w:val="20"/>
              </w:rPr>
            </w:pPr>
          </w:p>
        </w:tc>
        <w:tc>
          <w:tcPr>
            <w:tcW w:w="1141" w:type="pct"/>
            <w:tcBorders>
              <w:top w:val="single" w:sz="4" w:space="0" w:color="auto"/>
              <w:left w:val="single" w:sz="4" w:space="0" w:color="auto"/>
              <w:bottom w:val="single" w:sz="4" w:space="0" w:color="auto"/>
              <w:right w:val="single" w:sz="4" w:space="0" w:color="auto"/>
            </w:tcBorders>
          </w:tcPr>
          <w:p w:rsidR="00A4308B" w:rsidRDefault="00E21218">
            <w:pPr>
              <w:spacing w:after="0"/>
              <w:rPr>
                <w:rFonts w:ascii="Times New Roman" w:hAnsi="Times New Roman"/>
                <w:noProof/>
                <w:sz w:val="20"/>
                <w:szCs w:val="20"/>
              </w:rPr>
            </w:pPr>
            <w:r>
              <w:rPr>
                <w:rFonts w:ascii="Times New Roman" w:hAnsi="Times New Roman"/>
                <w:noProof/>
                <w:sz w:val="20"/>
                <w:szCs w:val="20"/>
              </w:rPr>
              <w:t>New Skills Agenda for Europe</w:t>
            </w:r>
          </w:p>
        </w:tc>
        <w:tc>
          <w:tcPr>
            <w:tcW w:w="586" w:type="pct"/>
            <w:tcBorders>
              <w:top w:val="single" w:sz="4" w:space="0" w:color="auto"/>
              <w:left w:val="single" w:sz="4" w:space="0" w:color="auto"/>
              <w:bottom w:val="single" w:sz="4" w:space="0" w:color="auto"/>
              <w:right w:val="single" w:sz="4" w:space="0" w:color="auto"/>
            </w:tcBorders>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Legislative / Non-legislative</w:t>
            </w:r>
          </w:p>
        </w:tc>
        <w:tc>
          <w:tcPr>
            <w:tcW w:w="3140" w:type="pct"/>
            <w:tcBorders>
              <w:top w:val="single" w:sz="4" w:space="0" w:color="auto"/>
              <w:left w:val="single" w:sz="4" w:space="0" w:color="auto"/>
              <w:bottom w:val="single" w:sz="4" w:space="0" w:color="auto"/>
            </w:tcBorders>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 xml:space="preserve">The Agenda aims at promoting skills development, including the mutual recognition of qualifications, supporting vocational training and higher education and reaping the full potential of digital jobs. </w:t>
            </w:r>
          </w:p>
        </w:tc>
      </w:tr>
      <w:tr w:rsidR="00A4308B">
        <w:trPr>
          <w:cantSplit/>
        </w:trPr>
        <w:tc>
          <w:tcPr>
            <w:tcW w:w="133" w:type="pct"/>
            <w:tcBorders>
              <w:top w:val="single" w:sz="4" w:space="0" w:color="auto"/>
              <w:left w:val="single" w:sz="4" w:space="0" w:color="auto"/>
              <w:bottom w:val="single" w:sz="4" w:space="0" w:color="auto"/>
              <w:right w:val="single" w:sz="4" w:space="0" w:color="auto"/>
            </w:tcBorders>
            <w:shd w:val="clear" w:color="auto" w:fill="auto"/>
          </w:tcPr>
          <w:p w:rsidR="00A4308B" w:rsidRDefault="00A4308B">
            <w:pPr>
              <w:numPr>
                <w:ilvl w:val="0"/>
                <w:numId w:val="1"/>
              </w:numPr>
              <w:spacing w:after="0" w:line="240" w:lineRule="auto"/>
              <w:rPr>
                <w:rFonts w:ascii="Times New Roman" w:hAnsi="Times New Roman"/>
                <w:noProof/>
                <w:color w:val="000000"/>
                <w:sz w:val="20"/>
                <w:szCs w:val="20"/>
              </w:rPr>
            </w:pPr>
          </w:p>
        </w:tc>
        <w:tc>
          <w:tcPr>
            <w:tcW w:w="1141" w:type="pct"/>
            <w:tcBorders>
              <w:top w:val="single" w:sz="4" w:space="0" w:color="auto"/>
              <w:left w:val="single" w:sz="4" w:space="0" w:color="auto"/>
              <w:bottom w:val="single" w:sz="4" w:space="0" w:color="auto"/>
              <w:right w:val="single" w:sz="4" w:space="0" w:color="auto"/>
            </w:tcBorders>
          </w:tcPr>
          <w:p w:rsidR="00A4308B" w:rsidRDefault="00E21218">
            <w:pPr>
              <w:spacing w:after="0"/>
              <w:rPr>
                <w:rFonts w:ascii="Times New Roman" w:hAnsi="Times New Roman"/>
                <w:noProof/>
                <w:sz w:val="20"/>
                <w:szCs w:val="20"/>
              </w:rPr>
            </w:pPr>
            <w:r>
              <w:rPr>
                <w:rFonts w:ascii="Times New Roman" w:hAnsi="Times New Roman"/>
                <w:noProof/>
                <w:sz w:val="20"/>
                <w:szCs w:val="20"/>
              </w:rPr>
              <w:t>New start for working parents</w:t>
            </w:r>
          </w:p>
        </w:tc>
        <w:tc>
          <w:tcPr>
            <w:tcW w:w="586" w:type="pct"/>
            <w:tcBorders>
              <w:top w:val="single" w:sz="4" w:space="0" w:color="auto"/>
              <w:left w:val="single" w:sz="4" w:space="0" w:color="auto"/>
              <w:bottom w:val="single" w:sz="4" w:space="0" w:color="auto"/>
              <w:right w:val="single" w:sz="4" w:space="0" w:color="auto"/>
            </w:tcBorders>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Legislative / Non-legislative</w:t>
            </w:r>
          </w:p>
        </w:tc>
        <w:tc>
          <w:tcPr>
            <w:tcW w:w="3140" w:type="pct"/>
            <w:tcBorders>
              <w:top w:val="single" w:sz="4" w:space="0" w:color="auto"/>
              <w:left w:val="single" w:sz="4" w:space="0" w:color="auto"/>
              <w:bottom w:val="single" w:sz="4" w:space="0" w:color="auto"/>
            </w:tcBorders>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A set of legislative and non-legislative measures to better address the challenges of work-life balance faced by working parents and support the participation of women in the labour market.</w:t>
            </w:r>
          </w:p>
        </w:tc>
      </w:tr>
      <w:tr w:rsidR="00A4308B">
        <w:trPr>
          <w:cantSplit/>
        </w:trPr>
        <w:tc>
          <w:tcPr>
            <w:tcW w:w="133" w:type="pct"/>
            <w:tcBorders>
              <w:top w:val="single" w:sz="4" w:space="0" w:color="auto"/>
              <w:left w:val="single" w:sz="4" w:space="0" w:color="auto"/>
              <w:bottom w:val="single" w:sz="4" w:space="0" w:color="auto"/>
              <w:right w:val="single" w:sz="4" w:space="0" w:color="auto"/>
            </w:tcBorders>
            <w:shd w:val="clear" w:color="auto" w:fill="auto"/>
          </w:tcPr>
          <w:p w:rsidR="00A4308B" w:rsidRDefault="00A4308B">
            <w:pPr>
              <w:numPr>
                <w:ilvl w:val="0"/>
                <w:numId w:val="1"/>
              </w:numPr>
              <w:spacing w:after="0" w:line="240" w:lineRule="auto"/>
              <w:rPr>
                <w:rFonts w:ascii="Times New Roman" w:hAnsi="Times New Roman"/>
                <w:noProof/>
                <w:color w:val="000000"/>
                <w:sz w:val="20"/>
                <w:szCs w:val="20"/>
              </w:rPr>
            </w:pPr>
          </w:p>
        </w:tc>
        <w:tc>
          <w:tcPr>
            <w:tcW w:w="1141" w:type="pct"/>
            <w:tcBorders>
              <w:top w:val="single" w:sz="4" w:space="0" w:color="auto"/>
              <w:left w:val="single" w:sz="4" w:space="0" w:color="auto"/>
              <w:bottom w:val="single" w:sz="4" w:space="0" w:color="auto"/>
              <w:right w:val="single" w:sz="4" w:space="0" w:color="auto"/>
            </w:tcBorders>
          </w:tcPr>
          <w:p w:rsidR="00A4308B" w:rsidRDefault="00E21218">
            <w:pPr>
              <w:spacing w:after="0"/>
              <w:rPr>
                <w:rFonts w:ascii="Times New Roman" w:hAnsi="Times New Roman"/>
                <w:noProof/>
                <w:sz w:val="20"/>
                <w:szCs w:val="20"/>
              </w:rPr>
            </w:pPr>
            <w:r>
              <w:rPr>
                <w:rFonts w:ascii="Times New Roman" w:hAnsi="Times New Roman"/>
                <w:noProof/>
                <w:sz w:val="20"/>
                <w:szCs w:val="20"/>
              </w:rPr>
              <w:t>Circular Economy Package</w:t>
            </w:r>
          </w:p>
        </w:tc>
        <w:tc>
          <w:tcPr>
            <w:tcW w:w="586" w:type="pct"/>
            <w:tcBorders>
              <w:top w:val="single" w:sz="4" w:space="0" w:color="auto"/>
              <w:left w:val="single" w:sz="4" w:space="0" w:color="auto"/>
              <w:bottom w:val="single" w:sz="4" w:space="0" w:color="auto"/>
              <w:right w:val="single" w:sz="4" w:space="0" w:color="auto"/>
            </w:tcBorders>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Legislative / Non-legislative</w:t>
            </w:r>
          </w:p>
        </w:tc>
        <w:tc>
          <w:tcPr>
            <w:tcW w:w="3140" w:type="pct"/>
            <w:tcBorders>
              <w:top w:val="single" w:sz="4" w:space="0" w:color="auto"/>
              <w:left w:val="single" w:sz="4" w:space="0" w:color="auto"/>
              <w:bottom w:val="single" w:sz="4" w:space="0" w:color="auto"/>
            </w:tcBorders>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 xml:space="preserve">The aim is to address economic and environmental concerns by maximizing efficiency in the use of resources, covering the whole value chain (including sustainable consumption, production, waste management) and through innovation, thereby enabling the development of new markets and business models. The package will consist of a broad action plan, including actions on monitoring effective progress, and a waste proposal with long-term targets. </w:t>
            </w:r>
          </w:p>
        </w:tc>
      </w:tr>
      <w:tr w:rsidR="00A4308B">
        <w:trPr>
          <w:cantSplit/>
        </w:trPr>
        <w:tc>
          <w:tcPr>
            <w:tcW w:w="133" w:type="pct"/>
            <w:tcBorders>
              <w:top w:val="single" w:sz="4" w:space="0" w:color="auto"/>
              <w:left w:val="single" w:sz="4" w:space="0" w:color="auto"/>
              <w:bottom w:val="single" w:sz="4" w:space="0" w:color="auto"/>
              <w:right w:val="single" w:sz="4" w:space="0" w:color="auto"/>
            </w:tcBorders>
            <w:shd w:val="clear" w:color="auto" w:fill="auto"/>
          </w:tcPr>
          <w:p w:rsidR="00A4308B" w:rsidRDefault="00A4308B">
            <w:pPr>
              <w:numPr>
                <w:ilvl w:val="0"/>
                <w:numId w:val="1"/>
              </w:numPr>
              <w:spacing w:after="0" w:line="240" w:lineRule="auto"/>
              <w:rPr>
                <w:rFonts w:ascii="Times New Roman" w:hAnsi="Times New Roman"/>
                <w:noProof/>
                <w:color w:val="000000"/>
                <w:sz w:val="20"/>
                <w:szCs w:val="20"/>
              </w:rPr>
            </w:pPr>
          </w:p>
        </w:tc>
        <w:tc>
          <w:tcPr>
            <w:tcW w:w="1141" w:type="pct"/>
            <w:tcBorders>
              <w:top w:val="single" w:sz="4" w:space="0" w:color="auto"/>
              <w:left w:val="single" w:sz="4" w:space="0" w:color="auto"/>
              <w:bottom w:val="single" w:sz="4" w:space="0" w:color="auto"/>
              <w:right w:val="single" w:sz="4" w:space="0" w:color="auto"/>
            </w:tcBorders>
          </w:tcPr>
          <w:p w:rsidR="00A4308B" w:rsidRDefault="00E21218">
            <w:pPr>
              <w:spacing w:after="0"/>
              <w:rPr>
                <w:rFonts w:ascii="Times New Roman" w:hAnsi="Times New Roman"/>
                <w:noProof/>
                <w:sz w:val="20"/>
                <w:szCs w:val="20"/>
              </w:rPr>
            </w:pPr>
            <w:r>
              <w:rPr>
                <w:rFonts w:ascii="Times New Roman" w:hAnsi="Times New Roman"/>
                <w:noProof/>
                <w:sz w:val="20"/>
                <w:szCs w:val="20"/>
              </w:rPr>
              <w:t>Review of the Multiannual Financial Framework (MFF) 2014-2020</w:t>
            </w:r>
          </w:p>
        </w:tc>
        <w:tc>
          <w:tcPr>
            <w:tcW w:w="586" w:type="pct"/>
            <w:tcBorders>
              <w:top w:val="single" w:sz="4" w:space="0" w:color="auto"/>
              <w:left w:val="single" w:sz="4" w:space="0" w:color="auto"/>
              <w:bottom w:val="single" w:sz="4" w:space="0" w:color="auto"/>
              <w:right w:val="single" w:sz="4" w:space="0" w:color="auto"/>
            </w:tcBorders>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Legislative / Non-legislative</w:t>
            </w:r>
          </w:p>
        </w:tc>
        <w:tc>
          <w:tcPr>
            <w:tcW w:w="3140" w:type="pct"/>
            <w:tcBorders>
              <w:top w:val="single" w:sz="4" w:space="0" w:color="auto"/>
              <w:left w:val="single" w:sz="4" w:space="0" w:color="auto"/>
              <w:bottom w:val="single" w:sz="4" w:space="0" w:color="auto"/>
            </w:tcBorders>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The mid-term review of the MFF will address how better to target funding on the priorities the EU faces. The review will also look for ways to further orientate the EU budget towards results and simplify the applicable rules (REFIT) e.g. for the European Structural and Investment Funds (ESIF) and the Common Agricultural Policy (CAP), and will explore the scope for further simplification under Horizon 2020 funding.</w:t>
            </w:r>
            <w:r>
              <w:rPr>
                <w:rFonts w:ascii="Times New Roman" w:hAnsi="Times New Roman"/>
                <w:i/>
                <w:noProof/>
                <w:sz w:val="20"/>
                <w:szCs w:val="20"/>
              </w:rPr>
              <w:t xml:space="preserve"> </w:t>
            </w:r>
          </w:p>
        </w:tc>
      </w:tr>
      <w:tr w:rsidR="00A4308B">
        <w:trPr>
          <w:cantSplit/>
        </w:trPr>
        <w:tc>
          <w:tcPr>
            <w:tcW w:w="133" w:type="pct"/>
            <w:tcBorders>
              <w:top w:val="single" w:sz="4" w:space="0" w:color="auto"/>
              <w:left w:val="single" w:sz="4" w:space="0" w:color="auto"/>
              <w:bottom w:val="single" w:sz="4" w:space="0" w:color="auto"/>
              <w:right w:val="single" w:sz="4" w:space="0" w:color="auto"/>
            </w:tcBorders>
            <w:shd w:val="clear" w:color="auto" w:fill="auto"/>
          </w:tcPr>
          <w:p w:rsidR="00A4308B" w:rsidRDefault="00A4308B">
            <w:pPr>
              <w:numPr>
                <w:ilvl w:val="0"/>
                <w:numId w:val="1"/>
              </w:numPr>
              <w:spacing w:after="0" w:line="240" w:lineRule="auto"/>
              <w:rPr>
                <w:rFonts w:ascii="Times New Roman" w:hAnsi="Times New Roman"/>
                <w:noProof/>
                <w:color w:val="000000"/>
                <w:sz w:val="20"/>
                <w:szCs w:val="20"/>
              </w:rPr>
            </w:pPr>
          </w:p>
        </w:tc>
        <w:tc>
          <w:tcPr>
            <w:tcW w:w="1141" w:type="pct"/>
            <w:tcBorders>
              <w:top w:val="single" w:sz="4" w:space="0" w:color="auto"/>
              <w:left w:val="single" w:sz="4" w:space="0" w:color="auto"/>
              <w:bottom w:val="single" w:sz="4" w:space="0" w:color="auto"/>
              <w:right w:val="single" w:sz="4" w:space="0" w:color="auto"/>
            </w:tcBorders>
          </w:tcPr>
          <w:p w:rsidR="00A4308B" w:rsidRDefault="00E21218">
            <w:pPr>
              <w:spacing w:after="0"/>
              <w:rPr>
                <w:rFonts w:ascii="Times New Roman" w:hAnsi="Times New Roman"/>
                <w:noProof/>
                <w:sz w:val="20"/>
                <w:szCs w:val="20"/>
              </w:rPr>
            </w:pPr>
            <w:r>
              <w:rPr>
                <w:rFonts w:ascii="Times New Roman" w:hAnsi="Times New Roman"/>
                <w:noProof/>
                <w:sz w:val="20"/>
                <w:szCs w:val="20"/>
              </w:rPr>
              <w:t>Next steps for a sustainable European future</w:t>
            </w:r>
          </w:p>
        </w:tc>
        <w:tc>
          <w:tcPr>
            <w:tcW w:w="586" w:type="pct"/>
            <w:tcBorders>
              <w:top w:val="single" w:sz="4" w:space="0" w:color="auto"/>
              <w:left w:val="single" w:sz="4" w:space="0" w:color="auto"/>
              <w:bottom w:val="single" w:sz="4" w:space="0" w:color="auto"/>
              <w:right w:val="single" w:sz="4" w:space="0" w:color="auto"/>
            </w:tcBorders>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Non-legislative</w:t>
            </w:r>
          </w:p>
        </w:tc>
        <w:tc>
          <w:tcPr>
            <w:tcW w:w="3140" w:type="pct"/>
            <w:tcBorders>
              <w:top w:val="single" w:sz="4" w:space="0" w:color="auto"/>
              <w:left w:val="single" w:sz="4" w:space="0" w:color="auto"/>
              <w:bottom w:val="single" w:sz="4" w:space="0" w:color="auto"/>
            </w:tcBorders>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This initiative will set out a new approach to ensure Europe's economic growth and social and environmental sustainability beyond the 2020 timeframe, taking into account the Europe 2020 review and the internal and external implementation of the United Nations Sustainable Development Goals.</w:t>
            </w:r>
          </w:p>
        </w:tc>
      </w:tr>
      <w:tr w:rsidR="00A4308B">
        <w:trPr>
          <w:cantSplit/>
        </w:trPr>
        <w:tc>
          <w:tcPr>
            <w:tcW w:w="5000" w:type="pct"/>
            <w:gridSpan w:val="4"/>
            <w:shd w:val="clear" w:color="auto" w:fill="F3F3F3"/>
          </w:tcPr>
          <w:p w:rsidR="00A4308B" w:rsidRDefault="00E21218">
            <w:pPr>
              <w:keepNext/>
              <w:spacing w:after="0"/>
              <w:rPr>
                <w:rFonts w:ascii="Times New Roman" w:hAnsi="Times New Roman"/>
                <w:b/>
                <w:noProof/>
                <w:sz w:val="20"/>
                <w:szCs w:val="20"/>
              </w:rPr>
            </w:pPr>
            <w:r>
              <w:rPr>
                <w:rFonts w:ascii="Times New Roman" w:hAnsi="Times New Roman"/>
                <w:b/>
                <w:noProof/>
                <w:sz w:val="20"/>
                <w:szCs w:val="20"/>
              </w:rPr>
              <w:lastRenderedPageBreak/>
              <w:t>A Connected Digital Single Market</w:t>
            </w:r>
          </w:p>
        </w:tc>
      </w:tr>
      <w:tr w:rsidR="00A4308B">
        <w:trPr>
          <w:cantSplit/>
        </w:trPr>
        <w:tc>
          <w:tcPr>
            <w:tcW w:w="133" w:type="pct"/>
            <w:shd w:val="clear" w:color="auto" w:fill="auto"/>
          </w:tcPr>
          <w:p w:rsidR="00A4308B" w:rsidRDefault="00A4308B">
            <w:pPr>
              <w:numPr>
                <w:ilvl w:val="0"/>
                <w:numId w:val="1"/>
              </w:numPr>
              <w:spacing w:after="0" w:line="240" w:lineRule="auto"/>
              <w:rPr>
                <w:rFonts w:ascii="Times New Roman" w:hAnsi="Times New Roman"/>
                <w:noProof/>
                <w:color w:val="000000"/>
                <w:sz w:val="20"/>
                <w:szCs w:val="20"/>
              </w:rPr>
            </w:pPr>
          </w:p>
        </w:tc>
        <w:tc>
          <w:tcPr>
            <w:tcW w:w="1141" w:type="pct"/>
          </w:tcPr>
          <w:p w:rsidR="00A4308B" w:rsidRDefault="00E21218">
            <w:pPr>
              <w:spacing w:after="0"/>
              <w:rPr>
                <w:rFonts w:ascii="Times New Roman" w:hAnsi="Times New Roman"/>
                <w:noProof/>
                <w:sz w:val="20"/>
                <w:szCs w:val="20"/>
              </w:rPr>
            </w:pPr>
            <w:r>
              <w:rPr>
                <w:rFonts w:ascii="Times New Roman" w:hAnsi="Times New Roman"/>
                <w:noProof/>
                <w:sz w:val="20"/>
                <w:szCs w:val="20"/>
              </w:rPr>
              <w:t>Implementation of the Digital Single Market Strategy</w:t>
            </w:r>
          </w:p>
        </w:tc>
        <w:tc>
          <w:tcPr>
            <w:tcW w:w="586" w:type="pct"/>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Legislative / Non-legislative</w:t>
            </w:r>
          </w:p>
        </w:tc>
        <w:tc>
          <w:tcPr>
            <w:tcW w:w="3140" w:type="pct"/>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 xml:space="preserve">The Digital Single Market Strategy outlined in May 2015 will be taken forward with three sets of actions: 1) a Communication on copyright and legislative proposal on portability, followed by legislative proposals on copyright and the review of the satellite and cable directive (REFIT), legislative proposals on digital contract rights, geo-blocking, and VAT for electronic commerce (REFIT), and the review of the Regulation on consumer protection cooperation (REFIT); 2) reviews of the telecoms regulatory framework (REFIT) and the audiovisual and media services Directive (REFIT), and 3) a legislative proposal on the free flow of data.  </w:t>
            </w:r>
          </w:p>
        </w:tc>
      </w:tr>
      <w:tr w:rsidR="00A4308B">
        <w:trPr>
          <w:cantSplit/>
        </w:trPr>
        <w:tc>
          <w:tcPr>
            <w:tcW w:w="5000" w:type="pct"/>
            <w:gridSpan w:val="4"/>
            <w:shd w:val="clear" w:color="auto" w:fill="F3F3F3"/>
          </w:tcPr>
          <w:p w:rsidR="00A4308B" w:rsidRDefault="00E21218">
            <w:pPr>
              <w:keepNext/>
              <w:spacing w:after="0"/>
              <w:rPr>
                <w:rFonts w:ascii="Times New Roman" w:hAnsi="Times New Roman"/>
                <w:b/>
                <w:noProof/>
                <w:sz w:val="20"/>
                <w:szCs w:val="20"/>
              </w:rPr>
            </w:pPr>
            <w:r>
              <w:rPr>
                <w:rFonts w:ascii="Times New Roman" w:hAnsi="Times New Roman"/>
                <w:b/>
                <w:noProof/>
                <w:sz w:val="20"/>
                <w:szCs w:val="20"/>
              </w:rPr>
              <w:t>A Resilient Energy Union with a Forward-Looking Climate Change Policy</w:t>
            </w:r>
          </w:p>
        </w:tc>
      </w:tr>
      <w:tr w:rsidR="00A4308B">
        <w:trPr>
          <w:cantSplit/>
        </w:trPr>
        <w:tc>
          <w:tcPr>
            <w:tcW w:w="133" w:type="pct"/>
            <w:shd w:val="clear" w:color="auto" w:fill="auto"/>
          </w:tcPr>
          <w:p w:rsidR="00A4308B" w:rsidRDefault="00A4308B">
            <w:pPr>
              <w:numPr>
                <w:ilvl w:val="0"/>
                <w:numId w:val="1"/>
              </w:numPr>
              <w:spacing w:after="0" w:line="240" w:lineRule="auto"/>
              <w:rPr>
                <w:rFonts w:ascii="Times New Roman" w:hAnsi="Times New Roman"/>
                <w:noProof/>
                <w:color w:val="000000"/>
                <w:sz w:val="20"/>
                <w:szCs w:val="20"/>
              </w:rPr>
            </w:pPr>
          </w:p>
        </w:tc>
        <w:tc>
          <w:tcPr>
            <w:tcW w:w="1141" w:type="pct"/>
          </w:tcPr>
          <w:p w:rsidR="00A4308B" w:rsidRDefault="00E21218">
            <w:pPr>
              <w:spacing w:after="0"/>
              <w:rPr>
                <w:rFonts w:ascii="Times New Roman" w:hAnsi="Times New Roman"/>
                <w:noProof/>
                <w:sz w:val="20"/>
                <w:szCs w:val="20"/>
              </w:rPr>
            </w:pPr>
            <w:r>
              <w:rPr>
                <w:rFonts w:ascii="Times New Roman" w:hAnsi="Times New Roman"/>
                <w:noProof/>
                <w:sz w:val="20"/>
                <w:szCs w:val="20"/>
              </w:rPr>
              <w:t>Energy Union Package</w:t>
            </w:r>
          </w:p>
        </w:tc>
        <w:tc>
          <w:tcPr>
            <w:tcW w:w="586" w:type="pct"/>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Legislative / Non-legislative</w:t>
            </w:r>
          </w:p>
        </w:tc>
        <w:tc>
          <w:tcPr>
            <w:tcW w:w="3140" w:type="pct"/>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 xml:space="preserve">Following up on the Framework Strategy, the Package is composed of: legislative proposals on electricity market design and the regulatory framework, including the review of the Agency for the Cooperation of Energy Regulators (ACER), and the revision of the Regulation on security of electricity supply; the revision of the Regulation on security of gas supply and the revision of the Decision on inter-governmental agreements; the effort sharing decision and integration of the Land Use, Land-Use Change and Forestry sector (LULUCF) into the 2030 climate framework; a renewable energy package (REFIT), including sustainability criteria for biomass, and an energy efficiency package, including energy efficiency for buildings (REFIT). </w:t>
            </w:r>
          </w:p>
        </w:tc>
      </w:tr>
      <w:tr w:rsidR="00A4308B">
        <w:trPr>
          <w:cantSplit/>
        </w:trPr>
        <w:tc>
          <w:tcPr>
            <w:tcW w:w="5000" w:type="pct"/>
            <w:gridSpan w:val="4"/>
            <w:shd w:val="clear" w:color="auto" w:fill="F3F3F3"/>
          </w:tcPr>
          <w:p w:rsidR="00A4308B" w:rsidRDefault="00E21218">
            <w:pPr>
              <w:spacing w:after="0"/>
              <w:rPr>
                <w:rFonts w:ascii="Times New Roman" w:hAnsi="Times New Roman"/>
                <w:b/>
                <w:noProof/>
                <w:sz w:val="20"/>
                <w:szCs w:val="20"/>
              </w:rPr>
            </w:pPr>
            <w:r>
              <w:rPr>
                <w:rFonts w:ascii="Times New Roman" w:hAnsi="Times New Roman"/>
                <w:b/>
                <w:noProof/>
                <w:sz w:val="20"/>
                <w:szCs w:val="20"/>
              </w:rPr>
              <w:t>A Deeper and Fairer Internal Market with a Strengthened Industrial Base</w:t>
            </w:r>
          </w:p>
        </w:tc>
      </w:tr>
      <w:tr w:rsidR="00A4308B">
        <w:trPr>
          <w:cantSplit/>
        </w:trPr>
        <w:tc>
          <w:tcPr>
            <w:tcW w:w="133" w:type="pct"/>
            <w:shd w:val="clear" w:color="auto" w:fill="auto"/>
          </w:tcPr>
          <w:p w:rsidR="00A4308B" w:rsidRDefault="00A4308B">
            <w:pPr>
              <w:numPr>
                <w:ilvl w:val="0"/>
                <w:numId w:val="1"/>
              </w:numPr>
              <w:spacing w:after="0" w:line="240" w:lineRule="auto"/>
              <w:rPr>
                <w:rFonts w:ascii="Times New Roman" w:hAnsi="Times New Roman"/>
                <w:noProof/>
                <w:color w:val="000000"/>
                <w:sz w:val="20"/>
                <w:szCs w:val="20"/>
              </w:rPr>
            </w:pPr>
          </w:p>
        </w:tc>
        <w:tc>
          <w:tcPr>
            <w:tcW w:w="1141" w:type="pct"/>
          </w:tcPr>
          <w:p w:rsidR="00A4308B" w:rsidRDefault="00E21218">
            <w:pPr>
              <w:spacing w:after="0"/>
              <w:rPr>
                <w:rFonts w:ascii="Times New Roman" w:hAnsi="Times New Roman"/>
                <w:noProof/>
                <w:sz w:val="20"/>
                <w:szCs w:val="20"/>
              </w:rPr>
            </w:pPr>
            <w:r>
              <w:rPr>
                <w:rFonts w:ascii="Times New Roman" w:hAnsi="Times New Roman"/>
                <w:noProof/>
                <w:sz w:val="20"/>
                <w:szCs w:val="20"/>
              </w:rPr>
              <w:t>Labour Mobility Package</w:t>
            </w:r>
          </w:p>
        </w:tc>
        <w:tc>
          <w:tcPr>
            <w:tcW w:w="586" w:type="pct"/>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Legislative / Non-legislative</w:t>
            </w:r>
          </w:p>
        </w:tc>
        <w:tc>
          <w:tcPr>
            <w:tcW w:w="3140" w:type="pct"/>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 xml:space="preserve">This initiative consists of a Communication on labour mobility, a targeted revision of the Directive on the posting of workers, and the revision of Regulations on social security coordination. </w:t>
            </w:r>
          </w:p>
        </w:tc>
      </w:tr>
      <w:tr w:rsidR="00A4308B">
        <w:trPr>
          <w:cantSplit/>
        </w:trPr>
        <w:tc>
          <w:tcPr>
            <w:tcW w:w="133" w:type="pct"/>
            <w:shd w:val="clear" w:color="auto" w:fill="auto"/>
          </w:tcPr>
          <w:p w:rsidR="00A4308B" w:rsidRDefault="00A4308B">
            <w:pPr>
              <w:numPr>
                <w:ilvl w:val="0"/>
                <w:numId w:val="1"/>
              </w:numPr>
              <w:spacing w:after="0" w:line="240" w:lineRule="auto"/>
              <w:rPr>
                <w:rFonts w:ascii="Times New Roman" w:hAnsi="Times New Roman"/>
                <w:noProof/>
                <w:color w:val="000000"/>
                <w:sz w:val="20"/>
                <w:szCs w:val="20"/>
              </w:rPr>
            </w:pPr>
          </w:p>
        </w:tc>
        <w:tc>
          <w:tcPr>
            <w:tcW w:w="1141" w:type="pct"/>
          </w:tcPr>
          <w:p w:rsidR="00A4308B" w:rsidRDefault="00E21218">
            <w:pPr>
              <w:spacing w:after="0"/>
              <w:rPr>
                <w:rFonts w:ascii="Times New Roman" w:hAnsi="Times New Roman"/>
                <w:noProof/>
                <w:sz w:val="20"/>
                <w:szCs w:val="20"/>
              </w:rPr>
            </w:pPr>
            <w:r>
              <w:rPr>
                <w:rFonts w:ascii="Times New Roman" w:hAnsi="Times New Roman"/>
                <w:noProof/>
                <w:sz w:val="20"/>
                <w:szCs w:val="20"/>
              </w:rPr>
              <w:t>Follow-up to Single Market Strategy</w:t>
            </w:r>
          </w:p>
        </w:tc>
        <w:tc>
          <w:tcPr>
            <w:tcW w:w="586" w:type="pct"/>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Legislative / Non-legislative</w:t>
            </w:r>
          </w:p>
        </w:tc>
        <w:tc>
          <w:tcPr>
            <w:tcW w:w="3140" w:type="pct"/>
          </w:tcPr>
          <w:p w:rsidR="00A4308B" w:rsidRDefault="00E21218">
            <w:pPr>
              <w:spacing w:after="0"/>
              <w:jc w:val="both"/>
              <w:rPr>
                <w:rFonts w:ascii="Times New Roman" w:hAnsi="Times New Roman"/>
                <w:i/>
                <w:noProof/>
                <w:sz w:val="20"/>
                <w:szCs w:val="20"/>
              </w:rPr>
            </w:pPr>
            <w:r>
              <w:rPr>
                <w:rFonts w:ascii="Times New Roman" w:hAnsi="Times New Roman"/>
                <w:noProof/>
                <w:sz w:val="20"/>
                <w:szCs w:val="20"/>
              </w:rPr>
              <w:t>The Single Market Strategy will be taken forward through guidance on how EU law applies to collaborative economy business models; action to help SMEs and start-ups grow; initiatives on the regulation of professions; a legislative initiative framing a new approach to business failure and insolvency; legislative initiatives to facilitate cross-border provision of services, tackle regulatory barriers in key business services and construction services, and address discrimination based on nationality or place of residence; review of the EU intellectual property enforcement framework (REFIT); action on standardisation including service standards; proposals for market information tools and an improved notification procedure under the Services Directive; and an action plan to increase awareness of the mutual recognition principles in the goods sector.</w:t>
            </w:r>
          </w:p>
        </w:tc>
      </w:tr>
      <w:tr w:rsidR="00A4308B">
        <w:trPr>
          <w:cantSplit/>
        </w:trPr>
        <w:tc>
          <w:tcPr>
            <w:tcW w:w="133" w:type="pct"/>
            <w:shd w:val="clear" w:color="auto" w:fill="auto"/>
          </w:tcPr>
          <w:p w:rsidR="00A4308B" w:rsidRDefault="00A4308B">
            <w:pPr>
              <w:numPr>
                <w:ilvl w:val="0"/>
                <w:numId w:val="1"/>
              </w:numPr>
              <w:spacing w:after="0" w:line="240" w:lineRule="auto"/>
              <w:rPr>
                <w:rFonts w:ascii="Times New Roman" w:hAnsi="Times New Roman"/>
                <w:noProof/>
                <w:color w:val="000000"/>
                <w:sz w:val="20"/>
                <w:szCs w:val="20"/>
              </w:rPr>
            </w:pPr>
          </w:p>
        </w:tc>
        <w:tc>
          <w:tcPr>
            <w:tcW w:w="1141" w:type="pct"/>
          </w:tcPr>
          <w:p w:rsidR="00A4308B" w:rsidRDefault="00E21218">
            <w:pPr>
              <w:spacing w:after="0"/>
              <w:rPr>
                <w:rFonts w:ascii="Times New Roman" w:hAnsi="Times New Roman"/>
                <w:noProof/>
                <w:sz w:val="20"/>
                <w:szCs w:val="20"/>
              </w:rPr>
            </w:pPr>
            <w:r>
              <w:rPr>
                <w:rFonts w:ascii="Times New Roman" w:hAnsi="Times New Roman"/>
                <w:noProof/>
                <w:sz w:val="20"/>
                <w:szCs w:val="20"/>
              </w:rPr>
              <w:t>European Defence Action Plan</w:t>
            </w:r>
          </w:p>
        </w:tc>
        <w:tc>
          <w:tcPr>
            <w:tcW w:w="586" w:type="pct"/>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Legislative / Non-legislative</w:t>
            </w:r>
          </w:p>
        </w:tc>
        <w:tc>
          <w:tcPr>
            <w:tcW w:w="3140" w:type="pct"/>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 xml:space="preserve">The aim is a legal and policy framework to ensure that the European market and industrial and skills base will be able to deliver the military capability priorities that Member States may need to meet future security needs. </w:t>
            </w:r>
          </w:p>
        </w:tc>
      </w:tr>
      <w:tr w:rsidR="00A4308B">
        <w:trPr>
          <w:cantSplit/>
        </w:trPr>
        <w:tc>
          <w:tcPr>
            <w:tcW w:w="133" w:type="pct"/>
            <w:shd w:val="clear" w:color="auto" w:fill="auto"/>
          </w:tcPr>
          <w:p w:rsidR="00A4308B" w:rsidRDefault="00A4308B">
            <w:pPr>
              <w:numPr>
                <w:ilvl w:val="0"/>
                <w:numId w:val="1"/>
              </w:numPr>
              <w:spacing w:after="0" w:line="240" w:lineRule="auto"/>
              <w:rPr>
                <w:rFonts w:ascii="Times New Roman" w:hAnsi="Times New Roman"/>
                <w:noProof/>
                <w:color w:val="000000"/>
                <w:sz w:val="20"/>
                <w:szCs w:val="20"/>
              </w:rPr>
            </w:pPr>
          </w:p>
        </w:tc>
        <w:tc>
          <w:tcPr>
            <w:tcW w:w="1141" w:type="pct"/>
          </w:tcPr>
          <w:p w:rsidR="00A4308B" w:rsidRDefault="00E21218">
            <w:pPr>
              <w:spacing w:after="0"/>
              <w:rPr>
                <w:rFonts w:ascii="Times New Roman" w:hAnsi="Times New Roman"/>
                <w:noProof/>
                <w:sz w:val="20"/>
                <w:szCs w:val="20"/>
              </w:rPr>
            </w:pPr>
            <w:r>
              <w:rPr>
                <w:rFonts w:ascii="Times New Roman" w:hAnsi="Times New Roman"/>
                <w:noProof/>
                <w:sz w:val="20"/>
                <w:szCs w:val="20"/>
              </w:rPr>
              <w:t>Action Plan on VAT</w:t>
            </w:r>
          </w:p>
        </w:tc>
        <w:tc>
          <w:tcPr>
            <w:tcW w:w="586" w:type="pct"/>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Legislative / Non-legislative</w:t>
            </w:r>
          </w:p>
        </w:tc>
        <w:tc>
          <w:tcPr>
            <w:tcW w:w="3140" w:type="pct"/>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The action plan aims at delivering efficient and fraud-proof VAT regimes and will include initiatives on VAT rates (REFIT) and a proposal on VAT for electronic commerce (REFIT) in the context of the Digital Single Market Strategy, and a Communication setting out the definitive VAT regime (REFIT).</w:t>
            </w:r>
            <w:r>
              <w:rPr>
                <w:noProof/>
                <w:sz w:val="20"/>
                <w:szCs w:val="20"/>
              </w:rPr>
              <w:t xml:space="preserve"> </w:t>
            </w:r>
          </w:p>
        </w:tc>
      </w:tr>
      <w:tr w:rsidR="00A4308B">
        <w:trPr>
          <w:cantSplit/>
        </w:trPr>
        <w:tc>
          <w:tcPr>
            <w:tcW w:w="133" w:type="pct"/>
            <w:shd w:val="clear" w:color="auto" w:fill="auto"/>
          </w:tcPr>
          <w:p w:rsidR="00A4308B" w:rsidRDefault="00A4308B">
            <w:pPr>
              <w:numPr>
                <w:ilvl w:val="0"/>
                <w:numId w:val="1"/>
              </w:numPr>
              <w:spacing w:after="0" w:line="240" w:lineRule="auto"/>
              <w:rPr>
                <w:rFonts w:ascii="Times New Roman" w:hAnsi="Times New Roman"/>
                <w:noProof/>
                <w:color w:val="000000"/>
                <w:sz w:val="20"/>
                <w:szCs w:val="20"/>
              </w:rPr>
            </w:pPr>
          </w:p>
        </w:tc>
        <w:tc>
          <w:tcPr>
            <w:tcW w:w="1141" w:type="pct"/>
          </w:tcPr>
          <w:p w:rsidR="00A4308B" w:rsidRDefault="00E21218">
            <w:pPr>
              <w:spacing w:after="0"/>
              <w:rPr>
                <w:rFonts w:ascii="Times New Roman" w:hAnsi="Times New Roman"/>
                <w:noProof/>
                <w:sz w:val="20"/>
                <w:szCs w:val="20"/>
              </w:rPr>
            </w:pPr>
            <w:r>
              <w:rPr>
                <w:rFonts w:ascii="Times New Roman" w:hAnsi="Times New Roman"/>
                <w:noProof/>
                <w:sz w:val="20"/>
                <w:szCs w:val="20"/>
              </w:rPr>
              <w:t>Corporate Tax Package</w:t>
            </w:r>
          </w:p>
        </w:tc>
        <w:tc>
          <w:tcPr>
            <w:tcW w:w="586" w:type="pct"/>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Legislative / Non-legislative</w:t>
            </w:r>
          </w:p>
        </w:tc>
        <w:tc>
          <w:tcPr>
            <w:tcW w:w="3140" w:type="pct"/>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Following up on the Communication on A fair and efficient corporate tax system in the European Union: 5 key areas for action, the package includes a set of measures to enhance transparency of the corporate tax system and fight tax avoidance, including by implementing international standards on base erosion and profit shifting, and a staged approach starting with a mandatory tax base (REFIT) together with withdrawal of the existing CCCTB proposal.</w:t>
            </w:r>
          </w:p>
        </w:tc>
      </w:tr>
      <w:tr w:rsidR="00A4308B">
        <w:trPr>
          <w:cantSplit/>
        </w:trPr>
        <w:tc>
          <w:tcPr>
            <w:tcW w:w="133" w:type="pct"/>
            <w:tcBorders>
              <w:top w:val="single" w:sz="4" w:space="0" w:color="auto"/>
              <w:left w:val="single" w:sz="4" w:space="0" w:color="auto"/>
              <w:bottom w:val="single" w:sz="4" w:space="0" w:color="auto"/>
              <w:right w:val="single" w:sz="4" w:space="0" w:color="auto"/>
            </w:tcBorders>
            <w:shd w:val="clear" w:color="auto" w:fill="auto"/>
          </w:tcPr>
          <w:p w:rsidR="00A4308B" w:rsidRDefault="00A4308B">
            <w:pPr>
              <w:numPr>
                <w:ilvl w:val="0"/>
                <w:numId w:val="1"/>
              </w:numPr>
              <w:spacing w:after="0" w:line="240" w:lineRule="auto"/>
              <w:rPr>
                <w:rFonts w:ascii="Times New Roman" w:hAnsi="Times New Roman"/>
                <w:noProof/>
                <w:color w:val="000000"/>
                <w:sz w:val="20"/>
                <w:szCs w:val="20"/>
              </w:rPr>
            </w:pPr>
          </w:p>
        </w:tc>
        <w:tc>
          <w:tcPr>
            <w:tcW w:w="1141" w:type="pct"/>
            <w:tcBorders>
              <w:top w:val="single" w:sz="4" w:space="0" w:color="auto"/>
              <w:left w:val="single" w:sz="4" w:space="0" w:color="auto"/>
              <w:bottom w:val="single" w:sz="4" w:space="0" w:color="auto"/>
              <w:right w:val="single" w:sz="4" w:space="0" w:color="auto"/>
            </w:tcBorders>
          </w:tcPr>
          <w:p w:rsidR="00A4308B" w:rsidRDefault="00E21218">
            <w:pPr>
              <w:spacing w:after="0"/>
              <w:rPr>
                <w:rFonts w:ascii="Times New Roman" w:hAnsi="Times New Roman"/>
                <w:noProof/>
                <w:sz w:val="20"/>
                <w:szCs w:val="20"/>
              </w:rPr>
            </w:pPr>
            <w:r>
              <w:rPr>
                <w:rFonts w:ascii="Times New Roman" w:hAnsi="Times New Roman"/>
                <w:noProof/>
                <w:sz w:val="20"/>
                <w:szCs w:val="20"/>
              </w:rPr>
              <w:t>A Space Strategy for Europe</w:t>
            </w:r>
          </w:p>
        </w:tc>
        <w:tc>
          <w:tcPr>
            <w:tcW w:w="586" w:type="pct"/>
            <w:tcBorders>
              <w:top w:val="single" w:sz="4" w:space="0" w:color="auto"/>
              <w:left w:val="single" w:sz="4" w:space="0" w:color="auto"/>
              <w:bottom w:val="single" w:sz="4" w:space="0" w:color="auto"/>
              <w:right w:val="single" w:sz="4" w:space="0" w:color="auto"/>
            </w:tcBorders>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Non- legislative</w:t>
            </w:r>
          </w:p>
        </w:tc>
        <w:tc>
          <w:tcPr>
            <w:tcW w:w="3140" w:type="pct"/>
            <w:tcBorders>
              <w:top w:val="single" w:sz="4" w:space="0" w:color="auto"/>
              <w:left w:val="single" w:sz="4" w:space="0" w:color="auto"/>
              <w:bottom w:val="single" w:sz="4" w:space="0" w:color="auto"/>
              <w:right w:val="single" w:sz="4" w:space="0" w:color="auto"/>
            </w:tcBorders>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 xml:space="preserve">The Strategy will coordinate the different strands of EU space activities, including a roadmap for concrete actions enabling targeted sectorial applications and further developing the EU space programmes to benefit the economy, public authorities and society as a whole. </w:t>
            </w:r>
          </w:p>
        </w:tc>
      </w:tr>
      <w:tr w:rsidR="00A4308B">
        <w:trPr>
          <w:cantSplit/>
        </w:trPr>
        <w:tc>
          <w:tcPr>
            <w:tcW w:w="5000" w:type="pct"/>
            <w:gridSpan w:val="4"/>
            <w:shd w:val="clear" w:color="auto" w:fill="F2F2F2"/>
          </w:tcPr>
          <w:p w:rsidR="00A4308B" w:rsidRDefault="00E21218">
            <w:pPr>
              <w:keepNext/>
              <w:spacing w:after="0"/>
              <w:rPr>
                <w:rFonts w:ascii="Times New Roman" w:hAnsi="Times New Roman"/>
                <w:b/>
                <w:noProof/>
                <w:sz w:val="20"/>
                <w:szCs w:val="20"/>
              </w:rPr>
            </w:pPr>
            <w:r>
              <w:rPr>
                <w:rFonts w:ascii="Times New Roman" w:hAnsi="Times New Roman"/>
                <w:b/>
                <w:noProof/>
                <w:sz w:val="20"/>
                <w:szCs w:val="20"/>
              </w:rPr>
              <w:t xml:space="preserve">A Deeper and Fairer Economic and Monetary Union </w:t>
            </w:r>
          </w:p>
        </w:tc>
      </w:tr>
      <w:tr w:rsidR="00A4308B">
        <w:trPr>
          <w:cantSplit/>
        </w:trPr>
        <w:tc>
          <w:tcPr>
            <w:tcW w:w="133" w:type="pct"/>
            <w:shd w:val="clear" w:color="auto" w:fill="auto"/>
          </w:tcPr>
          <w:p w:rsidR="00A4308B" w:rsidRDefault="00A4308B">
            <w:pPr>
              <w:numPr>
                <w:ilvl w:val="0"/>
                <w:numId w:val="1"/>
              </w:numPr>
              <w:spacing w:after="0" w:line="240" w:lineRule="auto"/>
              <w:rPr>
                <w:rFonts w:ascii="Times New Roman" w:hAnsi="Times New Roman"/>
                <w:noProof/>
                <w:color w:val="000000"/>
                <w:sz w:val="20"/>
                <w:szCs w:val="20"/>
              </w:rPr>
            </w:pPr>
          </w:p>
        </w:tc>
        <w:tc>
          <w:tcPr>
            <w:tcW w:w="1141" w:type="pct"/>
          </w:tcPr>
          <w:p w:rsidR="00A4308B" w:rsidRDefault="00E21218">
            <w:pPr>
              <w:spacing w:after="0"/>
              <w:rPr>
                <w:rFonts w:ascii="Times New Roman" w:hAnsi="Times New Roman"/>
                <w:noProof/>
                <w:sz w:val="20"/>
                <w:szCs w:val="20"/>
              </w:rPr>
            </w:pPr>
            <w:r>
              <w:rPr>
                <w:rFonts w:ascii="Times New Roman" w:hAnsi="Times New Roman"/>
                <w:noProof/>
                <w:sz w:val="20"/>
                <w:szCs w:val="20"/>
              </w:rPr>
              <w:t>Pillar of Social Rights</w:t>
            </w:r>
          </w:p>
        </w:tc>
        <w:tc>
          <w:tcPr>
            <w:tcW w:w="586" w:type="pct"/>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Legislative / Non-legislative</w:t>
            </w:r>
          </w:p>
        </w:tc>
        <w:tc>
          <w:tcPr>
            <w:tcW w:w="3140" w:type="pct"/>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The initiative will address gaps in existing legislation and identify common principles and reference benchmarks with a view to a greater convergence of employment and social performance over time.</w:t>
            </w:r>
          </w:p>
        </w:tc>
      </w:tr>
      <w:tr w:rsidR="00A4308B">
        <w:trPr>
          <w:cantSplit/>
        </w:trPr>
        <w:tc>
          <w:tcPr>
            <w:tcW w:w="133" w:type="pct"/>
            <w:shd w:val="clear" w:color="auto" w:fill="auto"/>
          </w:tcPr>
          <w:p w:rsidR="00A4308B" w:rsidRDefault="00A4308B">
            <w:pPr>
              <w:numPr>
                <w:ilvl w:val="0"/>
                <w:numId w:val="1"/>
              </w:numPr>
              <w:spacing w:after="0" w:line="240" w:lineRule="auto"/>
              <w:rPr>
                <w:rFonts w:ascii="Times New Roman" w:hAnsi="Times New Roman"/>
                <w:noProof/>
                <w:color w:val="000000"/>
                <w:sz w:val="20"/>
                <w:szCs w:val="20"/>
              </w:rPr>
            </w:pPr>
          </w:p>
        </w:tc>
        <w:tc>
          <w:tcPr>
            <w:tcW w:w="1141" w:type="pct"/>
          </w:tcPr>
          <w:p w:rsidR="00A4308B" w:rsidRDefault="00E21218">
            <w:pPr>
              <w:spacing w:after="0"/>
              <w:rPr>
                <w:rFonts w:ascii="Times New Roman" w:hAnsi="Times New Roman"/>
                <w:noProof/>
                <w:sz w:val="20"/>
                <w:szCs w:val="20"/>
                <w:lang w:val="en-US"/>
              </w:rPr>
            </w:pPr>
            <w:r>
              <w:rPr>
                <w:rFonts w:ascii="Times New Roman" w:hAnsi="Times New Roman"/>
                <w:noProof/>
                <w:sz w:val="20"/>
                <w:szCs w:val="20"/>
                <w:lang w:val="en-US"/>
              </w:rPr>
              <w:t>European Bank Deposit Insurance Scheme / Completion of the Banking Union</w:t>
            </w:r>
          </w:p>
        </w:tc>
        <w:tc>
          <w:tcPr>
            <w:tcW w:w="586" w:type="pct"/>
          </w:tcPr>
          <w:p w:rsidR="00A4308B" w:rsidRDefault="00E21218">
            <w:pPr>
              <w:spacing w:after="0"/>
              <w:jc w:val="both"/>
              <w:rPr>
                <w:rFonts w:ascii="Times New Roman" w:hAnsi="Times New Roman"/>
                <w:noProof/>
                <w:sz w:val="20"/>
                <w:szCs w:val="20"/>
                <w:lang w:val="fr-BE"/>
              </w:rPr>
            </w:pPr>
            <w:r>
              <w:rPr>
                <w:rFonts w:ascii="Times New Roman" w:hAnsi="Times New Roman"/>
                <w:noProof/>
                <w:sz w:val="20"/>
                <w:szCs w:val="20"/>
                <w:lang w:val="fr-BE"/>
              </w:rPr>
              <w:t>Legislative / Non-legislative</w:t>
            </w:r>
          </w:p>
        </w:tc>
        <w:tc>
          <w:tcPr>
            <w:tcW w:w="3140" w:type="pct"/>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Following up to the Five Presidents' Report, the proposal will outline steps towards a European Bank Deposit  Insurance Scheme based on a reinsurance mechanism. A Communication will set out further measures to complete the Banking Union.</w:t>
            </w:r>
          </w:p>
        </w:tc>
      </w:tr>
      <w:tr w:rsidR="00A4308B">
        <w:trPr>
          <w:cantSplit/>
        </w:trPr>
        <w:tc>
          <w:tcPr>
            <w:tcW w:w="5000" w:type="pct"/>
            <w:gridSpan w:val="4"/>
            <w:shd w:val="clear" w:color="auto" w:fill="F3F3F3"/>
          </w:tcPr>
          <w:p w:rsidR="00A4308B" w:rsidRDefault="00E21218">
            <w:pPr>
              <w:spacing w:after="0"/>
              <w:rPr>
                <w:rFonts w:ascii="Times New Roman" w:hAnsi="Times New Roman"/>
                <w:b/>
                <w:noProof/>
                <w:sz w:val="20"/>
                <w:szCs w:val="20"/>
              </w:rPr>
            </w:pPr>
            <w:r>
              <w:rPr>
                <w:rFonts w:ascii="Times New Roman" w:hAnsi="Times New Roman"/>
                <w:b/>
                <w:noProof/>
                <w:sz w:val="20"/>
                <w:szCs w:val="20"/>
              </w:rPr>
              <w:t>Trade: A Reasonable and Balanced Free Trade Agreement with the U.S.</w:t>
            </w:r>
          </w:p>
        </w:tc>
      </w:tr>
      <w:tr w:rsidR="00A4308B">
        <w:trPr>
          <w:cantSplit/>
        </w:trPr>
        <w:tc>
          <w:tcPr>
            <w:tcW w:w="133" w:type="pct"/>
            <w:tcBorders>
              <w:bottom w:val="single" w:sz="4" w:space="0" w:color="auto"/>
            </w:tcBorders>
            <w:shd w:val="clear" w:color="auto" w:fill="auto"/>
          </w:tcPr>
          <w:p w:rsidR="00A4308B" w:rsidRDefault="00A4308B">
            <w:pPr>
              <w:numPr>
                <w:ilvl w:val="0"/>
                <w:numId w:val="1"/>
              </w:numPr>
              <w:spacing w:after="0" w:line="240" w:lineRule="auto"/>
              <w:rPr>
                <w:rFonts w:ascii="Times New Roman" w:hAnsi="Times New Roman"/>
                <w:noProof/>
                <w:color w:val="000000"/>
                <w:sz w:val="20"/>
                <w:szCs w:val="20"/>
              </w:rPr>
            </w:pPr>
          </w:p>
        </w:tc>
        <w:tc>
          <w:tcPr>
            <w:tcW w:w="1141" w:type="pct"/>
            <w:tcBorders>
              <w:bottom w:val="single" w:sz="4" w:space="0" w:color="auto"/>
            </w:tcBorders>
          </w:tcPr>
          <w:p w:rsidR="00A4308B" w:rsidRDefault="00E21218">
            <w:pPr>
              <w:spacing w:after="0"/>
              <w:rPr>
                <w:rFonts w:ascii="Times New Roman" w:hAnsi="Times New Roman"/>
                <w:noProof/>
                <w:sz w:val="20"/>
                <w:szCs w:val="20"/>
              </w:rPr>
            </w:pPr>
            <w:r>
              <w:rPr>
                <w:rFonts w:ascii="Times New Roman" w:hAnsi="Times New Roman"/>
                <w:noProof/>
                <w:sz w:val="20"/>
                <w:szCs w:val="20"/>
              </w:rPr>
              <w:t>Follow-up to the Trade and Investment Strategy</w:t>
            </w:r>
          </w:p>
        </w:tc>
        <w:tc>
          <w:tcPr>
            <w:tcW w:w="586" w:type="pct"/>
            <w:tcBorders>
              <w:bottom w:val="single" w:sz="4" w:space="0" w:color="auto"/>
            </w:tcBorders>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Legislative / Non-legislative</w:t>
            </w:r>
          </w:p>
        </w:tc>
        <w:tc>
          <w:tcPr>
            <w:tcW w:w="3140" w:type="pct"/>
            <w:tcBorders>
              <w:bottom w:val="single" w:sz="4" w:space="0" w:color="auto"/>
            </w:tcBorders>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 xml:space="preserve">Against the background of the Trade for All strategy for a more effective and transparent trade and investment policy based on values, the Commission will pursue the TTIP negotiations with the US, as well as make progress at WTO, engage strategically with Asia and ensure that EPAs are well implemented. </w:t>
            </w:r>
          </w:p>
        </w:tc>
      </w:tr>
      <w:tr w:rsidR="00A4308B">
        <w:trPr>
          <w:cantSplit/>
        </w:trPr>
        <w:tc>
          <w:tcPr>
            <w:tcW w:w="5000" w:type="pct"/>
            <w:gridSpan w:val="4"/>
            <w:shd w:val="clear" w:color="auto" w:fill="F3F3F3"/>
          </w:tcPr>
          <w:p w:rsidR="00A4308B" w:rsidRDefault="00E21218">
            <w:pPr>
              <w:keepNext/>
              <w:spacing w:after="0"/>
              <w:rPr>
                <w:rFonts w:ascii="Times New Roman" w:hAnsi="Times New Roman"/>
                <w:b/>
                <w:noProof/>
                <w:sz w:val="20"/>
                <w:szCs w:val="20"/>
              </w:rPr>
            </w:pPr>
            <w:r>
              <w:rPr>
                <w:rFonts w:ascii="Times New Roman" w:hAnsi="Times New Roman"/>
                <w:b/>
                <w:noProof/>
                <w:sz w:val="20"/>
                <w:szCs w:val="20"/>
              </w:rPr>
              <w:t>An Area of Justice and Fundamental Rights Based on Mutual Trust</w:t>
            </w:r>
          </w:p>
        </w:tc>
      </w:tr>
      <w:tr w:rsidR="00A4308B">
        <w:trPr>
          <w:cantSplit/>
        </w:trPr>
        <w:tc>
          <w:tcPr>
            <w:tcW w:w="133" w:type="pct"/>
            <w:tcBorders>
              <w:bottom w:val="single" w:sz="4" w:space="0" w:color="auto"/>
            </w:tcBorders>
            <w:shd w:val="clear" w:color="auto" w:fill="auto"/>
          </w:tcPr>
          <w:p w:rsidR="00A4308B" w:rsidRDefault="00A4308B">
            <w:pPr>
              <w:numPr>
                <w:ilvl w:val="0"/>
                <w:numId w:val="1"/>
              </w:numPr>
              <w:spacing w:after="0" w:line="240" w:lineRule="auto"/>
              <w:rPr>
                <w:rFonts w:ascii="Times New Roman" w:hAnsi="Times New Roman"/>
                <w:noProof/>
                <w:color w:val="000000"/>
                <w:sz w:val="20"/>
                <w:szCs w:val="20"/>
              </w:rPr>
            </w:pPr>
          </w:p>
        </w:tc>
        <w:tc>
          <w:tcPr>
            <w:tcW w:w="1141" w:type="pct"/>
            <w:tcBorders>
              <w:bottom w:val="single" w:sz="4" w:space="0" w:color="auto"/>
            </w:tcBorders>
          </w:tcPr>
          <w:p w:rsidR="00A4308B" w:rsidRDefault="00E21218">
            <w:pPr>
              <w:spacing w:after="0"/>
              <w:rPr>
                <w:rFonts w:ascii="Times New Roman" w:hAnsi="Times New Roman"/>
                <w:noProof/>
                <w:sz w:val="20"/>
                <w:szCs w:val="20"/>
              </w:rPr>
            </w:pPr>
            <w:r>
              <w:rPr>
                <w:rFonts w:ascii="Times New Roman" w:hAnsi="Times New Roman"/>
                <w:noProof/>
                <w:sz w:val="20"/>
                <w:szCs w:val="20"/>
              </w:rPr>
              <w:t>Implementation of European Agenda on Security</w:t>
            </w:r>
          </w:p>
        </w:tc>
        <w:tc>
          <w:tcPr>
            <w:tcW w:w="586" w:type="pct"/>
            <w:tcBorders>
              <w:bottom w:val="single" w:sz="4" w:space="0" w:color="auto"/>
            </w:tcBorders>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Legislative / Non-legislative</w:t>
            </w:r>
          </w:p>
        </w:tc>
        <w:tc>
          <w:tcPr>
            <w:tcW w:w="3140" w:type="pct"/>
            <w:tcBorders>
              <w:bottom w:val="single" w:sz="4" w:space="0" w:color="auto"/>
            </w:tcBorders>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 xml:space="preserve">Actions to implement the European Agenda on Security including a proposal to amend the Framework Decision on terrorism, improved rules on firearms and a proposal on combatting fraud and counterfeiting on non-cash means of payment. </w:t>
            </w:r>
          </w:p>
        </w:tc>
      </w:tr>
      <w:tr w:rsidR="00A4308B">
        <w:trPr>
          <w:cantSplit/>
        </w:trPr>
        <w:tc>
          <w:tcPr>
            <w:tcW w:w="5000" w:type="pct"/>
            <w:gridSpan w:val="4"/>
            <w:shd w:val="clear" w:color="auto" w:fill="F2F2F2"/>
          </w:tcPr>
          <w:p w:rsidR="00A4308B" w:rsidRDefault="00E21218">
            <w:pPr>
              <w:keepNext/>
              <w:spacing w:after="0"/>
              <w:rPr>
                <w:rFonts w:ascii="Times New Roman" w:hAnsi="Times New Roman"/>
                <w:noProof/>
                <w:sz w:val="20"/>
                <w:szCs w:val="20"/>
                <w:lang w:val="en-US"/>
              </w:rPr>
            </w:pPr>
            <w:r>
              <w:rPr>
                <w:rFonts w:ascii="Times New Roman" w:hAnsi="Times New Roman"/>
                <w:b/>
                <w:noProof/>
                <w:sz w:val="20"/>
                <w:szCs w:val="20"/>
              </w:rPr>
              <w:t>Towards a New Policy on Migration</w:t>
            </w:r>
          </w:p>
        </w:tc>
      </w:tr>
      <w:tr w:rsidR="00A4308B">
        <w:trPr>
          <w:cantSplit/>
        </w:trPr>
        <w:tc>
          <w:tcPr>
            <w:tcW w:w="133" w:type="pct"/>
            <w:shd w:val="clear" w:color="auto" w:fill="auto"/>
          </w:tcPr>
          <w:p w:rsidR="00A4308B" w:rsidRDefault="00A4308B">
            <w:pPr>
              <w:numPr>
                <w:ilvl w:val="0"/>
                <w:numId w:val="1"/>
              </w:numPr>
              <w:spacing w:after="0" w:line="240" w:lineRule="auto"/>
              <w:rPr>
                <w:rFonts w:ascii="Times New Roman" w:hAnsi="Times New Roman"/>
                <w:noProof/>
                <w:color w:val="000000"/>
                <w:sz w:val="20"/>
                <w:szCs w:val="20"/>
              </w:rPr>
            </w:pPr>
          </w:p>
        </w:tc>
        <w:tc>
          <w:tcPr>
            <w:tcW w:w="1141" w:type="pct"/>
          </w:tcPr>
          <w:p w:rsidR="00A4308B" w:rsidRDefault="00E21218">
            <w:pPr>
              <w:spacing w:after="0"/>
              <w:rPr>
                <w:rFonts w:ascii="Times New Roman" w:hAnsi="Times New Roman"/>
                <w:noProof/>
                <w:sz w:val="20"/>
                <w:szCs w:val="20"/>
              </w:rPr>
            </w:pPr>
            <w:r>
              <w:rPr>
                <w:rFonts w:ascii="Times New Roman" w:hAnsi="Times New Roman"/>
                <w:noProof/>
                <w:sz w:val="20"/>
                <w:szCs w:val="20"/>
              </w:rPr>
              <w:t xml:space="preserve">Better  Migration Management </w:t>
            </w:r>
          </w:p>
        </w:tc>
        <w:tc>
          <w:tcPr>
            <w:tcW w:w="586" w:type="pct"/>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Legislative / Non-legislative</w:t>
            </w:r>
          </w:p>
        </w:tc>
        <w:tc>
          <w:tcPr>
            <w:tcW w:w="3140" w:type="pct"/>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 xml:space="preserve">The initiative has two dimensions: 1) legal migration: a Communication and further legislative measures including extension of the Blue Card approach; 2) asylum and refugees: a proposal for a structured system on resettlement of refugees and revision of the Dublin system on asylum. </w:t>
            </w:r>
          </w:p>
        </w:tc>
      </w:tr>
      <w:tr w:rsidR="00A4308B">
        <w:trPr>
          <w:cantSplit/>
        </w:trPr>
        <w:tc>
          <w:tcPr>
            <w:tcW w:w="133" w:type="pct"/>
            <w:shd w:val="clear" w:color="auto" w:fill="auto"/>
          </w:tcPr>
          <w:p w:rsidR="00A4308B" w:rsidRDefault="00A4308B">
            <w:pPr>
              <w:numPr>
                <w:ilvl w:val="0"/>
                <w:numId w:val="1"/>
              </w:numPr>
              <w:spacing w:after="0" w:line="240" w:lineRule="auto"/>
              <w:rPr>
                <w:rFonts w:ascii="Times New Roman" w:hAnsi="Times New Roman"/>
                <w:noProof/>
                <w:color w:val="000000"/>
                <w:sz w:val="20"/>
                <w:szCs w:val="20"/>
              </w:rPr>
            </w:pPr>
          </w:p>
        </w:tc>
        <w:tc>
          <w:tcPr>
            <w:tcW w:w="1141" w:type="pct"/>
          </w:tcPr>
          <w:p w:rsidR="00A4308B" w:rsidRDefault="00E21218">
            <w:pPr>
              <w:spacing w:after="0"/>
              <w:rPr>
                <w:rFonts w:ascii="Times New Roman" w:hAnsi="Times New Roman"/>
                <w:noProof/>
                <w:sz w:val="20"/>
                <w:szCs w:val="20"/>
              </w:rPr>
            </w:pPr>
            <w:r>
              <w:rPr>
                <w:rFonts w:ascii="Times New Roman" w:hAnsi="Times New Roman"/>
                <w:noProof/>
                <w:sz w:val="20"/>
                <w:szCs w:val="20"/>
              </w:rPr>
              <w:t>Border Management Package</w:t>
            </w:r>
          </w:p>
        </w:tc>
        <w:tc>
          <w:tcPr>
            <w:tcW w:w="586" w:type="pct"/>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Legislative / Non-legislative</w:t>
            </w:r>
          </w:p>
        </w:tc>
        <w:tc>
          <w:tcPr>
            <w:tcW w:w="3140" w:type="pct"/>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 xml:space="preserve">The aim is to progress towards a European Border and Coast Guard building on a reinforced Frontex. </w:t>
            </w:r>
          </w:p>
        </w:tc>
      </w:tr>
      <w:tr w:rsidR="00A4308B">
        <w:trPr>
          <w:cantSplit/>
        </w:trPr>
        <w:tc>
          <w:tcPr>
            <w:tcW w:w="5000" w:type="pct"/>
            <w:gridSpan w:val="4"/>
            <w:shd w:val="clear" w:color="auto" w:fill="F3F3F3"/>
          </w:tcPr>
          <w:p w:rsidR="00A4308B" w:rsidRDefault="00E21218">
            <w:pPr>
              <w:keepNext/>
              <w:spacing w:after="0"/>
              <w:rPr>
                <w:rFonts w:ascii="Times New Roman" w:hAnsi="Times New Roman"/>
                <w:b/>
                <w:noProof/>
                <w:sz w:val="20"/>
                <w:szCs w:val="20"/>
              </w:rPr>
            </w:pPr>
            <w:r>
              <w:rPr>
                <w:rFonts w:ascii="Times New Roman" w:hAnsi="Times New Roman"/>
                <w:b/>
                <w:noProof/>
                <w:sz w:val="20"/>
                <w:szCs w:val="20"/>
              </w:rPr>
              <w:t>A Stronger Global Actor</w:t>
            </w:r>
          </w:p>
        </w:tc>
      </w:tr>
      <w:tr w:rsidR="00A4308B">
        <w:trPr>
          <w:cantSplit/>
        </w:trPr>
        <w:tc>
          <w:tcPr>
            <w:tcW w:w="133" w:type="pct"/>
            <w:shd w:val="clear" w:color="auto" w:fill="auto"/>
          </w:tcPr>
          <w:p w:rsidR="00A4308B" w:rsidRDefault="00A4308B">
            <w:pPr>
              <w:numPr>
                <w:ilvl w:val="0"/>
                <w:numId w:val="1"/>
              </w:numPr>
              <w:spacing w:after="0" w:line="240" w:lineRule="auto"/>
              <w:rPr>
                <w:rFonts w:ascii="Times New Roman" w:hAnsi="Times New Roman"/>
                <w:noProof/>
                <w:color w:val="000000"/>
                <w:sz w:val="20"/>
                <w:szCs w:val="20"/>
              </w:rPr>
            </w:pPr>
          </w:p>
        </w:tc>
        <w:tc>
          <w:tcPr>
            <w:tcW w:w="1141" w:type="pct"/>
          </w:tcPr>
          <w:p w:rsidR="00A4308B" w:rsidRDefault="00E21218">
            <w:pPr>
              <w:spacing w:after="0"/>
              <w:rPr>
                <w:rFonts w:ascii="Times New Roman" w:hAnsi="Times New Roman"/>
                <w:noProof/>
                <w:sz w:val="20"/>
                <w:szCs w:val="20"/>
              </w:rPr>
            </w:pPr>
            <w:r>
              <w:rPr>
                <w:rFonts w:ascii="Times New Roman" w:hAnsi="Times New Roman"/>
                <w:noProof/>
                <w:sz w:val="20"/>
                <w:szCs w:val="20"/>
              </w:rPr>
              <w:t xml:space="preserve">Post-Cotonou Framework </w:t>
            </w:r>
          </w:p>
        </w:tc>
        <w:tc>
          <w:tcPr>
            <w:tcW w:w="586" w:type="pct"/>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Non-legislative</w:t>
            </w:r>
          </w:p>
        </w:tc>
        <w:tc>
          <w:tcPr>
            <w:tcW w:w="3140" w:type="pct"/>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 xml:space="preserve">New policy framework to govern relations with the ACP countries and regions. </w:t>
            </w:r>
          </w:p>
        </w:tc>
      </w:tr>
      <w:tr w:rsidR="00A4308B">
        <w:trPr>
          <w:cantSplit/>
        </w:trPr>
        <w:tc>
          <w:tcPr>
            <w:tcW w:w="133" w:type="pct"/>
            <w:shd w:val="clear" w:color="auto" w:fill="auto"/>
          </w:tcPr>
          <w:p w:rsidR="00A4308B" w:rsidRDefault="00A4308B">
            <w:pPr>
              <w:numPr>
                <w:ilvl w:val="0"/>
                <w:numId w:val="1"/>
              </w:numPr>
              <w:spacing w:after="0" w:line="240" w:lineRule="auto"/>
              <w:rPr>
                <w:rFonts w:ascii="Times New Roman" w:hAnsi="Times New Roman"/>
                <w:noProof/>
                <w:color w:val="000000"/>
                <w:sz w:val="20"/>
                <w:szCs w:val="20"/>
              </w:rPr>
            </w:pPr>
          </w:p>
        </w:tc>
        <w:tc>
          <w:tcPr>
            <w:tcW w:w="1141" w:type="pct"/>
          </w:tcPr>
          <w:p w:rsidR="00A4308B" w:rsidRDefault="00E21218">
            <w:pPr>
              <w:spacing w:after="0"/>
              <w:rPr>
                <w:rFonts w:ascii="Times New Roman" w:hAnsi="Times New Roman"/>
                <w:noProof/>
                <w:sz w:val="20"/>
                <w:szCs w:val="20"/>
              </w:rPr>
            </w:pPr>
            <w:r>
              <w:rPr>
                <w:rFonts w:ascii="Times New Roman" w:hAnsi="Times New Roman"/>
                <w:noProof/>
                <w:sz w:val="20"/>
                <w:szCs w:val="20"/>
              </w:rPr>
              <w:t xml:space="preserve">Capacity building in the security sector </w:t>
            </w:r>
          </w:p>
        </w:tc>
        <w:tc>
          <w:tcPr>
            <w:tcW w:w="586" w:type="pct"/>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Legislative / non-legislative</w:t>
            </w:r>
          </w:p>
        </w:tc>
        <w:tc>
          <w:tcPr>
            <w:tcW w:w="3140" w:type="pct"/>
          </w:tcPr>
          <w:p w:rsidR="00A4308B" w:rsidRDefault="00E21218">
            <w:pPr>
              <w:spacing w:after="0"/>
              <w:jc w:val="both"/>
              <w:rPr>
                <w:rFonts w:ascii="Times New Roman" w:hAnsi="Times New Roman"/>
                <w:noProof/>
                <w:sz w:val="20"/>
                <w:szCs w:val="20"/>
                <w:highlight w:val="yellow"/>
              </w:rPr>
            </w:pPr>
            <w:r>
              <w:rPr>
                <w:rFonts w:ascii="Times New Roman" w:hAnsi="Times New Roman"/>
                <w:noProof/>
                <w:sz w:val="20"/>
                <w:szCs w:val="20"/>
              </w:rPr>
              <w:t xml:space="preserve">The package covers security sector reform and a possible new dedicated instrument for capacity building in support of security and development in third countries. </w:t>
            </w:r>
          </w:p>
        </w:tc>
      </w:tr>
      <w:tr w:rsidR="00A4308B">
        <w:trPr>
          <w:cantSplit/>
        </w:trPr>
        <w:tc>
          <w:tcPr>
            <w:tcW w:w="133" w:type="pct"/>
            <w:shd w:val="clear" w:color="auto" w:fill="auto"/>
          </w:tcPr>
          <w:p w:rsidR="00A4308B" w:rsidRDefault="00A4308B">
            <w:pPr>
              <w:numPr>
                <w:ilvl w:val="0"/>
                <w:numId w:val="1"/>
              </w:numPr>
              <w:spacing w:after="0" w:line="240" w:lineRule="auto"/>
              <w:rPr>
                <w:rFonts w:ascii="Times New Roman" w:hAnsi="Times New Roman"/>
                <w:noProof/>
                <w:color w:val="000000"/>
                <w:sz w:val="20"/>
                <w:szCs w:val="20"/>
              </w:rPr>
            </w:pPr>
          </w:p>
        </w:tc>
        <w:tc>
          <w:tcPr>
            <w:tcW w:w="1141" w:type="pct"/>
          </w:tcPr>
          <w:p w:rsidR="00A4308B" w:rsidRDefault="00E21218">
            <w:pPr>
              <w:spacing w:after="0"/>
              <w:rPr>
                <w:rFonts w:ascii="Times New Roman" w:hAnsi="Times New Roman"/>
                <w:noProof/>
                <w:sz w:val="20"/>
                <w:szCs w:val="20"/>
              </w:rPr>
            </w:pPr>
            <w:r>
              <w:rPr>
                <w:rFonts w:ascii="Times New Roman" w:hAnsi="Times New Roman"/>
                <w:noProof/>
                <w:sz w:val="20"/>
                <w:szCs w:val="20"/>
              </w:rPr>
              <w:t>Commission contribution to the Global Strategy</w:t>
            </w:r>
          </w:p>
        </w:tc>
        <w:tc>
          <w:tcPr>
            <w:tcW w:w="586" w:type="pct"/>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Non-legislative</w:t>
            </w:r>
          </w:p>
        </w:tc>
        <w:tc>
          <w:tcPr>
            <w:tcW w:w="3140" w:type="pct"/>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 xml:space="preserve">The Commission will actively contribute to the Global Strategy on Foreign and Security Policy under the responsibility of the High Representative/Vice-President with a view to a better sense of direction to the EU external action.  </w:t>
            </w:r>
          </w:p>
        </w:tc>
      </w:tr>
      <w:tr w:rsidR="00A4308B">
        <w:trPr>
          <w:cantSplit/>
        </w:trPr>
        <w:tc>
          <w:tcPr>
            <w:tcW w:w="5000" w:type="pct"/>
            <w:gridSpan w:val="4"/>
            <w:shd w:val="clear" w:color="auto" w:fill="F3F3F3"/>
          </w:tcPr>
          <w:p w:rsidR="00A4308B" w:rsidRDefault="00E21218">
            <w:pPr>
              <w:keepNext/>
              <w:spacing w:after="0"/>
              <w:rPr>
                <w:rFonts w:ascii="Times New Roman" w:hAnsi="Times New Roman"/>
                <w:b/>
                <w:noProof/>
                <w:sz w:val="20"/>
                <w:szCs w:val="20"/>
              </w:rPr>
            </w:pPr>
            <w:r>
              <w:rPr>
                <w:noProof/>
                <w:sz w:val="20"/>
                <w:szCs w:val="20"/>
              </w:rPr>
              <w:br w:type="page"/>
            </w:r>
            <w:r>
              <w:rPr>
                <w:rFonts w:ascii="Times New Roman" w:hAnsi="Times New Roman"/>
                <w:b/>
                <w:noProof/>
                <w:sz w:val="20"/>
                <w:szCs w:val="20"/>
              </w:rPr>
              <w:t>A Union of Democratic Change</w:t>
            </w:r>
          </w:p>
        </w:tc>
      </w:tr>
      <w:tr w:rsidR="00A4308B">
        <w:trPr>
          <w:cantSplit/>
        </w:trPr>
        <w:tc>
          <w:tcPr>
            <w:tcW w:w="133" w:type="pct"/>
            <w:shd w:val="clear" w:color="auto" w:fill="auto"/>
          </w:tcPr>
          <w:p w:rsidR="00A4308B" w:rsidRDefault="00A4308B">
            <w:pPr>
              <w:numPr>
                <w:ilvl w:val="0"/>
                <w:numId w:val="1"/>
              </w:numPr>
              <w:spacing w:after="0" w:line="240" w:lineRule="auto"/>
              <w:rPr>
                <w:rFonts w:ascii="Times New Roman" w:hAnsi="Times New Roman"/>
                <w:noProof/>
                <w:color w:val="000000"/>
                <w:sz w:val="20"/>
                <w:szCs w:val="20"/>
              </w:rPr>
            </w:pPr>
          </w:p>
        </w:tc>
        <w:tc>
          <w:tcPr>
            <w:tcW w:w="1141" w:type="pct"/>
          </w:tcPr>
          <w:p w:rsidR="00A4308B" w:rsidRDefault="00E21218">
            <w:pPr>
              <w:spacing w:after="0"/>
              <w:rPr>
                <w:rFonts w:ascii="Times New Roman" w:hAnsi="Times New Roman"/>
                <w:noProof/>
                <w:sz w:val="20"/>
                <w:szCs w:val="20"/>
              </w:rPr>
            </w:pPr>
            <w:r>
              <w:rPr>
                <w:rFonts w:ascii="Times New Roman" w:hAnsi="Times New Roman"/>
                <w:noProof/>
                <w:sz w:val="20"/>
                <w:szCs w:val="20"/>
              </w:rPr>
              <w:t>Proposal for an Inter-Institutional Agreement on a mandatory Transparency Register</w:t>
            </w:r>
          </w:p>
        </w:tc>
        <w:tc>
          <w:tcPr>
            <w:tcW w:w="586" w:type="pct"/>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Non-legislative</w:t>
            </w:r>
          </w:p>
        </w:tc>
        <w:tc>
          <w:tcPr>
            <w:tcW w:w="3140" w:type="pct"/>
          </w:tcPr>
          <w:p w:rsidR="00A4308B" w:rsidRDefault="00E21218">
            <w:pPr>
              <w:spacing w:after="0"/>
              <w:jc w:val="both"/>
              <w:rPr>
                <w:rFonts w:ascii="Times New Roman" w:hAnsi="Times New Roman"/>
                <w:noProof/>
                <w:sz w:val="20"/>
                <w:szCs w:val="20"/>
              </w:rPr>
            </w:pPr>
            <w:r>
              <w:rPr>
                <w:rFonts w:ascii="Times New Roman" w:hAnsi="Times New Roman"/>
                <w:noProof/>
                <w:sz w:val="20"/>
                <w:szCs w:val="20"/>
              </w:rPr>
              <w:t>The proposal for an IIA with the European Parliament and the Council aims at enhancing openness and accountability by making the Trasparency Register mandatory for all interest representatives seeking to influence policy making in any of the three institutions.</w:t>
            </w:r>
          </w:p>
        </w:tc>
      </w:tr>
    </w:tbl>
    <w:p w:rsidR="00A4308B" w:rsidRDefault="00A4308B">
      <w:pPr>
        <w:rPr>
          <w:noProof/>
        </w:rPr>
      </w:pPr>
    </w:p>
    <w:sectPr w:rsidR="00A4308B">
      <w:headerReference w:type="even" r:id="rId16"/>
      <w:headerReference w:type="default" r:id="rId17"/>
      <w:footerReference w:type="even" r:id="rId18"/>
      <w:footerReference w:type="default" r:id="rId19"/>
      <w:headerReference w:type="first" r:id="rId20"/>
      <w:footerReference w:type="first" r:id="rId21"/>
      <w:pgSz w:w="16838" w:h="11906" w:orient="landscape"/>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08B" w:rsidRDefault="00E21218">
      <w:pPr>
        <w:spacing w:after="0" w:line="240" w:lineRule="auto"/>
      </w:pPr>
      <w:r>
        <w:separator/>
      </w:r>
    </w:p>
  </w:endnote>
  <w:endnote w:type="continuationSeparator" w:id="0">
    <w:p w:rsidR="00A4308B" w:rsidRDefault="00E21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218" w:rsidRPr="00E21218" w:rsidRDefault="00E21218" w:rsidP="00E212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218" w:rsidRPr="00E21218" w:rsidRDefault="00E21218" w:rsidP="00E21218">
    <w:pPr>
      <w:pStyle w:val="FooterCoverPage"/>
      <w:rPr>
        <w:rFonts w:ascii="Arial" w:hAnsi="Arial" w:cs="Arial"/>
        <w:b/>
        <w:sz w:val="48"/>
      </w:rPr>
    </w:pPr>
    <w:r w:rsidRPr="00E21218">
      <w:rPr>
        <w:rFonts w:ascii="Arial" w:hAnsi="Arial" w:cs="Arial"/>
        <w:b/>
        <w:sz w:val="48"/>
      </w:rPr>
      <w:t>EN</w:t>
    </w:r>
    <w:r w:rsidRPr="00E21218">
      <w:rPr>
        <w:rFonts w:ascii="Arial" w:hAnsi="Arial" w:cs="Arial"/>
        <w:b/>
        <w:sz w:val="48"/>
      </w:rPr>
      <w:tab/>
    </w:r>
    <w:r w:rsidRPr="00E21218">
      <w:rPr>
        <w:rFonts w:ascii="Arial" w:hAnsi="Arial" w:cs="Arial"/>
        <w:b/>
        <w:sz w:val="48"/>
      </w:rPr>
      <w:tab/>
    </w:r>
    <w:r w:rsidR="00D7421B">
      <w:fldChar w:fldCharType="begin"/>
    </w:r>
    <w:r w:rsidR="00D7421B">
      <w:instrText xml:space="preserve"> DOCVARIABLE "LW_Confidence" \* MERGEFORMAT </w:instrText>
    </w:r>
    <w:r w:rsidR="00D7421B">
      <w:fldChar w:fldCharType="separate"/>
    </w:r>
    <w:r w:rsidR="00D7421B">
      <w:t xml:space="preserve"> </w:t>
    </w:r>
    <w:r w:rsidR="00D7421B">
      <w:fldChar w:fldCharType="end"/>
    </w:r>
    <w:r w:rsidRPr="00E21218">
      <w:tab/>
    </w:r>
    <w:r w:rsidRPr="00E21218">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218" w:rsidRPr="00E21218" w:rsidRDefault="00E21218" w:rsidP="00E2121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8B" w:rsidRDefault="00A4308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8B" w:rsidRDefault="00E21218">
    <w:pPr>
      <w:pStyle w:val="Footer"/>
      <w:jc w:val="right"/>
    </w:pPr>
    <w:r>
      <w:fldChar w:fldCharType="begin"/>
    </w:r>
    <w:r>
      <w:instrText xml:space="preserve"> PAGE   \* MERGEFORMAT </w:instrText>
    </w:r>
    <w:r>
      <w:fldChar w:fldCharType="separate"/>
    </w:r>
    <w:r w:rsidR="00D7421B">
      <w:rPr>
        <w:noProof/>
      </w:rPr>
      <w:t>6</w:t>
    </w:r>
    <w:r>
      <w:rPr>
        <w:noProof/>
      </w:rPr>
      <w:fldChar w:fldCharType="end"/>
    </w:r>
  </w:p>
  <w:p w:rsidR="00A4308B" w:rsidRDefault="00A4308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8B" w:rsidRDefault="00A430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08B" w:rsidRDefault="00E21218">
      <w:pPr>
        <w:spacing w:after="0" w:line="240" w:lineRule="auto"/>
      </w:pPr>
      <w:r>
        <w:separator/>
      </w:r>
    </w:p>
  </w:footnote>
  <w:footnote w:type="continuationSeparator" w:id="0">
    <w:p w:rsidR="00A4308B" w:rsidRDefault="00E21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218" w:rsidRPr="00E21218" w:rsidRDefault="00E21218" w:rsidP="00E212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218" w:rsidRPr="00E21218" w:rsidRDefault="00E21218" w:rsidP="00E2121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218" w:rsidRPr="00E21218" w:rsidRDefault="00E21218" w:rsidP="00E2121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8B" w:rsidRDefault="00A4308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8B" w:rsidRDefault="00A4308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8B" w:rsidRDefault="00A430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7A2"/>
    <w:multiLevelType w:val="hybridMultilevel"/>
    <w:tmpl w:val="DC52E51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9D369E"/>
    <w:multiLevelType w:val="hybridMultilevel"/>
    <w:tmpl w:val="02CA5520"/>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7E45813"/>
    <w:multiLevelType w:val="hybridMultilevel"/>
    <w:tmpl w:val="2C16C1E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EU RESTRICTED"/>
    <w:docVar w:name="LW_CORRIGENDUM" w:val="&lt;UNUSED&gt;"/>
    <w:docVar w:name="LW_COVERPAGE_GUID" w:val="247C85D4D5C04B5A80665E4B19D5731E"/>
    <w:docVar w:name="LW_CROSSREFERENCE" w:val="&lt;UNUSED&gt;"/>
    <w:docVar w:name="LW_DocType" w:val="NORMAL"/>
    <w:docVar w:name="LW_EMISSION" w:val="27.10.2015"/>
    <w:docVar w:name="LW_EMISSION_ISODATE" w:val="2015-10-27"/>
    <w:docVar w:name="LW_EMISSION_LOCATION" w:val="STR"/>
    <w:docVar w:name="LW_EMISSION_PREFIX" w:val="Strasbourg,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_x000b_Commission Work Programme 2016_x000b__x000b_No time for business as usual"/>
    <w:docVar w:name="LW_PART_NBR" w:val="1"/>
    <w:docVar w:name="LW_PART_NBR_TOTAL" w:val="1"/>
    <w:docVar w:name="LW_REF.INST.NEW" w:val="COM"/>
    <w:docVar w:name="LW_REF.INST.NEW_ADOPTED" w:val="final"/>
    <w:docVar w:name="LW_REF.INST.NEW_TEXT" w:val="(2015) 610"/>
    <w:docVar w:name="LW_REF.INTERNE" w:val="&lt;UNUSED&gt;"/>
    <w:docVar w:name="LW_SUPERTITRE" w:val="&lt;UNUSED&gt;"/>
    <w:docVar w:name="LW_TITRE.OBJ.CP" w:val="&lt;UNUSED&gt;"/>
    <w:docVar w:name="LW_TYPE.DOC.CP" w:val="ANNEX_x000b_"/>
    <w:docVar w:name="LW_TYPEACTEPRINCIPAL.CP" w:val="COMMUNICATION FROM THE COMMISSION TO THE EUROPEAN PARLIAMENT, THE COUNCIL, THE EUROPEAN ECONOMIC AND SOCIAL COMMITTEE AND THE COMMITTEE OF THE REGIONS"/>
  </w:docVars>
  <w:rsids>
    <w:rsidRoot w:val="00A4308B"/>
    <w:rsid w:val="00A4308B"/>
    <w:rsid w:val="00D7421B"/>
    <w:rsid w:val="00E212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aliases w:val="Footnote Char,Fußnote Char"/>
    <w:basedOn w:val="DefaultParagraphFont"/>
    <w:link w:val="FootnoteText"/>
    <w:rPr>
      <w:rFonts w:ascii="Times New Roman" w:eastAsia="Times New Roman" w:hAnsi="Times New Roman" w:cs="Times New Roman"/>
      <w:sz w:val="20"/>
      <w:szCs w:val="20"/>
      <w:lang w:eastAsia="en-GB"/>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noProof/>
      <w:sz w:val="24"/>
      <w:szCs w:val="28"/>
      <w:lang w:eastAsia="de-DE"/>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lang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noProof/>
      <w:sz w:val="24"/>
      <w:szCs w:val="28"/>
      <w:lang w:eastAsia="de-DE"/>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aliases w:val="Footnote Char,Fußnote Char"/>
    <w:basedOn w:val="DefaultParagraphFont"/>
    <w:link w:val="FootnoteText"/>
    <w:rPr>
      <w:rFonts w:ascii="Times New Roman" w:eastAsia="Times New Roman" w:hAnsi="Times New Roman" w:cs="Times New Roman"/>
      <w:sz w:val="20"/>
      <w:szCs w:val="20"/>
      <w:lang w:eastAsia="en-GB"/>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outlineLvl w:val="0"/>
    </w:pPr>
    <w:rPr>
      <w:rFonts w:ascii="Times New Roman" w:hAnsi="Times New Roman"/>
      <w:noProof/>
      <w:sz w:val="24"/>
      <w:szCs w:val="28"/>
      <w:lang w:eastAsia="de-DE"/>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lang w:eastAsia="de-DE"/>
    </w:rPr>
  </w:style>
  <w:style w:type="paragraph" w:customStyle="1" w:styleId="HeaderCoverPage">
    <w:name w:val="Header Cover Page"/>
    <w:basedOn w:val="Normal"/>
    <w:link w:val="HeaderCoverPageChar"/>
    <w:pPr>
      <w:tabs>
        <w:tab w:val="center" w:pos="4535"/>
        <w:tab w:val="right" w:pos="9071"/>
      </w:tabs>
      <w:spacing w:after="120" w:line="240" w:lineRule="auto"/>
      <w:jc w:val="both"/>
      <w:outlineLvl w:val="0"/>
    </w:pPr>
    <w:rPr>
      <w:rFonts w:ascii="Times New Roman" w:hAnsi="Times New Roman"/>
      <w:noProof/>
      <w:sz w:val="24"/>
      <w:szCs w:val="28"/>
      <w:lang w:eastAsia="de-DE"/>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A2AAA-CD58-4E2B-99FE-606E98AC4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1423</Words>
  <Characters>8016</Characters>
  <Application>Microsoft Office Word</Application>
  <DocSecurity>0</DocSecurity>
  <Lines>200</Lines>
  <Paragraphs>154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David (SG)</dc:creator>
  <cp:lastModifiedBy>PAREDES ECHAURI Cristina (CAB-ALMUNIA)</cp:lastModifiedBy>
  <cp:revision>11</cp:revision>
  <cp:lastPrinted>2015-10-27T11:30:00Z</cp:lastPrinted>
  <dcterms:created xsi:type="dcterms:W3CDTF">2015-10-26T16:44:00Z</dcterms:created>
  <dcterms:modified xsi:type="dcterms:W3CDTF">2015-10-27T11:30:00Z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