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F9" w:rsidRDefault="00216B18" w:rsidP="00D104B9">
      <w:pPr>
        <w:pStyle w:val="Pagedecouverture"/>
        <w:rPr>
          <w:noProof/>
          <w:lang w:eastAsia="de-DE"/>
        </w:rPr>
      </w:pPr>
      <w:bookmarkStart w:id="0" w:name="LW_BM_COVERPAGE"/>
      <w:bookmarkStart w:id="1" w:name="_GoBack"/>
      <w:bookmarkEnd w:id="1"/>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993C2B2C5C248E5842818594FA19EEC" style="width:450.35pt;height:434.05pt">
            <v:imagedata r:id="rId9" o:title=""/>
          </v:shape>
        </w:pict>
      </w:r>
    </w:p>
    <w:bookmarkEnd w:id="0"/>
    <w:p w:rsidR="00D57CF9" w:rsidRDefault="00D57CF9">
      <w:pPr>
        <w:rPr>
          <w:noProof/>
          <w:lang w:eastAsia="de-DE"/>
        </w:rPr>
        <w:sectPr w:rsidR="00D57CF9" w:rsidSect="00D104B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D57CF9" w:rsidRDefault="00D104B9">
      <w:pPr>
        <w:spacing w:after="600"/>
        <w:jc w:val="center"/>
        <w:outlineLvl w:val="0"/>
        <w:rPr>
          <w:rFonts w:ascii="Times New Roman" w:hAnsi="Times New Roman"/>
          <w:b/>
          <w:noProof/>
          <w:sz w:val="28"/>
          <w:szCs w:val="28"/>
          <w:u w:val="single"/>
          <w:lang w:eastAsia="de-DE"/>
        </w:rPr>
      </w:pPr>
      <w:r>
        <w:rPr>
          <w:rFonts w:ascii="Times New Roman" w:hAnsi="Times New Roman"/>
          <w:b/>
          <w:noProof/>
          <w:sz w:val="28"/>
          <w:szCs w:val="28"/>
          <w:u w:val="single"/>
          <w:lang w:eastAsia="de-DE"/>
        </w:rPr>
        <w:lastRenderedPageBreak/>
        <w:t>Annex II: REFIT Initiatives</w:t>
      </w:r>
      <w:r>
        <w:rPr>
          <w:rStyle w:val="FootnoteReference"/>
          <w:rFonts w:ascii="Times New Roman" w:hAnsi="Times New Roman"/>
          <w:b/>
          <w:noProof/>
          <w:sz w:val="28"/>
          <w:szCs w:val="28"/>
          <w:u w:val="single"/>
          <w:lang w:eastAsia="de-DE"/>
        </w:rPr>
        <w:footnoteReference w:id="1"/>
      </w:r>
      <w:r>
        <w:rPr>
          <w:rFonts w:ascii="Times New Roman" w:hAnsi="Times New Roman"/>
          <w:b/>
          <w:noProof/>
          <w:sz w:val="28"/>
          <w:szCs w:val="28"/>
          <w:u w:val="single"/>
          <w:lang w:eastAsia="de-DE"/>
        </w:rPr>
        <w:t xml:space="preserve"> </w:t>
      </w:r>
    </w:p>
    <w:p w:rsidR="00D57CF9" w:rsidRDefault="00D104B9">
      <w:pPr>
        <w:spacing w:after="240"/>
        <w:jc w:val="both"/>
        <w:outlineLvl w:val="0"/>
        <w:rPr>
          <w:rFonts w:ascii="Times New Roman" w:hAnsi="Times New Roman"/>
          <w:b/>
          <w:noProof/>
          <w:sz w:val="20"/>
          <w:szCs w:val="20"/>
          <w:u w:val="single"/>
          <w:lang w:eastAsia="de-DE"/>
        </w:rPr>
      </w:pPr>
      <w:r>
        <w:rPr>
          <w:rFonts w:ascii="Times New Roman" w:hAnsi="Times New Roman"/>
          <w:noProof/>
          <w:lang w:val="en"/>
        </w:rPr>
        <w:t>REFIT is the European Commission's Regulatory Fitness and Performance programme to make EU law simpler and to reduce regulatory costs without compromising policy objectives. REFIT  thus contributes to a clear, stable and predictable regulatory framework supporting growth and jobs.</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81"/>
        <w:gridCol w:w="3252"/>
        <w:gridCol w:w="11"/>
        <w:gridCol w:w="1937"/>
        <w:gridCol w:w="8723"/>
      </w:tblGrid>
      <w:tr w:rsidR="00D57CF9">
        <w:trPr>
          <w:cantSplit/>
          <w:tblHeader/>
        </w:trPr>
        <w:tc>
          <w:tcPr>
            <w:tcW w:w="133" w:type="pct"/>
            <w:tcBorders>
              <w:bottom w:val="single" w:sz="4" w:space="0" w:color="auto"/>
            </w:tcBorders>
            <w:shd w:val="clear" w:color="auto" w:fill="99CCFF"/>
            <w:vAlign w:val="center"/>
          </w:tcPr>
          <w:p w:rsidR="00D57CF9" w:rsidRDefault="00D104B9">
            <w:pPr>
              <w:spacing w:after="0"/>
              <w:jc w:val="center"/>
              <w:rPr>
                <w:rFonts w:ascii="Times New Roman" w:hAnsi="Times New Roman"/>
                <w:b/>
                <w:noProof/>
                <w:sz w:val="20"/>
                <w:szCs w:val="20"/>
              </w:rPr>
            </w:pPr>
            <w:r>
              <w:rPr>
                <w:rFonts w:ascii="Times New Roman" w:eastAsia="MS Mincho" w:hAnsi="Times New Roman"/>
                <w:b/>
                <w:bCs/>
                <w:noProof/>
                <w:sz w:val="20"/>
                <w:szCs w:val="20"/>
                <w:lang w:eastAsia="ja-JP"/>
              </w:rPr>
              <w:t>Nº</w:t>
            </w:r>
          </w:p>
        </w:tc>
        <w:tc>
          <w:tcPr>
            <w:tcW w:w="1137" w:type="pct"/>
            <w:tcBorders>
              <w:bottom w:val="single" w:sz="4" w:space="0" w:color="auto"/>
            </w:tcBorders>
            <w:shd w:val="clear" w:color="auto" w:fill="99CCFF"/>
            <w:vAlign w:val="center"/>
          </w:tcPr>
          <w:p w:rsidR="00D57CF9" w:rsidRDefault="00D104B9">
            <w:pPr>
              <w:spacing w:after="0"/>
              <w:jc w:val="center"/>
              <w:rPr>
                <w:rFonts w:ascii="Times New Roman" w:hAnsi="Times New Roman"/>
                <w:b/>
                <w:noProof/>
                <w:sz w:val="20"/>
                <w:szCs w:val="20"/>
              </w:rPr>
            </w:pPr>
            <w:r>
              <w:rPr>
                <w:rFonts w:ascii="Times New Roman" w:hAnsi="Times New Roman"/>
                <w:b/>
                <w:noProof/>
                <w:sz w:val="20"/>
                <w:szCs w:val="20"/>
              </w:rPr>
              <w:t>Title</w:t>
            </w:r>
          </w:p>
        </w:tc>
        <w:tc>
          <w:tcPr>
            <w:tcW w:w="681" w:type="pct"/>
            <w:gridSpan w:val="2"/>
            <w:tcBorders>
              <w:bottom w:val="single" w:sz="4" w:space="0" w:color="auto"/>
            </w:tcBorders>
            <w:shd w:val="clear" w:color="auto" w:fill="99CCFF"/>
            <w:vAlign w:val="center"/>
          </w:tcPr>
          <w:p w:rsidR="00D57CF9" w:rsidRDefault="00D104B9">
            <w:pPr>
              <w:spacing w:after="0"/>
              <w:jc w:val="center"/>
              <w:rPr>
                <w:rFonts w:ascii="Times New Roman" w:hAnsi="Times New Roman"/>
                <w:b/>
                <w:noProof/>
                <w:sz w:val="20"/>
                <w:szCs w:val="20"/>
              </w:rPr>
            </w:pPr>
            <w:r>
              <w:rPr>
                <w:rFonts w:ascii="Times New Roman" w:hAnsi="Times New Roman"/>
                <w:b/>
                <w:noProof/>
                <w:sz w:val="20"/>
                <w:szCs w:val="20"/>
              </w:rPr>
              <w:t>Type of initiative</w:t>
            </w:r>
            <w:r>
              <w:rPr>
                <w:rStyle w:val="FootnoteReference"/>
                <w:rFonts w:ascii="Times New Roman" w:hAnsi="Times New Roman"/>
                <w:b/>
                <w:noProof/>
                <w:sz w:val="20"/>
                <w:szCs w:val="20"/>
              </w:rPr>
              <w:footnoteReference w:id="2"/>
            </w:r>
          </w:p>
        </w:tc>
        <w:tc>
          <w:tcPr>
            <w:tcW w:w="3049" w:type="pct"/>
            <w:tcBorders>
              <w:bottom w:val="single" w:sz="4" w:space="0" w:color="auto"/>
            </w:tcBorders>
            <w:shd w:val="clear" w:color="auto" w:fill="99CCFF"/>
            <w:vAlign w:val="center"/>
          </w:tcPr>
          <w:p w:rsidR="00D57CF9" w:rsidRDefault="00D104B9">
            <w:pPr>
              <w:spacing w:after="0"/>
              <w:jc w:val="center"/>
              <w:rPr>
                <w:rFonts w:ascii="Times New Roman" w:hAnsi="Times New Roman"/>
                <w:b/>
                <w:noProof/>
                <w:sz w:val="20"/>
                <w:szCs w:val="20"/>
              </w:rPr>
            </w:pPr>
            <w:r>
              <w:rPr>
                <w:rFonts w:ascii="Times New Roman" w:hAnsi="Times New Roman"/>
                <w:b/>
                <w:noProof/>
                <w:sz w:val="20"/>
                <w:szCs w:val="20"/>
              </w:rPr>
              <w:t>Description of scope and objectives</w:t>
            </w:r>
          </w:p>
        </w:tc>
      </w:tr>
      <w:tr w:rsidR="00D57CF9">
        <w:trPr>
          <w:cantSplit/>
        </w:trPr>
        <w:tc>
          <w:tcPr>
            <w:tcW w:w="5000" w:type="pct"/>
            <w:gridSpan w:val="5"/>
            <w:tcBorders>
              <w:top w:val="single" w:sz="4" w:space="0" w:color="auto"/>
              <w:left w:val="single" w:sz="4" w:space="0" w:color="auto"/>
              <w:bottom w:val="single" w:sz="4" w:space="0" w:color="auto"/>
            </w:tcBorders>
            <w:shd w:val="clear" w:color="auto" w:fill="F3F3F3"/>
          </w:tcPr>
          <w:p w:rsidR="00D57CF9" w:rsidRDefault="00D104B9">
            <w:pPr>
              <w:spacing w:after="0"/>
              <w:rPr>
                <w:rFonts w:ascii="Times New Roman" w:hAnsi="Times New Roman"/>
                <w:b/>
                <w:noProof/>
                <w:sz w:val="20"/>
                <w:szCs w:val="20"/>
              </w:rPr>
            </w:pPr>
            <w:r>
              <w:rPr>
                <w:rFonts w:ascii="Times New Roman" w:hAnsi="Times New Roman"/>
                <w:b/>
                <w:noProof/>
                <w:sz w:val="20"/>
                <w:szCs w:val="20"/>
              </w:rPr>
              <w:t>A New Boost for Jobs, Growth and Investment</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REACH</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Legislative / Evaluation</w:t>
            </w:r>
          </w:p>
        </w:tc>
        <w:tc>
          <w:tcPr>
            <w:tcW w:w="3049" w:type="pct"/>
            <w:tcBorders>
              <w:top w:val="single" w:sz="4" w:space="0" w:color="auto"/>
              <w:left w:val="single" w:sz="4" w:space="0" w:color="auto"/>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Actions include a Commission Implementing Regulation on simplification of the authorisation procedure under REACH, a Commission Implementing Regulation on transparency and cost sharing in substance information exchange fora (SIEF) under REACH, and the launching of an evaluation to be completed in 2017 in view of the obligation stemming from Article 117(4) of Regulation (EC) No 1907/2006 for the Commission to report by 1 June 2017 on the implementation of REACH.</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Standard Procurement Document and Standard Forms for Public Procurement </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Legislative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Commission Implementing Regulation on the European Standard Procurement Document (introduced by the new Public Procurement Directives to avoid having to repeatedly file information for each tender submission). Commission Implementing Regulation – update to the standard forms for tender notices in public procurement.</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Lifts (Directive 95/16/EC)</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The evaluation will cover the scope, the essential health and safety requirements and their links with the related conformity assessment procedure. </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State Aid:  Commission Notice on a Simplified Procedure for the treatment of certain types of State Aid ('Simplified procedure Notice') (2009/C136/03)</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w:t>
            </w:r>
          </w:p>
        </w:tc>
        <w:tc>
          <w:tcPr>
            <w:tcW w:w="3049" w:type="pct"/>
            <w:tcBorders>
              <w:top w:val="single" w:sz="4" w:space="0" w:color="auto"/>
              <w:left w:val="single" w:sz="4" w:space="0" w:color="auto"/>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The objective of this evaluation will be to take account of the evolution of State aid law, the decision-making practice, and the experience gained in applying the Simplified Procedure. The evaluation will also identify further administrative/procedural simplification.</w:t>
            </w:r>
          </w:p>
        </w:tc>
      </w:tr>
      <w:tr w:rsidR="00D57CF9">
        <w:trPr>
          <w:cantSplit/>
        </w:trPr>
        <w:tc>
          <w:tcPr>
            <w:tcW w:w="5000" w:type="pct"/>
            <w:gridSpan w:val="5"/>
            <w:shd w:val="clear" w:color="auto" w:fill="F3F3F3"/>
          </w:tcPr>
          <w:p w:rsidR="00D57CF9" w:rsidRDefault="00D104B9">
            <w:pPr>
              <w:keepNext/>
              <w:spacing w:after="0"/>
              <w:rPr>
                <w:rFonts w:ascii="Times New Roman" w:hAnsi="Times New Roman"/>
                <w:b/>
                <w:noProof/>
                <w:sz w:val="20"/>
                <w:szCs w:val="20"/>
              </w:rPr>
            </w:pPr>
            <w:r>
              <w:rPr>
                <w:rFonts w:ascii="Times New Roman" w:hAnsi="Times New Roman"/>
                <w:b/>
                <w:noProof/>
                <w:sz w:val="20"/>
                <w:szCs w:val="20"/>
              </w:rPr>
              <w:t>A Resilient Energy Union with a Forward-Looking Climate Change Policy</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Targeted review of Commission Delegated Regulation (EU) No 639/2014 (Ecological Focus Areas)</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Legislative </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Revised delegated/implementing act following up to the Commission undertaking to evaluate the experience with the implementation of Ecological Focus Areas (EFA) in the Commission Delegated Regulation (EU) No 639/2014 after the first year of application. Part of the CAP simplification exercise.</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EU Nature Legislation</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 follow up</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Follow-up to the Fitness Check of Directive 2009/147/EEC on the conservation of wild birds, and Directive 92/43/EEC on the conservation of natural habitats and of wild fauna and flora.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European Pollutant Release and Transfer Register (E-PRTR) Regulation</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Evaluation follow up </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This initiative would follow on an evaluation under the Commission's REFIT programme and a report regarding the implementation of the E-PRTR Regulation for the period 2010 to 2013.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Fuel Quality Directive</w:t>
            </w:r>
          </w:p>
        </w:tc>
        <w:tc>
          <w:tcPr>
            <w:tcW w:w="681" w:type="pct"/>
            <w:gridSpan w:val="2"/>
          </w:tcPr>
          <w:p w:rsidR="00D57CF9" w:rsidRDefault="00D104B9">
            <w:pPr>
              <w:spacing w:after="0"/>
              <w:jc w:val="both"/>
              <w:rPr>
                <w:rFonts w:ascii="Times New Roman" w:hAnsi="Times New Roman"/>
                <w:noProof/>
                <w:sz w:val="20"/>
                <w:szCs w:val="20"/>
                <w:highlight w:val="yellow"/>
              </w:rPr>
            </w:pPr>
            <w:r>
              <w:rPr>
                <w:rFonts w:ascii="Times New Roman" w:hAnsi="Times New Roman"/>
                <w:noProof/>
                <w:sz w:val="20"/>
                <w:szCs w:val="20"/>
              </w:rPr>
              <w:t xml:space="preserve">Evaluation follow up </w:t>
            </w:r>
          </w:p>
        </w:tc>
        <w:tc>
          <w:tcPr>
            <w:tcW w:w="3049" w:type="pct"/>
          </w:tcPr>
          <w:p w:rsidR="00D57CF9" w:rsidRDefault="00D104B9">
            <w:pPr>
              <w:jc w:val="both"/>
              <w:rPr>
                <w:rFonts w:ascii="Times New Roman" w:hAnsi="Times New Roman"/>
                <w:noProof/>
                <w:sz w:val="20"/>
                <w:szCs w:val="20"/>
                <w:highlight w:val="yellow"/>
              </w:rPr>
            </w:pPr>
            <w:r>
              <w:rPr>
                <w:rFonts w:ascii="Times New Roman" w:hAnsi="Times New Roman"/>
                <w:noProof/>
                <w:sz w:val="20"/>
                <w:szCs w:val="20"/>
              </w:rPr>
              <w:t>This initiative would follow up on the results of a REFIT evaluation.</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Environmental Reporting Initiative</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Fitness Check to identify opportunities to simplify and alleviate reporting obligations stemming from EU environmental law with a view to develop a more modern, efficient and effective system for regulatory monitoring.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Energy Union Reporting initiative</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Evaluation </w:t>
            </w:r>
          </w:p>
        </w:tc>
        <w:tc>
          <w:tcPr>
            <w:tcW w:w="3049" w:type="pct"/>
          </w:tcPr>
          <w:p w:rsidR="00D57CF9" w:rsidRDefault="00D104B9">
            <w:pPr>
              <w:jc w:val="both"/>
              <w:rPr>
                <w:rFonts w:ascii="Times New Roman" w:hAnsi="Times New Roman"/>
                <w:noProof/>
                <w:sz w:val="20"/>
                <w:szCs w:val="20"/>
              </w:rPr>
            </w:pPr>
            <w:r>
              <w:rPr>
                <w:rFonts w:ascii="Times New Roman" w:hAnsi="Times New Roman"/>
                <w:noProof/>
                <w:sz w:val="20"/>
                <w:szCs w:val="20"/>
              </w:rPr>
              <w:t>Fitness Check / evaluations in the area of Energy and Climate Policy in order to assess the consistency and administrative burden of reporting obligations.</w:t>
            </w:r>
          </w:p>
        </w:tc>
      </w:tr>
      <w:tr w:rsidR="00D57CF9">
        <w:trPr>
          <w:cantSplit/>
        </w:trPr>
        <w:tc>
          <w:tcPr>
            <w:tcW w:w="5000" w:type="pct"/>
            <w:gridSpan w:val="5"/>
            <w:shd w:val="clear" w:color="auto" w:fill="F3F3F3"/>
          </w:tcPr>
          <w:p w:rsidR="00D57CF9" w:rsidRDefault="00D104B9">
            <w:pPr>
              <w:spacing w:after="0"/>
              <w:rPr>
                <w:rFonts w:ascii="Times New Roman" w:hAnsi="Times New Roman"/>
                <w:b/>
                <w:noProof/>
                <w:sz w:val="20"/>
                <w:szCs w:val="20"/>
              </w:rPr>
            </w:pPr>
            <w:r>
              <w:rPr>
                <w:rFonts w:ascii="Times New Roman" w:hAnsi="Times New Roman"/>
                <w:b/>
                <w:noProof/>
                <w:sz w:val="20"/>
                <w:szCs w:val="20"/>
              </w:rPr>
              <w:t>A Deeper and Fairer Internal Market with a Strengthened Industrial Base</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Prospectus Directive Review</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Legislative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Part of the Capital Markets Union following up on a REFIT evaluation of the Prospectus Directive.</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jc w:val="both"/>
              <w:rPr>
                <w:rFonts w:ascii="Times New Roman" w:hAnsi="Times New Roman"/>
                <w:noProof/>
                <w:color w:val="000000" w:themeColor="text1"/>
                <w:sz w:val="20"/>
                <w:szCs w:val="20"/>
              </w:rPr>
            </w:pPr>
          </w:p>
        </w:tc>
        <w:tc>
          <w:tcPr>
            <w:tcW w:w="1137" w:type="pct"/>
            <w:tcBorders>
              <w:bottom w:val="single" w:sz="4" w:space="0" w:color="auto"/>
            </w:tcBorders>
          </w:tcPr>
          <w:p w:rsidR="00D57CF9" w:rsidRDefault="00D104B9">
            <w:pPr>
              <w:spacing w:after="0"/>
              <w:jc w:val="both"/>
              <w:rPr>
                <w:rFonts w:ascii="Times New Roman" w:hAnsi="Times New Roman"/>
                <w:bCs/>
                <w:noProof/>
                <w:color w:val="000000" w:themeColor="text1"/>
                <w:sz w:val="20"/>
                <w:szCs w:val="20"/>
              </w:rPr>
            </w:pPr>
            <w:r>
              <w:rPr>
                <w:rFonts w:ascii="Times New Roman" w:hAnsi="Times New Roman"/>
                <w:bCs/>
                <w:noProof/>
                <w:color w:val="000000" w:themeColor="text1"/>
                <w:sz w:val="20"/>
                <w:szCs w:val="20"/>
              </w:rPr>
              <w:t>Review of the  European Venture Capital (EuVECA) and European Social Entrepreneurship Fund (EuSEF)  regulations</w:t>
            </w:r>
          </w:p>
        </w:tc>
        <w:tc>
          <w:tcPr>
            <w:tcW w:w="681" w:type="pct"/>
            <w:gridSpan w:val="2"/>
            <w:tcBorders>
              <w:bottom w:val="single" w:sz="4" w:space="0" w:color="auto"/>
            </w:tcBorders>
          </w:tcPr>
          <w:p w:rsidR="00D57CF9" w:rsidRDefault="00D104B9">
            <w:pPr>
              <w:spacing w:after="0"/>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Legislative</w:t>
            </w:r>
          </w:p>
        </w:tc>
        <w:tc>
          <w:tcPr>
            <w:tcW w:w="3049" w:type="pct"/>
            <w:tcBorders>
              <w:bottom w:val="single" w:sz="4" w:space="0" w:color="auto"/>
            </w:tcBorders>
          </w:tcPr>
          <w:p w:rsidR="00D57CF9" w:rsidRDefault="00D104B9">
            <w:pPr>
              <w:pStyle w:val="NormalWeb"/>
              <w:shd w:val="clear" w:color="auto" w:fill="FFFFFF"/>
              <w:jc w:val="both"/>
              <w:rPr>
                <w:noProof/>
                <w:sz w:val="20"/>
                <w:szCs w:val="20"/>
                <w:lang w:val="en"/>
              </w:rPr>
            </w:pPr>
            <w:r>
              <w:rPr>
                <w:noProof/>
                <w:sz w:val="20"/>
                <w:szCs w:val="20"/>
                <w:lang w:val="en"/>
              </w:rPr>
              <w:t xml:space="preserve">Legislative review of the </w:t>
            </w:r>
            <w:hyperlink r:id="rId16" w:history="1">
              <w:r>
                <w:rPr>
                  <w:rStyle w:val="Hyperlink"/>
                  <w:noProof/>
                  <w:color w:val="auto"/>
                  <w:sz w:val="20"/>
                  <w:szCs w:val="20"/>
                  <w:u w:val="none"/>
                  <w:lang w:val="en"/>
                </w:rPr>
                <w:t>European Venture Capital Funds (EuVECA) regulation (No 345/2013)</w:t>
              </w:r>
            </w:hyperlink>
            <w:r>
              <w:rPr>
                <w:noProof/>
                <w:sz w:val="20"/>
                <w:szCs w:val="20"/>
                <w:lang w:val="en"/>
              </w:rPr>
              <w:t xml:space="preserve"> and </w:t>
            </w:r>
            <w:hyperlink r:id="rId17" w:history="1">
              <w:r>
                <w:rPr>
                  <w:rStyle w:val="Hyperlink"/>
                  <w:noProof/>
                  <w:color w:val="auto"/>
                  <w:sz w:val="20"/>
                  <w:szCs w:val="20"/>
                  <w:u w:val="none"/>
                  <w:lang w:val="en"/>
                </w:rPr>
                <w:t>European Social Entrepreneurship Funds (EuSEF) regulation (No 346/2013)</w:t>
              </w:r>
            </w:hyperlink>
            <w:r>
              <w:rPr>
                <w:noProof/>
                <w:sz w:val="20"/>
                <w:szCs w:val="20"/>
                <w:lang w:val="en"/>
              </w:rPr>
              <w:t xml:space="preserve"> with a view to improve the take-up of these funds as part of the Capital Markets Union without reducing the level of investors protection. These specialist venture capital investment funds have been available since 2013 but only a small number of funds set up as EuVECA and EuSEF have so far been launched.</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Style w:val="st1"/>
                <w:rFonts w:ascii="Times New Roman" w:hAnsi="Times New Roman"/>
                <w:noProof/>
                <w:color w:val="000000" w:themeColor="text1"/>
                <w:sz w:val="20"/>
                <w:szCs w:val="20"/>
              </w:rPr>
              <w:t xml:space="preserve">Tariff and statistical nomenclature and on the Common Customs Tariff  (Council </w:t>
            </w:r>
            <w:r>
              <w:rPr>
                <w:rStyle w:val="Emphasis"/>
                <w:rFonts w:ascii="Times New Roman" w:hAnsi="Times New Roman"/>
                <w:b w:val="0"/>
                <w:noProof/>
                <w:color w:val="000000" w:themeColor="text1"/>
                <w:sz w:val="20"/>
                <w:szCs w:val="20"/>
              </w:rPr>
              <w:t>Regulation</w:t>
            </w:r>
            <w:r>
              <w:rPr>
                <w:rStyle w:val="st1"/>
                <w:rFonts w:ascii="Times New Roman" w:hAnsi="Times New Roman"/>
                <w:b/>
                <w:noProof/>
                <w:color w:val="000000" w:themeColor="text1"/>
                <w:sz w:val="20"/>
                <w:szCs w:val="20"/>
              </w:rPr>
              <w:t xml:space="preserve"> (</w:t>
            </w:r>
            <w:r>
              <w:rPr>
                <w:rStyle w:val="Emphasis"/>
                <w:rFonts w:ascii="Times New Roman" w:hAnsi="Times New Roman"/>
                <w:b w:val="0"/>
                <w:noProof/>
                <w:color w:val="000000" w:themeColor="text1"/>
                <w:sz w:val="20"/>
                <w:szCs w:val="20"/>
              </w:rPr>
              <w:t>EEC</w:t>
            </w:r>
            <w:r>
              <w:rPr>
                <w:rStyle w:val="st1"/>
                <w:rFonts w:ascii="Times New Roman" w:hAnsi="Times New Roman"/>
                <w:b/>
                <w:noProof/>
                <w:color w:val="000000" w:themeColor="text1"/>
                <w:sz w:val="20"/>
                <w:szCs w:val="20"/>
              </w:rPr>
              <w:t xml:space="preserve">) </w:t>
            </w:r>
            <w:r>
              <w:rPr>
                <w:rStyle w:val="Emphasis"/>
                <w:rFonts w:ascii="Times New Roman" w:hAnsi="Times New Roman"/>
                <w:b w:val="0"/>
                <w:noProof/>
                <w:color w:val="000000" w:themeColor="text1"/>
                <w:sz w:val="20"/>
                <w:szCs w:val="20"/>
              </w:rPr>
              <w:t>No 2658/87</w:t>
            </w:r>
            <w:r>
              <w:rPr>
                <w:rStyle w:val="st1"/>
                <w:rFonts w:ascii="Times New Roman" w:hAnsi="Times New Roman"/>
                <w:b/>
                <w:noProof/>
                <w:color w:val="000000" w:themeColor="text1"/>
                <w:sz w:val="20"/>
                <w:szCs w:val="20"/>
              </w:rPr>
              <w:t xml:space="preserve"> </w:t>
            </w:r>
            <w:r>
              <w:rPr>
                <w:rStyle w:val="st1"/>
                <w:rFonts w:ascii="Times New Roman" w:hAnsi="Times New Roman"/>
                <w:noProof/>
                <w:color w:val="000000" w:themeColor="text1"/>
                <w:sz w:val="20"/>
                <w:szCs w:val="20"/>
              </w:rPr>
              <w:t xml:space="preserve">of 23 July 1987) - Recast </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Legislative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The aim of the recast is to align the existing legislation to the Lisbon Treaty. The Commission will also simplify and reduce regulatory burden by increasing clarity and improving the readability of the regulation.</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Style w:val="st1"/>
                <w:rFonts w:ascii="Times New Roman" w:hAnsi="Times New Roman"/>
                <w:noProof/>
                <w:color w:val="000000" w:themeColor="text1"/>
                <w:sz w:val="20"/>
                <w:szCs w:val="20"/>
              </w:rPr>
            </w:pPr>
            <w:r>
              <w:rPr>
                <w:rFonts w:ascii="Times New Roman" w:hAnsi="Times New Roman"/>
                <w:noProof/>
                <w:color w:val="000000" w:themeColor="text1"/>
                <w:sz w:val="20"/>
                <w:szCs w:val="20"/>
              </w:rPr>
              <w:t>Tobacco excise duty (Council Directive No 2011/64/EU) - revision</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Legislative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Planned to address the results of a REFIT evaluation of Council Directive 2011/64/EU of 21 June 2011 on the structure and rates of excise duty applied to manufactured tobacco. </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lang w:val="fr-BE"/>
              </w:rPr>
            </w:pPr>
            <w:r>
              <w:rPr>
                <w:rFonts w:ascii="Times New Roman" w:hAnsi="Times New Roman"/>
                <w:noProof/>
                <w:sz w:val="20"/>
                <w:szCs w:val="20"/>
                <w:lang w:val="fr-BE"/>
              </w:rPr>
              <w:t>Port reception facilities (Directive 2000/59/EC) – revision</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Legislative</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Initiative to adapt the Directive to substantial changes in the MARPOL Convention. In so doing, The revision also follows up on the results of the 2015 REFIT evaluation of the Directive.</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4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Occupational Health and Safety Legislation</w:t>
            </w:r>
          </w:p>
        </w:tc>
        <w:tc>
          <w:tcPr>
            <w:tcW w:w="67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 follow up / Legislative</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Follow-up to the REFIT Evaluation of Council Directive 89/391/EEC of 12 June 1989 on the introduction of measures to encourage improvements in the safety and health of workers at work and 23 related Directives with the aim of increasing its effectiveness and efficiency. </w:t>
            </w:r>
          </w:p>
        </w:tc>
      </w:tr>
      <w:tr w:rsidR="00D57CF9">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Food Legislation</w:t>
            </w:r>
          </w:p>
        </w:tc>
        <w:tc>
          <w:tcPr>
            <w:tcW w:w="681" w:type="pct"/>
            <w:gridSpan w:val="2"/>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Evaluation follow up  </w:t>
            </w:r>
          </w:p>
        </w:tc>
        <w:tc>
          <w:tcPr>
            <w:tcW w:w="3049" w:type="pct"/>
            <w:tcBorders>
              <w:top w:val="single" w:sz="4" w:space="0" w:color="auto"/>
              <w:left w:val="single" w:sz="4" w:space="0" w:color="auto"/>
              <w:bottom w:val="single" w:sz="4" w:space="0" w:color="auto"/>
              <w:right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Follow-up to the Fitness Check on the General Food Law.</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themeColor="text1"/>
                <w:sz w:val="20"/>
                <w:szCs w:val="20"/>
              </w:rPr>
            </w:pPr>
          </w:p>
        </w:tc>
        <w:tc>
          <w:tcPr>
            <w:tcW w:w="1137" w:type="pct"/>
            <w:tcBorders>
              <w:bottom w:val="single" w:sz="4" w:space="0" w:color="auto"/>
            </w:tcBorders>
          </w:tcPr>
          <w:p w:rsidR="00D57CF9" w:rsidRDefault="00D104B9">
            <w:pPr>
              <w:spacing w:after="0"/>
              <w:jc w:val="both"/>
              <w:rPr>
                <w:rFonts w:ascii="Times New Roman" w:hAnsi="Times New Roman"/>
                <w:bCs/>
                <w:noProof/>
                <w:color w:val="000000" w:themeColor="text1"/>
                <w:sz w:val="20"/>
                <w:szCs w:val="20"/>
              </w:rPr>
            </w:pPr>
            <w:r>
              <w:rPr>
                <w:rFonts w:ascii="Times New Roman" w:hAnsi="Times New Roman"/>
                <w:bCs/>
                <w:noProof/>
                <w:color w:val="000000" w:themeColor="text1"/>
                <w:sz w:val="20"/>
                <w:szCs w:val="20"/>
              </w:rPr>
              <w:t>Follow-up to the 'Report of the Financial Legislation Review'</w:t>
            </w:r>
          </w:p>
        </w:tc>
        <w:tc>
          <w:tcPr>
            <w:tcW w:w="681" w:type="pct"/>
            <w:gridSpan w:val="2"/>
            <w:tcBorders>
              <w:bottom w:val="single" w:sz="4" w:space="0" w:color="auto"/>
            </w:tcBorders>
          </w:tcPr>
          <w:p w:rsidR="00D57CF9" w:rsidRDefault="00D104B9">
            <w:pPr>
              <w:spacing w:after="0"/>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Follow up</w:t>
            </w:r>
          </w:p>
        </w:tc>
        <w:tc>
          <w:tcPr>
            <w:tcW w:w="3049" w:type="pct"/>
            <w:tcBorders>
              <w:bottom w:val="single" w:sz="4" w:space="0" w:color="auto"/>
            </w:tcBorders>
          </w:tcPr>
          <w:p w:rsidR="00D57CF9" w:rsidRDefault="00D104B9">
            <w:pPr>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The Commission is seeking to identify possible inconsistencies, incoherence and gaps in financial rules, as well as unnecessary regulatory burdens and factors negatively affecting long-term investment and growth. Following this call for evidence, Commission services will report on the main findings and next steps by mid-2016.</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jc w:val="both"/>
              <w:rPr>
                <w:rFonts w:ascii="Times New Roman" w:hAnsi="Times New Roman"/>
                <w:noProof/>
                <w:color w:val="000000" w:themeColor="text1"/>
                <w:sz w:val="20"/>
                <w:szCs w:val="20"/>
              </w:rPr>
            </w:pPr>
          </w:p>
        </w:tc>
        <w:tc>
          <w:tcPr>
            <w:tcW w:w="1137" w:type="pct"/>
            <w:tcBorders>
              <w:bottom w:val="single" w:sz="4" w:space="0" w:color="auto"/>
            </w:tcBorders>
          </w:tcPr>
          <w:p w:rsidR="00D57CF9" w:rsidRDefault="00D104B9">
            <w:pPr>
              <w:spacing w:after="0"/>
              <w:jc w:val="both"/>
              <w:rPr>
                <w:rFonts w:ascii="Times New Roman" w:hAnsi="Times New Roman"/>
                <w:bCs/>
                <w:noProof/>
                <w:color w:val="000000" w:themeColor="text1"/>
                <w:sz w:val="20"/>
                <w:szCs w:val="20"/>
              </w:rPr>
            </w:pPr>
            <w:r>
              <w:rPr>
                <w:rFonts w:ascii="Times New Roman" w:hAnsi="Times New Roman"/>
                <w:bCs/>
                <w:noProof/>
                <w:color w:val="000000" w:themeColor="text1"/>
                <w:sz w:val="20"/>
                <w:szCs w:val="20"/>
              </w:rPr>
              <w:t>Financial Conglomerates Directive</w:t>
            </w:r>
          </w:p>
        </w:tc>
        <w:tc>
          <w:tcPr>
            <w:tcW w:w="681" w:type="pct"/>
            <w:gridSpan w:val="2"/>
            <w:tcBorders>
              <w:bottom w:val="single" w:sz="4" w:space="0" w:color="auto"/>
            </w:tcBorders>
          </w:tcPr>
          <w:p w:rsidR="00D57CF9" w:rsidRDefault="00D104B9">
            <w:pPr>
              <w:spacing w:after="0"/>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Evaluation</w:t>
            </w:r>
          </w:p>
        </w:tc>
        <w:tc>
          <w:tcPr>
            <w:tcW w:w="3049" w:type="pct"/>
            <w:tcBorders>
              <w:bottom w:val="single" w:sz="4" w:space="0" w:color="auto"/>
            </w:tcBorders>
          </w:tcPr>
          <w:p w:rsidR="00D57CF9" w:rsidRDefault="00D104B9">
            <w:pPr>
              <w:spacing w:before="100" w:beforeAutospacing="1" w:after="100" w:afterAutospacing="1"/>
              <w:jc w:val="both"/>
              <w:rPr>
                <w:rFonts w:ascii="Times New Roman" w:eastAsia="Times New Roman" w:hAnsi="Times New Roman"/>
                <w:noProof/>
                <w:sz w:val="20"/>
                <w:szCs w:val="20"/>
                <w:lang w:val="en" w:eastAsia="en-GB"/>
              </w:rPr>
            </w:pPr>
            <w:bookmarkStart w:id="2" w:name="content"/>
            <w:bookmarkEnd w:id="2"/>
            <w:r>
              <w:rPr>
                <w:rFonts w:ascii="Times New Roman" w:eastAsia="Times New Roman" w:hAnsi="Times New Roman"/>
                <w:noProof/>
                <w:sz w:val="20"/>
                <w:szCs w:val="20"/>
                <w:lang w:val="en" w:eastAsia="en-GB"/>
              </w:rPr>
              <w:t>The Financial Conglomerates Directive (2011/89/EC amending 2002/87/EC) aims at the supplementary supervision of regulated entities that form part of a financial conglomerate, i.e. groups with licenses in both the banking and the insurance sector, by focusing on potential risks of double gearing (multiple use of capital) and on “group risks” (the risks of contagion, management complexity, risk concentration, and conflicts of interest). The evaluation will assess whether the Directive can be considered 'fit for purpose'</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Nutrition and Health Claims made on Food</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 / Legislative</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The purpose of this evaluation is to assess whether </w:t>
            </w:r>
            <w:r>
              <w:rPr>
                <w:rFonts w:ascii="Times New Roman" w:eastAsiaTheme="minorHAnsi" w:hAnsi="Times New Roman"/>
                <w:noProof/>
                <w:sz w:val="20"/>
                <w:szCs w:val="20"/>
              </w:rPr>
              <w:t>the current requirements for nutrient profiles and claims made on botanicals are fit-for-purpose</w:t>
            </w:r>
            <w:r>
              <w:rPr>
                <w:rFonts w:ascii="Times New Roman" w:hAnsi="Times New Roman"/>
                <w:noProof/>
                <w:sz w:val="20"/>
                <w:szCs w:val="20"/>
              </w:rPr>
              <w:t>.</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Maritime Legislation Fitness Check</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Evaluation </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 xml:space="preserve">The Fitness Check will cover legislation on flag state responsibilities, port state control, the Vessel Traffic Monitoring and Information System and the Reporting Formalities Directive. </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color w:val="000000" w:themeColor="text1"/>
                <w:sz w:val="20"/>
                <w:szCs w:val="20"/>
              </w:rPr>
              <w:t>Seafarers (Directive 2008/106/EC and Directive 2005/45/EC)</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color w:val="000000" w:themeColor="text1"/>
                <w:sz w:val="20"/>
                <w:szCs w:val="20"/>
              </w:rPr>
              <w:t xml:space="preserve">Directive 32008/106/EC sets Minimum standards of training, certification and watch keeping for seafarers serving on board Community vessels. Directive 2005/45/EC covers the mutual recognition of seafarers' certificates issued by the Member States (amending Directive 2001/25/EC). </w:t>
            </w:r>
          </w:p>
        </w:tc>
      </w:tr>
      <w:tr w:rsidR="00D57CF9">
        <w:trPr>
          <w:cantSplit/>
        </w:trPr>
        <w:tc>
          <w:tcPr>
            <w:tcW w:w="133" w:type="pct"/>
            <w:tcBorders>
              <w:bottom w:val="single" w:sz="4" w:space="0" w:color="auto"/>
            </w:tcBorders>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Written Statement Directive 91/533/EC</w:t>
            </w:r>
          </w:p>
        </w:tc>
        <w:tc>
          <w:tcPr>
            <w:tcW w:w="681" w:type="pct"/>
            <w:gridSpan w:val="2"/>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w:t>
            </w:r>
          </w:p>
        </w:tc>
        <w:tc>
          <w:tcPr>
            <w:tcW w:w="3049" w:type="pct"/>
            <w:tcBorders>
              <w:bottom w:val="single" w:sz="4" w:space="0" w:color="auto"/>
            </w:tcBorders>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Council Directive 91/533/EEC of 14 October 1991 on an employer's obligation to inform employees of the conditions applicable to the contract or employment relationship.</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Pesticides: legislation  covering Maximum Residue limit setting and placing on the market of plant protection products</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The purpose is to launch an evaluation of Regulation (EC) No 1107/2009 and Regulation (EC) No 396/2005 and to fulfil Commission's obligation under Regulation (EC) No 1107/2009 (Article 82 and 62(5) and Regulation (EC) No 396/2005 (Article 47) including the preparation of reports to the European Parliament and the Council.</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color w:val="000000" w:themeColor="text1"/>
                <w:sz w:val="20"/>
                <w:szCs w:val="20"/>
              </w:rPr>
              <w:t>Motor Insurance Directive</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Evaluation</w:t>
            </w:r>
          </w:p>
        </w:tc>
        <w:tc>
          <w:tcPr>
            <w:tcW w:w="3049" w:type="pct"/>
          </w:tcPr>
          <w:p w:rsidR="00D57CF9" w:rsidRDefault="00D104B9">
            <w:pPr>
              <w:pStyle w:val="NormalWeb"/>
              <w:shd w:val="clear" w:color="auto" w:fill="FFFFFF"/>
              <w:rPr>
                <w:noProof/>
                <w:sz w:val="20"/>
                <w:szCs w:val="20"/>
                <w:lang w:val="en"/>
              </w:rPr>
            </w:pPr>
            <w:r>
              <w:rPr>
                <w:noProof/>
                <w:sz w:val="20"/>
                <w:szCs w:val="20"/>
                <w:lang w:val="en"/>
              </w:rPr>
              <w:t>Evaluation of Directive 2009/103/EC intended to help EU residents involved in a road accident in another EU country. Under the Directive, subscribers to compulsory motor insurance policies in all EU countries are covered for motoring throughout the EU.</w:t>
            </w:r>
          </w:p>
        </w:tc>
      </w:tr>
      <w:tr w:rsidR="00D57CF9">
        <w:trPr>
          <w:cantSplit/>
        </w:trPr>
        <w:tc>
          <w:tcPr>
            <w:tcW w:w="5000" w:type="pct"/>
            <w:gridSpan w:val="5"/>
            <w:shd w:val="clear" w:color="auto" w:fill="F2F2F2"/>
          </w:tcPr>
          <w:p w:rsidR="00D57CF9" w:rsidRDefault="00D104B9">
            <w:pPr>
              <w:keepNext/>
              <w:spacing w:after="0"/>
              <w:rPr>
                <w:rFonts w:ascii="Times New Roman" w:hAnsi="Times New Roman"/>
                <w:b/>
                <w:noProof/>
                <w:sz w:val="20"/>
                <w:szCs w:val="20"/>
              </w:rPr>
            </w:pPr>
            <w:r>
              <w:rPr>
                <w:rFonts w:ascii="Times New Roman" w:hAnsi="Times New Roman"/>
                <w:b/>
                <w:noProof/>
                <w:sz w:val="20"/>
                <w:szCs w:val="20"/>
              </w:rPr>
              <w:t xml:space="preserve">A Deeper and Fairer Economic and Monetary Union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Statistics Package</w:t>
            </w:r>
          </w:p>
        </w:tc>
        <w:tc>
          <w:tcPr>
            <w:tcW w:w="681" w:type="pct"/>
            <w:gridSpan w:val="2"/>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049" w:type="pct"/>
          </w:tcPr>
          <w:p w:rsidR="00D57CF9" w:rsidRDefault="00D104B9">
            <w:pPr>
              <w:spacing w:after="0"/>
              <w:jc w:val="both"/>
              <w:rPr>
                <w:rFonts w:ascii="Times New Roman" w:hAnsi="Times New Roman"/>
                <w:noProof/>
                <w:sz w:val="20"/>
                <w:szCs w:val="20"/>
              </w:rPr>
            </w:pPr>
            <w:r>
              <w:rPr>
                <w:rFonts w:ascii="Times New Roman" w:hAnsi="Times New Roman"/>
                <w:noProof/>
                <w:sz w:val="20"/>
                <w:szCs w:val="20"/>
              </w:rPr>
              <w:t>The package includes the integration of social statistics, the integration of business statistics (FRIBS) and the Framework Regulation in Agricultural Statistics.</w:t>
            </w:r>
          </w:p>
        </w:tc>
      </w:tr>
      <w:tr w:rsidR="00D57CF9">
        <w:trPr>
          <w:cantSplit/>
        </w:trPr>
        <w:tc>
          <w:tcPr>
            <w:tcW w:w="5000" w:type="pct"/>
            <w:gridSpan w:val="5"/>
            <w:shd w:val="clear" w:color="auto" w:fill="EEECE1" w:themeFill="background2"/>
          </w:tcPr>
          <w:p w:rsidR="00D57CF9" w:rsidRDefault="00D104B9">
            <w:pPr>
              <w:keepNext/>
              <w:spacing w:after="0"/>
              <w:rPr>
                <w:rFonts w:ascii="Times New Roman" w:hAnsi="Times New Roman"/>
                <w:b/>
                <w:noProof/>
                <w:sz w:val="20"/>
                <w:szCs w:val="20"/>
              </w:rPr>
            </w:pPr>
            <w:r>
              <w:rPr>
                <w:rFonts w:ascii="Times New Roman" w:hAnsi="Times New Roman"/>
                <w:b/>
                <w:noProof/>
                <w:sz w:val="20"/>
                <w:szCs w:val="20"/>
              </w:rPr>
              <w:lastRenderedPageBreak/>
              <w:t xml:space="preserve">An Area of Justice and Fundamental Rights Based on Mutual Trust </w:t>
            </w:r>
          </w:p>
        </w:tc>
      </w:tr>
      <w:tr w:rsidR="00D57CF9">
        <w:trPr>
          <w:cantSplit/>
        </w:trPr>
        <w:tc>
          <w:tcPr>
            <w:tcW w:w="133" w:type="pct"/>
            <w:shd w:val="clear" w:color="auto" w:fill="auto"/>
          </w:tcPr>
          <w:p w:rsidR="00D57CF9" w:rsidRDefault="00D57CF9">
            <w:pPr>
              <w:numPr>
                <w:ilvl w:val="0"/>
                <w:numId w:val="1"/>
              </w:numPr>
              <w:spacing w:after="0" w:line="240" w:lineRule="auto"/>
              <w:rPr>
                <w:rFonts w:ascii="Times New Roman" w:hAnsi="Times New Roman"/>
                <w:noProof/>
                <w:color w:val="000000"/>
                <w:sz w:val="20"/>
                <w:szCs w:val="20"/>
              </w:rPr>
            </w:pPr>
          </w:p>
        </w:tc>
        <w:tc>
          <w:tcPr>
            <w:tcW w:w="1137" w:type="pct"/>
          </w:tcPr>
          <w:p w:rsidR="00D57CF9" w:rsidRDefault="00D104B9">
            <w:pPr>
              <w:spacing w:after="0" w:line="240" w:lineRule="auto"/>
              <w:rPr>
                <w:rFonts w:ascii="Times New Roman" w:hAnsi="Times New Roman"/>
                <w:noProof/>
                <w:color w:val="000000"/>
                <w:sz w:val="20"/>
                <w:szCs w:val="20"/>
              </w:rPr>
            </w:pPr>
            <w:r>
              <w:rPr>
                <w:rFonts w:ascii="Times New Roman" w:hAnsi="Times New Roman"/>
                <w:noProof/>
                <w:color w:val="000000"/>
                <w:sz w:val="20"/>
                <w:szCs w:val="20"/>
              </w:rPr>
              <w:t>Judgments in matrimonial matters and matters of parental responsibility (Brussels IIa)</w:t>
            </w:r>
          </w:p>
        </w:tc>
        <w:tc>
          <w:tcPr>
            <w:tcW w:w="681" w:type="pct"/>
            <w:gridSpan w:val="2"/>
          </w:tcPr>
          <w:p w:rsidR="00D57CF9" w:rsidRDefault="00D104B9">
            <w:pPr>
              <w:spacing w:after="0" w:line="240" w:lineRule="auto"/>
              <w:rPr>
                <w:rFonts w:ascii="Times New Roman" w:hAnsi="Times New Roman"/>
                <w:noProof/>
                <w:color w:val="000000"/>
                <w:sz w:val="20"/>
                <w:szCs w:val="20"/>
              </w:rPr>
            </w:pPr>
            <w:r>
              <w:rPr>
                <w:rFonts w:ascii="Times New Roman" w:hAnsi="Times New Roman"/>
                <w:noProof/>
                <w:color w:val="000000"/>
                <w:sz w:val="20"/>
                <w:szCs w:val="20"/>
              </w:rPr>
              <w:t xml:space="preserve">Legislative </w:t>
            </w:r>
          </w:p>
        </w:tc>
        <w:tc>
          <w:tcPr>
            <w:tcW w:w="3049" w:type="pct"/>
          </w:tcPr>
          <w:p w:rsidR="00D57CF9" w:rsidRDefault="00D104B9">
            <w:pPr>
              <w:spacing w:after="0" w:line="240" w:lineRule="auto"/>
              <w:jc w:val="both"/>
              <w:rPr>
                <w:rFonts w:ascii="Times New Roman" w:hAnsi="Times New Roman"/>
                <w:noProof/>
                <w:color w:val="000000"/>
                <w:sz w:val="20"/>
                <w:szCs w:val="20"/>
              </w:rPr>
            </w:pPr>
            <w:r>
              <w:rPr>
                <w:rFonts w:ascii="Times New Roman" w:hAnsi="Times New Roman"/>
                <w:noProof/>
                <w:color w:val="000000"/>
                <w:sz w:val="20"/>
                <w:szCs w:val="20"/>
              </w:rPr>
              <w:t>This initiative follows up on an assessment of the application of Regulation (EC) No 2201/2003 on jurisdiction, recognition and enforcement of judgments in matrimonial matters and matters of parental responsibility.</w:t>
            </w:r>
          </w:p>
        </w:tc>
      </w:tr>
    </w:tbl>
    <w:p w:rsidR="00D57CF9" w:rsidRDefault="00D57CF9">
      <w:pPr>
        <w:rPr>
          <w:noProof/>
        </w:rPr>
      </w:pPr>
    </w:p>
    <w:sectPr w:rsidR="00D57CF9">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F9" w:rsidRDefault="00D104B9">
      <w:pPr>
        <w:spacing w:after="0" w:line="240" w:lineRule="auto"/>
      </w:pPr>
      <w:r>
        <w:separator/>
      </w:r>
    </w:p>
  </w:endnote>
  <w:endnote w:type="continuationSeparator" w:id="0">
    <w:p w:rsidR="00D57CF9" w:rsidRDefault="00D1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B9" w:rsidRPr="00D104B9" w:rsidRDefault="00D104B9" w:rsidP="00D10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B9" w:rsidRPr="00D104B9" w:rsidRDefault="00D104B9" w:rsidP="00D104B9">
    <w:pPr>
      <w:pStyle w:val="FooterCoverPage"/>
      <w:rPr>
        <w:rFonts w:ascii="Arial" w:hAnsi="Arial" w:cs="Arial"/>
        <w:b/>
        <w:sz w:val="48"/>
      </w:rPr>
    </w:pPr>
    <w:r w:rsidRPr="00D104B9">
      <w:rPr>
        <w:rFonts w:ascii="Arial" w:hAnsi="Arial" w:cs="Arial"/>
        <w:b/>
        <w:sz w:val="48"/>
      </w:rPr>
      <w:t>EN</w:t>
    </w:r>
    <w:r w:rsidRPr="00D104B9">
      <w:rPr>
        <w:rFonts w:ascii="Arial" w:hAnsi="Arial" w:cs="Arial"/>
        <w:b/>
        <w:sz w:val="48"/>
      </w:rPr>
      <w:tab/>
    </w:r>
    <w:r w:rsidRPr="00D104B9">
      <w:rPr>
        <w:rFonts w:ascii="Arial" w:hAnsi="Arial" w:cs="Arial"/>
        <w:b/>
        <w:sz w:val="48"/>
      </w:rPr>
      <w:tab/>
    </w:r>
    <w:r w:rsidR="00216B18">
      <w:fldChar w:fldCharType="begin"/>
    </w:r>
    <w:r w:rsidR="00216B18">
      <w:instrText xml:space="preserve"> DOCVARIABLE "LW_Confidence" \* MERGEFORMAT </w:instrText>
    </w:r>
    <w:r w:rsidR="00216B18">
      <w:fldChar w:fldCharType="separate"/>
    </w:r>
    <w:r w:rsidR="00216B18">
      <w:t xml:space="preserve"> </w:t>
    </w:r>
    <w:r w:rsidR="00216B18">
      <w:fldChar w:fldCharType="end"/>
    </w:r>
    <w:r w:rsidRPr="00D104B9">
      <w:tab/>
    </w:r>
    <w:r w:rsidRPr="00D104B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B9" w:rsidRPr="00D104B9" w:rsidRDefault="00D104B9" w:rsidP="00D104B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104B9">
    <w:pPr>
      <w:pStyle w:val="Footer"/>
      <w:jc w:val="right"/>
    </w:pPr>
    <w:r>
      <w:fldChar w:fldCharType="begin"/>
    </w:r>
    <w:r>
      <w:instrText xml:space="preserve"> PAGE   \* MERGEFORMAT </w:instrText>
    </w:r>
    <w:r>
      <w:fldChar w:fldCharType="separate"/>
    </w:r>
    <w:r w:rsidR="00216B18">
      <w:rPr>
        <w:noProof/>
      </w:rPr>
      <w:t>6</w:t>
    </w:r>
    <w:r>
      <w:rPr>
        <w:noProof/>
      </w:rPr>
      <w:fldChar w:fldCharType="end"/>
    </w:r>
  </w:p>
  <w:p w:rsidR="00D57CF9" w:rsidRDefault="00D57C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F9" w:rsidRDefault="00D104B9">
      <w:pPr>
        <w:spacing w:after="0" w:line="240" w:lineRule="auto"/>
      </w:pPr>
      <w:r>
        <w:separator/>
      </w:r>
    </w:p>
  </w:footnote>
  <w:footnote w:type="continuationSeparator" w:id="0">
    <w:p w:rsidR="00D57CF9" w:rsidRDefault="00D104B9">
      <w:pPr>
        <w:spacing w:after="0" w:line="240" w:lineRule="auto"/>
      </w:pPr>
      <w:r>
        <w:continuationSeparator/>
      </w:r>
    </w:p>
  </w:footnote>
  <w:footnote w:id="1">
    <w:p w:rsidR="00D57CF9" w:rsidRDefault="00D104B9">
      <w:pPr>
        <w:pStyle w:val="FootnoteText"/>
      </w:pPr>
      <w:r>
        <w:rPr>
          <w:rStyle w:val="FootnoteReference"/>
        </w:rPr>
        <w:footnoteRef/>
      </w:r>
      <w:r>
        <w:t xml:space="preserve"> This annex lists </w:t>
      </w:r>
      <w:r>
        <w:rPr>
          <w:u w:val="single"/>
        </w:rPr>
        <w:t>new</w:t>
      </w:r>
      <w:r>
        <w:t xml:space="preserve"> initiatives to be undertaken in 2016 not already listed in Annex I. All items are additional to those listed in the latest version of the REFIT Scoreboard: </w:t>
      </w:r>
      <w:hyperlink r:id="rId1" w:history="1">
        <w:r>
          <w:rPr>
            <w:rStyle w:val="Hyperlink"/>
          </w:rPr>
          <w:t>http://ec.europa.eu/smart-regulation/better_regulation/key_docs_en.htm</w:t>
        </w:r>
      </w:hyperlink>
    </w:p>
  </w:footnote>
  <w:footnote w:id="2">
    <w:p w:rsidR="00D57CF9" w:rsidRDefault="00D104B9">
      <w:pPr>
        <w:pStyle w:val="FootnoteText"/>
        <w:jc w:val="both"/>
      </w:pPr>
      <w:r>
        <w:rPr>
          <w:rStyle w:val="FootnoteReference"/>
        </w:rPr>
        <w:footnoteRef/>
      </w:r>
      <w:r>
        <w:t xml:space="preserve"> The type of initiative is indicative only and might change, notably in view of the outcome of an impact assessment process. The table refers to "evaluation follow up" for those cases where a REFIT evaluation is still on-going and, while some form of follow up action is planned for 2016, its scope and nature remains too uncertain at this stage. During 2016, Roadmaps / Inception Impact Assessments will be published to inform the public about any such follow up action under consideration and allow for stakeholders' feedback: </w:t>
      </w:r>
      <w:hyperlink r:id="rId2" w:history="1">
        <w:r>
          <w:rPr>
            <w:rStyle w:val="Hyperlink"/>
          </w:rPr>
          <w:t>http://ec.europa.eu/smart-regulation/roadmaps/index_en.htm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B9" w:rsidRPr="00D104B9" w:rsidRDefault="00D104B9" w:rsidP="00D10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B9" w:rsidRPr="00D104B9" w:rsidRDefault="00D104B9" w:rsidP="00D104B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B9" w:rsidRPr="00D104B9" w:rsidRDefault="00D104B9" w:rsidP="00D104B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F9" w:rsidRDefault="00D57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78C16B5"/>
    <w:multiLevelType w:val="hybridMultilevel"/>
    <w:tmpl w:val="1F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06FF2"/>
    <w:multiLevelType w:val="hybridMultilevel"/>
    <w:tmpl w:val="F1D6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9558C"/>
    <w:multiLevelType w:val="multilevel"/>
    <w:tmpl w:val="4C0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07D1D"/>
    <w:multiLevelType w:val="hybridMultilevel"/>
    <w:tmpl w:val="2CA2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5E3EE8"/>
    <w:multiLevelType w:val="hybridMultilevel"/>
    <w:tmpl w:val="1690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7D438D"/>
    <w:multiLevelType w:val="multilevel"/>
    <w:tmpl w:val="5D0A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71114"/>
    <w:multiLevelType w:val="hybridMultilevel"/>
    <w:tmpl w:val="D300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6"/>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lt;UNUSED&gt;"/>
    <w:docVar w:name="LW_COVERPAGE_GUID" w:val="3993C2B2C5C248E5842818594FA19EEC"/>
    <w:docVar w:name="LW_CROSSREFERENCE" w:val="&lt;UNUSED&gt;"/>
    <w:docVar w:name="LW_DocType" w:val="NORMAL"/>
    <w:docVar w:name="LW_EMISSION" w:val="27.10.2015"/>
    <w:docVar w:name="LW_EMISSION_ISODATE" w:val="2015-10-27"/>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6_x000b__x000b_No time for business as usual"/>
    <w:docVar w:name="LW_PART_NBR" w:val="1"/>
    <w:docVar w:name="LW_PART_NBR_TOTAL" w:val="1"/>
    <w:docVar w:name="LW_REF.INST.NEW" w:val="COM"/>
    <w:docVar w:name="LW_REF.INST.NEW_ADOPTED" w:val="final"/>
    <w:docVar w:name="LW_REF.INST.NEW_TEXT" w:val="(2015) 6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D57CF9"/>
    <w:rsid w:val="00216B18"/>
    <w:rsid w:val="00D104B9"/>
    <w:rsid w:val="00D57C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off-screen">
    <w:name w:val="off-scree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
    <w:name w:val="s"/>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off-screen">
    <w:name w:val="off-screen"/>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
    <w:name w:val="s"/>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8202">
      <w:bodyDiv w:val="1"/>
      <w:marLeft w:val="0"/>
      <w:marRight w:val="0"/>
      <w:marTop w:val="0"/>
      <w:marBottom w:val="0"/>
      <w:divBdr>
        <w:top w:val="none" w:sz="0" w:space="0" w:color="auto"/>
        <w:left w:val="none" w:sz="0" w:space="0" w:color="auto"/>
        <w:bottom w:val="none" w:sz="0" w:space="0" w:color="auto"/>
        <w:right w:val="none" w:sz="0" w:space="0" w:color="auto"/>
      </w:divBdr>
    </w:div>
    <w:div w:id="437140343">
      <w:bodyDiv w:val="1"/>
      <w:marLeft w:val="0"/>
      <w:marRight w:val="0"/>
      <w:marTop w:val="0"/>
      <w:marBottom w:val="0"/>
      <w:divBdr>
        <w:top w:val="none" w:sz="0" w:space="0" w:color="auto"/>
        <w:left w:val="none" w:sz="0" w:space="0" w:color="auto"/>
        <w:bottom w:val="none" w:sz="0" w:space="0" w:color="auto"/>
        <w:right w:val="none" w:sz="0" w:space="0" w:color="auto"/>
      </w:divBdr>
      <w:divsChild>
        <w:div w:id="110367743">
          <w:marLeft w:val="0"/>
          <w:marRight w:val="0"/>
          <w:marTop w:val="0"/>
          <w:marBottom w:val="0"/>
          <w:divBdr>
            <w:top w:val="none" w:sz="0" w:space="0" w:color="auto"/>
            <w:left w:val="none" w:sz="0" w:space="0" w:color="auto"/>
            <w:bottom w:val="none" w:sz="0" w:space="0" w:color="auto"/>
            <w:right w:val="none" w:sz="0" w:space="0" w:color="auto"/>
          </w:divBdr>
          <w:divsChild>
            <w:div w:id="793251114">
              <w:marLeft w:val="0"/>
              <w:marRight w:val="0"/>
              <w:marTop w:val="0"/>
              <w:marBottom w:val="0"/>
              <w:divBdr>
                <w:top w:val="none" w:sz="0" w:space="0" w:color="auto"/>
                <w:left w:val="none" w:sz="0" w:space="0" w:color="auto"/>
                <w:bottom w:val="none" w:sz="0" w:space="0" w:color="auto"/>
                <w:right w:val="none" w:sz="0" w:space="0" w:color="auto"/>
              </w:divBdr>
              <w:divsChild>
                <w:div w:id="1228761777">
                  <w:marLeft w:val="0"/>
                  <w:marRight w:val="0"/>
                  <w:marTop w:val="0"/>
                  <w:marBottom w:val="0"/>
                  <w:divBdr>
                    <w:top w:val="none" w:sz="0" w:space="0" w:color="auto"/>
                    <w:left w:val="none" w:sz="0" w:space="0" w:color="auto"/>
                    <w:bottom w:val="none" w:sz="0" w:space="0" w:color="auto"/>
                    <w:right w:val="none" w:sz="0" w:space="0" w:color="auto"/>
                  </w:divBdr>
                  <w:divsChild>
                    <w:div w:id="1056201966">
                      <w:marLeft w:val="0"/>
                      <w:marRight w:val="0"/>
                      <w:marTop w:val="0"/>
                      <w:marBottom w:val="0"/>
                      <w:divBdr>
                        <w:top w:val="none" w:sz="0" w:space="0" w:color="auto"/>
                        <w:left w:val="none" w:sz="0" w:space="0" w:color="auto"/>
                        <w:bottom w:val="none" w:sz="0" w:space="0" w:color="auto"/>
                        <w:right w:val="none" w:sz="0" w:space="0" w:color="auto"/>
                      </w:divBdr>
                      <w:divsChild>
                        <w:div w:id="679284318">
                          <w:marLeft w:val="0"/>
                          <w:marRight w:val="0"/>
                          <w:marTop w:val="0"/>
                          <w:marBottom w:val="0"/>
                          <w:divBdr>
                            <w:top w:val="none" w:sz="0" w:space="0" w:color="auto"/>
                            <w:left w:val="none" w:sz="0" w:space="0" w:color="auto"/>
                            <w:bottom w:val="none" w:sz="0" w:space="0" w:color="auto"/>
                            <w:right w:val="none" w:sz="0" w:space="0" w:color="auto"/>
                          </w:divBdr>
                          <w:divsChild>
                            <w:div w:id="498010334">
                              <w:marLeft w:val="0"/>
                              <w:marRight w:val="0"/>
                              <w:marTop w:val="0"/>
                              <w:marBottom w:val="0"/>
                              <w:divBdr>
                                <w:top w:val="none" w:sz="0" w:space="0" w:color="auto"/>
                                <w:left w:val="none" w:sz="0" w:space="0" w:color="auto"/>
                                <w:bottom w:val="none" w:sz="0" w:space="0" w:color="auto"/>
                                <w:right w:val="none" w:sz="0" w:space="0" w:color="auto"/>
                              </w:divBdr>
                              <w:divsChild>
                                <w:div w:id="887449731">
                                  <w:marLeft w:val="0"/>
                                  <w:marRight w:val="0"/>
                                  <w:marTop w:val="180"/>
                                  <w:marBottom w:val="0"/>
                                  <w:divBdr>
                                    <w:top w:val="none" w:sz="0" w:space="0" w:color="auto"/>
                                    <w:left w:val="none" w:sz="0" w:space="0" w:color="auto"/>
                                    <w:bottom w:val="none" w:sz="0" w:space="0" w:color="auto"/>
                                    <w:right w:val="none" w:sz="0" w:space="0" w:color="auto"/>
                                  </w:divBdr>
                                  <w:divsChild>
                                    <w:div w:id="1435402150">
                                      <w:marLeft w:val="0"/>
                                      <w:marRight w:val="0"/>
                                      <w:marTop w:val="0"/>
                                      <w:marBottom w:val="0"/>
                                      <w:divBdr>
                                        <w:top w:val="dashed" w:sz="2" w:space="0" w:color="074A8B"/>
                                        <w:left w:val="dashed" w:sz="2" w:space="0" w:color="074A8B"/>
                                        <w:bottom w:val="dashed" w:sz="6" w:space="14" w:color="074A8B"/>
                                        <w:right w:val="dashed" w:sz="2" w:space="0" w:color="074A8B"/>
                                      </w:divBdr>
                                      <w:divsChild>
                                        <w:div w:id="987244846">
                                          <w:marLeft w:val="0"/>
                                          <w:marRight w:val="0"/>
                                          <w:marTop w:val="0"/>
                                          <w:marBottom w:val="0"/>
                                          <w:divBdr>
                                            <w:top w:val="none" w:sz="0" w:space="0" w:color="auto"/>
                                            <w:left w:val="none" w:sz="0" w:space="0" w:color="auto"/>
                                            <w:bottom w:val="none" w:sz="0" w:space="0" w:color="auto"/>
                                            <w:right w:val="none" w:sz="0" w:space="0" w:color="auto"/>
                                          </w:divBdr>
                                          <w:divsChild>
                                            <w:div w:id="1394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097161">
      <w:bodyDiv w:val="1"/>
      <w:marLeft w:val="0"/>
      <w:marRight w:val="0"/>
      <w:marTop w:val="0"/>
      <w:marBottom w:val="0"/>
      <w:divBdr>
        <w:top w:val="none" w:sz="0" w:space="0" w:color="auto"/>
        <w:left w:val="none" w:sz="0" w:space="0" w:color="auto"/>
        <w:bottom w:val="none" w:sz="0" w:space="0" w:color="auto"/>
        <w:right w:val="none" w:sz="0" w:space="0" w:color="auto"/>
      </w:divBdr>
    </w:div>
    <w:div w:id="646588386">
      <w:bodyDiv w:val="1"/>
      <w:marLeft w:val="0"/>
      <w:marRight w:val="0"/>
      <w:marTop w:val="0"/>
      <w:marBottom w:val="0"/>
      <w:divBdr>
        <w:top w:val="none" w:sz="0" w:space="0" w:color="auto"/>
        <w:left w:val="none" w:sz="0" w:space="0" w:color="auto"/>
        <w:bottom w:val="none" w:sz="0" w:space="0" w:color="auto"/>
        <w:right w:val="none" w:sz="0" w:space="0" w:color="auto"/>
      </w:divBdr>
    </w:div>
    <w:div w:id="809593104">
      <w:bodyDiv w:val="1"/>
      <w:marLeft w:val="0"/>
      <w:marRight w:val="0"/>
      <w:marTop w:val="0"/>
      <w:marBottom w:val="0"/>
      <w:divBdr>
        <w:top w:val="none" w:sz="0" w:space="0" w:color="auto"/>
        <w:left w:val="none" w:sz="0" w:space="0" w:color="auto"/>
        <w:bottom w:val="none" w:sz="0" w:space="0" w:color="auto"/>
        <w:right w:val="none" w:sz="0" w:space="0" w:color="auto"/>
      </w:divBdr>
    </w:div>
    <w:div w:id="896547874">
      <w:bodyDiv w:val="1"/>
      <w:marLeft w:val="0"/>
      <w:marRight w:val="0"/>
      <w:marTop w:val="0"/>
      <w:marBottom w:val="0"/>
      <w:divBdr>
        <w:top w:val="none" w:sz="0" w:space="0" w:color="auto"/>
        <w:left w:val="none" w:sz="0" w:space="0" w:color="auto"/>
        <w:bottom w:val="none" w:sz="0" w:space="0" w:color="auto"/>
        <w:right w:val="none" w:sz="0" w:space="0" w:color="auto"/>
      </w:divBdr>
      <w:divsChild>
        <w:div w:id="881089704">
          <w:marLeft w:val="0"/>
          <w:marRight w:val="0"/>
          <w:marTop w:val="0"/>
          <w:marBottom w:val="0"/>
          <w:divBdr>
            <w:top w:val="none" w:sz="0" w:space="0" w:color="auto"/>
            <w:left w:val="none" w:sz="0" w:space="0" w:color="auto"/>
            <w:bottom w:val="none" w:sz="0" w:space="0" w:color="auto"/>
            <w:right w:val="none" w:sz="0" w:space="0" w:color="auto"/>
          </w:divBdr>
          <w:divsChild>
            <w:div w:id="1000354641">
              <w:marLeft w:val="0"/>
              <w:marRight w:val="0"/>
              <w:marTop w:val="0"/>
              <w:marBottom w:val="0"/>
              <w:divBdr>
                <w:top w:val="none" w:sz="0" w:space="0" w:color="auto"/>
                <w:left w:val="none" w:sz="0" w:space="0" w:color="auto"/>
                <w:bottom w:val="none" w:sz="0" w:space="0" w:color="auto"/>
                <w:right w:val="none" w:sz="0" w:space="0" w:color="auto"/>
              </w:divBdr>
              <w:divsChild>
                <w:div w:id="842672146">
                  <w:marLeft w:val="0"/>
                  <w:marRight w:val="0"/>
                  <w:marTop w:val="0"/>
                  <w:marBottom w:val="0"/>
                  <w:divBdr>
                    <w:top w:val="none" w:sz="0" w:space="0" w:color="auto"/>
                    <w:left w:val="none" w:sz="0" w:space="0" w:color="auto"/>
                    <w:bottom w:val="none" w:sz="0" w:space="0" w:color="auto"/>
                    <w:right w:val="none" w:sz="0" w:space="0" w:color="auto"/>
                  </w:divBdr>
                  <w:divsChild>
                    <w:div w:id="741414591">
                      <w:marLeft w:val="0"/>
                      <w:marRight w:val="0"/>
                      <w:marTop w:val="0"/>
                      <w:marBottom w:val="0"/>
                      <w:divBdr>
                        <w:top w:val="none" w:sz="0" w:space="0" w:color="auto"/>
                        <w:left w:val="none" w:sz="0" w:space="0" w:color="auto"/>
                        <w:bottom w:val="none" w:sz="0" w:space="0" w:color="auto"/>
                        <w:right w:val="none" w:sz="0" w:space="0" w:color="auto"/>
                      </w:divBdr>
                      <w:divsChild>
                        <w:div w:id="656540429">
                          <w:marLeft w:val="0"/>
                          <w:marRight w:val="0"/>
                          <w:marTop w:val="0"/>
                          <w:marBottom w:val="0"/>
                          <w:divBdr>
                            <w:top w:val="none" w:sz="0" w:space="0" w:color="auto"/>
                            <w:left w:val="none" w:sz="0" w:space="0" w:color="auto"/>
                            <w:bottom w:val="none" w:sz="0" w:space="0" w:color="auto"/>
                            <w:right w:val="none" w:sz="0" w:space="0" w:color="auto"/>
                          </w:divBdr>
                          <w:divsChild>
                            <w:div w:id="1773084084">
                              <w:marLeft w:val="0"/>
                              <w:marRight w:val="0"/>
                              <w:marTop w:val="0"/>
                              <w:marBottom w:val="0"/>
                              <w:divBdr>
                                <w:top w:val="none" w:sz="0" w:space="0" w:color="auto"/>
                                <w:left w:val="none" w:sz="0" w:space="0" w:color="auto"/>
                                <w:bottom w:val="none" w:sz="0" w:space="0" w:color="auto"/>
                                <w:right w:val="none" w:sz="0" w:space="0" w:color="auto"/>
                              </w:divBdr>
                            </w:div>
                            <w:div w:id="292104712">
                              <w:marLeft w:val="0"/>
                              <w:marRight w:val="0"/>
                              <w:marTop w:val="0"/>
                              <w:marBottom w:val="0"/>
                              <w:divBdr>
                                <w:top w:val="none" w:sz="0" w:space="0" w:color="auto"/>
                                <w:left w:val="none" w:sz="0" w:space="0" w:color="auto"/>
                                <w:bottom w:val="none" w:sz="0" w:space="0" w:color="auto"/>
                                <w:right w:val="none" w:sz="0" w:space="0" w:color="auto"/>
                              </w:divBdr>
                            </w:div>
                            <w:div w:id="413212161">
                              <w:marLeft w:val="0"/>
                              <w:marRight w:val="0"/>
                              <w:marTop w:val="0"/>
                              <w:marBottom w:val="0"/>
                              <w:divBdr>
                                <w:top w:val="none" w:sz="0" w:space="0" w:color="auto"/>
                                <w:left w:val="none" w:sz="0" w:space="0" w:color="auto"/>
                                <w:bottom w:val="none" w:sz="0" w:space="0" w:color="auto"/>
                                <w:right w:val="none" w:sz="0" w:space="0" w:color="auto"/>
                              </w:divBdr>
                            </w:div>
                          </w:divsChild>
                        </w:div>
                        <w:div w:id="925654911">
                          <w:marLeft w:val="0"/>
                          <w:marRight w:val="0"/>
                          <w:marTop w:val="0"/>
                          <w:marBottom w:val="0"/>
                          <w:divBdr>
                            <w:top w:val="none" w:sz="0" w:space="0" w:color="auto"/>
                            <w:left w:val="none" w:sz="0" w:space="0" w:color="auto"/>
                            <w:bottom w:val="none" w:sz="0" w:space="0" w:color="auto"/>
                            <w:right w:val="none" w:sz="0" w:space="0" w:color="auto"/>
                          </w:divBdr>
                          <w:divsChild>
                            <w:div w:id="1239437816">
                              <w:marLeft w:val="0"/>
                              <w:marRight w:val="0"/>
                              <w:marTop w:val="0"/>
                              <w:marBottom w:val="0"/>
                              <w:divBdr>
                                <w:top w:val="none" w:sz="0" w:space="0" w:color="auto"/>
                                <w:left w:val="none" w:sz="0" w:space="0" w:color="auto"/>
                                <w:bottom w:val="none" w:sz="0" w:space="0" w:color="auto"/>
                                <w:right w:val="none" w:sz="0" w:space="0" w:color="auto"/>
                              </w:divBdr>
                              <w:divsChild>
                                <w:div w:id="1199777053">
                                  <w:marLeft w:val="0"/>
                                  <w:marRight w:val="0"/>
                                  <w:marTop w:val="0"/>
                                  <w:marBottom w:val="0"/>
                                  <w:divBdr>
                                    <w:top w:val="none" w:sz="0" w:space="0" w:color="auto"/>
                                    <w:left w:val="none" w:sz="0" w:space="0" w:color="auto"/>
                                    <w:bottom w:val="none" w:sz="0" w:space="0" w:color="auto"/>
                                    <w:right w:val="none" w:sz="0" w:space="0" w:color="auto"/>
                                  </w:divBdr>
                                  <w:divsChild>
                                    <w:div w:id="355273263">
                                      <w:marLeft w:val="0"/>
                                      <w:marRight w:val="300"/>
                                      <w:marTop w:val="0"/>
                                      <w:marBottom w:val="0"/>
                                      <w:divBdr>
                                        <w:top w:val="none" w:sz="0" w:space="0" w:color="auto"/>
                                        <w:left w:val="none" w:sz="0" w:space="0" w:color="auto"/>
                                        <w:bottom w:val="none" w:sz="0" w:space="0" w:color="auto"/>
                                        <w:right w:val="none" w:sz="0" w:space="0" w:color="auto"/>
                                      </w:divBdr>
                                      <w:divsChild>
                                        <w:div w:id="20383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3124">
                                  <w:marLeft w:val="0"/>
                                  <w:marRight w:val="0"/>
                                  <w:marTop w:val="0"/>
                                  <w:marBottom w:val="0"/>
                                  <w:divBdr>
                                    <w:top w:val="dashed" w:sz="2" w:space="0" w:color="074A8B"/>
                                    <w:left w:val="dashed" w:sz="2" w:space="0" w:color="074A8B"/>
                                    <w:bottom w:val="dashed" w:sz="6" w:space="9" w:color="074A8B"/>
                                    <w:right w:val="dashed" w:sz="2" w:space="0" w:color="074A8B"/>
                                  </w:divBdr>
                                </w:div>
                              </w:divsChild>
                            </w:div>
                          </w:divsChild>
                        </w:div>
                      </w:divsChild>
                    </w:div>
                  </w:divsChild>
                </w:div>
              </w:divsChild>
            </w:div>
          </w:divsChild>
        </w:div>
      </w:divsChild>
    </w:div>
    <w:div w:id="1005860652">
      <w:bodyDiv w:val="1"/>
      <w:marLeft w:val="0"/>
      <w:marRight w:val="0"/>
      <w:marTop w:val="0"/>
      <w:marBottom w:val="0"/>
      <w:divBdr>
        <w:top w:val="none" w:sz="0" w:space="0" w:color="auto"/>
        <w:left w:val="none" w:sz="0" w:space="0" w:color="auto"/>
        <w:bottom w:val="none" w:sz="0" w:space="0" w:color="auto"/>
        <w:right w:val="none" w:sz="0" w:space="0" w:color="auto"/>
      </w:divBdr>
    </w:div>
    <w:div w:id="2012416298">
      <w:bodyDiv w:val="1"/>
      <w:marLeft w:val="0"/>
      <w:marRight w:val="0"/>
      <w:marTop w:val="0"/>
      <w:marBottom w:val="0"/>
      <w:divBdr>
        <w:top w:val="none" w:sz="0" w:space="0" w:color="auto"/>
        <w:left w:val="none" w:sz="0" w:space="0" w:color="auto"/>
        <w:bottom w:val="none" w:sz="0" w:space="0" w:color="auto"/>
        <w:right w:val="none" w:sz="0" w:space="0" w:color="auto"/>
      </w:divBdr>
      <w:divsChild>
        <w:div w:id="1512528342">
          <w:marLeft w:val="0"/>
          <w:marRight w:val="0"/>
          <w:marTop w:val="0"/>
          <w:marBottom w:val="0"/>
          <w:divBdr>
            <w:top w:val="none" w:sz="0" w:space="0" w:color="auto"/>
            <w:left w:val="none" w:sz="0" w:space="0" w:color="auto"/>
            <w:bottom w:val="none" w:sz="0" w:space="0" w:color="auto"/>
            <w:right w:val="none" w:sz="0" w:space="0" w:color="auto"/>
          </w:divBdr>
          <w:divsChild>
            <w:div w:id="1234202734">
              <w:marLeft w:val="0"/>
              <w:marRight w:val="0"/>
              <w:marTop w:val="0"/>
              <w:marBottom w:val="0"/>
              <w:divBdr>
                <w:top w:val="none" w:sz="0" w:space="0" w:color="auto"/>
                <w:left w:val="none" w:sz="0" w:space="0" w:color="auto"/>
                <w:bottom w:val="none" w:sz="0" w:space="0" w:color="auto"/>
                <w:right w:val="none" w:sz="0" w:space="0" w:color="auto"/>
              </w:divBdr>
              <w:divsChild>
                <w:div w:id="1924951780">
                  <w:marLeft w:val="0"/>
                  <w:marRight w:val="0"/>
                  <w:marTop w:val="0"/>
                  <w:marBottom w:val="0"/>
                  <w:divBdr>
                    <w:top w:val="none" w:sz="0" w:space="0" w:color="auto"/>
                    <w:left w:val="none" w:sz="0" w:space="0" w:color="auto"/>
                    <w:bottom w:val="none" w:sz="0" w:space="0" w:color="auto"/>
                    <w:right w:val="none" w:sz="0" w:space="0" w:color="auto"/>
                  </w:divBdr>
                  <w:divsChild>
                    <w:div w:id="1564020289">
                      <w:marLeft w:val="0"/>
                      <w:marRight w:val="0"/>
                      <w:marTop w:val="0"/>
                      <w:marBottom w:val="0"/>
                      <w:divBdr>
                        <w:top w:val="none" w:sz="0" w:space="0" w:color="auto"/>
                        <w:left w:val="none" w:sz="0" w:space="0" w:color="auto"/>
                        <w:bottom w:val="none" w:sz="0" w:space="0" w:color="auto"/>
                        <w:right w:val="none" w:sz="0" w:space="0" w:color="auto"/>
                      </w:divBdr>
                      <w:divsChild>
                        <w:div w:id="63458699">
                          <w:marLeft w:val="0"/>
                          <w:marRight w:val="0"/>
                          <w:marTop w:val="0"/>
                          <w:marBottom w:val="0"/>
                          <w:divBdr>
                            <w:top w:val="none" w:sz="0" w:space="0" w:color="auto"/>
                            <w:left w:val="none" w:sz="0" w:space="0" w:color="auto"/>
                            <w:bottom w:val="none" w:sz="0" w:space="0" w:color="auto"/>
                            <w:right w:val="none" w:sz="0" w:space="0" w:color="auto"/>
                          </w:divBdr>
                          <w:divsChild>
                            <w:div w:id="1037314928">
                              <w:marLeft w:val="0"/>
                              <w:marRight w:val="0"/>
                              <w:marTop w:val="0"/>
                              <w:marBottom w:val="0"/>
                              <w:divBdr>
                                <w:top w:val="none" w:sz="0" w:space="0" w:color="auto"/>
                                <w:left w:val="none" w:sz="0" w:space="0" w:color="auto"/>
                                <w:bottom w:val="none" w:sz="0" w:space="0" w:color="auto"/>
                                <w:right w:val="none" w:sz="0" w:space="0" w:color="auto"/>
                              </w:divBdr>
                              <w:divsChild>
                                <w:div w:id="2058629392">
                                  <w:marLeft w:val="0"/>
                                  <w:marRight w:val="0"/>
                                  <w:marTop w:val="180"/>
                                  <w:marBottom w:val="0"/>
                                  <w:divBdr>
                                    <w:top w:val="none" w:sz="0" w:space="0" w:color="auto"/>
                                    <w:left w:val="none" w:sz="0" w:space="0" w:color="auto"/>
                                    <w:bottom w:val="none" w:sz="0" w:space="0" w:color="auto"/>
                                    <w:right w:val="none" w:sz="0" w:space="0" w:color="auto"/>
                                  </w:divBdr>
                                  <w:divsChild>
                                    <w:div w:id="487135927">
                                      <w:marLeft w:val="0"/>
                                      <w:marRight w:val="0"/>
                                      <w:marTop w:val="0"/>
                                      <w:marBottom w:val="0"/>
                                      <w:divBdr>
                                        <w:top w:val="dashed" w:sz="2" w:space="0" w:color="074A8B"/>
                                        <w:left w:val="dashed" w:sz="2" w:space="0" w:color="074A8B"/>
                                        <w:bottom w:val="dashed" w:sz="6" w:space="14" w:color="074A8B"/>
                                        <w:right w:val="dashed" w:sz="2" w:space="0" w:color="074A8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uri=CELEX:32013R03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EN/TXT/?uri=CELEX:32013R034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roadmaps/index_en.htm" TargetMode="External"/><Relationship Id="rId1" Type="http://schemas.openxmlformats.org/officeDocument/2006/relationships/hyperlink" Target="http://ec.europa.eu/smart-regulation/better_regulation/key_doc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5FBA-6BEA-4CE9-873C-615BC57D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1347</Words>
  <Characters>7884</Characters>
  <Application>Microsoft Office Word</Application>
  <DocSecurity>0</DocSecurity>
  <Lines>171</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PAREDES ECHAURI Cristina (CAB-ALMUNIA)</cp:lastModifiedBy>
  <cp:revision>10</cp:revision>
  <cp:lastPrinted>2015-10-27T11:31:00Z</cp:lastPrinted>
  <dcterms:created xsi:type="dcterms:W3CDTF">2015-10-26T16:46:00Z</dcterms:created>
  <dcterms:modified xsi:type="dcterms:W3CDTF">2015-10-27T11:31:00Z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