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50291C74C04DF78C47F50FE3B418BC"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РЕШЕНИЕТО</w:t>
      </w:r>
    </w:p>
    <w:p>
      <w:pPr>
        <w:rPr>
          <w:noProof/>
        </w:rPr>
      </w:pPr>
      <w:r>
        <w:rPr>
          <w:noProof/>
        </w:rPr>
        <w:t>На международно равнище, Световният форум за хармонизация на регулаторната уредба за превозните средства (WP.29) на Икономическата комисия за Европа на Организацията на обединените нации (ИКЕ на ООН) разработва хармонизирани изисквания, предназначени да премахнат техническите пречки пред търговията с моторни превозни средства между страните по Ревизираната спогодба от 1958 г. и да гарантират, че тези превозни средства осигуряват висока степен на безопасност и опазване на околната среда. С решение 97/836/ЕО на Съвета Европейският съюз се присъедини към Ревизираната спогодба от 1958 г.</w:t>
      </w:r>
    </w:p>
    <w:p>
      <w:pPr>
        <w:rPr>
          <w:noProof/>
        </w:rPr>
      </w:pPr>
      <w:r>
        <w:rPr>
          <w:noProof/>
        </w:rPr>
        <w:t>WP.29 прие на своята 150-а сесия през март 2010 г. да разгледа действия относно бъдещата насока за хармонизация на регулаторната уредба за превозните средства в рамките на Ревизираната спогодба от 1958 г., с цел засилване на участието на все повече държави и регионални организации за икономическа интеграция в дейността на Световния форум и да се увеличи броят на страните по Ревизираната спогодба от 1958 г. Това преразглеждане следва да има за цел също и да се укрепва функционирането и надеждността на Ревизираната спогодба от 1958 г., както и да се гарантира, че тя продължава да бъде основната международна рамка за хармонизация на техническите предписания в автомобилния отрасъл.</w:t>
      </w:r>
    </w:p>
    <w:p>
      <w:pPr>
        <w:rPr>
          <w:noProof/>
        </w:rPr>
      </w:pPr>
      <w:r>
        <w:rPr>
          <w:noProof/>
        </w:rPr>
        <w:t>През юли 2013 г. Комисията получи разрешение от Съвета да започне преговори от името на Европейския съюз по предложенията за преразглеждане на Спогодбата. За тази цел тя ръководи дейността на работната група към създадената от WP.29 неформална работна група, която е натоварена със задачата да разработва предложения за изменение на Спогодбата. Резултатите от нейната работа бяха представени на WP.29 през март 2014 г. и WP.29 взе решение да „замрази“ проектите за предложения, за да даде възможност на договарящите страни да започнат своите национални процедури на оценка на предложенията. През ноември 2014 г. договарящите страни съвместно представиха предложение на WP.29 за повишаване на прага за приемане на решения с мнозинство при приемане на нови и изменяне на съществуващи правила на ООН от две трети на четири пети.</w:t>
      </w:r>
    </w:p>
    <w:p>
      <w:pPr>
        <w:rPr>
          <w:noProof/>
        </w:rPr>
      </w:pPr>
      <w:r>
        <w:rPr>
          <w:noProof/>
        </w:rPr>
        <w:t>В работния документ на службите на Комисията SWD (2014) 178 final от 28 май 2014 г., озаглавен „Доклад за напредъка по дейността на Световния форум за хармонизация на регулаторната уредба за превозните средства за 2013 г.“ се изказва предположението, че ако въпросът с повишаване на прага за приемане на решения с мнозинство намери положително разрешение, вероятността за привличане като нови страни по Спогодбата на такива важни партньори на ЕС като Индия, Китай, страните от ASEAN или дори Бразилия значително се увеличава. В плана за действие „CARS 2020“ също се признава, че приемането от търговските партньори на ЕС на международно хармонизирана регулаторна уредба, установена в рамките на Спогодбата от 1958 г., е най-добрият начин да се премахнат нетарифните бариери пред търговията , и че поради това е необходимо да се повиши привлекателността на Спогодбата от 1958 г. След като предложенията за преразглеждане на Спогодбата, включително искането да се повиши прагът на приемане на решение с мнозинство до четири пети, бяха оценени в светлината на изложеното, може да се направи заключението, че те изпълняват задачата да направят Спогодбата по-привлекателна за трети държави, като същевременно увеличават нейната ефективност и надеждност.</w:t>
      </w:r>
    </w:p>
    <w:p>
      <w:pPr>
        <w:rPr>
          <w:noProof/>
        </w:rPr>
      </w:pPr>
      <w:r>
        <w:rPr>
          <w:noProof/>
        </w:rPr>
        <w:t xml:space="preserve">Поради това Европейският съюз като договаряща страна по Спогодбата следва да предприеме необходимите стъпки към приемането на предложените изменения на Спогодбата от 1958 г. в съответствие с процедурите, определени в член 5, параграф 1 и точка 3 от приложение III от Решение 97/836/ЕО. В посочените процедури се предвижда, че по предложение на Комисията Съветът приема решение да приключи процедурата по преразглеждане на Спогодбата и да представи от името на Съюза предложените изменения на Спогодбата на договарящите страни. В член 13, параграф 1 от Спогодбата се предвижда, че това се извършва чрез уведомяване на генералния секретар на ООН за текста на предложението за изменение, който го препраща на всички договарящи страни. </w:t>
      </w:r>
    </w:p>
    <w:p>
      <w:pPr>
        <w:rPr>
          <w:noProof/>
        </w:rPr>
      </w:pPr>
      <w:r>
        <w:rPr>
          <w:noProof/>
        </w:rPr>
        <w:t>В член 13, параграфи 2 и 3 от Спогодбата се посочва, че предложените изменения се считат за приети, ако нито една договаряща страна не изрази възражение в шестмесечен срок от датата, на която генералният секретар е изпратил предложеното изменение. Като взе предвид необходимостта от одобрението на всички договарящи страни по Спогодбата, WP.29 реши да организира неофициално гласуване с цел да провери дали всички договарящи страни по настоящата спогодба са готови да приемат предложеното изменение преди да се даде ход на процедурата за изменение по член 13. Поради това Комисията следва да получи разрешение да гласува от името на ЕС в полза на предложените изменения.</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autoSpaceDE w:val="0"/>
        <w:autoSpaceDN w:val="0"/>
        <w:adjustRightInd w:val="0"/>
        <w:rPr>
          <w:noProof/>
        </w:rPr>
      </w:pPr>
      <w:r>
        <w:rPr>
          <w:noProof/>
        </w:rPr>
        <w:t>По проектите за предложения за преразглеждане на Ревизираната спогодба от 1958 г. с всички заинтересовани страни от автомобилния отрасъл бяха провеждани редовни консултации чрез обмяна на становища в рамките на работната група по моторните превозни средства. По време на преговорите бяха провеждани и консултации с държавите членки в рамките на Техническия комитет по моторните превозни средства, в съответствие с указанията за водене на преговори, издадени от Съвета през юли 2013 г. Представители на държавите членки и на промишлени асоциации взеха участие и в дейността на неформалната работна група, създадена от WP.29, и по-специално в председателстваната от службите на Комисията работна група за подготовка на проектите на предложения за Преработка 3 на Спогодбата.</w:t>
      </w:r>
    </w:p>
    <w:p>
      <w:pPr>
        <w:autoSpaceDE w:val="0"/>
        <w:autoSpaceDN w:val="0"/>
        <w:adjustRightInd w:val="0"/>
        <w:rPr>
          <w:rFonts w:eastAsia="MS Mincho"/>
          <w:noProof/>
        </w:rPr>
      </w:pPr>
      <w:r>
        <w:rPr>
          <w:noProof/>
        </w:rPr>
        <w:t>Тези консултации дадоха възможност да се постигне консенсус по проектите за предложения за Преработка 3 на споразумението, разработени от неформалната работна група и представени на WP.29, както и да се получи положителен отговор на предложението да се повиши прагът за вземане на решения с мнозинство при приемането на решение на ООН и при изменянето на такива решения.</w:t>
      </w:r>
    </w:p>
    <w:p>
      <w:pPr>
        <w:rPr>
          <w:rFonts w:eastAsia="MS Mincho"/>
          <w:noProof/>
        </w:rPr>
      </w:pPr>
      <w:r>
        <w:rPr>
          <w:noProof/>
        </w:rPr>
        <w:t xml:space="preserve">За настоящото решение не беше изготвена оценка на въздействието, но службите на Комисията проведоха проучване на разходите и ползите, за да проверят дали предлаганите изменения на Спогодбата ще позволят постигането на очакваните ползи, що се отнася до увеличаване на привлекателността на Спогодбата и като резултат — повишаване в глобален мащаб на конкурентоспособността на автомобилната промишленост на Съюза чрез улесняване на достъпа до пазара в държавите, които биха се присъединили към Спогодбата след ревизирането ѝ. </w:t>
      </w:r>
    </w:p>
    <w:p>
      <w:pPr>
        <w:pStyle w:val="ManualHeading1"/>
        <w:rPr>
          <w:noProof/>
        </w:rPr>
      </w:pPr>
      <w:r>
        <w:rPr>
          <w:noProof/>
        </w:rPr>
        <w:t>3.</w:t>
      </w:r>
      <w:r>
        <w:rPr>
          <w:noProof/>
        </w:rPr>
        <w:tab/>
        <w:t>ПРАВНИ ЕЛЕМЕНТИ НА РЕШЕНИЕТО</w:t>
      </w:r>
    </w:p>
    <w:p>
      <w:pPr>
        <w:rPr>
          <w:noProof/>
        </w:rPr>
      </w:pPr>
      <w:r>
        <w:rPr>
          <w:noProof/>
        </w:rPr>
        <w:t>Както е посочено в член 5, параграф 1 от Решение 97/836/ЕО на Съвета, правното основание за настоящото решение е член 218, параграф 6, буква а) от Договора за функционирането на Европейския съюз.</w:t>
      </w:r>
    </w:p>
    <w:p>
      <w:pPr>
        <w:rPr>
          <w:noProof/>
        </w:rPr>
      </w:pPr>
      <w:r>
        <w:rPr>
          <w:noProof/>
        </w:rPr>
        <w:t xml:space="preserve">Предвидените изменения на Спогодбата ще се отнасят до процедурите за разработване, изменение и приемане на технически предписания за моторни превозни средства, както и до тяхното прилагане от договарящите страни, а също и до условията за издаване на одобрения на типа и тяхното взаимно признаване, и така ще продължат да служат като основание за издаване на одобрения на типа в съответствие със законодателството на ЕС в областта на одобряването на типа. </w:t>
      </w:r>
    </w:p>
    <w:p>
      <w:pPr>
        <w:pStyle w:val="ManualHeading1"/>
        <w:rPr>
          <w:noProof/>
        </w:rPr>
      </w:pPr>
      <w:r>
        <w:rPr>
          <w:noProof/>
        </w:rPr>
        <w:t>4.</w:t>
      </w:r>
      <w:r>
        <w:rPr>
          <w:noProof/>
        </w:rPr>
        <w:tab/>
        <w:t xml:space="preserve">ОТРАЖЕНИЕ ВЪРХУ БЮДЖЕТА </w:t>
      </w:r>
    </w:p>
    <w:p>
      <w:pPr>
        <w:rPr>
          <w:noProof/>
        </w:rPr>
      </w:pPr>
      <w:r>
        <w:rPr>
          <w:noProof/>
        </w:rPr>
        <w:t>Предложението няма отражение върху бюджета на Съюза.</w:t>
      </w:r>
    </w:p>
    <w:p>
      <w:pPr>
        <w:pStyle w:val="ManualHeading1"/>
        <w:rPr>
          <w:noProof/>
        </w:rPr>
      </w:pPr>
      <w:r>
        <w:rPr>
          <w:noProof/>
        </w:rPr>
        <w:t>5.</w:t>
      </w:r>
      <w:r>
        <w:rPr>
          <w:noProof/>
        </w:rPr>
        <w:tab/>
        <w:t xml:space="preserve">НЕЗАДЪЛЖИТЕЛНИ ЕЛЕМЕНТИ </w:t>
      </w:r>
    </w:p>
    <w:p>
      <w:pPr>
        <w:rPr>
          <w:noProof/>
        </w:rPr>
      </w:pPr>
      <w:r>
        <w:rPr>
          <w:noProof/>
        </w:rPr>
        <w:t>Предложеният акт не засяга материя от значение за Европейското икономическо пространство и следователно не трябва да обхваща и Европейското икономическо пространство.</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2015/0249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приключване на Преработка 3 на Спогодбата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(„Ревизирана спогодба от 1958 година“)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от него във връзка с член 218, параграф 6, буква а) от него,</w:t>
      </w:r>
    </w:p>
    <w:p>
      <w:pPr>
        <w:rPr>
          <w:noProof/>
        </w:rPr>
      </w:pPr>
      <w:r>
        <w:rPr>
          <w:noProof/>
        </w:rPr>
        <w:t>като взе предвид 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w:t>
      </w:r>
      <w:r>
        <w:rPr>
          <w:rStyle w:val="FootnoteReference"/>
          <w:noProof/>
        </w:rPr>
        <w:footnoteReference w:id="1"/>
      </w:r>
      <w:r>
        <w:rPr>
          <w:noProof/>
        </w:rPr>
        <w:t>, и по-специално член 5, параграф 1, и приложение III, точка 3 о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Спогодбата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 наричана по-долу „Спогодбата“) влезе в сила на 16 октомври 1995 г.</w:t>
      </w:r>
    </w:p>
    <w:p>
      <w:pPr>
        <w:pStyle w:val="ManualConsidrant"/>
        <w:rPr>
          <w:noProof/>
        </w:rPr>
      </w:pPr>
      <w:r>
        <w:t>(2)</w:t>
      </w:r>
      <w:r>
        <w:tab/>
      </w:r>
      <w:r>
        <w:rPr>
          <w:noProof/>
        </w:rPr>
        <w:t xml:space="preserve">В член 13 от Спогодбата се предвижда, че изменения на текста на самата Спогодба и на нейните приложения се приемат чрез изпращане от договаряща страна на текста на предлаганите изменения на генералния секретар на ООН, който го препраща на всички договарящи страни. Ако нито една договаряща страна не изрази възражение в шестмесечен срок от датата, на която генералният секретар е изпратил предложените изменения, изменението влиза в сила за всички договарящи страни три месеца след изтичането на посочения шестмесечен срок. </w:t>
      </w:r>
    </w:p>
    <w:p>
      <w:pPr>
        <w:pStyle w:val="ManualConsidrant"/>
        <w:rPr>
          <w:noProof/>
        </w:rPr>
      </w:pPr>
      <w:r>
        <w:t>(3)</w:t>
      </w:r>
      <w:r>
        <w:tab/>
      </w:r>
      <w:r>
        <w:rPr>
          <w:noProof/>
        </w:rPr>
        <w:t xml:space="preserve">На 150-та си сесия през март 2010 г. в рамките на WP.29 бе постигнато споразумение да се създаде неформална група с цел подпомагане на WP.29 при обсъждането на действия по насоката на бъдещото хармонизиране на регулаторната уредба в областта на превозните средства в рамките на Ревизираната спогодба от 1958 г. Тази бъдеща насока следва да има за цел насърчаването на участието на повече държави и регионални организации за икономическа интеграция в дейността на Световния форум и увеличаването на страните по Ревизираната спогодба от 1958 г., като се подобри функционирането и надеждността ѝ, и по този начин се гарантира, че тя продължава да бъде основната международна рамка за хармонизация на техническите предписания в автомобилния сектор. </w:t>
      </w:r>
    </w:p>
    <w:p>
      <w:pPr>
        <w:pStyle w:val="ManualConsidrant"/>
        <w:rPr>
          <w:noProof/>
        </w:rPr>
      </w:pPr>
      <w:r>
        <w:t>(4)</w:t>
      </w:r>
      <w:r>
        <w:tab/>
      </w:r>
      <w:r>
        <w:rPr>
          <w:noProof/>
        </w:rPr>
        <w:t>На 15 юли 2013 г. Съветът разреши на Комисията да започне преговори в рамките на WP.29 за изменение на Спогодбата. От името на Съюза Комисията водѝ преговори по предложенията за изменения на Спогодбата в рамките на неформалната група, създадена от WP.29.</w:t>
      </w:r>
    </w:p>
    <w:p>
      <w:pPr>
        <w:pStyle w:val="ManualConsidrant"/>
        <w:rPr>
          <w:noProof/>
        </w:rPr>
      </w:pPr>
      <w:r>
        <w:t>(5)</w:t>
      </w:r>
      <w:r>
        <w:tab/>
      </w:r>
      <w:r>
        <w:rPr>
          <w:noProof/>
        </w:rPr>
        <w:t>На 162-то си заседание през март 2014 г. WP.29 взе предвид предложенията за Преработка 3 на Спогодбата от 1958 г., подготвени от неформалната група и прикани договарящите страни по Спогодбата да започнат своите национални процедури по разглеждане на предложенията за изменения на Спогодбата.</w:t>
      </w:r>
    </w:p>
    <w:p>
      <w:pPr>
        <w:pStyle w:val="ManualConsidrant"/>
        <w:rPr>
          <w:noProof/>
        </w:rPr>
      </w:pPr>
      <w:r>
        <w:t>(6)</w:t>
      </w:r>
      <w:r>
        <w:tab/>
      </w:r>
      <w:r>
        <w:rPr>
          <w:noProof/>
        </w:rPr>
        <w:t>На 164</w:t>
      </w:r>
      <w:r>
        <w:rPr>
          <w:noProof/>
          <w:vertAlign w:val="superscript"/>
        </w:rPr>
        <w:t>-то</w:t>
      </w:r>
      <w:r>
        <w:rPr>
          <w:noProof/>
        </w:rPr>
        <w:t xml:space="preserve"> си заседание през март 2014 г. WP.29 взе предвид предложенията, направени от някои договарящи страни по Спогодбата да се повиши прагът за вземане на решения с мнозинство при приемането на нови и при изменянето на съществуващи решения на ООН от две трети до четири пети. Представителят на ЕС оповести намерението да се изработи съгласувана позиция на държавите — членки на ЕС по това предложение.</w:t>
      </w:r>
    </w:p>
    <w:p>
      <w:pPr>
        <w:pStyle w:val="ManualConsidrant"/>
        <w:rPr>
          <w:noProof/>
        </w:rPr>
      </w:pPr>
      <w:r>
        <w:t>(7)</w:t>
      </w:r>
      <w:r>
        <w:tab/>
      </w:r>
      <w:r>
        <w:rPr>
          <w:noProof/>
        </w:rPr>
        <w:t xml:space="preserve">Предложенията за Преработка 3 на Спогодбата и за повишаване на прага за вземане на решения с мнозинство от две трети до четири пети отговарят на целите на преговорите, посочени в решението на Съвета, с което Комисията се оправомощава да започне преговори в рамките на WP.29 за Преработка 3 на Спогодбата. </w:t>
      </w:r>
    </w:p>
    <w:p>
      <w:pPr>
        <w:pStyle w:val="ManualConsidrant"/>
        <w:rPr>
          <w:noProof/>
        </w:rPr>
      </w:pPr>
      <w:r>
        <w:t>(8)</w:t>
      </w:r>
      <w:r>
        <w:tab/>
      </w:r>
      <w:r>
        <w:rPr>
          <w:noProof/>
        </w:rPr>
        <w:t>Поради това членове 1 — 15 и допълнения 1 и 2 следва да бъдат съответно изменени.</w:t>
      </w:r>
    </w:p>
    <w:p>
      <w:pPr>
        <w:pStyle w:val="ManualConsidrant"/>
        <w:rPr>
          <w:noProof/>
        </w:rPr>
      </w:pPr>
      <w:r>
        <w:t>(9)</w:t>
      </w:r>
      <w:r>
        <w:tab/>
      </w:r>
      <w:r>
        <w:rPr>
          <w:noProof/>
        </w:rPr>
        <w:t>Посочените изменения на Спогодбата следва да бъдат одобрени от името на Европейския Съюз.</w:t>
      </w:r>
    </w:p>
    <w:p>
      <w:pPr>
        <w:pStyle w:val="ManualConsidrant"/>
        <w:rPr>
          <w:noProof/>
        </w:rPr>
      </w:pPr>
      <w:r>
        <w:t>(10)</w:t>
      </w:r>
      <w:r>
        <w:tab/>
      </w:r>
      <w:r>
        <w:rPr>
          <w:noProof/>
        </w:rPr>
        <w:t>WP.29 ще организира неофициално гласуване, за да провери дали може да се получи съгласието на договарящите страни по посочените изменения на Спогодбата преди да се даде ход на процедурата, посочена в член 13 за изменение на Спогодбата. Съюзът следва да гласува в полза на тези изменения.</w:t>
      </w:r>
    </w:p>
    <w:p>
      <w:pPr>
        <w:pStyle w:val="ManualConsidrant"/>
        <w:rPr>
          <w:noProof/>
        </w:rPr>
      </w:pPr>
      <w:r>
        <w:t>(11)</w:t>
      </w:r>
      <w:r>
        <w:tab/>
      </w:r>
      <w:r>
        <w:rPr>
          <w:noProof/>
        </w:rPr>
        <w:t>След като на неофициалното гласуване в рамките на WP.29 беше потвърдено, че е получено съгласието на всички договарящи страни по предложените изменения на Спогодбата, председателят на Съвета следва да назначи представител на Европейския съюз, който е оправомощен да изпрати, както е определено в приложение III, точка 3 от Решение 97/836/ЕО на Съвета, текста на предложените изменения на генералния секретар на ООН в съответствие с член 13, параграф 1 от Спогодбата.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 настоящото от името на Европейския съюз се одобрява Преработка 3 на Спогодбата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w:t>
      </w:r>
    </w:p>
    <w:p>
      <w:pPr>
        <w:rPr>
          <w:noProof/>
        </w:rPr>
      </w:pPr>
      <w:r>
        <w:rPr>
          <w:noProof/>
        </w:rPr>
        <w:t>Текстът на Преработка 3 на Спогодбата е приложен към настоящото решение.</w:t>
      </w:r>
    </w:p>
    <w:p>
      <w:pPr>
        <w:pStyle w:val="Titrearticle"/>
        <w:rPr>
          <w:noProof/>
        </w:rPr>
      </w:pPr>
      <w:r>
        <w:rPr>
          <w:noProof/>
        </w:rPr>
        <w:t>Член 2</w:t>
      </w:r>
    </w:p>
    <w:p>
      <w:pPr>
        <w:rPr>
          <w:noProof/>
        </w:rPr>
      </w:pPr>
      <w:r>
        <w:rPr>
          <w:noProof/>
        </w:rPr>
        <w:t>Председателят на Съвета определя лицето, което е оправомощено да извърши от името на Европейския съюз уведомяването, предвидено в член 13, параграф 1 от Спогодбата, с цел да се даде ход на процедурата за приключване на Преработка 3 на Спогодбата и да изрази съгласието на Европейския Съюз да се обвърже с Преработка 3 на Спогодбата.</w:t>
      </w:r>
    </w:p>
    <w:p>
      <w:pPr>
        <w:pStyle w:val="Titrearticle"/>
        <w:rPr>
          <w:noProof/>
        </w:rPr>
      </w:pPr>
      <w:r>
        <w:rPr>
          <w:noProof/>
        </w:rPr>
        <w:t>Член 3</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rStyle w:val="FootnoteReference"/>
          <w:noProof/>
        </w:rPr>
        <w:footnoteReference w:id="2"/>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ru-RU"/>
        </w:rPr>
      </w:pPr>
      <w:r>
        <w:rPr>
          <w:rStyle w:val="FootnoteReference"/>
        </w:rPr>
        <w:footnoteRef/>
      </w:r>
      <w:r>
        <w:rPr>
          <w:lang w:val="ru-RU"/>
        </w:rPr>
        <w:tab/>
      </w:r>
      <w:r>
        <w:t>O</w:t>
      </w:r>
      <w:r>
        <w:rPr>
          <w:lang w:val="ru-RU"/>
        </w:rPr>
        <w:t xml:space="preserve">В </w:t>
      </w:r>
      <w:r>
        <w:t>L </w:t>
      </w:r>
      <w:r>
        <w:rPr>
          <w:lang w:val="ru-RU"/>
        </w:rPr>
        <w:t>346, 17.12.1997</w:t>
      </w:r>
      <w:r>
        <w:t> </w:t>
      </w:r>
      <w:r>
        <w:rPr>
          <w:lang w:val="ru-RU"/>
        </w:rPr>
        <w:t>г., стр.</w:t>
      </w:r>
      <w:r>
        <w:t> </w:t>
      </w:r>
      <w:r>
        <w:rPr>
          <w:lang w:val="ru-RU"/>
        </w:rPr>
        <w:t>78.</w:t>
      </w:r>
    </w:p>
  </w:footnote>
  <w:footnote w:id="2">
    <w:p>
      <w:pPr>
        <w:pStyle w:val="FootnoteText"/>
        <w:rPr>
          <w:lang w:val="ru-RU"/>
        </w:rPr>
      </w:pPr>
      <w:r>
        <w:rPr>
          <w:rStyle w:val="FootnoteReference"/>
        </w:rPr>
        <w:footnoteRef/>
      </w:r>
      <w:r>
        <w:rPr>
          <w:lang w:val="ru-RU"/>
        </w:rPr>
        <w:tab/>
        <w:t xml:space="preserve">Датата на влизане в сила на Спогодбата ще бъде публикувана в </w:t>
      </w:r>
      <w:r>
        <w:rPr>
          <w:i/>
          <w:lang w:val="ru-RU"/>
        </w:rPr>
        <w:t>Официален вестник на Европейския съюз</w:t>
      </w:r>
      <w:r>
        <w:rPr>
          <w:lang w:val="ru-RU"/>
        </w:rP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9EAF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662E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4EC4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BA75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ACC4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AC85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502E54"/>
    <w:lvl w:ilvl="0">
      <w:start w:val="1"/>
      <w:numFmt w:val="decimal"/>
      <w:pStyle w:val="ListNumber"/>
      <w:lvlText w:val="%1."/>
      <w:lvlJc w:val="left"/>
      <w:pPr>
        <w:tabs>
          <w:tab w:val="num" w:pos="360"/>
        </w:tabs>
        <w:ind w:left="360" w:hanging="360"/>
      </w:pPr>
    </w:lvl>
  </w:abstractNum>
  <w:abstractNum w:abstractNumId="7">
    <w:nsid w:val="FFFFFF89"/>
    <w:multiLevelType w:val="singleLevel"/>
    <w:tmpl w:val="FE5837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lvlOverride w:ilvl="0">
      <w:startOverride w:val="1"/>
    </w:lvlOverride>
  </w:num>
  <w:num w:numId="6">
    <w:abstractNumId w:val="6"/>
  </w:num>
  <w:num w:numId="7">
    <w:abstractNumId w:val="2"/>
  </w:num>
  <w:num w:numId="8">
    <w:abstractNumId w:val="1"/>
  </w:num>
  <w:num w:numId="9">
    <w:abstractNumId w:val="0"/>
  </w:num>
  <w:num w:numId="10">
    <w:abstractNumId w:val="22"/>
  </w:num>
  <w:num w:numId="11">
    <w:abstractNumId w:val="12"/>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16 09:21: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950291C74C04DF78C47F50FE3B418BC"/>
    <w:docVar w:name="LW_CROSSREFERENCE" w:val="&lt;UNUSED&gt;"/>
    <w:docVar w:name="LW_DocType" w:val="COM"/>
    <w:docVar w:name="LW_EMISSION" w:val="27.10.2015"/>
    <w:docVar w:name="LW_EMISSION_ISODATE" w:val="2015-10-27"/>
    <w:docVar w:name="LW_EMISSION_LOCATION" w:val="BRX"/>
    <w:docVar w:name="LW_EMISSION_PREFIX" w:val="Брюксел, "/>
    <w:docVar w:name="LW_EMISSION_SUFFIX" w:val=" \u1075?."/>
    <w:docVar w:name="LW_ID_DOCMODEL" w:val="b03"/>
    <w:docVar w:name="LW_ID_DOCSIGNATURE" w:val="SJ-019"/>
    <w:docVar w:name="LW_ID_DOCSTRUCTURE" w:val="COM/PL/ORG"/>
    <w:docVar w:name="LW_ID_DOCTYPE" w:val="SJ-019"/>
    <w:docVar w:name="LW_ID_STATUT" w:val="PROPOSAL"/>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9"/>
    <w:docVar w:name="LW_REF.II.NEW.CP_YEAR" w:val="2015"/>
    <w:docVar w:name="LW_REF.INST.NEW" w:val="COM"/>
    <w:docVar w:name="LW_REF.INST.NEW_ADOPTED" w:val="final"/>
    <w:docVar w:name="LW_REF.INST.NEW_TEXT" w:val="(2015) 535"/>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80?\u1082?\u1083?\u1102?\u1095?\u1074?\u1072?\u1085?\u1077? \u1085?\u1072? \u1055?\u1088?\u1077?\u1088?\u1072?\u1073?\u1086?\u1090?\u1082?\u1072? 3 \u1085?\u1072? \u1057?\u1087?\u1086?\u1075?\u1086?\u1076?\u1073?\u1072?\u1090?\u1072?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79?\u1072? \u1087?\u1088?\u1080?\u1077?\u1084?\u1072?\u1085?\u1077? \u1085?\u1072? \u1077?\u1076?\u1080?\u1085?\u1085?\u1080? \u1090?\u1077?\u1093?\u1085?\u1080?\u1095?\u1077?\u1089?\u1082?\u1080? \u1087?\u1088?\u1077?\u1076?\u1087?\u1080?\u1089?\u1072?\u1085?\u1080?\u1103? \u1079?\u1072? \u1082?\u1086?\u1083?\u1077?\u1089?\u1085?\u1080?\u1090?\u1077? \u1087?\u1088?\u1077?\u1074?\u1086?\u1079?\u1085?\u1080? \u1089?\u1088?\u1077?\u1076?\u1089?\u1090?\u1074?\u1072?, \u1086?\u1073?\u1086?\u1088?\u1091?\u1076?\u1074?\u1072?\u1085?\u1077? \u1080? \u1095?\u1072?\u1089?\u1090?\u1080?, \u1082?\u1086?\u1080?\u1090?\u1086? \u1084?\u1086?\u1075?\u1072?\u1090? \u1076?\u1072? \u1089?\u1077? \u1084?\u1086?\u1085?\u1090?\u1080?\u1088?\u1072?\u1090? \u1080?/\u1080?\u1083?\u1080? \u1076?\u1072? \u1089?\u1077? \u1080?\u1079?\u1087?\u1086?\u1083?\u1079?\u1074?\u1072?\u1090? \u1085?\u1072? \u1082?\u1086?\u1083?\u1077?\u1089?\u1085?\u1080?\u1090?\u1077? \u1087?\u1088?\u1077?\u1074?\u1086?\u1079?\u1085?\u1080? \u1089?\u1088?\u1077?\u1076?\u1089?\u1090?\u1074?\u1072?, \u1080? \u1091?\u1089?\u1083?\u1086?\u1074?\u1080?\u1103?\u1090?\u1072? \u1079?\u1072? \u1074?\u1079?\u1072?\u1080?\u1084?\u1085?\u1086? \u1087?\u1088?\u1080?\u1079?\u1085?\u1072?\u1074?\u1072?\u1085?\u1077? \u1085?\u1072? \u1086?\u1076?\u1086?\u1073?\u1088?\u1077?\u1085?\u1080?\u1103?\u1090?\u1072?, \u1087?\u1086?\u1083?\u1091?\u1095?\u1077?\u1085?\u1080? \u1074?\u1098?\u1079? \u1086?\u1089?\u1085?\u1086?\u1074?\u1072? \u1085?\u1072? \u1090?\u1077?\u1079?\u1080? \u1087?\u1088?\u1077?\u1076?\u1087?\u1080?\u1089?\u1072?\u1085?\u1080?\u1103? (\u8222?\u1056?\u1077?\u1074?\u1080?\u1079?\u1080?\u1088?\u1072?\u1085?\u1072? \u1089?\u1087?\u1086?\u1075?\u1086?\u1076?\u1073?\u1072? \u1086?\u1090? 1958 \u1075?\u1086?\u1076?\u1080?\u1085?\u1072?\u8220?)"/>
    <w:docVar w:name="LW_TITRE.OBJ.CP_PREVIOUS" w:val="&lt;UNUSED&gt;"/>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Normal"/>
    <w:link w:val="Heading5Char"/>
    <w:qFormat/>
    <w:pPr>
      <w:suppressAutoHyphens/>
      <w:spacing w:before="0" w:after="0" w:line="240" w:lineRule="atLeast"/>
      <w:jc w:val="left"/>
      <w:outlineLvl w:val="4"/>
    </w:pPr>
    <w:rPr>
      <w:sz w:val="20"/>
      <w:szCs w:val="20"/>
    </w:rPr>
  </w:style>
  <w:style w:type="paragraph" w:styleId="Heading6">
    <w:name w:val="heading 6"/>
    <w:basedOn w:val="Normal"/>
    <w:next w:val="Normal"/>
    <w:link w:val="Heading6Char"/>
    <w:qFormat/>
    <w:pPr>
      <w:suppressAutoHyphens/>
      <w:spacing w:before="0" w:after="0" w:line="240" w:lineRule="atLeast"/>
      <w:jc w:val="left"/>
      <w:outlineLvl w:val="5"/>
    </w:pPr>
    <w:rPr>
      <w:sz w:val="20"/>
      <w:szCs w:val="20"/>
    </w:rPr>
  </w:style>
  <w:style w:type="paragraph" w:styleId="Heading7">
    <w:name w:val="heading 7"/>
    <w:basedOn w:val="Normal"/>
    <w:next w:val="Normal"/>
    <w:link w:val="Heading7Char"/>
    <w:qFormat/>
    <w:pPr>
      <w:suppressAutoHyphens/>
      <w:spacing w:before="0" w:after="0" w:line="240" w:lineRule="atLeast"/>
      <w:jc w:val="left"/>
      <w:outlineLvl w:val="6"/>
    </w:pPr>
    <w:rPr>
      <w:sz w:val="20"/>
      <w:szCs w:val="20"/>
    </w:rPr>
  </w:style>
  <w:style w:type="paragraph" w:styleId="Heading8">
    <w:name w:val="heading 8"/>
    <w:basedOn w:val="Normal"/>
    <w:next w:val="Normal"/>
    <w:link w:val="Heading8Char"/>
    <w:qFormat/>
    <w:pPr>
      <w:suppressAutoHyphens/>
      <w:spacing w:before="0" w:after="0" w:line="240" w:lineRule="atLeast"/>
      <w:jc w:val="left"/>
      <w:outlineLvl w:val="7"/>
    </w:pPr>
    <w:rPr>
      <w:sz w:val="20"/>
      <w:szCs w:val="20"/>
    </w:rPr>
  </w:style>
  <w:style w:type="paragraph" w:styleId="Heading9">
    <w:name w:val="heading 9"/>
    <w:basedOn w:val="Normal"/>
    <w:next w:val="Normal"/>
    <w:link w:val="Heading9Char"/>
    <w:qFormat/>
    <w:pPr>
      <w:suppressAutoHyphens/>
      <w:spacing w:before="0" w:after="0" w:line="240" w:lineRule="atLeast"/>
      <w:jc w:val="left"/>
      <w:outlineLvl w:val="8"/>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Heading5Char">
    <w:name w:val="Heading 5 Char"/>
    <w:link w:val="Heading5"/>
    <w:rPr>
      <w:lang w:val="bg-BG" w:eastAsia="bg-BG"/>
    </w:rPr>
  </w:style>
  <w:style w:type="character" w:customStyle="1" w:styleId="Heading6Char">
    <w:name w:val="Heading 6 Char"/>
    <w:link w:val="Heading6"/>
    <w:rPr>
      <w:lang w:val="bg-BG" w:eastAsia="bg-BG"/>
    </w:rPr>
  </w:style>
  <w:style w:type="character" w:customStyle="1" w:styleId="Heading7Char">
    <w:name w:val="Heading 7 Char"/>
    <w:link w:val="Heading7"/>
    <w:rPr>
      <w:lang w:val="bg-BG" w:eastAsia="bg-BG"/>
    </w:rPr>
  </w:style>
  <w:style w:type="character" w:customStyle="1" w:styleId="Heading8Char">
    <w:name w:val="Heading 8 Char"/>
    <w:link w:val="Heading8"/>
    <w:rPr>
      <w:lang w:val="bg-BG" w:eastAsia="bg-BG"/>
    </w:rPr>
  </w:style>
  <w:style w:type="character" w:customStyle="1" w:styleId="Heading9Char">
    <w:name w:val="Heading 9 Char"/>
    <w:link w:val="Heading9"/>
    <w:rPr>
      <w:lang w:val="bg-BG" w:eastAsia="bg-BG"/>
    </w:r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jc w:val="left"/>
    </w:pPr>
    <w:rPr>
      <w:b/>
      <w:sz w:val="34"/>
      <w:szCs w:val="20"/>
    </w:rPr>
  </w:style>
  <w:style w:type="paragraph" w:customStyle="1" w:styleId="HChG">
    <w:name w:val="_ H _Ch_G"/>
    <w:basedOn w:val="Normal"/>
    <w:next w:val="Normal"/>
    <w:link w:val="HChGChar"/>
    <w:pPr>
      <w:keepNext/>
      <w:keepLines/>
      <w:tabs>
        <w:tab w:val="right" w:pos="851"/>
      </w:tabs>
      <w:suppressAutoHyphens/>
      <w:spacing w:before="360" w:after="240" w:line="300" w:lineRule="exact"/>
      <w:ind w:left="1134" w:right="1134" w:hanging="1134"/>
      <w:jc w:val="left"/>
    </w:pPr>
    <w:rPr>
      <w:b/>
      <w:sz w:val="28"/>
      <w:szCs w:val="20"/>
    </w:rPr>
  </w:style>
  <w:style w:type="paragraph" w:customStyle="1" w:styleId="H1G">
    <w:name w:val="_ H_1_G"/>
    <w:basedOn w:val="Normal"/>
    <w:next w:val="Normal"/>
    <w:link w:val="H1GChar"/>
    <w:pPr>
      <w:keepNext/>
      <w:keepLines/>
      <w:tabs>
        <w:tab w:val="right" w:pos="851"/>
      </w:tabs>
      <w:suppressAutoHyphens/>
      <w:spacing w:before="360" w:after="240" w:line="270" w:lineRule="exact"/>
      <w:ind w:left="1134" w:right="1134" w:hanging="1134"/>
      <w:jc w:val="left"/>
    </w:pPr>
    <w:rPr>
      <w:b/>
      <w:szCs w:val="20"/>
    </w:rPr>
  </w:style>
  <w:style w:type="paragraph" w:customStyle="1" w:styleId="H23G">
    <w:name w:val="_ H_2/3_G"/>
    <w:basedOn w:val="Normal"/>
    <w:next w:val="Normal"/>
    <w:pPr>
      <w:keepNext/>
      <w:keepLines/>
      <w:tabs>
        <w:tab w:val="right" w:pos="851"/>
      </w:tabs>
      <w:suppressAutoHyphens/>
      <w:spacing w:before="240" w:line="240" w:lineRule="exact"/>
      <w:ind w:left="1134" w:right="1134" w:hanging="1134"/>
      <w:jc w:val="left"/>
    </w:pPr>
    <w:rPr>
      <w:b/>
      <w:sz w:val="20"/>
      <w:szCs w:val="20"/>
    </w:r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i/>
      <w:sz w:val="20"/>
      <w:szCs w:val="20"/>
    </w:rPr>
  </w:style>
  <w:style w:type="paragraph" w:customStyle="1" w:styleId="H56G">
    <w:name w:val="_ H_5/6_G"/>
    <w:basedOn w:val="Normal"/>
    <w:next w:val="Normal"/>
    <w:link w:val="H56GChar"/>
    <w:pPr>
      <w:keepNext/>
      <w:keepLines/>
      <w:tabs>
        <w:tab w:val="right" w:pos="851"/>
      </w:tabs>
      <w:suppressAutoHyphens/>
      <w:spacing w:before="240" w:line="240" w:lineRule="exact"/>
      <w:ind w:left="1134" w:right="1134" w:hanging="1134"/>
      <w:jc w:val="left"/>
    </w:pPr>
    <w:rPr>
      <w:sz w:val="20"/>
      <w:szCs w:val="20"/>
    </w:rPr>
  </w:style>
  <w:style w:type="paragraph" w:customStyle="1" w:styleId="SingleTxtG">
    <w:name w:val="_ Single Txt_G"/>
    <w:basedOn w:val="Normal"/>
    <w:link w:val="SingleTxtGChar"/>
    <w:pPr>
      <w:suppressAutoHyphens/>
      <w:spacing w:before="0" w:line="240" w:lineRule="atLeast"/>
      <w:ind w:left="1134" w:right="1134"/>
    </w:pPr>
    <w:rPr>
      <w:sz w:val="20"/>
      <w:szCs w:val="20"/>
    </w:rPr>
  </w:style>
  <w:style w:type="paragraph" w:customStyle="1" w:styleId="SLG">
    <w:name w:val="__S_L_G"/>
    <w:basedOn w:val="Normal"/>
    <w:next w:val="Normal"/>
    <w:pPr>
      <w:keepNext/>
      <w:keepLines/>
      <w:suppressAutoHyphens/>
      <w:spacing w:before="240" w:after="240" w:line="580" w:lineRule="exact"/>
      <w:ind w:left="1134" w:right="1134"/>
      <w:jc w:val="left"/>
    </w:pPr>
    <w:rPr>
      <w:b/>
      <w:sz w:val="56"/>
      <w:szCs w:val="20"/>
    </w:rPr>
  </w:style>
  <w:style w:type="paragraph" w:customStyle="1" w:styleId="SMG">
    <w:name w:val="__S_M_G"/>
    <w:basedOn w:val="Normal"/>
    <w:next w:val="Normal"/>
    <w:pPr>
      <w:keepNext/>
      <w:keepLines/>
      <w:suppressAutoHyphens/>
      <w:spacing w:before="240" w:after="240" w:line="420" w:lineRule="exact"/>
      <w:ind w:left="1134" w:right="1134"/>
      <w:jc w:val="left"/>
    </w:pPr>
    <w:rPr>
      <w:b/>
      <w:sz w:val="40"/>
      <w:szCs w:val="20"/>
    </w:rPr>
  </w:style>
  <w:style w:type="paragraph" w:customStyle="1" w:styleId="SSG">
    <w:name w:val="__S_S_G"/>
    <w:basedOn w:val="Normal"/>
    <w:next w:val="Normal"/>
    <w:pPr>
      <w:keepNext/>
      <w:keepLines/>
      <w:suppressAutoHyphens/>
      <w:spacing w:before="240" w:after="240" w:line="300" w:lineRule="exact"/>
      <w:ind w:left="1134" w:right="1134"/>
      <w:jc w:val="left"/>
    </w:pPr>
    <w:rPr>
      <w:b/>
      <w:sz w:val="28"/>
      <w:szCs w:val="20"/>
    </w:rPr>
  </w:style>
  <w:style w:type="paragraph" w:customStyle="1" w:styleId="XLargeG">
    <w:name w:val="__XLarge_G"/>
    <w:basedOn w:val="Normal"/>
    <w:next w:val="Normal"/>
    <w:pPr>
      <w:keepNext/>
      <w:keepLines/>
      <w:suppressAutoHyphens/>
      <w:spacing w:before="240" w:after="240" w:line="420" w:lineRule="exact"/>
      <w:ind w:left="1134" w:right="1134"/>
      <w:jc w:val="left"/>
    </w:pPr>
    <w:rPr>
      <w:b/>
      <w:sz w:val="40"/>
      <w:szCs w:val="20"/>
    </w:rPr>
  </w:style>
  <w:style w:type="paragraph" w:customStyle="1" w:styleId="Bullet1G">
    <w:name w:val="_Bullet 1_G"/>
    <w:basedOn w:val="Normal"/>
    <w:pPr>
      <w:numPr>
        <w:numId w:val="10"/>
      </w:numPr>
      <w:suppressAutoHyphens/>
      <w:spacing w:before="0" w:line="240" w:lineRule="atLeast"/>
      <w:ind w:right="1134"/>
    </w:pPr>
    <w:rPr>
      <w:sz w:val="20"/>
      <w:szCs w:val="20"/>
    </w:rPr>
  </w:style>
  <w:style w:type="paragraph" w:customStyle="1" w:styleId="Bullet2G">
    <w:name w:val="_Bullet 2_G"/>
    <w:basedOn w:val="Normal"/>
    <w:pPr>
      <w:numPr>
        <w:numId w:val="11"/>
      </w:numPr>
      <w:suppressAutoHyphens/>
      <w:spacing w:before="0" w:line="240" w:lineRule="atLeast"/>
      <w:ind w:right="1134"/>
    </w:pPr>
    <w:rPr>
      <w:sz w:val="20"/>
      <w:szCs w:val="20"/>
    </w:rPr>
  </w:style>
  <w:style w:type="character" w:styleId="EndnoteReference">
    <w:name w:val="endnote reference"/>
    <w:aliases w:val="1_G"/>
    <w:rPr>
      <w:rFonts w:ascii="Times New Roman" w:hAnsi="Times New Roman"/>
      <w:sz w:val="18"/>
      <w:vertAlign w:val="superscript"/>
      <w:lang w:val="bg-BG"/>
    </w:rPr>
  </w:style>
  <w:style w:type="paragraph" w:styleId="EndnoteText">
    <w:name w:val="endnote text"/>
    <w:aliases w:val="2_G"/>
    <w:basedOn w:val="FootnoteText"/>
    <w:link w:val="EndnoteTextChar"/>
    <w:pPr>
      <w:tabs>
        <w:tab w:val="right" w:pos="1021"/>
      </w:tabs>
      <w:suppressAutoHyphens/>
      <w:spacing w:line="220" w:lineRule="exact"/>
      <w:ind w:left="1134" w:right="1134" w:hanging="1134"/>
      <w:jc w:val="left"/>
    </w:pPr>
    <w:rPr>
      <w:sz w:val="18"/>
    </w:rPr>
  </w:style>
  <w:style w:type="character" w:customStyle="1" w:styleId="EndnoteTextChar">
    <w:name w:val="Endnote Text Char"/>
    <w:aliases w:val="2_G Char"/>
    <w:link w:val="EndnoteText"/>
    <w:rPr>
      <w:sz w:val="18"/>
      <w:lang w:val="bg-BG" w:eastAsia="bg-BG"/>
    </w:rPr>
  </w:style>
  <w:style w:type="character" w:styleId="PageNumber">
    <w:name w:val="page number"/>
    <w:aliases w:val="7_G"/>
    <w:rPr>
      <w:rFonts w:ascii="Times New Roman" w:hAnsi="Times New Roman"/>
      <w:b/>
      <w:sz w:val="18"/>
      <w:lang w:val="bg-BG"/>
    </w:r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одержимое таблицы"/>
    <w:basedOn w:val="BodyText"/>
    <w:pPr>
      <w:suppressLineNumbers/>
      <w:spacing w:line="240" w:lineRule="auto"/>
    </w:pPr>
    <w:rPr>
      <w:sz w:val="24"/>
      <w:szCs w:val="24"/>
    </w:rPr>
  </w:style>
  <w:style w:type="paragraph" w:styleId="BodyText">
    <w:name w:val="Body Text"/>
    <w:basedOn w:val="Normal"/>
    <w:link w:val="BodyTextChar"/>
    <w:pPr>
      <w:suppressAutoHyphens/>
      <w:spacing w:before="0" w:line="240" w:lineRule="atLeast"/>
      <w:jc w:val="left"/>
    </w:pPr>
    <w:rPr>
      <w:sz w:val="20"/>
      <w:szCs w:val="20"/>
    </w:rPr>
  </w:style>
  <w:style w:type="character" w:customStyle="1" w:styleId="BodyTextChar">
    <w:name w:val="Body Text Char"/>
    <w:link w:val="BodyText"/>
    <w:rPr>
      <w:lang w:val="bg-BG" w:eastAsia="bg-BG"/>
    </w:rPr>
  </w:style>
  <w:style w:type="paragraph" w:customStyle="1" w:styleId="Default">
    <w:name w:val="Default"/>
    <w:pPr>
      <w:autoSpaceDE w:val="0"/>
      <w:autoSpaceDN w:val="0"/>
      <w:adjustRightInd w:val="0"/>
    </w:pPr>
    <w:rPr>
      <w:color w:val="000000"/>
      <w:sz w:val="24"/>
      <w:szCs w:val="24"/>
    </w:rPr>
  </w:style>
  <w:style w:type="paragraph" w:styleId="BodyTextIndent2">
    <w:name w:val="Body Text Indent 2"/>
    <w:basedOn w:val="Normal"/>
    <w:link w:val="BodyTextIndent2Char"/>
    <w:pPr>
      <w:spacing w:before="0" w:line="480" w:lineRule="auto"/>
      <w:ind w:left="283"/>
      <w:jc w:val="left"/>
    </w:pPr>
    <w:rPr>
      <w:szCs w:val="24"/>
    </w:rPr>
  </w:style>
  <w:style w:type="character" w:customStyle="1" w:styleId="BodyTextIndent2Char">
    <w:name w:val="Body Text Indent 2 Char"/>
    <w:link w:val="BodyTextIndent2"/>
    <w:rPr>
      <w:sz w:val="24"/>
      <w:szCs w:val="24"/>
      <w:lang w:val="bg-BG" w:eastAsia="bg-BG"/>
    </w:rPr>
  </w:style>
  <w:style w:type="character" w:customStyle="1" w:styleId="SingleTxtGChar">
    <w:name w:val="_ Single Txt_G Char"/>
    <w:link w:val="SingleTxtG"/>
    <w:rPr>
      <w:lang w:val="bg-BG" w:eastAsia="bg-BG"/>
    </w:rPr>
  </w:style>
  <w:style w:type="paragraph" w:styleId="BodyTextIndent">
    <w:name w:val="Body Text Indent"/>
    <w:basedOn w:val="Normal"/>
    <w:link w:val="BodyTextIndentChar"/>
    <w:pPr>
      <w:suppressAutoHyphens/>
      <w:spacing w:before="0" w:line="240" w:lineRule="atLeast"/>
      <w:ind w:left="283"/>
      <w:jc w:val="left"/>
    </w:pPr>
    <w:rPr>
      <w:sz w:val="20"/>
      <w:szCs w:val="20"/>
    </w:rPr>
  </w:style>
  <w:style w:type="character" w:customStyle="1" w:styleId="BodyTextIndentChar">
    <w:name w:val="Body Text Indent Char"/>
    <w:link w:val="BodyTextIndent"/>
    <w:rPr>
      <w:lang w:val="bg-BG" w:eastAsia="bg-BG"/>
    </w:rPr>
  </w:style>
  <w:style w:type="character" w:customStyle="1" w:styleId="WW8Num2z0">
    <w:name w:val="WW8Num2z0"/>
    <w:rPr>
      <w:rFonts w:ascii="Symbol" w:hAnsi="Symbol"/>
    </w:rPr>
  </w:style>
  <w:style w:type="character" w:customStyle="1" w:styleId="H56GChar">
    <w:name w:val="_ H_5/6_G Char"/>
    <w:link w:val="H56G"/>
    <w:rPr>
      <w:lang w:val="bg-BG" w:eastAsia="bg-BG"/>
    </w:rPr>
  </w:style>
  <w:style w:type="character" w:customStyle="1" w:styleId="HChGChar">
    <w:name w:val="_ H _Ch_G Char"/>
    <w:link w:val="HChG"/>
    <w:rPr>
      <w:b/>
      <w:sz w:val="28"/>
      <w:lang w:val="bg-BG" w:eastAsia="bg-BG"/>
    </w:rPr>
  </w:style>
  <w:style w:type="character" w:customStyle="1" w:styleId="H1GChar">
    <w:name w:val="_ H_1_G Char"/>
    <w:link w:val="H1G"/>
    <w:rPr>
      <w:b/>
      <w:sz w:val="24"/>
      <w:lang w:val="bg-BG" w:eastAsia="bg-BG"/>
    </w:rPr>
  </w:style>
  <w:style w:type="paragraph" w:customStyle="1" w:styleId="para">
    <w:name w:val="para"/>
    <w:basedOn w:val="Normal"/>
    <w:link w:val="paraChar"/>
    <w:pPr>
      <w:suppressAutoHyphens/>
      <w:spacing w:before="0" w:line="240" w:lineRule="atLeast"/>
      <w:ind w:left="2268" w:right="1134" w:hanging="1134"/>
    </w:pPr>
    <w:rPr>
      <w:sz w:val="20"/>
      <w:szCs w:val="20"/>
    </w:rPr>
  </w:style>
  <w:style w:type="character" w:customStyle="1" w:styleId="paraChar">
    <w:name w:val="para Char"/>
    <w:link w:val="para"/>
    <w:rPr>
      <w:lang w:eastAsia="bg-BG"/>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Document4">
    <w:name w:val="Document 4"/>
    <w:rPr>
      <w:b/>
      <w:bCs/>
      <w:i/>
      <w:iCs/>
      <w:sz w:val="22"/>
      <w:szCs w:val="22"/>
    </w:rPr>
  </w:style>
  <w:style w:type="paragraph" w:customStyle="1" w:styleId="Clearformatting">
    <w:name w:val="Clear formatting"/>
    <w:basedOn w:val="Normal"/>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BF37-3B9B-4D8B-A23E-AFAA2D03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2091</Words>
  <Characters>11735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2015-06-09T12:03:00Z</cp:lastPrinted>
  <dcterms:created xsi:type="dcterms:W3CDTF">2015-09-11T15:06:00Z</dcterms:created>
  <dcterms:modified xsi:type="dcterms:W3CDTF">2015-10-16T07:21:00Z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Created using">
    <vt:lpwstr>LW 5.8, Build 20110311</vt:lpwstr>
  </property>
  <property fmtid="{D5CDD505-2E9C-101B-9397-08002B2CF9AE}" pid="6" name="Last edited using">
    <vt:lpwstr>LW 5.8.4, Build 20150407</vt:lpwstr>
  </property>
  <property fmtid="{D5CDD505-2E9C-101B-9397-08002B2CF9AE}" pid="7" name="_NewReviewCycle">
    <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SJ-019</vt:lpwstr>
  </property>
  <property fmtid="{D5CDD505-2E9C-101B-9397-08002B2CF9AE}" pid="11" name="DQCStatus">
    <vt:lpwstr>Green (DQC version 03)</vt:lpwstr>
  </property>
</Properties>
</file>