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F0237EDE3974E4CBB442898BB4E90DF"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Vu:</w:t>
      </w:r>
    </w:p>
    <w:p>
      <w:pPr>
        <w:pStyle w:val="Tiret0"/>
        <w:rPr>
          <w:noProof/>
        </w:rPr>
      </w:pPr>
      <w:r>
        <w:rPr>
          <w:noProof/>
        </w:rPr>
        <w:t>le traité sur le fonctionnement de l'Union européenne, et notamment son article 314, lu en combinaison avec le traité instituant la Communauté européenne de l'énergie atomique, et notamment son article 106 </w:t>
      </w:r>
      <w:r>
        <w:rPr>
          <w:i/>
          <w:noProof/>
        </w:rPr>
        <w:t>bis</w:t>
      </w:r>
      <w:r>
        <w:rPr>
          <w:noProof/>
        </w:rPr>
        <w:t>,</w:t>
      </w:r>
    </w:p>
    <w:p>
      <w:pPr>
        <w:pStyle w:val="Tiret0"/>
        <w:rPr>
          <w:rFonts w:cs="Arial"/>
          <w:noProof/>
          <w:szCs w:val="18"/>
        </w:rPr>
      </w:pPr>
      <w:r>
        <w:rPr>
          <w:noProof/>
        </w:rPr>
        <w:t>le règlement (UE, Euratom) nº 966/2012 du Parlement européen et du Conseil du 25 octobre 2012 relatif aux règles financières applicables au budget général de l’Union</w:t>
      </w:r>
      <w:r>
        <w:rPr>
          <w:rStyle w:val="FootnoteReference"/>
          <w:noProof/>
        </w:rPr>
        <w:footnoteReference w:id="2"/>
      </w:r>
      <w:r>
        <w:rPr>
          <w:noProof/>
        </w:rPr>
        <w:t>, et notamment son article 41,</w:t>
      </w:r>
    </w:p>
    <w:p>
      <w:pPr>
        <w:pStyle w:val="Tiret0"/>
        <w:rPr>
          <w:noProof/>
        </w:rPr>
      </w:pPr>
      <w:r>
        <w:rPr>
          <w:noProof/>
        </w:rPr>
        <w:t>le budget général de l'Union européenne pour l'exercice 2015, adopté le 17 décembre 2014</w:t>
      </w:r>
      <w:r>
        <w:rPr>
          <w:rStyle w:val="FootnoteReference"/>
          <w:noProof/>
        </w:rPr>
        <w:footnoteReference w:id="3"/>
      </w:r>
      <w:r>
        <w:rPr>
          <w:noProof/>
        </w:rPr>
        <w:t>,</w:t>
      </w:r>
    </w:p>
    <w:p>
      <w:pPr>
        <w:pStyle w:val="Tiret0"/>
        <w:rPr>
          <w:noProof/>
        </w:rPr>
      </w:pPr>
      <w:r>
        <w:rPr>
          <w:noProof/>
        </w:rPr>
        <w:t>le budget rectificatif nº 1/2015</w:t>
      </w:r>
      <w:r>
        <w:rPr>
          <w:rStyle w:val="FootnoteReference"/>
          <w:noProof/>
        </w:rPr>
        <w:footnoteReference w:id="4"/>
      </w:r>
      <w:r>
        <w:rPr>
          <w:noProof/>
        </w:rPr>
        <w:t>, adopté le 28 avril 2015,</w:t>
      </w:r>
    </w:p>
    <w:p>
      <w:pPr>
        <w:pStyle w:val="Tiret0"/>
        <w:rPr>
          <w:noProof/>
        </w:rPr>
      </w:pPr>
      <w:r>
        <w:rPr>
          <w:noProof/>
        </w:rPr>
        <w:t>le budget rectificatif nº 2/2015</w:t>
      </w:r>
      <w:r>
        <w:rPr>
          <w:rStyle w:val="FootnoteReference"/>
          <w:noProof/>
        </w:rPr>
        <w:footnoteReference w:id="5"/>
      </w:r>
      <w:r>
        <w:rPr>
          <w:noProof/>
        </w:rPr>
        <w:t>, adopté le 7 juillet 2015,</w:t>
      </w:r>
    </w:p>
    <w:p>
      <w:pPr>
        <w:pStyle w:val="Tiret0"/>
        <w:rPr>
          <w:noProof/>
        </w:rPr>
      </w:pPr>
      <w:r>
        <w:rPr>
          <w:noProof/>
        </w:rPr>
        <w:t>le budget rectificatif nº 3/2015</w:t>
      </w:r>
      <w:r>
        <w:rPr>
          <w:rStyle w:val="FootnoteReference"/>
          <w:noProof/>
        </w:rPr>
        <w:footnoteReference w:id="6"/>
      </w:r>
      <w:r>
        <w:rPr>
          <w:noProof/>
        </w:rPr>
        <w:t>, adopté le 7 juillet 2015,</w:t>
      </w:r>
    </w:p>
    <w:p>
      <w:pPr>
        <w:pStyle w:val="Tiret0"/>
        <w:rPr>
          <w:noProof/>
        </w:rPr>
      </w:pPr>
      <w:r>
        <w:rPr>
          <w:noProof/>
        </w:rPr>
        <w:t>le budget rectificatif nº 4/2015</w:t>
      </w:r>
      <w:r>
        <w:rPr>
          <w:rStyle w:val="FootnoteReference"/>
          <w:noProof/>
        </w:rPr>
        <w:footnoteReference w:id="7"/>
      </w:r>
      <w:r>
        <w:rPr>
          <w:noProof/>
        </w:rPr>
        <w:t>, adopté le 7 juillet 2015,</w:t>
      </w:r>
    </w:p>
    <w:p>
      <w:pPr>
        <w:pStyle w:val="Tiret0"/>
        <w:rPr>
          <w:noProof/>
        </w:rPr>
      </w:pPr>
      <w:r>
        <w:rPr>
          <w:noProof/>
        </w:rPr>
        <w:t>le budget rectificatif nº 5/2015</w:t>
      </w:r>
      <w:r>
        <w:rPr>
          <w:rStyle w:val="FootnoteReference"/>
          <w:noProof/>
        </w:rPr>
        <w:footnoteReference w:id="8"/>
      </w:r>
      <w:r>
        <w:rPr>
          <w:noProof/>
        </w:rPr>
        <w:t>, adopté le 7 juillet 2015,</w:t>
      </w:r>
    </w:p>
    <w:p>
      <w:pPr>
        <w:pStyle w:val="Tiret0"/>
        <w:rPr>
          <w:noProof/>
        </w:rPr>
      </w:pPr>
      <w:r>
        <w:rPr>
          <w:noProof/>
        </w:rPr>
        <w:t>le budget rectificatif nº 6/2015</w:t>
      </w:r>
      <w:r>
        <w:rPr>
          <w:rStyle w:val="FootnoteReference"/>
          <w:noProof/>
        </w:rPr>
        <w:footnoteReference w:id="9"/>
      </w:r>
      <w:r>
        <w:rPr>
          <w:noProof/>
        </w:rPr>
        <w:t>, adopté le 14 octobre 2015,</w:t>
      </w:r>
    </w:p>
    <w:p>
      <w:pPr>
        <w:pStyle w:val="Tiret0"/>
        <w:rPr>
          <w:noProof/>
        </w:rPr>
      </w:pPr>
      <w:r>
        <w:rPr>
          <w:noProof/>
        </w:rPr>
        <w:t>le budget rectificatif nº 7/2015</w:t>
      </w:r>
      <w:r>
        <w:rPr>
          <w:rStyle w:val="FootnoteReference"/>
          <w:noProof/>
        </w:rPr>
        <w:footnoteReference w:id="10"/>
      </w:r>
      <w:r>
        <w:rPr>
          <w:noProof/>
        </w:rPr>
        <w:t>, adopté le 14 octobre 2015,</w:t>
      </w:r>
    </w:p>
    <w:p>
      <w:pPr>
        <w:spacing w:after="600"/>
        <w:jc w:val="both"/>
        <w:rPr>
          <w:noProof/>
        </w:rPr>
      </w:pPr>
      <w:r>
        <w:rPr>
          <w:noProof/>
        </w:rPr>
        <w:t>la Commission européenne présente ci-après au Parlement européen et au Conseil le projet de budget rectificatif nº 8 au budget 2015.</w:t>
      </w:r>
    </w:p>
    <w:p>
      <w:pPr>
        <w:spacing w:after="240"/>
        <w:jc w:val="both"/>
        <w:rPr>
          <w:b/>
          <w:noProof/>
          <w:u w:val="single"/>
        </w:rPr>
      </w:pPr>
      <w:r>
        <w:rPr>
          <w:b/>
          <w:noProof/>
          <w:u w:val="single"/>
        </w:rPr>
        <w:t>MODIFICATIONS À L’ÉTAT DES RECETTES ET DES DÉPENSES PAR SECTION</w:t>
      </w:r>
    </w:p>
    <w:p>
      <w:pPr>
        <w:jc w:val="both"/>
        <w:rPr>
          <w:noProof/>
        </w:rPr>
      </w:pPr>
      <w:r>
        <w:rPr>
          <w:noProof/>
        </w:rPr>
        <w:t>Les modifications apportées à l’état des recettes et des dépenses par section sont disponibles sur EUR-Lex (</w:t>
      </w:r>
      <w:hyperlink r:id="rId16">
        <w:r>
          <w:rPr>
            <w:rStyle w:val="Hyperlink"/>
            <w:noProof/>
            <w:color w:val="auto"/>
          </w:rPr>
          <w:t>http://eur-lex.europa.eu/budget/www/index-fr.htm</w:t>
        </w:r>
      </w:hyperlink>
      <w:r>
        <w:rPr>
          <w:noProof/>
        </w:rPr>
        <w:t>). Une version en anglais de ces modifications est jointe à titre indicatif en annexe budgétaire.</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cols w:space="708"/>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lastRenderedPageBreak/>
        <w:t>TABLE DES MATIÈRES</w:t>
      </w:r>
    </w:p>
    <w:p>
      <w:pPr>
        <w:pStyle w:val="TOC1"/>
        <w:tabs>
          <w:tab w:val="left" w:pos="480"/>
          <w:tab w:val="right" w:leader="dot" w:pos="9061"/>
        </w:tabs>
        <w:rPr>
          <w:rFonts w:asciiTheme="minorHAnsi" w:eastAsiaTheme="minorEastAsia" w:hAnsiTheme="minorHAnsi" w:cstheme="minorBidi"/>
          <w:b w:val="0"/>
          <w:bCs w:val="0"/>
          <w:caps w:val="0"/>
          <w:noProof/>
          <w:sz w:val="22"/>
          <w:szCs w:val="22"/>
          <w:lang w:bidi="ar-SA"/>
        </w:rPr>
      </w:pPr>
      <w:r>
        <w:rPr>
          <w:noProof/>
        </w:rPr>
        <w:fldChar w:fldCharType="begin"/>
      </w:r>
      <w:r>
        <w:rPr>
          <w:noProof/>
        </w:rPr>
        <w:instrText xml:space="preserve"> TOC \o "1-3" \h \z \u </w:instrText>
      </w:r>
      <w:r>
        <w:rPr>
          <w:noProof/>
        </w:rPr>
        <w:fldChar w:fldCharType="separate"/>
      </w:r>
      <w:hyperlink w:anchor="_Toc432769391" w:history="1">
        <w:r>
          <w:rPr>
            <w:rStyle w:val="Hyperlink"/>
            <w:noProof/>
          </w:rPr>
          <w:t>1.</w:t>
        </w:r>
        <w:r>
          <w:rPr>
            <w:rFonts w:asciiTheme="minorHAnsi" w:eastAsiaTheme="minorEastAsia" w:hAnsiTheme="minorHAnsi" w:cstheme="minorBidi"/>
            <w:b w:val="0"/>
            <w:bCs w:val="0"/>
            <w:caps w:val="0"/>
            <w:noProof/>
            <w:sz w:val="22"/>
            <w:szCs w:val="22"/>
            <w:lang w:bidi="ar-SA"/>
          </w:rPr>
          <w:tab/>
        </w:r>
        <w:r>
          <w:rPr>
            <w:rStyle w:val="Hyperlink"/>
            <w:noProof/>
          </w:rPr>
          <w:t>Introduction</w:t>
        </w:r>
        <w:r>
          <w:rPr>
            <w:noProof/>
            <w:webHidden/>
          </w:rPr>
          <w:tab/>
        </w:r>
        <w:r>
          <w:rPr>
            <w:noProof/>
            <w:webHidden/>
          </w:rPr>
          <w:fldChar w:fldCharType="begin"/>
        </w:r>
        <w:r>
          <w:rPr>
            <w:noProof/>
            <w:webHidden/>
          </w:rPr>
          <w:instrText xml:space="preserve"> PAGEREF _Toc432769391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lang w:bidi="ar-SA"/>
        </w:rPr>
      </w:pPr>
      <w:hyperlink w:anchor="_Toc432769392" w:history="1">
        <w:r>
          <w:rPr>
            <w:rStyle w:val="Hyperlink"/>
            <w:noProof/>
          </w:rPr>
          <w:t>2.</w:t>
        </w:r>
        <w:r>
          <w:rPr>
            <w:rFonts w:asciiTheme="minorHAnsi" w:eastAsiaTheme="minorEastAsia" w:hAnsiTheme="minorHAnsi" w:cstheme="minorBidi"/>
            <w:b w:val="0"/>
            <w:bCs w:val="0"/>
            <w:caps w:val="0"/>
            <w:noProof/>
            <w:sz w:val="22"/>
            <w:szCs w:val="22"/>
            <w:lang w:bidi="ar-SA"/>
          </w:rPr>
          <w:tab/>
        </w:r>
        <w:r>
          <w:rPr>
            <w:rStyle w:val="Hyperlink"/>
            <w:noProof/>
          </w:rPr>
          <w:t>Ressources propres</w:t>
        </w:r>
        <w:r>
          <w:rPr>
            <w:noProof/>
            <w:webHidden/>
          </w:rPr>
          <w:tab/>
        </w:r>
        <w:r>
          <w:rPr>
            <w:noProof/>
            <w:webHidden/>
          </w:rPr>
          <w:fldChar w:fldCharType="begin"/>
        </w:r>
        <w:r>
          <w:rPr>
            <w:noProof/>
            <w:webHidden/>
          </w:rPr>
          <w:instrText xml:space="preserve"> PAGEREF _Toc432769392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9061"/>
        </w:tabs>
        <w:rPr>
          <w:rFonts w:asciiTheme="minorHAnsi" w:eastAsiaTheme="minorEastAsia" w:hAnsiTheme="minorHAnsi" w:cstheme="minorBidi"/>
          <w:smallCaps w:val="0"/>
          <w:noProof/>
          <w:sz w:val="22"/>
          <w:szCs w:val="22"/>
          <w:lang w:bidi="ar-SA"/>
        </w:rPr>
      </w:pPr>
      <w:hyperlink w:anchor="_Toc432769393" w:history="1">
        <w:r>
          <w:rPr>
            <w:rStyle w:val="Hyperlink"/>
            <w:noProof/>
          </w:rPr>
          <w:t>2.1.</w:t>
        </w:r>
        <w:r>
          <w:rPr>
            <w:rFonts w:asciiTheme="minorHAnsi" w:eastAsiaTheme="minorEastAsia" w:hAnsiTheme="minorHAnsi" w:cstheme="minorBidi"/>
            <w:smallCaps w:val="0"/>
            <w:noProof/>
            <w:sz w:val="22"/>
            <w:szCs w:val="22"/>
            <w:lang w:bidi="ar-SA"/>
          </w:rPr>
          <w:tab/>
        </w:r>
        <w:r>
          <w:rPr>
            <w:rStyle w:val="Hyperlink"/>
            <w:noProof/>
          </w:rPr>
          <w:t>Ressources propres traditionnelles</w:t>
        </w:r>
        <w:r>
          <w:rPr>
            <w:noProof/>
            <w:webHidden/>
          </w:rPr>
          <w:tab/>
        </w:r>
        <w:r>
          <w:rPr>
            <w:noProof/>
            <w:webHidden/>
          </w:rPr>
          <w:fldChar w:fldCharType="begin"/>
        </w:r>
        <w:r>
          <w:rPr>
            <w:noProof/>
            <w:webHidden/>
          </w:rPr>
          <w:instrText xml:space="preserve"> PAGEREF _Toc432769393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9061"/>
        </w:tabs>
        <w:rPr>
          <w:rFonts w:asciiTheme="minorHAnsi" w:eastAsiaTheme="minorEastAsia" w:hAnsiTheme="minorHAnsi" w:cstheme="minorBidi"/>
          <w:smallCaps w:val="0"/>
          <w:noProof/>
          <w:sz w:val="22"/>
          <w:szCs w:val="22"/>
          <w:lang w:bidi="ar-SA"/>
        </w:rPr>
      </w:pPr>
      <w:hyperlink w:anchor="_Toc432769394" w:history="1">
        <w:r>
          <w:rPr>
            <w:rStyle w:val="Hyperlink"/>
            <w:noProof/>
          </w:rPr>
          <w:t>2.2.</w:t>
        </w:r>
        <w:r>
          <w:rPr>
            <w:rFonts w:asciiTheme="minorHAnsi" w:eastAsiaTheme="minorEastAsia" w:hAnsiTheme="minorHAnsi" w:cstheme="minorBidi"/>
            <w:smallCaps w:val="0"/>
            <w:noProof/>
            <w:sz w:val="22"/>
            <w:szCs w:val="22"/>
            <w:lang w:bidi="ar-SA"/>
          </w:rPr>
          <w:tab/>
        </w:r>
        <w:r>
          <w:rPr>
            <w:rStyle w:val="Hyperlink"/>
            <w:noProof/>
          </w:rPr>
          <w:t>Soldes des ressources propres TVA et RNB</w:t>
        </w:r>
        <w:r>
          <w:rPr>
            <w:noProof/>
            <w:webHidden/>
          </w:rPr>
          <w:tab/>
        </w:r>
        <w:r>
          <w:rPr>
            <w:noProof/>
            <w:webHidden/>
          </w:rPr>
          <w:fldChar w:fldCharType="begin"/>
        </w:r>
        <w:r>
          <w:rPr>
            <w:noProof/>
            <w:webHidden/>
          </w:rPr>
          <w:instrText xml:space="preserve"> PAGEREF _Toc432769394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9061"/>
        </w:tabs>
        <w:rPr>
          <w:rFonts w:asciiTheme="minorHAnsi" w:eastAsiaTheme="minorEastAsia" w:hAnsiTheme="minorHAnsi" w:cstheme="minorBidi"/>
          <w:smallCaps w:val="0"/>
          <w:noProof/>
          <w:sz w:val="22"/>
          <w:szCs w:val="22"/>
          <w:lang w:bidi="ar-SA"/>
        </w:rPr>
      </w:pPr>
      <w:hyperlink w:anchor="_Toc432769395" w:history="1">
        <w:r>
          <w:rPr>
            <w:rStyle w:val="Hyperlink"/>
            <w:noProof/>
          </w:rPr>
          <w:t>2.3.</w:t>
        </w:r>
        <w:r>
          <w:rPr>
            <w:rFonts w:asciiTheme="minorHAnsi" w:eastAsiaTheme="minorEastAsia" w:hAnsiTheme="minorHAnsi" w:cstheme="minorBidi"/>
            <w:smallCaps w:val="0"/>
            <w:noProof/>
            <w:sz w:val="22"/>
            <w:szCs w:val="22"/>
            <w:lang w:bidi="ar-SA"/>
          </w:rPr>
          <w:tab/>
        </w:r>
        <w:r>
          <w:rPr>
            <w:rStyle w:val="Hyperlink"/>
            <w:noProof/>
          </w:rPr>
          <w:t>Autres recettes</w:t>
        </w:r>
        <w:r>
          <w:rPr>
            <w:noProof/>
            <w:webHidden/>
          </w:rPr>
          <w:tab/>
        </w:r>
        <w:r>
          <w:rPr>
            <w:noProof/>
            <w:webHidden/>
          </w:rPr>
          <w:fldChar w:fldCharType="begin"/>
        </w:r>
        <w:r>
          <w:rPr>
            <w:noProof/>
            <w:webHidden/>
          </w:rPr>
          <w:instrText xml:space="preserve"> PAGEREF _Toc432769395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960"/>
          <w:tab w:val="right" w:leader="dot" w:pos="9061"/>
        </w:tabs>
        <w:rPr>
          <w:rFonts w:asciiTheme="minorHAnsi" w:eastAsiaTheme="minorEastAsia" w:hAnsiTheme="minorHAnsi" w:cstheme="minorBidi"/>
          <w:smallCaps w:val="0"/>
          <w:noProof/>
          <w:sz w:val="22"/>
          <w:szCs w:val="22"/>
          <w:lang w:bidi="ar-SA"/>
        </w:rPr>
      </w:pPr>
      <w:hyperlink w:anchor="_Toc432769396" w:history="1">
        <w:r>
          <w:rPr>
            <w:rStyle w:val="Hyperlink"/>
            <w:noProof/>
          </w:rPr>
          <w:t>2.4.</w:t>
        </w:r>
        <w:r>
          <w:rPr>
            <w:rFonts w:asciiTheme="minorHAnsi" w:eastAsiaTheme="minorEastAsia" w:hAnsiTheme="minorHAnsi" w:cstheme="minorBidi"/>
            <w:smallCaps w:val="0"/>
            <w:noProof/>
            <w:sz w:val="22"/>
            <w:szCs w:val="22"/>
            <w:lang w:bidi="ar-SA"/>
          </w:rPr>
          <w:tab/>
        </w:r>
        <w:r>
          <w:rPr>
            <w:rStyle w:val="Hyperlink"/>
            <w:noProof/>
          </w:rPr>
          <w:t>Contributions au titre des ressources propres RNB</w:t>
        </w:r>
        <w:r>
          <w:rPr>
            <w:noProof/>
            <w:webHidden/>
          </w:rPr>
          <w:tab/>
        </w:r>
        <w:r>
          <w:rPr>
            <w:noProof/>
            <w:webHidden/>
          </w:rPr>
          <w:fldChar w:fldCharType="begin"/>
        </w:r>
        <w:r>
          <w:rPr>
            <w:noProof/>
            <w:webHidden/>
          </w:rPr>
          <w:instrText xml:space="preserve"> PAGEREF _Toc432769396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lang w:bidi="ar-SA"/>
        </w:rPr>
      </w:pPr>
      <w:hyperlink w:anchor="_Toc432769397" w:history="1">
        <w:r>
          <w:rPr>
            <w:rStyle w:val="Hyperlink"/>
            <w:noProof/>
          </w:rPr>
          <w:t>3.</w:t>
        </w:r>
        <w:r>
          <w:rPr>
            <w:rFonts w:asciiTheme="minorHAnsi" w:eastAsiaTheme="minorEastAsia" w:hAnsiTheme="minorHAnsi" w:cstheme="minorBidi"/>
            <w:b w:val="0"/>
            <w:bCs w:val="0"/>
            <w:caps w:val="0"/>
            <w:noProof/>
            <w:sz w:val="22"/>
            <w:szCs w:val="22"/>
            <w:lang w:bidi="ar-SA"/>
          </w:rPr>
          <w:tab/>
        </w:r>
        <w:r>
          <w:rPr>
            <w:rStyle w:val="Hyperlink"/>
            <w:noProof/>
          </w:rPr>
          <w:t>Contrôleur européen de la protection des données (section IX)</w:t>
        </w:r>
        <w:r>
          <w:rPr>
            <w:noProof/>
            <w:webHidden/>
          </w:rPr>
          <w:tab/>
        </w:r>
        <w:r>
          <w:rPr>
            <w:noProof/>
            <w:webHidden/>
          </w:rPr>
          <w:fldChar w:fldCharType="begin"/>
        </w:r>
        <w:r>
          <w:rPr>
            <w:noProof/>
            <w:webHidden/>
          </w:rPr>
          <w:instrText xml:space="preserve"> PAGEREF _Toc432769397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rPr>
      </w:pPr>
      <w:r>
        <w:rPr>
          <w:noProof/>
        </w:rPr>
        <w:fldChar w:fldCharType="end"/>
      </w:r>
    </w:p>
    <w:p>
      <w:pPr>
        <w:rPr>
          <w:noProof/>
        </w:rPr>
        <w:sectPr>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cols w:space="720"/>
        </w:sectPr>
      </w:pPr>
    </w:p>
    <w:p>
      <w:pPr>
        <w:pStyle w:val="ManualHeading1"/>
        <w:spacing w:before="240"/>
        <w:ind w:left="851" w:hanging="851"/>
        <w:rPr>
          <w:noProof/>
        </w:rPr>
      </w:pPr>
      <w:bookmarkStart w:id="8" w:name="_Toc385506031"/>
      <w:bookmarkStart w:id="9" w:name="_Toc432150794"/>
      <w:bookmarkStart w:id="10" w:name="_Toc432769391"/>
      <w:bookmarkStart w:id="11" w:name="_Toc351469332"/>
      <w:bookmarkStart w:id="12" w:name="_Toc361649879"/>
      <w:r>
        <w:rPr>
          <w:noProof/>
        </w:rPr>
        <w:lastRenderedPageBreak/>
        <w:t>1.</w:t>
      </w:r>
      <w:r>
        <w:rPr>
          <w:noProof/>
        </w:rPr>
        <w:tab/>
        <w:t>Introduction</w:t>
      </w:r>
      <w:bookmarkEnd w:id="8"/>
      <w:bookmarkEnd w:id="9"/>
      <w:bookmarkEnd w:id="10"/>
    </w:p>
    <w:p>
      <w:pPr>
        <w:spacing w:before="120" w:after="120"/>
        <w:jc w:val="both"/>
        <w:rPr>
          <w:noProof/>
        </w:rPr>
      </w:pPr>
      <w:r>
        <w:rPr>
          <w:noProof/>
        </w:rPr>
        <w:t>Le projet de budget rectificatif (PBR) n° 8 pour l’exercice 2015 porte sur les éléments suivants:</w:t>
      </w:r>
    </w:p>
    <w:p>
      <w:pPr>
        <w:pStyle w:val="ListDash"/>
        <w:rPr>
          <w:noProof/>
        </w:rPr>
      </w:pPr>
      <w:r>
        <w:rPr>
          <w:noProof/>
        </w:rPr>
        <w:t>la révision des prévisions concernant les ressources propres traditionnelles (droits de douane);</w:t>
      </w:r>
    </w:p>
    <w:p>
      <w:pPr>
        <w:pStyle w:val="ListDash"/>
        <w:rPr>
          <w:noProof/>
        </w:rPr>
      </w:pPr>
      <w:r>
        <w:rPr>
          <w:noProof/>
        </w:rPr>
        <w:t>la budgétisation du restant des soldes des ressources propres TVA et RNB de 2014;</w:t>
      </w:r>
    </w:p>
    <w:p>
      <w:pPr>
        <w:pStyle w:val="ListDash"/>
        <w:rPr>
          <w:noProof/>
        </w:rPr>
      </w:pPr>
      <w:r>
        <w:rPr>
          <w:noProof/>
        </w:rPr>
        <w:t>la budgétisation des soldes des ressources propres TVA et RNB de 2015;</w:t>
      </w:r>
    </w:p>
    <w:p>
      <w:pPr>
        <w:pStyle w:val="ListDash"/>
        <w:rPr>
          <w:noProof/>
        </w:rPr>
      </w:pPr>
      <w:r>
        <w:rPr>
          <w:noProof/>
        </w:rPr>
        <w:t>la mise à jour des prévisions concernant les autres recettes;</w:t>
      </w:r>
    </w:p>
    <w:p>
      <w:pPr>
        <w:pStyle w:val="ListDash"/>
        <w:rPr>
          <w:noProof/>
        </w:rPr>
      </w:pPr>
      <w:r>
        <w:rPr>
          <w:noProof/>
        </w:rPr>
        <w:t>la réduction, de 123 474 EUR, des crédits d'engagement et de paiement inscrits au budget du Contrôleur européen de la protection des données.</w:t>
      </w:r>
    </w:p>
    <w:p>
      <w:pPr>
        <w:pStyle w:val="ListDash"/>
        <w:numPr>
          <w:ilvl w:val="0"/>
          <w:numId w:val="0"/>
        </w:numPr>
        <w:rPr>
          <w:noProof/>
        </w:rPr>
      </w:pPr>
      <w:r>
        <w:rPr>
          <w:noProof/>
        </w:rPr>
        <w:t>L'incidence globale sous l'angle des recettes est une diminution, de 9,4 milliards d'EUR, de la contribution fondée sur le RNB.</w:t>
      </w:r>
    </w:p>
    <w:p>
      <w:pPr>
        <w:pStyle w:val="ManualHeading1"/>
        <w:spacing w:before="240"/>
        <w:ind w:left="851" w:hanging="851"/>
        <w:rPr>
          <w:noProof/>
        </w:rPr>
      </w:pPr>
      <w:bookmarkStart w:id="13" w:name="_Toc358885558"/>
      <w:bookmarkStart w:id="14" w:name="_Toc399926619"/>
      <w:bookmarkStart w:id="15" w:name="_Toc432150795"/>
      <w:bookmarkStart w:id="16" w:name="_Toc432769392"/>
      <w:bookmarkStart w:id="17" w:name="_Toc294673190"/>
      <w:bookmarkStart w:id="18" w:name="_Toc326922986"/>
      <w:r>
        <w:rPr>
          <w:noProof/>
        </w:rPr>
        <w:t>2.</w:t>
      </w:r>
      <w:r>
        <w:rPr>
          <w:noProof/>
        </w:rPr>
        <w:tab/>
        <w:t>Ressources propres</w:t>
      </w:r>
      <w:bookmarkEnd w:id="13"/>
      <w:bookmarkEnd w:id="14"/>
      <w:bookmarkEnd w:id="15"/>
      <w:bookmarkEnd w:id="16"/>
    </w:p>
    <w:p>
      <w:pPr>
        <w:spacing w:before="120" w:after="120"/>
        <w:jc w:val="both"/>
        <w:rPr>
          <w:noProof/>
        </w:rPr>
      </w:pPr>
      <w:r>
        <w:rPr>
          <w:noProof/>
        </w:rPr>
        <w:t>Conformément aux dispositions de l'article 16 du règlement (CE, Euratom) n° 1150/2000 du Conseil du 22 mai 2000</w:t>
      </w:r>
      <w:r>
        <w:rPr>
          <w:noProof/>
          <w:vertAlign w:val="superscript"/>
        </w:rPr>
        <w:footnoteReference w:id="11"/>
      </w:r>
      <w:r>
        <w:rPr>
          <w:noProof/>
        </w:rPr>
        <w:t>, la Commission a révisé les prévisions relatives aux ressources propres. Sont particulièrement concernés les ressources propres traditionnelles et les soldes TVA (taxe sur la valeur ajoutée) et RNB (revenu national brut).</w:t>
      </w:r>
    </w:p>
    <w:p>
      <w:pPr>
        <w:pStyle w:val="ManualHeading2"/>
        <w:rPr>
          <w:noProof/>
        </w:rPr>
      </w:pPr>
      <w:bookmarkStart w:id="19" w:name="_Toc399926620"/>
      <w:bookmarkStart w:id="20" w:name="_Toc432150796"/>
      <w:bookmarkStart w:id="21" w:name="_Toc432769393"/>
      <w:r>
        <w:rPr>
          <w:noProof/>
        </w:rPr>
        <w:t>2.1.</w:t>
      </w:r>
      <w:r>
        <w:rPr>
          <w:noProof/>
        </w:rPr>
        <w:tab/>
        <w:t>Ressources propres traditionnelles</w:t>
      </w:r>
      <w:bookmarkEnd w:id="19"/>
      <w:bookmarkEnd w:id="20"/>
      <w:bookmarkEnd w:id="21"/>
      <w:r>
        <w:rPr>
          <w:noProof/>
        </w:rPr>
        <w:t xml:space="preserve"> </w:t>
      </w:r>
    </w:p>
    <w:p>
      <w:pPr>
        <w:spacing w:before="120" w:after="120"/>
        <w:jc w:val="both"/>
        <w:rPr>
          <w:noProof/>
        </w:rPr>
      </w:pPr>
      <w:r>
        <w:rPr>
          <w:noProof/>
        </w:rPr>
        <w:t>La Commission propose d'augmenter de 800 millions d'EUR les ressources propres traditionnelles (RPT) inscrites au chapitre 12 des recettes pour tenir compte de l'évolution des droits de douane mis à la disposition du budget jusqu'à présent. Au cas où de nouvelles données concernant le dernier trimestre de l'année entraîneraient de fortes modifications de cette estimation, la Commission pourrait revoir ses chiffres au cours de la procédure budgétaire.</w:t>
      </w:r>
    </w:p>
    <w:p>
      <w:pPr>
        <w:pStyle w:val="ManualHeading2"/>
        <w:rPr>
          <w:noProof/>
        </w:rPr>
      </w:pPr>
      <w:bookmarkStart w:id="22" w:name="_Toc399926621"/>
      <w:bookmarkStart w:id="23" w:name="_Toc432150797"/>
      <w:bookmarkStart w:id="24" w:name="_Toc432769394"/>
      <w:r>
        <w:rPr>
          <w:noProof/>
        </w:rPr>
        <w:t>2.2.</w:t>
      </w:r>
      <w:r>
        <w:rPr>
          <w:noProof/>
        </w:rPr>
        <w:tab/>
        <w:t>Soldes des ressources propres TVA et RNB</w:t>
      </w:r>
      <w:bookmarkEnd w:id="22"/>
      <w:bookmarkEnd w:id="23"/>
      <w:bookmarkEnd w:id="24"/>
    </w:p>
    <w:p>
      <w:pPr>
        <w:spacing w:before="120" w:after="120"/>
        <w:rPr>
          <w:i/>
          <w:noProof/>
        </w:rPr>
      </w:pPr>
      <w:r>
        <w:rPr>
          <w:i/>
          <w:noProof/>
        </w:rPr>
        <w:t>Restant des soldes TVA et RNB de 2014</w:t>
      </w:r>
    </w:p>
    <w:p>
      <w:pPr>
        <w:spacing w:before="120" w:after="120"/>
        <w:jc w:val="both"/>
        <w:rPr>
          <w:noProof/>
        </w:rPr>
      </w:pPr>
      <w:r>
        <w:rPr>
          <w:noProof/>
        </w:rPr>
        <w:t>En novembre 2014, la Commission a calculé les soldes TVA et RNB pour 2013 et les exercices précédents. En principe, ces soldes auraient dû être inscrits au compte des ressources propres le premier jour ouvrable de décembre 2014. Étant donné que ces soldes étaient exceptionnellement élevés (9,5 milliards d’EUR) et sur la base de la proposition de la Commission, le Conseil a adopté, le 18 décembre 2014, le règlement (UE, Euratom) n° 1377/2014</w:t>
      </w:r>
      <w:r>
        <w:rPr>
          <w:rStyle w:val="FootnoteReference"/>
          <w:noProof/>
        </w:rPr>
        <w:footnoteReference w:id="12"/>
      </w:r>
      <w:r>
        <w:rPr>
          <w:noProof/>
        </w:rPr>
        <w:t>, qui a autorisé rétroactivement les États membres, sous certaines conditions, à différer la mise à disposition des montants des soldes TVA et RNB jusqu’au premier jour ouvrable du mois de septembre 2015.</w:t>
      </w:r>
    </w:p>
    <w:p>
      <w:pPr>
        <w:spacing w:before="120" w:after="120"/>
        <w:jc w:val="both"/>
        <w:rPr>
          <w:noProof/>
        </w:rPr>
      </w:pPr>
      <w:r>
        <w:rPr>
          <w:noProof/>
        </w:rPr>
        <w:t>Les États membres qui souhaitaient bénéficier d’une mise à disposition différée ont transmis à la Commission, avant le premier jour ouvrable du mois de décembre 2014, une demande formelle comportant un échéancier des paiements. Sur cette base, six États membres ont différé leurs paiements à 2015.</w:t>
      </w:r>
    </w:p>
    <w:p>
      <w:pPr>
        <w:spacing w:before="120" w:after="120"/>
        <w:jc w:val="both"/>
        <w:rPr>
          <w:noProof/>
        </w:rPr>
      </w:pPr>
      <w:r>
        <w:rPr>
          <w:noProof/>
        </w:rPr>
        <w:t>Le 17 décembre 2014, le Parlement européen et le Conseil ont adopté le BR n° 5/2014</w:t>
      </w:r>
      <w:r>
        <w:rPr>
          <w:rStyle w:val="FootnoteReference"/>
          <w:noProof/>
        </w:rPr>
        <w:footnoteReference w:id="13"/>
      </w:r>
      <w:r>
        <w:rPr>
          <w:noProof/>
        </w:rPr>
        <w:t>, qui a intégré les soldes TVA et RNB mis à disposition en 2014 dans le budget 2014 pour un montant d’environ 4 milliards d’EUR.</w:t>
      </w:r>
    </w:p>
    <w:p>
      <w:pPr>
        <w:spacing w:before="120" w:after="120"/>
        <w:jc w:val="both"/>
        <w:rPr>
          <w:noProof/>
        </w:rPr>
      </w:pPr>
      <w:r>
        <w:rPr>
          <w:noProof/>
        </w:rPr>
        <w:t>Au 1</w:t>
      </w:r>
      <w:r>
        <w:rPr>
          <w:noProof/>
          <w:vertAlign w:val="superscript"/>
        </w:rPr>
        <w:t>er</w:t>
      </w:r>
      <w:r>
        <w:rPr>
          <w:noProof/>
        </w:rPr>
        <w:t xml:space="preserve"> septembre 2015, tous les paiements différés de soldes TVA et RNB avaient été mis à disposition. En conséquence, la Commission propose d’inscrire un montant </w:t>
      </w:r>
      <w:r>
        <w:rPr>
          <w:noProof/>
        </w:rPr>
        <w:lastRenderedPageBreak/>
        <w:t>de 5 723,9 millions d’EUR (soit un montant négatif de 211 millions d’EUR pour les soldes TVA au chapitre 31 et un montant positif de 5 934,9 millions d’EUR pour les soldes RNB au chapitre 32).</w:t>
      </w:r>
    </w:p>
    <w:p>
      <w:pPr>
        <w:tabs>
          <w:tab w:val="left" w:pos="993"/>
        </w:tabs>
        <w:spacing w:before="120" w:after="120"/>
        <w:jc w:val="both"/>
        <w:rPr>
          <w:i/>
          <w:noProof/>
        </w:rPr>
      </w:pPr>
    </w:p>
    <w:p>
      <w:pPr>
        <w:tabs>
          <w:tab w:val="left" w:pos="993"/>
        </w:tabs>
        <w:spacing w:before="120" w:after="120"/>
        <w:jc w:val="both"/>
        <w:rPr>
          <w:i/>
          <w:noProof/>
          <w:lang w:val="da-DK"/>
        </w:rPr>
      </w:pPr>
      <w:r>
        <w:rPr>
          <w:i/>
          <w:noProof/>
          <w:lang w:val="da-DK"/>
        </w:rPr>
        <w:t>Soldes TVA et RNB de 2015</w:t>
      </w:r>
    </w:p>
    <w:p>
      <w:pPr>
        <w:spacing w:before="120" w:after="120"/>
        <w:jc w:val="both"/>
        <w:rPr>
          <w:noProof/>
        </w:rPr>
      </w:pPr>
      <w:r>
        <w:rPr>
          <w:noProof/>
        </w:rPr>
        <w:t>Pour le premier jour ouvrable du mois de décembre 2015, les États membres doivent mettre à disposition les soldes des ressources propres TVA et RNB pour 2014 et les exercices antérieurs. S'agissant des soldes des ressources propres TVA et RNB des exercices précédents, la Commission propose, sur la base des informations disponibles, d'inscrire des montants de 18,2 millions d'EUR pour les soldes TVA et de 1 391,2 millions d'EUR pour les soldes RNB, d'où une incidence globale de 1 409,4 millions d'EUR, ce qui réduit d'autant les contributions RNB des États membres</w:t>
      </w:r>
      <w:r>
        <w:rPr>
          <w:rStyle w:val="FootnoteReference"/>
          <w:noProof/>
        </w:rPr>
        <w:footnoteReference w:id="14"/>
      </w:r>
      <w:r>
        <w:rPr>
          <w:noProof/>
        </w:rPr>
        <w:t>. Ce montant positif concerne les chapitres 31</w:t>
      </w:r>
      <w:r>
        <w:rPr>
          <w:noProof/>
          <w:vertAlign w:val="superscript"/>
        </w:rPr>
        <w:footnoteReference w:id="15"/>
      </w:r>
      <w:r>
        <w:rPr>
          <w:noProof/>
        </w:rPr>
        <w:t xml:space="preserve"> et 32</w:t>
      </w:r>
      <w:r>
        <w:rPr>
          <w:noProof/>
          <w:vertAlign w:val="superscript"/>
        </w:rPr>
        <w:footnoteReference w:id="16"/>
      </w:r>
      <w:r>
        <w:rPr>
          <w:noProof/>
        </w:rPr>
        <w:t xml:space="preserve"> du volet des recettes du budget.</w:t>
      </w:r>
    </w:p>
    <w:p>
      <w:pPr>
        <w:spacing w:before="120" w:after="120"/>
        <w:jc w:val="both"/>
        <w:rPr>
          <w:noProof/>
        </w:rPr>
      </w:pPr>
      <w:r>
        <w:rPr>
          <w:noProof/>
        </w:rPr>
        <w:t>À ce stade, les calculs relatifs aux soldes des États membres sont encore provisoires, en raison de la vérification en cours des données sur la TVA et le RNB. Il se peut que la Commission soit ainsi amenée à revoir les chiffres au cours de la procédure relative au présent PBR.</w:t>
      </w:r>
    </w:p>
    <w:p>
      <w:pPr>
        <w:pStyle w:val="ManualHeading2"/>
        <w:rPr>
          <w:noProof/>
        </w:rPr>
      </w:pPr>
      <w:bookmarkStart w:id="25" w:name="_Toc432150798"/>
      <w:bookmarkStart w:id="26" w:name="_Toc432769395"/>
      <w:r>
        <w:rPr>
          <w:noProof/>
        </w:rPr>
        <w:t>2.3.</w:t>
      </w:r>
      <w:r>
        <w:rPr>
          <w:noProof/>
        </w:rPr>
        <w:tab/>
        <w:t>Autres recettes</w:t>
      </w:r>
      <w:bookmarkEnd w:id="25"/>
      <w:bookmarkEnd w:id="26"/>
    </w:p>
    <w:p>
      <w:pPr>
        <w:autoSpaceDE w:val="0"/>
        <w:autoSpaceDN w:val="0"/>
        <w:adjustRightInd w:val="0"/>
        <w:spacing w:after="120"/>
        <w:rPr>
          <w:noProof/>
        </w:rPr>
      </w:pPr>
      <w:r>
        <w:rPr>
          <w:noProof/>
        </w:rPr>
        <w:t>Compte tenu des montants qui, à ce stade de l'exercice, ont été ou seront probablement encaissés, il est proposé d'augmenter les prévisions initiales d'un montant net de 1 470 millions d'EUR. Le détail par ligne est présenté dans le tableau ci-dessous.</w:t>
      </w:r>
    </w:p>
    <w:tbl>
      <w:tblPr>
        <w:tblW w:w="9994" w:type="dxa"/>
        <w:tblInd w:w="94" w:type="dxa"/>
        <w:tblLook w:val="04A0" w:firstRow="1" w:lastRow="0" w:firstColumn="1" w:lastColumn="0" w:noHBand="0" w:noVBand="1"/>
      </w:tblPr>
      <w:tblGrid>
        <w:gridCol w:w="5294"/>
        <w:gridCol w:w="1440"/>
        <w:gridCol w:w="1640"/>
        <w:gridCol w:w="1620"/>
      </w:tblGrid>
      <w:tr>
        <w:trPr>
          <w:trHeight w:val="405"/>
        </w:trPr>
        <w:tc>
          <w:tcPr>
            <w:tcW w:w="5294" w:type="dxa"/>
            <w:tcBorders>
              <w:top w:val="single" w:sz="8" w:space="0" w:color="auto"/>
              <w:left w:val="single" w:sz="8" w:space="0" w:color="auto"/>
              <w:bottom w:val="single" w:sz="8" w:space="0" w:color="auto"/>
              <w:right w:val="single" w:sz="8" w:space="0" w:color="auto"/>
            </w:tcBorders>
            <w:shd w:val="clear" w:color="auto" w:fill="E0E0E0"/>
            <w:noWrap/>
            <w:vAlign w:val="center"/>
            <w:hideMark/>
          </w:tcPr>
          <w:p>
            <w:pPr>
              <w:spacing w:before="60" w:after="60"/>
              <w:jc w:val="center"/>
              <w:rPr>
                <w:b/>
                <w:noProof/>
                <w:sz w:val="20"/>
                <w:szCs w:val="20"/>
              </w:rPr>
            </w:pPr>
            <w:r>
              <w:rPr>
                <w:noProof/>
              </w:rPr>
              <w:br w:type="page"/>
            </w:r>
            <w:r>
              <w:rPr>
                <w:b/>
                <w:noProof/>
                <w:sz w:val="20"/>
              </w:rPr>
              <w:t>Lignes de recettes</w:t>
            </w:r>
          </w:p>
        </w:tc>
        <w:tc>
          <w:tcPr>
            <w:tcW w:w="1440" w:type="dxa"/>
            <w:tcBorders>
              <w:top w:val="single" w:sz="8" w:space="0" w:color="auto"/>
              <w:left w:val="nil"/>
              <w:bottom w:val="single" w:sz="8" w:space="0" w:color="auto"/>
              <w:right w:val="single" w:sz="8" w:space="0" w:color="auto"/>
            </w:tcBorders>
            <w:shd w:val="clear" w:color="auto" w:fill="E0E0E0"/>
            <w:vAlign w:val="center"/>
            <w:hideMark/>
          </w:tcPr>
          <w:p>
            <w:pPr>
              <w:spacing w:before="60" w:after="60"/>
              <w:jc w:val="center"/>
              <w:rPr>
                <w:b/>
                <w:noProof/>
                <w:sz w:val="20"/>
                <w:szCs w:val="20"/>
              </w:rPr>
            </w:pPr>
            <w:r>
              <w:rPr>
                <w:b/>
                <w:noProof/>
                <w:sz w:val="20"/>
              </w:rPr>
              <w:t>Budget 2015</w:t>
            </w:r>
          </w:p>
        </w:tc>
        <w:tc>
          <w:tcPr>
            <w:tcW w:w="1640" w:type="dxa"/>
            <w:tcBorders>
              <w:top w:val="single" w:sz="8" w:space="0" w:color="auto"/>
              <w:left w:val="nil"/>
              <w:bottom w:val="single" w:sz="8" w:space="0" w:color="auto"/>
              <w:right w:val="single" w:sz="8" w:space="0" w:color="auto"/>
            </w:tcBorders>
            <w:shd w:val="clear" w:color="auto" w:fill="E0E0E0"/>
            <w:vAlign w:val="center"/>
            <w:hideMark/>
          </w:tcPr>
          <w:p>
            <w:pPr>
              <w:spacing w:before="60" w:after="60"/>
              <w:jc w:val="center"/>
              <w:rPr>
                <w:b/>
                <w:noProof/>
                <w:sz w:val="20"/>
                <w:szCs w:val="20"/>
              </w:rPr>
            </w:pPr>
            <w:r>
              <w:rPr>
                <w:b/>
                <w:noProof/>
                <w:sz w:val="20"/>
              </w:rPr>
              <w:t>PBR 8/2015</w:t>
            </w:r>
          </w:p>
        </w:tc>
        <w:tc>
          <w:tcPr>
            <w:tcW w:w="1620" w:type="dxa"/>
            <w:tcBorders>
              <w:top w:val="single" w:sz="8" w:space="0" w:color="auto"/>
              <w:left w:val="nil"/>
              <w:bottom w:val="single" w:sz="8" w:space="0" w:color="auto"/>
              <w:right w:val="single" w:sz="8" w:space="0" w:color="auto"/>
            </w:tcBorders>
            <w:shd w:val="clear" w:color="auto" w:fill="E0E0E0"/>
            <w:vAlign w:val="center"/>
            <w:hideMark/>
          </w:tcPr>
          <w:p>
            <w:pPr>
              <w:spacing w:before="60" w:after="60"/>
              <w:jc w:val="center"/>
              <w:rPr>
                <w:b/>
                <w:noProof/>
                <w:sz w:val="20"/>
                <w:szCs w:val="20"/>
              </w:rPr>
            </w:pPr>
            <w:r>
              <w:rPr>
                <w:b/>
                <w:noProof/>
                <w:sz w:val="20"/>
              </w:rPr>
              <w:t>Nouveau montant</w:t>
            </w:r>
          </w:p>
        </w:tc>
      </w:tr>
      <w:tr>
        <w:trPr>
          <w:trHeight w:val="20"/>
        </w:trPr>
        <w:tc>
          <w:tcPr>
            <w:tcW w:w="5294" w:type="dxa"/>
            <w:tcBorders>
              <w:top w:val="nil"/>
              <w:left w:val="single" w:sz="8" w:space="0" w:color="auto"/>
              <w:bottom w:val="single" w:sz="8" w:space="0" w:color="auto"/>
              <w:right w:val="single" w:sz="8" w:space="0" w:color="auto"/>
            </w:tcBorders>
            <w:noWrap/>
            <w:vAlign w:val="center"/>
          </w:tcPr>
          <w:p>
            <w:pPr>
              <w:spacing w:before="60" w:after="60"/>
              <w:jc w:val="both"/>
              <w:rPr>
                <w:noProof/>
                <w:sz w:val="20"/>
                <w:szCs w:val="20"/>
              </w:rPr>
            </w:pPr>
            <w:r>
              <w:rPr>
                <w:noProof/>
                <w:sz w:val="20"/>
              </w:rPr>
              <w:t>5 2 1 — Revenus des fonds placés ou prêtés, intérêts bancaires et autres perçus sur les comptes des organismes subventionnés et virés à la Commission</w:t>
            </w:r>
          </w:p>
        </w:tc>
        <w:tc>
          <w:tcPr>
            <w:tcW w:w="1440" w:type="dxa"/>
            <w:tcBorders>
              <w:top w:val="nil"/>
              <w:left w:val="nil"/>
              <w:bottom w:val="single" w:sz="8" w:space="0" w:color="auto"/>
              <w:right w:val="single" w:sz="8" w:space="0" w:color="auto"/>
            </w:tcBorders>
          </w:tcPr>
          <w:p>
            <w:pPr>
              <w:spacing w:before="60" w:after="60"/>
              <w:jc w:val="right"/>
              <w:rPr>
                <w:noProof/>
                <w:sz w:val="20"/>
                <w:szCs w:val="20"/>
              </w:rPr>
            </w:pPr>
            <w:r>
              <w:rPr>
                <w:noProof/>
                <w:sz w:val="20"/>
              </w:rPr>
              <w:t>10 000 000</w:t>
            </w:r>
          </w:p>
        </w:tc>
        <w:tc>
          <w:tcPr>
            <w:tcW w:w="1640" w:type="dxa"/>
            <w:tcBorders>
              <w:top w:val="nil"/>
              <w:left w:val="nil"/>
              <w:bottom w:val="single" w:sz="8" w:space="0" w:color="auto"/>
              <w:right w:val="single" w:sz="8" w:space="0" w:color="auto"/>
            </w:tcBorders>
          </w:tcPr>
          <w:p>
            <w:pPr>
              <w:spacing w:before="60" w:after="60"/>
              <w:jc w:val="right"/>
              <w:rPr>
                <w:noProof/>
                <w:sz w:val="20"/>
                <w:szCs w:val="20"/>
              </w:rPr>
            </w:pPr>
            <w:r>
              <w:rPr>
                <w:noProof/>
                <w:sz w:val="20"/>
              </w:rPr>
              <w:t>40 000 000</w:t>
            </w:r>
          </w:p>
        </w:tc>
        <w:tc>
          <w:tcPr>
            <w:tcW w:w="1620" w:type="dxa"/>
            <w:tcBorders>
              <w:top w:val="nil"/>
              <w:left w:val="nil"/>
              <w:bottom w:val="single" w:sz="8" w:space="0" w:color="auto"/>
              <w:right w:val="single" w:sz="8" w:space="0" w:color="auto"/>
            </w:tcBorders>
          </w:tcPr>
          <w:p>
            <w:pPr>
              <w:spacing w:before="60" w:after="60"/>
              <w:jc w:val="right"/>
              <w:rPr>
                <w:noProof/>
                <w:sz w:val="20"/>
                <w:szCs w:val="20"/>
              </w:rPr>
            </w:pPr>
            <w:r>
              <w:rPr>
                <w:noProof/>
                <w:sz w:val="20"/>
              </w:rPr>
              <w:t>50 000 000</w:t>
            </w:r>
          </w:p>
          <w:p>
            <w:pPr>
              <w:spacing w:before="60" w:after="60"/>
              <w:jc w:val="right"/>
              <w:rPr>
                <w:noProof/>
                <w:sz w:val="20"/>
                <w:szCs w:val="20"/>
              </w:rPr>
            </w:pPr>
          </w:p>
        </w:tc>
      </w:tr>
      <w:tr>
        <w:trPr>
          <w:trHeight w:val="20"/>
        </w:trPr>
        <w:tc>
          <w:tcPr>
            <w:tcW w:w="5294" w:type="dxa"/>
            <w:tcBorders>
              <w:top w:val="nil"/>
              <w:left w:val="single" w:sz="8" w:space="0" w:color="auto"/>
              <w:bottom w:val="single" w:sz="8" w:space="0" w:color="auto"/>
              <w:right w:val="single" w:sz="8" w:space="0" w:color="auto"/>
            </w:tcBorders>
            <w:noWrap/>
            <w:vAlign w:val="center"/>
            <w:hideMark/>
          </w:tcPr>
          <w:p>
            <w:pPr>
              <w:spacing w:before="60" w:after="60"/>
              <w:jc w:val="both"/>
              <w:rPr>
                <w:noProof/>
                <w:sz w:val="20"/>
                <w:szCs w:val="20"/>
              </w:rPr>
            </w:pPr>
            <w:r>
              <w:rPr>
                <w:noProof/>
                <w:sz w:val="20"/>
              </w:rPr>
              <w:t>7 0 0 0 — Intérêts exigibles à la suite des inscriptions tardives aux comptes auprès des Trésors des États membres</w:t>
            </w:r>
          </w:p>
        </w:tc>
        <w:tc>
          <w:tcPr>
            <w:tcW w:w="1440" w:type="dxa"/>
            <w:tcBorders>
              <w:top w:val="nil"/>
              <w:left w:val="nil"/>
              <w:bottom w:val="single" w:sz="8" w:space="0" w:color="auto"/>
              <w:right w:val="single" w:sz="8" w:space="0" w:color="auto"/>
            </w:tcBorders>
            <w:hideMark/>
          </w:tcPr>
          <w:p>
            <w:pPr>
              <w:spacing w:before="60" w:after="60"/>
              <w:jc w:val="right"/>
              <w:rPr>
                <w:noProof/>
                <w:sz w:val="20"/>
                <w:szCs w:val="20"/>
              </w:rPr>
            </w:pPr>
            <w:r>
              <w:rPr>
                <w:noProof/>
                <w:sz w:val="20"/>
              </w:rPr>
              <w:t xml:space="preserve">5 000 000 </w:t>
            </w:r>
          </w:p>
        </w:tc>
        <w:tc>
          <w:tcPr>
            <w:tcW w:w="1640" w:type="dxa"/>
            <w:tcBorders>
              <w:top w:val="nil"/>
              <w:left w:val="nil"/>
              <w:bottom w:val="single" w:sz="8" w:space="0" w:color="auto"/>
              <w:right w:val="single" w:sz="8" w:space="0" w:color="auto"/>
            </w:tcBorders>
          </w:tcPr>
          <w:p>
            <w:pPr>
              <w:spacing w:before="60" w:after="60"/>
              <w:jc w:val="right"/>
              <w:rPr>
                <w:noProof/>
                <w:sz w:val="20"/>
                <w:szCs w:val="20"/>
              </w:rPr>
            </w:pPr>
            <w:r>
              <w:rPr>
                <w:noProof/>
                <w:sz w:val="20"/>
              </w:rPr>
              <w:t>5 000 000</w:t>
            </w:r>
          </w:p>
        </w:tc>
        <w:tc>
          <w:tcPr>
            <w:tcW w:w="1620" w:type="dxa"/>
            <w:tcBorders>
              <w:top w:val="nil"/>
              <w:left w:val="nil"/>
              <w:bottom w:val="single" w:sz="8" w:space="0" w:color="auto"/>
              <w:right w:val="single" w:sz="8" w:space="0" w:color="auto"/>
            </w:tcBorders>
          </w:tcPr>
          <w:p>
            <w:pPr>
              <w:spacing w:before="60" w:after="60"/>
              <w:jc w:val="right"/>
              <w:rPr>
                <w:noProof/>
                <w:sz w:val="20"/>
                <w:szCs w:val="20"/>
              </w:rPr>
            </w:pPr>
            <w:r>
              <w:rPr>
                <w:noProof/>
                <w:sz w:val="20"/>
              </w:rPr>
              <w:t>10 000 000</w:t>
            </w:r>
          </w:p>
        </w:tc>
      </w:tr>
      <w:tr>
        <w:trPr>
          <w:trHeight w:val="20"/>
        </w:trPr>
        <w:tc>
          <w:tcPr>
            <w:tcW w:w="5294" w:type="dxa"/>
            <w:tcBorders>
              <w:top w:val="nil"/>
              <w:left w:val="single" w:sz="8" w:space="0" w:color="auto"/>
              <w:bottom w:val="single" w:sz="8" w:space="0" w:color="auto"/>
              <w:right w:val="single" w:sz="8" w:space="0" w:color="auto"/>
            </w:tcBorders>
            <w:vAlign w:val="center"/>
            <w:hideMark/>
          </w:tcPr>
          <w:p>
            <w:pPr>
              <w:spacing w:before="60" w:after="60"/>
              <w:jc w:val="both"/>
              <w:rPr>
                <w:noProof/>
                <w:sz w:val="20"/>
                <w:szCs w:val="20"/>
              </w:rPr>
            </w:pPr>
            <w:r>
              <w:rPr>
                <w:noProof/>
                <w:sz w:val="20"/>
              </w:rPr>
              <w:t>7 0 1 — Intérêts de retard et autres intérêts sur les amendes</w:t>
            </w:r>
          </w:p>
        </w:tc>
        <w:tc>
          <w:tcPr>
            <w:tcW w:w="1440" w:type="dxa"/>
            <w:tcBorders>
              <w:top w:val="nil"/>
              <w:left w:val="nil"/>
              <w:bottom w:val="single" w:sz="8" w:space="0" w:color="auto"/>
              <w:right w:val="single" w:sz="8" w:space="0" w:color="auto"/>
            </w:tcBorders>
            <w:hideMark/>
          </w:tcPr>
          <w:p>
            <w:pPr>
              <w:spacing w:before="60" w:after="60"/>
              <w:jc w:val="right"/>
              <w:rPr>
                <w:noProof/>
                <w:sz w:val="20"/>
                <w:szCs w:val="20"/>
              </w:rPr>
            </w:pPr>
            <w:r>
              <w:rPr>
                <w:noProof/>
                <w:sz w:val="20"/>
              </w:rPr>
              <w:t xml:space="preserve">15 000 000 </w:t>
            </w:r>
          </w:p>
        </w:tc>
        <w:tc>
          <w:tcPr>
            <w:tcW w:w="1640" w:type="dxa"/>
            <w:tcBorders>
              <w:top w:val="nil"/>
              <w:left w:val="nil"/>
              <w:bottom w:val="single" w:sz="8" w:space="0" w:color="auto"/>
              <w:right w:val="single" w:sz="8" w:space="0" w:color="auto"/>
            </w:tcBorders>
          </w:tcPr>
          <w:p>
            <w:pPr>
              <w:spacing w:before="60" w:after="60"/>
              <w:jc w:val="right"/>
              <w:rPr>
                <w:noProof/>
                <w:sz w:val="20"/>
                <w:szCs w:val="20"/>
              </w:rPr>
            </w:pPr>
            <w:r>
              <w:rPr>
                <w:noProof/>
                <w:sz w:val="20"/>
              </w:rPr>
              <w:t>30 000 000</w:t>
            </w:r>
          </w:p>
        </w:tc>
        <w:tc>
          <w:tcPr>
            <w:tcW w:w="1620" w:type="dxa"/>
            <w:tcBorders>
              <w:top w:val="nil"/>
              <w:left w:val="nil"/>
              <w:bottom w:val="single" w:sz="8" w:space="0" w:color="auto"/>
              <w:right w:val="single" w:sz="8" w:space="0" w:color="auto"/>
            </w:tcBorders>
          </w:tcPr>
          <w:p>
            <w:pPr>
              <w:spacing w:before="60" w:after="60"/>
              <w:jc w:val="right"/>
              <w:rPr>
                <w:noProof/>
                <w:sz w:val="20"/>
                <w:szCs w:val="20"/>
              </w:rPr>
            </w:pPr>
            <w:r>
              <w:rPr>
                <w:noProof/>
                <w:sz w:val="20"/>
              </w:rPr>
              <w:t>45 000 000</w:t>
            </w:r>
          </w:p>
        </w:tc>
      </w:tr>
      <w:tr>
        <w:trPr>
          <w:trHeight w:val="20"/>
        </w:trPr>
        <w:tc>
          <w:tcPr>
            <w:tcW w:w="5294" w:type="dxa"/>
            <w:tcBorders>
              <w:top w:val="nil"/>
              <w:left w:val="single" w:sz="8" w:space="0" w:color="auto"/>
              <w:bottom w:val="single" w:sz="8" w:space="0" w:color="auto"/>
              <w:right w:val="single" w:sz="8" w:space="0" w:color="auto"/>
            </w:tcBorders>
            <w:vAlign w:val="center"/>
            <w:hideMark/>
          </w:tcPr>
          <w:p>
            <w:pPr>
              <w:spacing w:before="60" w:after="60"/>
              <w:jc w:val="both"/>
              <w:rPr>
                <w:noProof/>
                <w:sz w:val="20"/>
                <w:szCs w:val="20"/>
              </w:rPr>
            </w:pPr>
            <w:r>
              <w:rPr>
                <w:noProof/>
                <w:sz w:val="20"/>
              </w:rPr>
              <w:t>7 1 0 — Amendes, astreintes et sanctions</w:t>
            </w:r>
          </w:p>
        </w:tc>
        <w:tc>
          <w:tcPr>
            <w:tcW w:w="1440" w:type="dxa"/>
            <w:tcBorders>
              <w:top w:val="nil"/>
              <w:left w:val="nil"/>
              <w:bottom w:val="single" w:sz="8" w:space="0" w:color="auto"/>
              <w:right w:val="single" w:sz="8" w:space="0" w:color="auto"/>
            </w:tcBorders>
            <w:hideMark/>
          </w:tcPr>
          <w:p>
            <w:pPr>
              <w:spacing w:before="60" w:after="60"/>
              <w:jc w:val="right"/>
              <w:rPr>
                <w:noProof/>
                <w:sz w:val="20"/>
                <w:szCs w:val="20"/>
              </w:rPr>
            </w:pPr>
            <w:r>
              <w:rPr>
                <w:noProof/>
                <w:sz w:val="20"/>
              </w:rPr>
              <w:t xml:space="preserve">100 000 000 </w:t>
            </w:r>
          </w:p>
        </w:tc>
        <w:tc>
          <w:tcPr>
            <w:tcW w:w="1640" w:type="dxa"/>
            <w:tcBorders>
              <w:top w:val="nil"/>
              <w:left w:val="nil"/>
              <w:bottom w:val="single" w:sz="8" w:space="0" w:color="auto"/>
              <w:right w:val="single" w:sz="8" w:space="0" w:color="auto"/>
            </w:tcBorders>
          </w:tcPr>
          <w:p>
            <w:pPr>
              <w:spacing w:before="60" w:after="60"/>
              <w:jc w:val="right"/>
              <w:rPr>
                <w:noProof/>
                <w:sz w:val="20"/>
                <w:szCs w:val="20"/>
              </w:rPr>
            </w:pPr>
            <w:r>
              <w:rPr>
                <w:noProof/>
                <w:sz w:val="20"/>
              </w:rPr>
              <w:t>1 315 000 000</w:t>
            </w:r>
          </w:p>
        </w:tc>
        <w:tc>
          <w:tcPr>
            <w:tcW w:w="1620" w:type="dxa"/>
            <w:tcBorders>
              <w:top w:val="nil"/>
              <w:left w:val="nil"/>
              <w:bottom w:val="single" w:sz="8" w:space="0" w:color="auto"/>
              <w:right w:val="single" w:sz="8" w:space="0" w:color="auto"/>
            </w:tcBorders>
          </w:tcPr>
          <w:p>
            <w:pPr>
              <w:spacing w:before="60" w:after="60"/>
              <w:jc w:val="right"/>
              <w:rPr>
                <w:noProof/>
                <w:sz w:val="20"/>
                <w:szCs w:val="20"/>
              </w:rPr>
            </w:pPr>
            <w:r>
              <w:rPr>
                <w:noProof/>
                <w:sz w:val="20"/>
              </w:rPr>
              <w:t>1 415 000 000</w:t>
            </w:r>
          </w:p>
        </w:tc>
      </w:tr>
      <w:tr>
        <w:trPr>
          <w:trHeight w:val="20"/>
        </w:trPr>
        <w:tc>
          <w:tcPr>
            <w:tcW w:w="5294" w:type="dxa"/>
            <w:tcBorders>
              <w:top w:val="nil"/>
              <w:left w:val="single" w:sz="8" w:space="0" w:color="auto"/>
              <w:bottom w:val="single" w:sz="8" w:space="0" w:color="auto"/>
              <w:right w:val="single" w:sz="8" w:space="0" w:color="auto"/>
            </w:tcBorders>
            <w:vAlign w:val="center"/>
          </w:tcPr>
          <w:p>
            <w:pPr>
              <w:spacing w:before="60" w:after="60"/>
              <w:jc w:val="both"/>
              <w:rPr>
                <w:noProof/>
                <w:sz w:val="20"/>
                <w:szCs w:val="20"/>
              </w:rPr>
            </w:pPr>
            <w:r>
              <w:rPr>
                <w:noProof/>
                <w:sz w:val="20"/>
              </w:rPr>
              <w:t>7 1 2 — Astreintes et sommes forfaitaires imposées aux États membres en cas d'inexécution d'un arrêt de la Cour de justice de l'Union européenne en constatation de manquement aux obligations découlant du traité</w:t>
            </w:r>
          </w:p>
        </w:tc>
        <w:tc>
          <w:tcPr>
            <w:tcW w:w="1440" w:type="dxa"/>
            <w:tcBorders>
              <w:top w:val="nil"/>
              <w:left w:val="nil"/>
              <w:bottom w:val="single" w:sz="8" w:space="0" w:color="auto"/>
              <w:right w:val="single" w:sz="8" w:space="0" w:color="auto"/>
            </w:tcBorders>
          </w:tcPr>
          <w:p>
            <w:pPr>
              <w:spacing w:before="60" w:after="60"/>
              <w:jc w:val="right"/>
              <w:rPr>
                <w:noProof/>
                <w:sz w:val="20"/>
                <w:szCs w:val="20"/>
              </w:rPr>
            </w:pPr>
            <w:r>
              <w:rPr>
                <w:noProof/>
                <w:sz w:val="20"/>
              </w:rPr>
              <w:t>p.m.</w:t>
            </w:r>
          </w:p>
        </w:tc>
        <w:tc>
          <w:tcPr>
            <w:tcW w:w="1640" w:type="dxa"/>
            <w:tcBorders>
              <w:top w:val="nil"/>
              <w:left w:val="nil"/>
              <w:bottom w:val="single" w:sz="8" w:space="0" w:color="auto"/>
              <w:right w:val="single" w:sz="8" w:space="0" w:color="auto"/>
            </w:tcBorders>
          </w:tcPr>
          <w:p>
            <w:pPr>
              <w:spacing w:before="60" w:after="60"/>
              <w:jc w:val="right"/>
              <w:rPr>
                <w:noProof/>
                <w:sz w:val="20"/>
                <w:szCs w:val="20"/>
              </w:rPr>
            </w:pPr>
            <w:r>
              <w:rPr>
                <w:noProof/>
                <w:sz w:val="20"/>
              </w:rPr>
              <w:t xml:space="preserve">50 000 000 </w:t>
            </w:r>
          </w:p>
        </w:tc>
        <w:tc>
          <w:tcPr>
            <w:tcW w:w="1620" w:type="dxa"/>
            <w:tcBorders>
              <w:top w:val="nil"/>
              <w:left w:val="nil"/>
              <w:bottom w:val="single" w:sz="8" w:space="0" w:color="auto"/>
              <w:right w:val="single" w:sz="8" w:space="0" w:color="auto"/>
            </w:tcBorders>
          </w:tcPr>
          <w:p>
            <w:pPr>
              <w:spacing w:before="60" w:after="60"/>
              <w:jc w:val="right"/>
              <w:rPr>
                <w:noProof/>
                <w:sz w:val="20"/>
                <w:szCs w:val="20"/>
              </w:rPr>
            </w:pPr>
            <w:r>
              <w:rPr>
                <w:noProof/>
                <w:sz w:val="20"/>
              </w:rPr>
              <w:t>50 000 000</w:t>
            </w:r>
          </w:p>
        </w:tc>
      </w:tr>
      <w:tr>
        <w:trPr>
          <w:trHeight w:val="20"/>
        </w:trPr>
        <w:tc>
          <w:tcPr>
            <w:tcW w:w="5294" w:type="dxa"/>
            <w:tcBorders>
              <w:top w:val="nil"/>
              <w:left w:val="single" w:sz="8" w:space="0" w:color="auto"/>
              <w:bottom w:val="single" w:sz="8" w:space="0" w:color="auto"/>
              <w:right w:val="single" w:sz="8" w:space="0" w:color="auto"/>
            </w:tcBorders>
            <w:vAlign w:val="center"/>
          </w:tcPr>
          <w:p>
            <w:pPr>
              <w:spacing w:before="60" w:after="60"/>
              <w:jc w:val="both"/>
              <w:rPr>
                <w:noProof/>
                <w:sz w:val="20"/>
                <w:szCs w:val="20"/>
              </w:rPr>
            </w:pPr>
            <w:r>
              <w:rPr>
                <w:noProof/>
                <w:sz w:val="20"/>
              </w:rPr>
              <w:t>8 1 0 — Remboursement et produit des intérêts des prêts spéciaux et des capitaux-risques consentis dans le cadre de la coopération financière avec les pays tiers du Bassin méditerranéen</w:t>
            </w:r>
          </w:p>
        </w:tc>
        <w:tc>
          <w:tcPr>
            <w:tcW w:w="1440" w:type="dxa"/>
            <w:tcBorders>
              <w:top w:val="nil"/>
              <w:left w:val="nil"/>
              <w:bottom w:val="single" w:sz="8" w:space="0" w:color="auto"/>
              <w:right w:val="single" w:sz="8" w:space="0" w:color="auto"/>
            </w:tcBorders>
          </w:tcPr>
          <w:p>
            <w:pPr>
              <w:spacing w:before="60" w:after="60"/>
              <w:jc w:val="right"/>
              <w:rPr>
                <w:noProof/>
                <w:sz w:val="20"/>
                <w:szCs w:val="20"/>
              </w:rPr>
            </w:pPr>
            <w:r>
              <w:rPr>
                <w:noProof/>
                <w:sz w:val="20"/>
              </w:rPr>
              <w:t>p.m.</w:t>
            </w:r>
          </w:p>
        </w:tc>
        <w:tc>
          <w:tcPr>
            <w:tcW w:w="1640" w:type="dxa"/>
            <w:tcBorders>
              <w:top w:val="nil"/>
              <w:left w:val="nil"/>
              <w:bottom w:val="single" w:sz="8" w:space="0" w:color="auto"/>
              <w:right w:val="single" w:sz="8" w:space="0" w:color="auto"/>
            </w:tcBorders>
          </w:tcPr>
          <w:p>
            <w:pPr>
              <w:spacing w:before="60" w:after="60"/>
              <w:jc w:val="right"/>
              <w:rPr>
                <w:noProof/>
                <w:sz w:val="20"/>
                <w:szCs w:val="20"/>
              </w:rPr>
            </w:pPr>
            <w:r>
              <w:rPr>
                <w:noProof/>
                <w:sz w:val="20"/>
              </w:rPr>
              <w:t>30 000 000</w:t>
            </w:r>
          </w:p>
        </w:tc>
        <w:tc>
          <w:tcPr>
            <w:tcW w:w="1620" w:type="dxa"/>
            <w:tcBorders>
              <w:top w:val="nil"/>
              <w:left w:val="nil"/>
              <w:bottom w:val="single" w:sz="8" w:space="0" w:color="auto"/>
              <w:right w:val="single" w:sz="8" w:space="0" w:color="auto"/>
            </w:tcBorders>
          </w:tcPr>
          <w:p>
            <w:pPr>
              <w:spacing w:before="60" w:after="60"/>
              <w:jc w:val="right"/>
              <w:rPr>
                <w:noProof/>
                <w:sz w:val="20"/>
                <w:szCs w:val="20"/>
              </w:rPr>
            </w:pPr>
            <w:r>
              <w:rPr>
                <w:noProof/>
                <w:sz w:val="20"/>
              </w:rPr>
              <w:t>30 000 000</w:t>
            </w:r>
          </w:p>
        </w:tc>
      </w:tr>
      <w:tr>
        <w:trPr>
          <w:trHeight w:val="20"/>
        </w:trPr>
        <w:tc>
          <w:tcPr>
            <w:tcW w:w="5294" w:type="dxa"/>
            <w:tcBorders>
              <w:top w:val="single" w:sz="8" w:space="0" w:color="auto"/>
              <w:left w:val="single" w:sz="8" w:space="0" w:color="auto"/>
              <w:bottom w:val="single" w:sz="8" w:space="0" w:color="auto"/>
              <w:right w:val="nil"/>
            </w:tcBorders>
            <w:noWrap/>
            <w:vAlign w:val="center"/>
            <w:hideMark/>
          </w:tcPr>
          <w:p>
            <w:pPr>
              <w:spacing w:before="60" w:after="60"/>
              <w:jc w:val="right"/>
              <w:rPr>
                <w:b/>
                <w:bCs/>
                <w:noProof/>
              </w:rPr>
            </w:pPr>
            <w:r>
              <w:rPr>
                <w:b/>
                <w:noProof/>
              </w:rPr>
              <w:t>Total</w:t>
            </w:r>
          </w:p>
        </w:tc>
        <w:tc>
          <w:tcPr>
            <w:tcW w:w="1440" w:type="dxa"/>
            <w:tcBorders>
              <w:top w:val="single" w:sz="8" w:space="0" w:color="auto"/>
              <w:left w:val="single" w:sz="8" w:space="0" w:color="auto"/>
              <w:bottom w:val="single" w:sz="8" w:space="0" w:color="auto"/>
              <w:right w:val="single" w:sz="8" w:space="0" w:color="auto"/>
            </w:tcBorders>
            <w:noWrap/>
            <w:hideMark/>
          </w:tcPr>
          <w:p>
            <w:pPr>
              <w:spacing w:before="60" w:after="60"/>
              <w:jc w:val="right"/>
              <w:rPr>
                <w:noProof/>
                <w:sz w:val="20"/>
                <w:szCs w:val="20"/>
              </w:rPr>
            </w:pPr>
            <w:r>
              <w:rPr>
                <w:noProof/>
                <w:sz w:val="20"/>
              </w:rPr>
              <w:t>130 000 000</w:t>
            </w:r>
          </w:p>
        </w:tc>
        <w:tc>
          <w:tcPr>
            <w:tcW w:w="1640" w:type="dxa"/>
            <w:tcBorders>
              <w:top w:val="single" w:sz="8" w:space="0" w:color="auto"/>
              <w:left w:val="nil"/>
              <w:bottom w:val="single" w:sz="8" w:space="0" w:color="auto"/>
              <w:right w:val="single" w:sz="8" w:space="0" w:color="auto"/>
            </w:tcBorders>
            <w:noWrap/>
          </w:tcPr>
          <w:p>
            <w:pPr>
              <w:spacing w:before="60" w:after="60"/>
              <w:jc w:val="right"/>
              <w:rPr>
                <w:noProof/>
                <w:sz w:val="20"/>
                <w:szCs w:val="20"/>
              </w:rPr>
            </w:pPr>
            <w:r>
              <w:rPr>
                <w:noProof/>
                <w:sz w:val="20"/>
              </w:rPr>
              <w:t>1 470 000 000</w:t>
            </w:r>
          </w:p>
        </w:tc>
        <w:tc>
          <w:tcPr>
            <w:tcW w:w="1620" w:type="dxa"/>
            <w:tcBorders>
              <w:top w:val="single" w:sz="8" w:space="0" w:color="auto"/>
              <w:left w:val="nil"/>
              <w:bottom w:val="single" w:sz="8" w:space="0" w:color="auto"/>
              <w:right w:val="single" w:sz="8" w:space="0" w:color="auto"/>
            </w:tcBorders>
            <w:noWrap/>
          </w:tcPr>
          <w:p>
            <w:pPr>
              <w:spacing w:before="60" w:after="60"/>
              <w:jc w:val="right"/>
              <w:rPr>
                <w:noProof/>
                <w:sz w:val="20"/>
                <w:szCs w:val="20"/>
              </w:rPr>
            </w:pPr>
            <w:r>
              <w:rPr>
                <w:noProof/>
                <w:sz w:val="20"/>
              </w:rPr>
              <w:t>1 600 000 000</w:t>
            </w:r>
          </w:p>
        </w:tc>
      </w:tr>
    </w:tbl>
    <w:p>
      <w:pPr>
        <w:rPr>
          <w:noProof/>
        </w:rPr>
      </w:pPr>
      <w:bookmarkStart w:id="27" w:name="_Toc399926622"/>
      <w:r>
        <w:rPr>
          <w:noProof/>
        </w:rPr>
        <w:br w:type="page"/>
      </w:r>
    </w:p>
    <w:p>
      <w:pPr>
        <w:pStyle w:val="ManualHeading2"/>
        <w:rPr>
          <w:noProof/>
        </w:rPr>
      </w:pPr>
      <w:bookmarkStart w:id="28" w:name="_Toc432150799"/>
      <w:bookmarkStart w:id="29" w:name="_Toc432769396"/>
      <w:r>
        <w:rPr>
          <w:noProof/>
        </w:rPr>
        <w:lastRenderedPageBreak/>
        <w:t>2.4.</w:t>
      </w:r>
      <w:r>
        <w:rPr>
          <w:noProof/>
        </w:rPr>
        <w:tab/>
        <w:t>Contributions au titre des ressources propres RNB</w:t>
      </w:r>
      <w:bookmarkEnd w:id="27"/>
      <w:bookmarkEnd w:id="28"/>
      <w:bookmarkEnd w:id="29"/>
    </w:p>
    <w:p>
      <w:pPr>
        <w:spacing w:before="120" w:after="120"/>
        <w:jc w:val="both"/>
        <w:rPr>
          <w:noProof/>
        </w:rPr>
      </w:pPr>
      <w:r>
        <w:rPr>
          <w:noProof/>
        </w:rPr>
        <w:t>Compte tenu de la révision des prévisions relatives aux ressources propres traditionnelles et aux soldes TVA et RNB, de l'augmentation des autres recettes, comme il est exposé plus haut, ainsi que de la diminution des crédits de paiement destinés au Contrôleur européen de la protection des données, l'incidence globale du présent PBR n° 8/2015 sur les contributions RNB des États membres est une baisse de 9 403,4 millions d'EUR.</w:t>
      </w:r>
    </w:p>
    <w:tbl>
      <w:tblPr>
        <w:tblW w:w="6046" w:type="dxa"/>
        <w:jc w:val="center"/>
        <w:tblInd w:w="93" w:type="dxa"/>
        <w:tblLayout w:type="fixed"/>
        <w:tblLook w:val="04A0" w:firstRow="1" w:lastRow="0" w:firstColumn="1" w:lastColumn="0" w:noHBand="0" w:noVBand="1"/>
      </w:tblPr>
      <w:tblGrid>
        <w:gridCol w:w="1726"/>
        <w:gridCol w:w="1440"/>
        <w:gridCol w:w="1440"/>
        <w:gridCol w:w="1440"/>
      </w:tblGrid>
      <w:tr>
        <w:trPr>
          <w:trHeight w:val="450"/>
          <w:jc w:val="center"/>
        </w:trPr>
        <w:tc>
          <w:tcPr>
            <w:tcW w:w="1726" w:type="dxa"/>
            <w:tcBorders>
              <w:top w:val="single" w:sz="8" w:space="0" w:color="auto"/>
              <w:left w:val="single" w:sz="8" w:space="0" w:color="auto"/>
              <w:bottom w:val="single" w:sz="8" w:space="0" w:color="auto"/>
              <w:right w:val="single" w:sz="8" w:space="0" w:color="auto"/>
            </w:tcBorders>
            <w:shd w:val="clear" w:color="auto" w:fill="auto"/>
            <w:vAlign w:val="center"/>
            <w:hideMark/>
          </w:tcPr>
          <w:p>
            <w:pPr>
              <w:jc w:val="center"/>
              <w:rPr>
                <w:noProof/>
                <w:color w:val="000000"/>
                <w:sz w:val="16"/>
                <w:szCs w:val="16"/>
              </w:rPr>
            </w:pPr>
            <w:r>
              <w:rPr>
                <w:noProof/>
                <w:color w:val="000000"/>
                <w:sz w:val="16"/>
              </w:rPr>
              <w:t>État membre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pPr>
              <w:jc w:val="center"/>
              <w:rPr>
                <w:noProof/>
                <w:color w:val="000000"/>
                <w:sz w:val="16"/>
                <w:szCs w:val="16"/>
              </w:rPr>
            </w:pPr>
            <w:r>
              <w:rPr>
                <w:noProof/>
                <w:color w:val="000000"/>
                <w:sz w:val="16"/>
              </w:rPr>
              <w:t>Budget rectificatif n° 6/2015</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pPr>
              <w:jc w:val="center"/>
              <w:rPr>
                <w:noProof/>
                <w:color w:val="000000"/>
                <w:sz w:val="16"/>
                <w:szCs w:val="16"/>
              </w:rPr>
            </w:pPr>
            <w:r>
              <w:rPr>
                <w:noProof/>
                <w:color w:val="000000"/>
                <w:sz w:val="16"/>
              </w:rPr>
              <w:t>Projet de budget rectificatif n° 8/2015</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pPr>
              <w:jc w:val="center"/>
              <w:rPr>
                <w:noProof/>
                <w:color w:val="000000"/>
                <w:sz w:val="16"/>
                <w:szCs w:val="16"/>
              </w:rPr>
            </w:pPr>
            <w:r>
              <w:rPr>
                <w:noProof/>
                <w:color w:val="000000"/>
                <w:sz w:val="16"/>
              </w:rPr>
              <w:t>Nouveau montant</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Belgique</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2 948 138 218</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- 271 023 955</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2 677 114 263</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Bulgarie</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300 569 728</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- 27 631 539</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272 938 189</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République tchèque</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1 042 222 019</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- 95 812 038</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946 409 981</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Danemark</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1 961 742 240</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- 180 344 034</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1 781 398 206</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Allemagne</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21 864 405 229</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-2 010 006 699</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19 854 398 530</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Estonie</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142 812 302</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- 13 128 812</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129 683 490</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Irlande</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1 170 159 800</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- 107 573 428</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1 062 586 372</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Grèce</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1 281 873 093</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- 117 843 293</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1 164 029 800</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Espagne</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7 815 907 916</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- 718 520 678</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7 097 387 238</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France</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15 814 431 821</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-1 453 829 344</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14 360 602 477</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Croatie</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302 256 027</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- 27 786 561</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274 469 466</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Italie</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11 502 867 468</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-1 057 464 881</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10 445 402 587</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Chypre</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118 108 966</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- 10 857 822</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107 251 144</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Lettonie</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179 251 974</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- 16 478 732</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162 773 242</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Lituanie</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265 124 885</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- 24 373 075</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240 751 810</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Luxembourg</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220 672 982</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- 20 286 587</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200 386 395</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Hongrie</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749 838 714</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- 68 933 082</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680 905 632</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Malte</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57 924 570</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- 5 325 038</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52 599 532</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Pays-Bas</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4 802 411 377</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- 441 488 298</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4 360 923 079</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Autriche</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2 333 565 332</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- 214 525 934</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2 119 039 398</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Pologne</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2 913 421 073</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- 267 832 388</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2 645 588 685</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Portugal</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1 245 527 807</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- 114 502 050</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1 131 025 757</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Roumanie</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1 106 037 387</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- 101 678 620</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1 004 358 767</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Slovénie</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267 427 364</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- 24 584 744</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242 842 620</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Slovaquie</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537 365 257</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- 49 400 281</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487 964 976</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Finlande</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1 452 033 370</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- 133 486 220</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1 318 547 150</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Suède</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3 135 321 563</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- 288 231 821</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2 847 089 742</w:t>
            </w:r>
          </w:p>
        </w:tc>
      </w:tr>
      <w:tr>
        <w:trPr>
          <w:trHeight w:val="262"/>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Royaume-Uni</w:t>
            </w:r>
          </w:p>
        </w:tc>
        <w:tc>
          <w:tcPr>
            <w:tcW w:w="1440" w:type="dxa"/>
            <w:tcBorders>
              <w:top w:val="nil"/>
              <w:left w:val="nil"/>
              <w:bottom w:val="single" w:sz="8" w:space="0" w:color="auto"/>
              <w:right w:val="single" w:sz="8" w:space="0" w:color="auto"/>
            </w:tcBorders>
            <w:shd w:val="clear" w:color="auto" w:fill="auto"/>
            <w:vAlign w:val="bottom"/>
          </w:tcPr>
          <w:p>
            <w:pPr>
              <w:jc w:val="right"/>
              <w:rPr>
                <w:noProof/>
                <w:color w:val="000000"/>
                <w:sz w:val="16"/>
                <w:szCs w:val="16"/>
              </w:rPr>
            </w:pPr>
            <w:r>
              <w:rPr>
                <w:noProof/>
                <w:sz w:val="16"/>
              </w:rPr>
              <w:t>16 756 318 720</w:t>
            </w:r>
          </w:p>
        </w:tc>
        <w:tc>
          <w:tcPr>
            <w:tcW w:w="1440" w:type="dxa"/>
            <w:tcBorders>
              <w:top w:val="nil"/>
              <w:left w:val="nil"/>
              <w:bottom w:val="single" w:sz="8" w:space="0" w:color="auto"/>
              <w:right w:val="single" w:sz="8" w:space="0" w:color="auto"/>
            </w:tcBorders>
            <w:shd w:val="clear" w:color="auto" w:fill="auto"/>
            <w:vAlign w:val="bottom"/>
          </w:tcPr>
          <w:p>
            <w:pPr>
              <w:jc w:val="right"/>
              <w:rPr>
                <w:noProof/>
                <w:color w:val="000000"/>
                <w:sz w:val="16"/>
                <w:szCs w:val="16"/>
              </w:rPr>
            </w:pPr>
            <w:r>
              <w:rPr>
                <w:noProof/>
                <w:sz w:val="16"/>
              </w:rPr>
              <w:t>-1 540 417 520</w:t>
            </w:r>
          </w:p>
        </w:tc>
        <w:tc>
          <w:tcPr>
            <w:tcW w:w="1440" w:type="dxa"/>
            <w:tcBorders>
              <w:top w:val="nil"/>
              <w:left w:val="nil"/>
              <w:bottom w:val="single" w:sz="8" w:space="0" w:color="auto"/>
              <w:right w:val="single" w:sz="8" w:space="0" w:color="auto"/>
            </w:tcBorders>
            <w:shd w:val="clear" w:color="auto" w:fill="auto"/>
            <w:vAlign w:val="bottom"/>
          </w:tcPr>
          <w:p>
            <w:pPr>
              <w:jc w:val="right"/>
              <w:rPr>
                <w:noProof/>
                <w:color w:val="000000"/>
                <w:sz w:val="16"/>
                <w:szCs w:val="16"/>
              </w:rPr>
            </w:pPr>
            <w:r>
              <w:rPr>
                <w:noProof/>
                <w:sz w:val="16"/>
              </w:rPr>
              <w:t>15 215 901 200</w:t>
            </w:r>
          </w:p>
        </w:tc>
      </w:tr>
      <w:tr>
        <w:trPr>
          <w:trHeight w:val="262"/>
          <w:jc w:val="center"/>
        </w:trPr>
        <w:tc>
          <w:tcPr>
            <w:tcW w:w="1726" w:type="dxa"/>
            <w:tcBorders>
              <w:top w:val="nil"/>
              <w:left w:val="single" w:sz="8" w:space="0" w:color="auto"/>
              <w:bottom w:val="single" w:sz="8" w:space="0" w:color="auto"/>
              <w:right w:val="single" w:sz="8" w:space="0" w:color="auto"/>
            </w:tcBorders>
            <w:shd w:val="clear" w:color="auto" w:fill="auto"/>
            <w:vAlign w:val="center"/>
            <w:hideMark/>
          </w:tcPr>
          <w:p>
            <w:pPr>
              <w:jc w:val="right"/>
              <w:rPr>
                <w:noProof/>
                <w:color w:val="000000"/>
                <w:sz w:val="16"/>
                <w:szCs w:val="16"/>
              </w:rPr>
            </w:pPr>
            <w:r>
              <w:rPr>
                <w:noProof/>
                <w:color w:val="000000"/>
                <w:sz w:val="16"/>
              </w:rPr>
              <w:t xml:space="preserve"> Article 1 4 0 — Total </w:t>
            </w:r>
          </w:p>
        </w:tc>
        <w:tc>
          <w:tcPr>
            <w:tcW w:w="1440" w:type="dxa"/>
            <w:tcBorders>
              <w:top w:val="nil"/>
              <w:left w:val="nil"/>
              <w:bottom w:val="single" w:sz="8" w:space="0" w:color="auto"/>
              <w:right w:val="single" w:sz="8" w:space="0" w:color="auto"/>
            </w:tcBorders>
            <w:shd w:val="clear" w:color="auto" w:fill="auto"/>
            <w:vAlign w:val="bottom"/>
          </w:tcPr>
          <w:p>
            <w:pPr>
              <w:jc w:val="right"/>
              <w:rPr>
                <w:noProof/>
                <w:color w:val="000000"/>
                <w:sz w:val="16"/>
                <w:szCs w:val="16"/>
              </w:rPr>
            </w:pPr>
            <w:r>
              <w:rPr>
                <w:noProof/>
                <w:sz w:val="16"/>
              </w:rPr>
              <w:t>102 287 737 202</w:t>
            </w:r>
          </w:p>
        </w:tc>
        <w:tc>
          <w:tcPr>
            <w:tcW w:w="1440" w:type="dxa"/>
            <w:tcBorders>
              <w:top w:val="nil"/>
              <w:left w:val="nil"/>
              <w:bottom w:val="single" w:sz="8" w:space="0" w:color="auto"/>
              <w:right w:val="single" w:sz="8" w:space="0" w:color="auto"/>
            </w:tcBorders>
            <w:shd w:val="clear" w:color="auto" w:fill="auto"/>
            <w:vAlign w:val="bottom"/>
          </w:tcPr>
          <w:p>
            <w:pPr>
              <w:jc w:val="right"/>
              <w:rPr>
                <w:noProof/>
                <w:color w:val="000000"/>
                <w:sz w:val="16"/>
                <w:szCs w:val="16"/>
              </w:rPr>
            </w:pPr>
            <w:r>
              <w:rPr>
                <w:noProof/>
                <w:sz w:val="16"/>
              </w:rPr>
              <w:t>-9 403 367 474</w:t>
            </w:r>
          </w:p>
        </w:tc>
        <w:tc>
          <w:tcPr>
            <w:tcW w:w="1440" w:type="dxa"/>
            <w:tcBorders>
              <w:top w:val="nil"/>
              <w:left w:val="nil"/>
              <w:bottom w:val="single" w:sz="8" w:space="0" w:color="auto"/>
              <w:right w:val="single" w:sz="8" w:space="0" w:color="auto"/>
            </w:tcBorders>
            <w:shd w:val="clear" w:color="auto" w:fill="auto"/>
            <w:vAlign w:val="bottom"/>
          </w:tcPr>
          <w:p>
            <w:pPr>
              <w:jc w:val="right"/>
              <w:rPr>
                <w:noProof/>
                <w:color w:val="000000"/>
                <w:sz w:val="16"/>
                <w:szCs w:val="16"/>
              </w:rPr>
            </w:pPr>
            <w:r>
              <w:rPr>
                <w:noProof/>
                <w:sz w:val="16"/>
              </w:rPr>
              <w:t>92 884 369 728</w:t>
            </w:r>
          </w:p>
        </w:tc>
      </w:tr>
    </w:tbl>
    <w:p>
      <w:pPr>
        <w:pStyle w:val="ManualHeading1"/>
        <w:spacing w:before="240"/>
        <w:ind w:left="851" w:hanging="851"/>
        <w:rPr>
          <w:noProof/>
        </w:rPr>
      </w:pPr>
      <w:bookmarkStart w:id="30" w:name="_Toc432150800"/>
      <w:bookmarkStart w:id="31" w:name="_Toc432769397"/>
      <w:bookmarkEnd w:id="17"/>
      <w:bookmarkEnd w:id="18"/>
      <w:r>
        <w:rPr>
          <w:noProof/>
        </w:rPr>
        <w:t>3.</w:t>
      </w:r>
      <w:r>
        <w:rPr>
          <w:noProof/>
        </w:rPr>
        <w:tab/>
        <w:t>Contrôleur européen de la protection des données (section IX)</w:t>
      </w:r>
      <w:bookmarkEnd w:id="30"/>
      <w:bookmarkEnd w:id="31"/>
    </w:p>
    <w:p>
      <w:pPr>
        <w:spacing w:before="120" w:after="120"/>
        <w:jc w:val="both"/>
        <w:rPr>
          <w:noProof/>
        </w:rPr>
      </w:pPr>
      <w:r>
        <w:rPr>
          <w:noProof/>
        </w:rPr>
        <w:t>En vertu de l’article 41, paragraphe 2, du règlement financier, le Contrôleur européen de la protection des données (CEPD) a demandé à la Commission de présenter en son nom un projet de budget rectificatif ayant pour objet une réduction, de 123 474 EUR, des crédits d’engagement et de paiement (dépenses non dissociées).</w:t>
      </w:r>
    </w:p>
    <w:p>
      <w:pPr>
        <w:spacing w:before="120" w:after="120"/>
        <w:jc w:val="both"/>
        <w:rPr>
          <w:noProof/>
        </w:rPr>
      </w:pPr>
      <w:r>
        <w:rPr>
          <w:noProof/>
        </w:rPr>
        <w:t>Comme la procédure de sélection du nouveau Contrôleur et de son adjoint n’était pas achevée au moment de l’élaboration du projet de budget pour l’exercice 2015, il avait été décidé d’adopter une approche prudente et de demander les crédits nécessaires pour faire face au cas de figure le plus coûteux, à savoir le remplacement des deux membres du CEPD. En fin de compte, c'est l’ancien adjoint du CEPD qui a été nommé au poste de Contrôleur, de sorte qu'une partie des indemnités transitoires restera inutilisée (56 160 EUR).</w:t>
      </w:r>
    </w:p>
    <w:p>
      <w:pPr>
        <w:spacing w:before="120" w:after="120"/>
        <w:jc w:val="both"/>
        <w:rPr>
          <w:noProof/>
        </w:rPr>
      </w:pPr>
      <w:r>
        <w:rPr>
          <w:noProof/>
        </w:rPr>
        <w:t xml:space="preserve">À la suite de budgets rectificatifs adoptés par le conseil d’administration du Centre de traduction, un montant total de 67 314 EUR a été remboursé au CEPD cette année. Ce supplément de recettes affectées, qui ne figurait pas dans ses prévisions, permettra de réduire d’autant les besoins en crédits </w:t>
      </w:r>
      <w:r>
        <w:rPr>
          <w:noProof/>
        </w:rPr>
        <w:lastRenderedPageBreak/>
        <w:t>nouveaux. Dès lors, se fondant sur le principe de bonne gestion financière, le CEPD estime que ce montant doit être reversé au budget général de l’Union européenne.</w:t>
      </w:r>
      <w:bookmarkEnd w:id="2"/>
      <w:bookmarkEnd w:id="3"/>
      <w:bookmarkEnd w:id="4"/>
      <w:bookmarkEnd w:id="5"/>
      <w:bookmarkEnd w:id="6"/>
      <w:bookmarkEnd w:id="7"/>
      <w:bookmarkEnd w:id="11"/>
      <w:bookmarkEnd w:id="12"/>
    </w:p>
    <w:sectPr>
      <w:headerReference w:type="even" r:id="rId29"/>
      <w:headerReference w:type="default" r:id="rId30"/>
      <w:footerReference w:type="even" r:id="rId31"/>
      <w:footerReference w:type="default" r:id="rId32"/>
      <w:headerReference w:type="first" r:id="rId33"/>
      <w:footerReference w:type="first" r:id="rId34"/>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pl-PL"/>
        </w:rPr>
      </w:pPr>
      <w:r>
        <w:rPr>
          <w:rStyle w:val="FootnoteReference"/>
        </w:rPr>
        <w:footnoteRef/>
      </w:r>
      <w:r>
        <w:tab/>
      </w:r>
      <w:r>
        <w:rPr>
          <w:sz w:val="18"/>
        </w:rPr>
        <w:t>JO L 298 du 26.10.2012, p. 1.</w:t>
      </w:r>
    </w:p>
  </w:footnote>
  <w:footnote w:id="3">
    <w:p>
      <w:pPr>
        <w:pStyle w:val="FootnoteText"/>
        <w:rPr>
          <w:lang w:val="pl-PL"/>
        </w:rPr>
      </w:pPr>
      <w:r>
        <w:rPr>
          <w:rStyle w:val="FootnoteReference"/>
        </w:rPr>
        <w:footnoteRef/>
      </w:r>
      <w:r>
        <w:tab/>
      </w:r>
      <w:r>
        <w:rPr>
          <w:sz w:val="18"/>
        </w:rPr>
        <w:t>JO L 69 du 13.3.2015, p. 1.</w:t>
      </w:r>
    </w:p>
  </w:footnote>
  <w:footnote w:id="4">
    <w:p>
      <w:pPr>
        <w:pStyle w:val="FootnoteText"/>
        <w:rPr>
          <w:sz w:val="18"/>
          <w:szCs w:val="18"/>
          <w:lang w:val="pl-PL"/>
        </w:rPr>
      </w:pPr>
      <w:r>
        <w:rPr>
          <w:rStyle w:val="FootnoteReference"/>
          <w:sz w:val="18"/>
        </w:rPr>
        <w:footnoteRef/>
      </w:r>
      <w:r>
        <w:rPr>
          <w:sz w:val="18"/>
        </w:rPr>
        <w:t xml:space="preserve"> </w:t>
      </w:r>
      <w:r>
        <w:tab/>
      </w:r>
      <w:r>
        <w:rPr>
          <w:sz w:val="18"/>
        </w:rPr>
        <w:t>JO L 189 du 17.7.2015.</w:t>
      </w:r>
    </w:p>
  </w:footnote>
  <w:footnote w:id="5">
    <w:p>
      <w:pPr>
        <w:pStyle w:val="FootnoteText"/>
        <w:rPr>
          <w:sz w:val="18"/>
          <w:szCs w:val="18"/>
          <w:lang w:val="pl-PL"/>
        </w:rPr>
      </w:pPr>
      <w:r>
        <w:rPr>
          <w:rStyle w:val="FootnoteReference"/>
          <w:sz w:val="18"/>
        </w:rPr>
        <w:footnoteRef/>
      </w:r>
      <w:r>
        <w:rPr>
          <w:sz w:val="18"/>
        </w:rPr>
        <w:t xml:space="preserve"> </w:t>
      </w:r>
      <w:r>
        <w:tab/>
      </w:r>
      <w:r>
        <w:rPr>
          <w:sz w:val="18"/>
        </w:rPr>
        <w:t>JO L 261 du 7.10.2015.</w:t>
      </w:r>
    </w:p>
  </w:footnote>
  <w:footnote w:id="6">
    <w:p>
      <w:pPr>
        <w:pStyle w:val="FootnoteText"/>
        <w:rPr>
          <w:sz w:val="18"/>
          <w:szCs w:val="18"/>
          <w:lang w:val="pl-PL"/>
        </w:rPr>
      </w:pPr>
      <w:r>
        <w:rPr>
          <w:rStyle w:val="FootnoteReference"/>
          <w:sz w:val="18"/>
        </w:rPr>
        <w:footnoteRef/>
      </w:r>
      <w:r>
        <w:rPr>
          <w:sz w:val="18"/>
        </w:rPr>
        <w:t xml:space="preserve"> </w:t>
      </w:r>
      <w:r>
        <w:tab/>
      </w:r>
      <w:r>
        <w:rPr>
          <w:sz w:val="18"/>
        </w:rPr>
        <w:t>JO L 261 du 7.10.2015.</w:t>
      </w:r>
    </w:p>
  </w:footnote>
  <w:footnote w:id="7">
    <w:p>
      <w:pPr>
        <w:pStyle w:val="FootnoteText"/>
        <w:rPr>
          <w:sz w:val="18"/>
          <w:szCs w:val="18"/>
          <w:lang w:val="pl-PL"/>
        </w:rPr>
      </w:pPr>
      <w:r>
        <w:rPr>
          <w:rStyle w:val="FootnoteReference"/>
          <w:sz w:val="18"/>
        </w:rPr>
        <w:footnoteRef/>
      </w:r>
      <w:r>
        <w:rPr>
          <w:sz w:val="18"/>
        </w:rPr>
        <w:t xml:space="preserve"> </w:t>
      </w:r>
      <w:r>
        <w:tab/>
      </w:r>
      <w:r>
        <w:rPr>
          <w:sz w:val="18"/>
        </w:rPr>
        <w:t>JO L 261 du 7.10.2015.</w:t>
      </w:r>
    </w:p>
  </w:footnote>
  <w:footnote w:id="8">
    <w:p>
      <w:pPr>
        <w:pStyle w:val="FootnoteText"/>
        <w:rPr>
          <w:sz w:val="18"/>
          <w:szCs w:val="18"/>
          <w:lang w:val="pl-PL"/>
        </w:rPr>
      </w:pPr>
      <w:r>
        <w:rPr>
          <w:rStyle w:val="FootnoteReference"/>
          <w:sz w:val="18"/>
        </w:rPr>
        <w:footnoteRef/>
      </w:r>
      <w:r>
        <w:rPr>
          <w:sz w:val="18"/>
          <w:lang w:val="pl-PL"/>
        </w:rPr>
        <w:t xml:space="preserve"> </w:t>
      </w:r>
      <w:r>
        <w:rPr>
          <w:lang w:val="pl-PL"/>
        </w:rPr>
        <w:tab/>
      </w:r>
      <w:r>
        <w:rPr>
          <w:sz w:val="18"/>
          <w:lang w:val="pl-PL"/>
        </w:rPr>
        <w:t>JO L 261 du 7.10.2015.</w:t>
      </w:r>
    </w:p>
  </w:footnote>
  <w:footnote w:id="9">
    <w:p>
      <w:pPr>
        <w:pStyle w:val="FootnoteText"/>
        <w:rPr>
          <w:lang w:val="pl-PL"/>
        </w:rPr>
      </w:pPr>
      <w:r>
        <w:rPr>
          <w:rStyle w:val="FootnoteReference"/>
          <w:sz w:val="18"/>
        </w:rPr>
        <w:footnoteRef/>
      </w:r>
      <w:r>
        <w:rPr>
          <w:sz w:val="18"/>
          <w:lang w:val="pl-PL"/>
        </w:rPr>
        <w:t xml:space="preserve"> </w:t>
      </w:r>
      <w:r>
        <w:rPr>
          <w:lang w:val="pl-PL"/>
        </w:rPr>
        <w:tab/>
      </w:r>
      <w:r>
        <w:rPr>
          <w:sz w:val="18"/>
          <w:lang w:val="pl-PL"/>
        </w:rPr>
        <w:t>JO L XXX du XX.XX.XXX</w:t>
      </w:r>
      <w:r>
        <w:rPr>
          <w:lang w:val="pl-PL"/>
        </w:rPr>
        <w:t>.</w:t>
      </w:r>
    </w:p>
  </w:footnote>
  <w:footnote w:id="10">
    <w:p>
      <w:pPr>
        <w:pStyle w:val="FootnoteText"/>
        <w:rPr>
          <w:sz w:val="18"/>
          <w:szCs w:val="18"/>
          <w:lang w:val="pl-PL"/>
        </w:rPr>
      </w:pPr>
      <w:r>
        <w:rPr>
          <w:rStyle w:val="FootnoteReference"/>
          <w:sz w:val="18"/>
        </w:rPr>
        <w:footnoteRef/>
      </w:r>
      <w:r>
        <w:rPr>
          <w:sz w:val="18"/>
          <w:lang w:val="pl-PL"/>
        </w:rPr>
        <w:t xml:space="preserve"> </w:t>
      </w:r>
      <w:r>
        <w:rPr>
          <w:lang w:val="pl-PL"/>
        </w:rPr>
        <w:tab/>
      </w:r>
      <w:r>
        <w:rPr>
          <w:sz w:val="18"/>
          <w:lang w:val="pl-PL"/>
        </w:rPr>
        <w:t>JO L XXX du XX.XX.XXX.</w:t>
      </w:r>
    </w:p>
  </w:footnote>
  <w:footnote w:id="11">
    <w:p>
      <w:pPr>
        <w:pStyle w:val="FootnoteText"/>
        <w:rPr>
          <w:sz w:val="18"/>
          <w:szCs w:val="18"/>
          <w:lang w:val="pl-PL"/>
        </w:rPr>
      </w:pPr>
      <w:r>
        <w:rPr>
          <w:rStyle w:val="FootnoteReference"/>
          <w:sz w:val="18"/>
        </w:rPr>
        <w:footnoteRef/>
      </w:r>
      <w:r>
        <w:rPr>
          <w:sz w:val="18"/>
          <w:lang w:val="pl-PL"/>
        </w:rPr>
        <w:t xml:space="preserve"> </w:t>
      </w:r>
      <w:r>
        <w:rPr>
          <w:lang w:val="pl-PL"/>
        </w:rPr>
        <w:tab/>
      </w:r>
      <w:r>
        <w:rPr>
          <w:sz w:val="18"/>
          <w:lang w:val="pl-PL"/>
        </w:rPr>
        <w:t>JO L 130 du 31.5.2000, p. 1.</w:t>
      </w:r>
    </w:p>
  </w:footnote>
  <w:footnote w:id="12">
    <w:p>
      <w:pPr>
        <w:pStyle w:val="FootnoteText"/>
        <w:rPr>
          <w:sz w:val="18"/>
          <w:szCs w:val="18"/>
          <w:lang w:val="fr-BE"/>
        </w:rPr>
      </w:pPr>
      <w:r>
        <w:rPr>
          <w:rStyle w:val="FootnoteReference"/>
        </w:rPr>
        <w:footnoteRef/>
      </w:r>
      <w:r>
        <w:t xml:space="preserve"> </w:t>
      </w:r>
      <w:r>
        <w:tab/>
      </w:r>
      <w:r>
        <w:rPr>
          <w:sz w:val="18"/>
        </w:rPr>
        <w:t>JO L 367 du 23.12.2014, p. 14.</w:t>
      </w:r>
    </w:p>
  </w:footnote>
  <w:footnote w:id="13">
    <w:p>
      <w:pPr>
        <w:pStyle w:val="FootnoteText"/>
        <w:rPr>
          <w:lang w:val="fr-BE"/>
        </w:rPr>
      </w:pPr>
      <w:r>
        <w:rPr>
          <w:rStyle w:val="FootnoteReference"/>
        </w:rPr>
        <w:footnoteRef/>
      </w:r>
      <w:r>
        <w:rPr>
          <w:sz w:val="18"/>
        </w:rPr>
        <w:t xml:space="preserve"> </w:t>
      </w:r>
      <w:r>
        <w:tab/>
      </w:r>
      <w:r>
        <w:rPr>
          <w:sz w:val="18"/>
        </w:rPr>
        <w:t>JO L 73 du 17.3.2015, p. 468.</w:t>
      </w:r>
    </w:p>
  </w:footnote>
  <w:footnote w:id="14">
    <w:p>
      <w:pPr>
        <w:pStyle w:val="FootnoteText"/>
        <w:rPr>
          <w:sz w:val="18"/>
          <w:szCs w:val="18"/>
        </w:rPr>
      </w:pPr>
      <w:r>
        <w:rPr>
          <w:rStyle w:val="FootnoteReference"/>
        </w:rPr>
        <w:footnoteRef/>
      </w:r>
      <w:r>
        <w:t xml:space="preserve"> </w:t>
      </w:r>
      <w:r>
        <w:tab/>
      </w:r>
      <w:r>
        <w:rPr>
          <w:sz w:val="18"/>
        </w:rPr>
        <w:t>La budgétisation de ce montant vise à contrebalancer l'incidence financière pour les États membres des soldes TVA et RNB qu'ils sont tenus de mettre à disposition le premier jour ouvrable de décembre 2015.</w:t>
      </w:r>
    </w:p>
  </w:footnote>
  <w:footnote w:id="15">
    <w:p>
      <w:pPr>
        <w:pStyle w:val="FootnoteText"/>
        <w:rPr>
          <w:sz w:val="18"/>
          <w:szCs w:val="18"/>
        </w:rPr>
      </w:pPr>
      <w:r>
        <w:rPr>
          <w:rStyle w:val="FootnoteReference"/>
          <w:sz w:val="18"/>
        </w:rPr>
        <w:footnoteRef/>
      </w:r>
      <w:r>
        <w:rPr>
          <w:sz w:val="18"/>
        </w:rPr>
        <w:t xml:space="preserve"> </w:t>
      </w:r>
      <w:r>
        <w:tab/>
      </w:r>
      <w:r>
        <w:rPr>
          <w:sz w:val="18"/>
        </w:rPr>
        <w:t>Soldes et ajustement de soldes, fondés sur la taxe sur la valeur ajoutée relative aux exercices antérieurs résultant de l'application de l'article 10, paragraphes 4, 5 et 8, du règlement (CE, Euratom) nº 1150/2000.</w:t>
      </w:r>
    </w:p>
  </w:footnote>
  <w:footnote w:id="16">
    <w:p>
      <w:pPr>
        <w:pStyle w:val="FootnoteText"/>
        <w:rPr>
          <w:sz w:val="18"/>
          <w:szCs w:val="18"/>
        </w:rPr>
      </w:pPr>
      <w:r>
        <w:rPr>
          <w:rStyle w:val="FootnoteReference"/>
          <w:sz w:val="18"/>
        </w:rPr>
        <w:footnoteRef/>
      </w:r>
      <w:r>
        <w:rPr>
          <w:sz w:val="18"/>
        </w:rPr>
        <w:t xml:space="preserve"> </w:t>
      </w:r>
      <w:r>
        <w:tab/>
      </w:r>
      <w:r>
        <w:rPr>
          <w:sz w:val="18"/>
        </w:rPr>
        <w:t>Soldes et ajustement de soldes, fondés sur le revenu/produit national brut relatif aux exercices antérieurs résultant de l'application de l'article 10, paragraphes 6, 7 et 8, du règlement (CE, Euratom) nº 1150/2000.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4448C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9ED833C0"/>
    <w:lvl w:ilvl="0">
      <w:start w:val="1"/>
      <w:numFmt w:val="decimal"/>
      <w:lvlText w:val="%1."/>
      <w:lvlJc w:val="left"/>
      <w:pPr>
        <w:tabs>
          <w:tab w:val="num" w:pos="360"/>
        </w:tabs>
        <w:ind w:left="360" w:hanging="360"/>
      </w:pPr>
    </w:lvl>
  </w:abstractNum>
  <w:abstractNum w:abstractNumId="2">
    <w:nsid w:val="00A856D4"/>
    <w:multiLevelType w:val="hybridMultilevel"/>
    <w:tmpl w:val="B07CF3C4"/>
    <w:lvl w:ilvl="0" w:tplc="3D900F3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54526B"/>
    <w:multiLevelType w:val="hybridMultilevel"/>
    <w:tmpl w:val="18D88870"/>
    <w:lvl w:ilvl="0" w:tplc="8A36BA8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01886"/>
    <w:multiLevelType w:val="hybridMultilevel"/>
    <w:tmpl w:val="FBA0B950"/>
    <w:lvl w:ilvl="0" w:tplc="D1CAE414">
      <w:numFmt w:val="bullet"/>
      <w:lvlText w:val="-"/>
      <w:lvlJc w:val="left"/>
      <w:pPr>
        <w:tabs>
          <w:tab w:val="num" w:pos="810"/>
        </w:tabs>
        <w:ind w:left="810" w:hanging="45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F20AC0"/>
    <w:multiLevelType w:val="hybridMultilevel"/>
    <w:tmpl w:val="32B0E5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A2403CB"/>
    <w:multiLevelType w:val="hybridMultilevel"/>
    <w:tmpl w:val="8B06DF60"/>
    <w:lvl w:ilvl="0" w:tplc="0FE4063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7936C33"/>
    <w:multiLevelType w:val="hybridMultilevel"/>
    <w:tmpl w:val="4036C0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8284234"/>
    <w:multiLevelType w:val="hybridMultilevel"/>
    <w:tmpl w:val="B1B622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795CFC"/>
    <w:multiLevelType w:val="hybridMultilevel"/>
    <w:tmpl w:val="D988CAFC"/>
    <w:lvl w:ilvl="0" w:tplc="040C000F">
      <w:start w:val="1"/>
      <w:numFmt w:val="decimal"/>
      <w:lvlText w:val="%1."/>
      <w:lvlJc w:val="left"/>
      <w:pPr>
        <w:tabs>
          <w:tab w:val="num" w:pos="720"/>
        </w:tabs>
        <w:ind w:left="720" w:hanging="360"/>
      </w:p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AAA725C"/>
    <w:multiLevelType w:val="hybridMultilevel"/>
    <w:tmpl w:val="1C9E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nsid w:val="2F6F6245"/>
    <w:multiLevelType w:val="hybridMultilevel"/>
    <w:tmpl w:val="8842EE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78565E"/>
    <w:multiLevelType w:val="hybridMultilevel"/>
    <w:tmpl w:val="3F76E5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31246D7F"/>
    <w:multiLevelType w:val="hybridMultilevel"/>
    <w:tmpl w:val="E1EA8208"/>
    <w:lvl w:ilvl="0" w:tplc="94027E84">
      <w:start w:val="1"/>
      <w:numFmt w:val="bullet"/>
      <w:lvlText w:val=""/>
      <w:lvlJc w:val="left"/>
      <w:pPr>
        <w:tabs>
          <w:tab w:val="num" w:pos="1437"/>
        </w:tabs>
        <w:ind w:left="1437"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7">
    <w:nsid w:val="33BE45BD"/>
    <w:multiLevelType w:val="hybridMultilevel"/>
    <w:tmpl w:val="6D2219A0"/>
    <w:lvl w:ilvl="0" w:tplc="08090001">
      <w:start w:val="1"/>
      <w:numFmt w:val="bullet"/>
      <w:lvlText w:val=""/>
      <w:lvlJc w:val="left"/>
      <w:pPr>
        <w:tabs>
          <w:tab w:val="num" w:pos="720"/>
        </w:tabs>
        <w:ind w:left="720" w:hanging="360"/>
      </w:pPr>
      <w:rPr>
        <w:rFonts w:ascii="Symbol" w:hAnsi="Symbol" w:hint="default"/>
      </w:r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34EA3932"/>
    <w:multiLevelType w:val="hybridMultilevel"/>
    <w:tmpl w:val="FA52B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1">
    <w:nsid w:val="438628B4"/>
    <w:multiLevelType w:val="hybridMultilevel"/>
    <w:tmpl w:val="7706A2BE"/>
    <w:lvl w:ilvl="0" w:tplc="3D900F36">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nsid w:val="4AF131E8"/>
    <w:multiLevelType w:val="hybridMultilevel"/>
    <w:tmpl w:val="7EE22C9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0F627D1"/>
    <w:multiLevelType w:val="hybridMultilevel"/>
    <w:tmpl w:val="9D346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39E2343"/>
    <w:multiLevelType w:val="hybridMultilevel"/>
    <w:tmpl w:val="D89C5E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54FB55F2"/>
    <w:multiLevelType w:val="hybridMultilevel"/>
    <w:tmpl w:val="63DED26E"/>
    <w:lvl w:ilvl="0" w:tplc="34DC57B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D36DEC"/>
    <w:multiLevelType w:val="hybridMultilevel"/>
    <w:tmpl w:val="79644CE6"/>
    <w:lvl w:ilvl="0" w:tplc="8A36BA8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30">
    <w:nsid w:val="6D38527D"/>
    <w:multiLevelType w:val="hybridMultilevel"/>
    <w:tmpl w:val="C0B8F2B8"/>
    <w:lvl w:ilvl="0" w:tplc="EB1C0EE4">
      <w:start w:val="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23216D"/>
    <w:multiLevelType w:val="hybridMultilevel"/>
    <w:tmpl w:val="F648ECEA"/>
    <w:lvl w:ilvl="0" w:tplc="5810F3C8">
      <w:start w:val="1"/>
      <w:numFmt w:val="bullet"/>
      <w:lvlText w:val=""/>
      <w:lvlJc w:val="left"/>
      <w:pPr>
        <w:tabs>
          <w:tab w:val="num" w:pos="720"/>
        </w:tabs>
        <w:ind w:left="720" w:hanging="360"/>
      </w:pPr>
      <w:rPr>
        <w:rFonts w:ascii="Symbol" w:hAnsi="Symbol" w:hint="default"/>
      </w:rPr>
    </w:lvl>
    <w:lvl w:ilvl="1" w:tplc="E45E7B3C" w:tentative="1">
      <w:start w:val="1"/>
      <w:numFmt w:val="bullet"/>
      <w:lvlText w:val="o"/>
      <w:lvlJc w:val="left"/>
      <w:pPr>
        <w:tabs>
          <w:tab w:val="num" w:pos="1440"/>
        </w:tabs>
        <w:ind w:left="1440" w:hanging="360"/>
      </w:pPr>
      <w:rPr>
        <w:rFonts w:ascii="Courier New" w:hAnsi="Courier New" w:cs="Courier New" w:hint="default"/>
      </w:rPr>
    </w:lvl>
    <w:lvl w:ilvl="2" w:tplc="46941928" w:tentative="1">
      <w:start w:val="1"/>
      <w:numFmt w:val="bullet"/>
      <w:lvlText w:val=""/>
      <w:lvlJc w:val="left"/>
      <w:pPr>
        <w:tabs>
          <w:tab w:val="num" w:pos="2160"/>
        </w:tabs>
        <w:ind w:left="2160" w:hanging="360"/>
      </w:pPr>
      <w:rPr>
        <w:rFonts w:ascii="Wingdings" w:hAnsi="Wingdings" w:hint="default"/>
      </w:rPr>
    </w:lvl>
    <w:lvl w:ilvl="3" w:tplc="9906EA66" w:tentative="1">
      <w:start w:val="1"/>
      <w:numFmt w:val="bullet"/>
      <w:lvlText w:val=""/>
      <w:lvlJc w:val="left"/>
      <w:pPr>
        <w:tabs>
          <w:tab w:val="num" w:pos="2880"/>
        </w:tabs>
        <w:ind w:left="2880" w:hanging="360"/>
      </w:pPr>
      <w:rPr>
        <w:rFonts w:ascii="Symbol" w:hAnsi="Symbol" w:hint="default"/>
      </w:rPr>
    </w:lvl>
    <w:lvl w:ilvl="4" w:tplc="F54297AE" w:tentative="1">
      <w:start w:val="1"/>
      <w:numFmt w:val="bullet"/>
      <w:lvlText w:val="o"/>
      <w:lvlJc w:val="left"/>
      <w:pPr>
        <w:tabs>
          <w:tab w:val="num" w:pos="3600"/>
        </w:tabs>
        <w:ind w:left="3600" w:hanging="360"/>
      </w:pPr>
      <w:rPr>
        <w:rFonts w:ascii="Courier New" w:hAnsi="Courier New" w:cs="Courier New" w:hint="default"/>
      </w:rPr>
    </w:lvl>
    <w:lvl w:ilvl="5" w:tplc="878EFA52" w:tentative="1">
      <w:start w:val="1"/>
      <w:numFmt w:val="bullet"/>
      <w:lvlText w:val=""/>
      <w:lvlJc w:val="left"/>
      <w:pPr>
        <w:tabs>
          <w:tab w:val="num" w:pos="4320"/>
        </w:tabs>
        <w:ind w:left="4320" w:hanging="360"/>
      </w:pPr>
      <w:rPr>
        <w:rFonts w:ascii="Wingdings" w:hAnsi="Wingdings" w:hint="default"/>
      </w:rPr>
    </w:lvl>
    <w:lvl w:ilvl="6" w:tplc="B0DEB76A" w:tentative="1">
      <w:start w:val="1"/>
      <w:numFmt w:val="bullet"/>
      <w:lvlText w:val=""/>
      <w:lvlJc w:val="left"/>
      <w:pPr>
        <w:tabs>
          <w:tab w:val="num" w:pos="5040"/>
        </w:tabs>
        <w:ind w:left="5040" w:hanging="360"/>
      </w:pPr>
      <w:rPr>
        <w:rFonts w:ascii="Symbol" w:hAnsi="Symbol" w:hint="default"/>
      </w:rPr>
    </w:lvl>
    <w:lvl w:ilvl="7" w:tplc="F0B2655E" w:tentative="1">
      <w:start w:val="1"/>
      <w:numFmt w:val="bullet"/>
      <w:lvlText w:val="o"/>
      <w:lvlJc w:val="left"/>
      <w:pPr>
        <w:tabs>
          <w:tab w:val="num" w:pos="5760"/>
        </w:tabs>
        <w:ind w:left="5760" w:hanging="360"/>
      </w:pPr>
      <w:rPr>
        <w:rFonts w:ascii="Courier New" w:hAnsi="Courier New" w:cs="Courier New" w:hint="default"/>
      </w:rPr>
    </w:lvl>
    <w:lvl w:ilvl="8" w:tplc="41F24686"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0"/>
  </w:num>
  <w:num w:numId="3">
    <w:abstractNumId w:val="2"/>
  </w:num>
  <w:num w:numId="4">
    <w:abstractNumId w:val="20"/>
  </w:num>
  <w:num w:numId="5">
    <w:abstractNumId w:val="31"/>
  </w:num>
  <w:num w:numId="6">
    <w:abstractNumId w:val="20"/>
  </w:num>
  <w:num w:numId="7">
    <w:abstractNumId w:val="29"/>
  </w:num>
  <w:num w:numId="8">
    <w:abstractNumId w:val="19"/>
  </w:num>
  <w:num w:numId="9">
    <w:abstractNumId w:val="10"/>
  </w:num>
  <w:num w:numId="10">
    <w:abstractNumId w:val="17"/>
  </w:num>
  <w:num w:numId="11">
    <w:abstractNumId w:val="18"/>
  </w:num>
  <w:num w:numId="12">
    <w:abstractNumId w:val="5"/>
  </w:num>
  <w:num w:numId="13">
    <w:abstractNumId w:val="8"/>
  </w:num>
  <w:num w:numId="14">
    <w:abstractNumId w:val="12"/>
  </w:num>
  <w:num w:numId="15">
    <w:abstractNumId w:val="15"/>
  </w:num>
  <w:num w:numId="16">
    <w:abstractNumId w:val="21"/>
  </w:num>
  <w:num w:numId="17">
    <w:abstractNumId w:val="20"/>
  </w:num>
  <w:num w:numId="18">
    <w:abstractNumId w:val="27"/>
  </w:num>
  <w:num w:numId="19">
    <w:abstractNumId w:val="4"/>
  </w:num>
  <w:num w:numId="20">
    <w:abstractNumId w:val="14"/>
  </w:num>
  <w:num w:numId="21">
    <w:abstractNumId w:val="20"/>
  </w:num>
  <w:num w:numId="22">
    <w:abstractNumId w:val="20"/>
  </w:num>
  <w:num w:numId="23">
    <w:abstractNumId w:val="3"/>
  </w:num>
  <w:num w:numId="24">
    <w:abstractNumId w:val="30"/>
  </w:num>
  <w:num w:numId="25">
    <w:abstractNumId w:val="26"/>
  </w:num>
  <w:num w:numId="26">
    <w:abstractNumId w:val="0"/>
  </w:num>
  <w:num w:numId="27">
    <w:abstractNumId w:val="2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8"/>
  </w:num>
  <w:num w:numId="39">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13"/>
  </w:num>
  <w:num w:numId="45">
    <w:abstractNumId w:val="22"/>
  </w:num>
  <w:num w:numId="46">
    <w:abstractNumId w:val="6"/>
  </w:num>
  <w:num w:numId="47">
    <w:abstractNumId w:val="25"/>
  </w:num>
  <w:num w:numId="48">
    <w:abstractNumId w:val="23"/>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ACCOMPAGNANT.CP" w:val="&lt;UNUSED&gt;"/>
    <w:docVar w:name="LW_CONFIDENCE" w:val=" "/>
    <w:docVar w:name="LW_CONST_RESTREINT_UE" w:val="RESTREINT UE"/>
    <w:docVar w:name="LW_CORRIGENDUM" w:val="&lt;UNUSED&gt;"/>
    <w:docVar w:name="LW_COVERPAGE_GUID" w:val="6F0237EDE3974E4CBB442898BB4E90DF"/>
    <w:docVar w:name="LW_CROSSREFERENCE" w:val="&lt;UNUSED&gt;"/>
    <w:docVar w:name="LW_DATE.ADOPT.CP_ISODATE" w:val="&lt;EMPTY&gt;"/>
    <w:docVar w:name="LW_DocType" w:val="NORMAL"/>
    <w:docVar w:name="LW_EMISSION" w:val="19.10.2015"/>
    <w:docVar w:name="LW_EMISSION_ISODATE" w:val="2015-10-19"/>
    <w:docVar w:name="LW_EMISSION_LOCATION" w:val="BRX"/>
    <w:docVar w:name="LW_EMISSION_PREFIX" w:val="Bruxelles, le "/>
    <w:docVar w:name="LW_EMISSION_SUFFIX" w:val=" "/>
    <w:docVar w:name="LW_ID_DOCTYPE_NONLW" w:val="CP-035"/>
    <w:docVar w:name="LW_INTERETEEE.CP" w:val="&lt;UNUSED&gt;"/>
    <w:docVar w:name="LW_LANGUE" w:val="FR"/>
    <w:docVar w:name="LW_LANGUESFAISANTFOI.CP" w:val="&lt;UNUSED&gt;"/>
    <w:docVar w:name="LW_MARKING" w:val="&lt;UNUSED&g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545"/>
    <w:docVar w:name="LW_REF.INTERNE" w:val="&lt;UNUSED&gt;"/>
    <w:docVar w:name="LW_SOUS.TITRE.OBJ.CP" w:val="&lt;UNUSED&gt;"/>
    <w:docVar w:name="LW_SUPERTITRE" w:val="&lt;UNUSED&gt;"/>
    <w:docVar w:name="LW_TITRE.OBJ.CP" w:val="RESSOURCES PROPRES_x000b_CONTRÔLEUR EUROPÉEN DE LA PROTECTION DES DONNÉES"/>
    <w:docVar w:name="LW_TITRE.OBJ.CP_PREVIOUS" w:val="&lt;UNUSED&gt;"/>
    <w:docVar w:name="LW_TYPE.DOC.CP" w:val="PROJET DE BUDGET RECTIFICATIF N° 8_x000b_AU BUDGET GÉNÉRAL  2015"/>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style>
  <w:style w:type="paragraph" w:styleId="FootnoteText">
    <w:name w:val="footnote text"/>
    <w:basedOn w:val="Normal"/>
    <w:link w:val="FootnoteTextChar"/>
    <w:pPr>
      <w:ind w:left="720" w:hanging="720"/>
      <w:jc w:val="both"/>
    </w:pPr>
    <w:rPr>
      <w:sz w:val="20"/>
      <w:szCs w:val="20"/>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rPr>
  </w:style>
  <w:style w:type="paragraph" w:customStyle="1" w:styleId="ListDash">
    <w:name w:val="List Dash"/>
    <w:basedOn w:val="Normal"/>
    <w:link w:val="ListDashChar"/>
    <w:pPr>
      <w:numPr>
        <w:numId w:val="2"/>
      </w:num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7"/>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8"/>
      </w:numPr>
      <w:spacing w:before="0" w:after="240"/>
    </w:pPr>
    <w:rPr>
      <w:szCs w:val="20"/>
    </w:rPr>
  </w:style>
  <w:style w:type="paragraph" w:styleId="ListBullet2">
    <w:name w:val="List Bullet 2"/>
    <w:basedOn w:val="Normal"/>
    <w:pPr>
      <w:numPr>
        <w:numId w:val="14"/>
      </w:numPr>
      <w:spacing w:after="240"/>
      <w:jc w:val="both"/>
    </w:pP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18"/>
      </w:numPr>
      <w:spacing w:before="120" w:after="120"/>
      <w:jc w:val="both"/>
    </w:pPr>
  </w:style>
  <w:style w:type="paragraph" w:customStyle="1" w:styleId="ListNumberLevel2">
    <w:name w:val="List Number (Level 2)"/>
    <w:basedOn w:val="Normal"/>
    <w:pPr>
      <w:numPr>
        <w:ilvl w:val="1"/>
        <w:numId w:val="18"/>
      </w:numPr>
      <w:spacing w:before="120" w:after="120"/>
      <w:jc w:val="both"/>
    </w:pPr>
  </w:style>
  <w:style w:type="paragraph" w:customStyle="1" w:styleId="ListNumberLevel3">
    <w:name w:val="List Number (Level 3)"/>
    <w:basedOn w:val="Normal"/>
    <w:pPr>
      <w:numPr>
        <w:ilvl w:val="2"/>
        <w:numId w:val="18"/>
      </w:numPr>
      <w:spacing w:before="120" w:after="120"/>
      <w:jc w:val="both"/>
    </w:pPr>
  </w:style>
  <w:style w:type="paragraph" w:customStyle="1" w:styleId="ListNumberLevel4">
    <w:name w:val="List Number (Level 4)"/>
    <w:basedOn w:val="Normal"/>
    <w:pPr>
      <w:numPr>
        <w:ilvl w:val="3"/>
        <w:numId w:val="18"/>
      </w:numPr>
      <w:spacing w:before="120" w:after="120"/>
      <w:jc w:val="both"/>
    </w:pPr>
  </w:style>
  <w:style w:type="character" w:customStyle="1" w:styleId="ListDashChar">
    <w:name w:val="List Dash Char"/>
    <w:link w:val="ListDash"/>
    <w:rPr>
      <w:sz w:val="24"/>
      <w:szCs w:val="24"/>
      <w:lang w:eastAsia="fr-FR"/>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fr-FR"/>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35"/>
      </w:numPr>
      <w:spacing w:before="120" w:after="120"/>
      <w:jc w:val="both"/>
    </w:pPr>
    <w:rPr>
      <w:szCs w:val="22"/>
    </w:rPr>
  </w:style>
  <w:style w:type="paragraph" w:customStyle="1" w:styleId="Point1number">
    <w:name w:val="Point 1 (number)"/>
    <w:basedOn w:val="Normal"/>
    <w:pPr>
      <w:numPr>
        <w:ilvl w:val="2"/>
        <w:numId w:val="35"/>
      </w:numPr>
      <w:spacing w:before="120" w:after="120"/>
      <w:jc w:val="both"/>
    </w:pPr>
    <w:rPr>
      <w:szCs w:val="22"/>
    </w:rPr>
  </w:style>
  <w:style w:type="paragraph" w:customStyle="1" w:styleId="Point2number">
    <w:name w:val="Point 2 (number)"/>
    <w:basedOn w:val="Normal"/>
    <w:pPr>
      <w:numPr>
        <w:ilvl w:val="4"/>
        <w:numId w:val="35"/>
      </w:numPr>
      <w:spacing w:before="120" w:after="120"/>
      <w:jc w:val="both"/>
    </w:pPr>
    <w:rPr>
      <w:szCs w:val="22"/>
    </w:rPr>
  </w:style>
  <w:style w:type="paragraph" w:customStyle="1" w:styleId="Point3number">
    <w:name w:val="Point 3 (number)"/>
    <w:basedOn w:val="Normal"/>
    <w:pPr>
      <w:numPr>
        <w:ilvl w:val="6"/>
        <w:numId w:val="35"/>
      </w:numPr>
      <w:spacing w:before="120" w:after="120"/>
      <w:jc w:val="both"/>
    </w:pPr>
    <w:rPr>
      <w:szCs w:val="22"/>
    </w:rPr>
  </w:style>
  <w:style w:type="paragraph" w:customStyle="1" w:styleId="Point0letter">
    <w:name w:val="Point 0 (letter)"/>
    <w:basedOn w:val="Normal"/>
    <w:pPr>
      <w:numPr>
        <w:ilvl w:val="1"/>
        <w:numId w:val="35"/>
      </w:numPr>
      <w:spacing w:before="120" w:after="120"/>
      <w:jc w:val="both"/>
    </w:pPr>
    <w:rPr>
      <w:szCs w:val="22"/>
    </w:rPr>
  </w:style>
  <w:style w:type="paragraph" w:customStyle="1" w:styleId="Point1letter">
    <w:name w:val="Point 1 (letter)"/>
    <w:basedOn w:val="Normal"/>
    <w:pPr>
      <w:numPr>
        <w:ilvl w:val="3"/>
        <w:numId w:val="35"/>
      </w:numPr>
      <w:spacing w:before="120" w:after="120"/>
      <w:jc w:val="both"/>
    </w:pPr>
    <w:rPr>
      <w:szCs w:val="22"/>
    </w:rPr>
  </w:style>
  <w:style w:type="paragraph" w:customStyle="1" w:styleId="Point2letter">
    <w:name w:val="Point 2 (letter)"/>
    <w:basedOn w:val="Normal"/>
    <w:pPr>
      <w:numPr>
        <w:ilvl w:val="5"/>
        <w:numId w:val="35"/>
      </w:numPr>
      <w:spacing w:before="120" w:after="120"/>
      <w:jc w:val="both"/>
    </w:pPr>
    <w:rPr>
      <w:szCs w:val="22"/>
    </w:rPr>
  </w:style>
  <w:style w:type="paragraph" w:customStyle="1" w:styleId="Point3letter">
    <w:name w:val="Point 3 (letter)"/>
    <w:basedOn w:val="Normal"/>
    <w:pPr>
      <w:numPr>
        <w:ilvl w:val="7"/>
        <w:numId w:val="35"/>
      </w:numPr>
      <w:spacing w:before="120" w:after="120"/>
      <w:jc w:val="both"/>
    </w:pPr>
    <w:rPr>
      <w:szCs w:val="22"/>
    </w:rPr>
  </w:style>
  <w:style w:type="paragraph" w:customStyle="1" w:styleId="Point4letter">
    <w:name w:val="Point 4 (letter)"/>
    <w:basedOn w:val="Normal"/>
    <w:pPr>
      <w:numPr>
        <w:ilvl w:val="8"/>
        <w:numId w:val="35"/>
      </w:numPr>
      <w:spacing w:before="120" w:after="120"/>
      <w:jc w:val="both"/>
    </w:pPr>
    <w:rPr>
      <w:szCs w:val="22"/>
    </w:rPr>
  </w:style>
  <w:style w:type="paragraph" w:customStyle="1" w:styleId="Tiret2">
    <w:name w:val="Tiret 2"/>
    <w:basedOn w:val="Normal"/>
    <w:pPr>
      <w:numPr>
        <w:numId w:val="3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style>
  <w:style w:type="paragraph" w:styleId="FootnoteText">
    <w:name w:val="footnote text"/>
    <w:basedOn w:val="Normal"/>
    <w:link w:val="FootnoteTextChar"/>
    <w:pPr>
      <w:ind w:left="720" w:hanging="720"/>
      <w:jc w:val="both"/>
    </w:pPr>
    <w:rPr>
      <w:sz w:val="20"/>
      <w:szCs w:val="20"/>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rPr>
  </w:style>
  <w:style w:type="paragraph" w:customStyle="1" w:styleId="ListDash">
    <w:name w:val="List Dash"/>
    <w:basedOn w:val="Normal"/>
    <w:link w:val="ListDashChar"/>
    <w:pPr>
      <w:numPr>
        <w:numId w:val="2"/>
      </w:num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7"/>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8"/>
      </w:numPr>
      <w:spacing w:before="0" w:after="240"/>
    </w:pPr>
    <w:rPr>
      <w:szCs w:val="20"/>
    </w:rPr>
  </w:style>
  <w:style w:type="paragraph" w:styleId="ListBullet2">
    <w:name w:val="List Bullet 2"/>
    <w:basedOn w:val="Normal"/>
    <w:pPr>
      <w:numPr>
        <w:numId w:val="14"/>
      </w:numPr>
      <w:spacing w:after="240"/>
      <w:jc w:val="both"/>
    </w:pP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18"/>
      </w:numPr>
      <w:spacing w:before="120" w:after="120"/>
      <w:jc w:val="both"/>
    </w:pPr>
  </w:style>
  <w:style w:type="paragraph" w:customStyle="1" w:styleId="ListNumberLevel2">
    <w:name w:val="List Number (Level 2)"/>
    <w:basedOn w:val="Normal"/>
    <w:pPr>
      <w:numPr>
        <w:ilvl w:val="1"/>
        <w:numId w:val="18"/>
      </w:numPr>
      <w:spacing w:before="120" w:after="120"/>
      <w:jc w:val="both"/>
    </w:pPr>
  </w:style>
  <w:style w:type="paragraph" w:customStyle="1" w:styleId="ListNumberLevel3">
    <w:name w:val="List Number (Level 3)"/>
    <w:basedOn w:val="Normal"/>
    <w:pPr>
      <w:numPr>
        <w:ilvl w:val="2"/>
        <w:numId w:val="18"/>
      </w:numPr>
      <w:spacing w:before="120" w:after="120"/>
      <w:jc w:val="both"/>
    </w:pPr>
  </w:style>
  <w:style w:type="paragraph" w:customStyle="1" w:styleId="ListNumberLevel4">
    <w:name w:val="List Number (Level 4)"/>
    <w:basedOn w:val="Normal"/>
    <w:pPr>
      <w:numPr>
        <w:ilvl w:val="3"/>
        <w:numId w:val="18"/>
      </w:numPr>
      <w:spacing w:before="120" w:after="120"/>
      <w:jc w:val="both"/>
    </w:pPr>
  </w:style>
  <w:style w:type="character" w:customStyle="1" w:styleId="ListDashChar">
    <w:name w:val="List Dash Char"/>
    <w:link w:val="ListDash"/>
    <w:rPr>
      <w:sz w:val="24"/>
      <w:szCs w:val="24"/>
      <w:lang w:eastAsia="fr-FR"/>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fr-FR"/>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35"/>
      </w:numPr>
      <w:spacing w:before="120" w:after="120"/>
      <w:jc w:val="both"/>
    </w:pPr>
    <w:rPr>
      <w:szCs w:val="22"/>
    </w:rPr>
  </w:style>
  <w:style w:type="paragraph" w:customStyle="1" w:styleId="Point1number">
    <w:name w:val="Point 1 (number)"/>
    <w:basedOn w:val="Normal"/>
    <w:pPr>
      <w:numPr>
        <w:ilvl w:val="2"/>
        <w:numId w:val="35"/>
      </w:numPr>
      <w:spacing w:before="120" w:after="120"/>
      <w:jc w:val="both"/>
    </w:pPr>
    <w:rPr>
      <w:szCs w:val="22"/>
    </w:rPr>
  </w:style>
  <w:style w:type="paragraph" w:customStyle="1" w:styleId="Point2number">
    <w:name w:val="Point 2 (number)"/>
    <w:basedOn w:val="Normal"/>
    <w:pPr>
      <w:numPr>
        <w:ilvl w:val="4"/>
        <w:numId w:val="35"/>
      </w:numPr>
      <w:spacing w:before="120" w:after="120"/>
      <w:jc w:val="both"/>
    </w:pPr>
    <w:rPr>
      <w:szCs w:val="22"/>
    </w:rPr>
  </w:style>
  <w:style w:type="paragraph" w:customStyle="1" w:styleId="Point3number">
    <w:name w:val="Point 3 (number)"/>
    <w:basedOn w:val="Normal"/>
    <w:pPr>
      <w:numPr>
        <w:ilvl w:val="6"/>
        <w:numId w:val="35"/>
      </w:numPr>
      <w:spacing w:before="120" w:after="120"/>
      <w:jc w:val="both"/>
    </w:pPr>
    <w:rPr>
      <w:szCs w:val="22"/>
    </w:rPr>
  </w:style>
  <w:style w:type="paragraph" w:customStyle="1" w:styleId="Point0letter">
    <w:name w:val="Point 0 (letter)"/>
    <w:basedOn w:val="Normal"/>
    <w:pPr>
      <w:numPr>
        <w:ilvl w:val="1"/>
        <w:numId w:val="35"/>
      </w:numPr>
      <w:spacing w:before="120" w:after="120"/>
      <w:jc w:val="both"/>
    </w:pPr>
    <w:rPr>
      <w:szCs w:val="22"/>
    </w:rPr>
  </w:style>
  <w:style w:type="paragraph" w:customStyle="1" w:styleId="Point1letter">
    <w:name w:val="Point 1 (letter)"/>
    <w:basedOn w:val="Normal"/>
    <w:pPr>
      <w:numPr>
        <w:ilvl w:val="3"/>
        <w:numId w:val="35"/>
      </w:numPr>
      <w:spacing w:before="120" w:after="120"/>
      <w:jc w:val="both"/>
    </w:pPr>
    <w:rPr>
      <w:szCs w:val="22"/>
    </w:rPr>
  </w:style>
  <w:style w:type="paragraph" w:customStyle="1" w:styleId="Point2letter">
    <w:name w:val="Point 2 (letter)"/>
    <w:basedOn w:val="Normal"/>
    <w:pPr>
      <w:numPr>
        <w:ilvl w:val="5"/>
        <w:numId w:val="35"/>
      </w:numPr>
      <w:spacing w:before="120" w:after="120"/>
      <w:jc w:val="both"/>
    </w:pPr>
    <w:rPr>
      <w:szCs w:val="22"/>
    </w:rPr>
  </w:style>
  <w:style w:type="paragraph" w:customStyle="1" w:styleId="Point3letter">
    <w:name w:val="Point 3 (letter)"/>
    <w:basedOn w:val="Normal"/>
    <w:pPr>
      <w:numPr>
        <w:ilvl w:val="7"/>
        <w:numId w:val="35"/>
      </w:numPr>
      <w:spacing w:before="120" w:after="120"/>
      <w:jc w:val="both"/>
    </w:pPr>
    <w:rPr>
      <w:szCs w:val="22"/>
    </w:rPr>
  </w:style>
  <w:style w:type="paragraph" w:customStyle="1" w:styleId="Point4letter">
    <w:name w:val="Point 4 (letter)"/>
    <w:basedOn w:val="Normal"/>
    <w:pPr>
      <w:numPr>
        <w:ilvl w:val="8"/>
        <w:numId w:val="35"/>
      </w:numPr>
      <w:spacing w:before="120" w:after="120"/>
      <w:jc w:val="both"/>
    </w:pPr>
    <w:rPr>
      <w:szCs w:val="22"/>
    </w:rPr>
  </w:style>
  <w:style w:type="paragraph" w:customStyle="1" w:styleId="Tiret2">
    <w:name w:val="Tiret 2"/>
    <w:basedOn w:val="Normal"/>
    <w:pPr>
      <w:numPr>
        <w:numId w:val="3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6090">
      <w:bodyDiv w:val="1"/>
      <w:marLeft w:val="0"/>
      <w:marRight w:val="0"/>
      <w:marTop w:val="0"/>
      <w:marBottom w:val="0"/>
      <w:divBdr>
        <w:top w:val="none" w:sz="0" w:space="0" w:color="auto"/>
        <w:left w:val="none" w:sz="0" w:space="0" w:color="auto"/>
        <w:bottom w:val="none" w:sz="0" w:space="0" w:color="auto"/>
        <w:right w:val="none" w:sz="0" w:space="0" w:color="auto"/>
      </w:divBdr>
      <w:divsChild>
        <w:div w:id="1952855758">
          <w:marLeft w:val="0"/>
          <w:marRight w:val="0"/>
          <w:marTop w:val="0"/>
          <w:marBottom w:val="0"/>
          <w:divBdr>
            <w:top w:val="none" w:sz="0" w:space="0" w:color="auto"/>
            <w:left w:val="none" w:sz="0" w:space="0" w:color="auto"/>
            <w:bottom w:val="none" w:sz="0" w:space="0" w:color="auto"/>
            <w:right w:val="none" w:sz="0" w:space="0" w:color="auto"/>
          </w:divBdr>
          <w:divsChild>
            <w:div w:id="1936203364">
              <w:marLeft w:val="0"/>
              <w:marRight w:val="0"/>
              <w:marTop w:val="0"/>
              <w:marBottom w:val="0"/>
              <w:divBdr>
                <w:top w:val="none" w:sz="0" w:space="0" w:color="auto"/>
                <w:left w:val="none" w:sz="0" w:space="0" w:color="auto"/>
                <w:bottom w:val="none" w:sz="0" w:space="0" w:color="auto"/>
                <w:right w:val="none" w:sz="0" w:space="0" w:color="auto"/>
              </w:divBdr>
              <w:divsChild>
                <w:div w:id="1099984863">
                  <w:marLeft w:val="0"/>
                  <w:marRight w:val="0"/>
                  <w:marTop w:val="0"/>
                  <w:marBottom w:val="0"/>
                  <w:divBdr>
                    <w:top w:val="none" w:sz="0" w:space="0" w:color="auto"/>
                    <w:left w:val="none" w:sz="0" w:space="0" w:color="auto"/>
                    <w:bottom w:val="none" w:sz="0" w:space="0" w:color="auto"/>
                    <w:right w:val="none" w:sz="0" w:space="0" w:color="auto"/>
                  </w:divBdr>
                  <w:divsChild>
                    <w:div w:id="1203328141">
                      <w:marLeft w:val="1"/>
                      <w:marRight w:val="1"/>
                      <w:marTop w:val="0"/>
                      <w:marBottom w:val="0"/>
                      <w:divBdr>
                        <w:top w:val="none" w:sz="0" w:space="0" w:color="auto"/>
                        <w:left w:val="none" w:sz="0" w:space="0" w:color="auto"/>
                        <w:bottom w:val="none" w:sz="0" w:space="0" w:color="auto"/>
                        <w:right w:val="none" w:sz="0" w:space="0" w:color="auto"/>
                      </w:divBdr>
                      <w:divsChild>
                        <w:div w:id="1936546657">
                          <w:marLeft w:val="0"/>
                          <w:marRight w:val="0"/>
                          <w:marTop w:val="0"/>
                          <w:marBottom w:val="0"/>
                          <w:divBdr>
                            <w:top w:val="none" w:sz="0" w:space="0" w:color="auto"/>
                            <w:left w:val="none" w:sz="0" w:space="0" w:color="auto"/>
                            <w:bottom w:val="none" w:sz="0" w:space="0" w:color="auto"/>
                            <w:right w:val="none" w:sz="0" w:space="0" w:color="auto"/>
                          </w:divBdr>
                          <w:divsChild>
                            <w:div w:id="1022240160">
                              <w:marLeft w:val="0"/>
                              <w:marRight w:val="0"/>
                              <w:marTop w:val="0"/>
                              <w:marBottom w:val="360"/>
                              <w:divBdr>
                                <w:top w:val="none" w:sz="0" w:space="0" w:color="auto"/>
                                <w:left w:val="none" w:sz="0" w:space="0" w:color="auto"/>
                                <w:bottom w:val="none" w:sz="0" w:space="0" w:color="auto"/>
                                <w:right w:val="none" w:sz="0" w:space="0" w:color="auto"/>
                              </w:divBdr>
                              <w:divsChild>
                                <w:div w:id="1375350455">
                                  <w:marLeft w:val="0"/>
                                  <w:marRight w:val="0"/>
                                  <w:marTop w:val="0"/>
                                  <w:marBottom w:val="0"/>
                                  <w:divBdr>
                                    <w:top w:val="none" w:sz="0" w:space="0" w:color="auto"/>
                                    <w:left w:val="none" w:sz="0" w:space="0" w:color="auto"/>
                                    <w:bottom w:val="none" w:sz="0" w:space="0" w:color="auto"/>
                                    <w:right w:val="none" w:sz="0" w:space="0" w:color="auto"/>
                                  </w:divBdr>
                                  <w:divsChild>
                                    <w:div w:id="15473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23949">
      <w:bodyDiv w:val="1"/>
      <w:marLeft w:val="0"/>
      <w:marRight w:val="0"/>
      <w:marTop w:val="0"/>
      <w:marBottom w:val="0"/>
      <w:divBdr>
        <w:top w:val="none" w:sz="0" w:space="0" w:color="auto"/>
        <w:left w:val="none" w:sz="0" w:space="0" w:color="auto"/>
        <w:bottom w:val="none" w:sz="0" w:space="0" w:color="auto"/>
        <w:right w:val="none" w:sz="0" w:space="0" w:color="auto"/>
      </w:divBdr>
    </w:div>
    <w:div w:id="370612037">
      <w:bodyDiv w:val="1"/>
      <w:marLeft w:val="0"/>
      <w:marRight w:val="0"/>
      <w:marTop w:val="0"/>
      <w:marBottom w:val="0"/>
      <w:divBdr>
        <w:top w:val="none" w:sz="0" w:space="0" w:color="auto"/>
        <w:left w:val="none" w:sz="0" w:space="0" w:color="auto"/>
        <w:bottom w:val="none" w:sz="0" w:space="0" w:color="auto"/>
        <w:right w:val="none" w:sz="0" w:space="0" w:color="auto"/>
      </w:divBdr>
    </w:div>
    <w:div w:id="390540002">
      <w:bodyDiv w:val="1"/>
      <w:marLeft w:val="0"/>
      <w:marRight w:val="0"/>
      <w:marTop w:val="0"/>
      <w:marBottom w:val="0"/>
      <w:divBdr>
        <w:top w:val="none" w:sz="0" w:space="0" w:color="auto"/>
        <w:left w:val="none" w:sz="0" w:space="0" w:color="auto"/>
        <w:bottom w:val="none" w:sz="0" w:space="0" w:color="auto"/>
        <w:right w:val="none" w:sz="0" w:space="0" w:color="auto"/>
      </w:divBdr>
    </w:div>
    <w:div w:id="476648652">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93187629">
      <w:bodyDiv w:val="1"/>
      <w:marLeft w:val="0"/>
      <w:marRight w:val="0"/>
      <w:marTop w:val="0"/>
      <w:marBottom w:val="0"/>
      <w:divBdr>
        <w:top w:val="none" w:sz="0" w:space="0" w:color="auto"/>
        <w:left w:val="none" w:sz="0" w:space="0" w:color="auto"/>
        <w:bottom w:val="none" w:sz="0" w:space="0" w:color="auto"/>
        <w:right w:val="none" w:sz="0" w:space="0" w:color="auto"/>
      </w:divBdr>
    </w:div>
    <w:div w:id="703360353">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12374768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331906149">
      <w:bodyDiv w:val="1"/>
      <w:marLeft w:val="0"/>
      <w:marRight w:val="0"/>
      <w:marTop w:val="0"/>
      <w:marBottom w:val="0"/>
      <w:divBdr>
        <w:top w:val="none" w:sz="0" w:space="0" w:color="auto"/>
        <w:left w:val="none" w:sz="0" w:space="0" w:color="auto"/>
        <w:bottom w:val="none" w:sz="0" w:space="0" w:color="auto"/>
        <w:right w:val="none" w:sz="0" w:space="0" w:color="auto"/>
      </w:divBdr>
    </w:div>
    <w:div w:id="1536893397">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899397083">
      <w:bodyDiv w:val="1"/>
      <w:marLeft w:val="0"/>
      <w:marRight w:val="0"/>
      <w:marTop w:val="0"/>
      <w:marBottom w:val="0"/>
      <w:divBdr>
        <w:top w:val="none" w:sz="0" w:space="0" w:color="auto"/>
        <w:left w:val="none" w:sz="0" w:space="0" w:color="auto"/>
        <w:bottom w:val="none" w:sz="0" w:space="0" w:color="auto"/>
        <w:right w:val="none" w:sz="0" w:space="0" w:color="auto"/>
      </w:divBdr>
    </w:div>
    <w:div w:id="1906259906">
      <w:bodyDiv w:val="1"/>
      <w:marLeft w:val="0"/>
      <w:marRight w:val="0"/>
      <w:marTop w:val="0"/>
      <w:marBottom w:val="0"/>
      <w:divBdr>
        <w:top w:val="none" w:sz="0" w:space="0" w:color="auto"/>
        <w:left w:val="none" w:sz="0" w:space="0" w:color="auto"/>
        <w:bottom w:val="none" w:sz="0" w:space="0" w:color="auto"/>
        <w:right w:val="none" w:sz="0" w:space="0" w:color="auto"/>
      </w:divBdr>
    </w:div>
    <w:div w:id="2134711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eur-lex.europa.eu/budget/www/index-fr.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D5ACB-79D4-420F-833F-F1E348915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1961</Words>
  <Characters>9180</Characters>
  <Application>Microsoft Office Word</Application>
  <DocSecurity>0</DocSecurity>
  <Lines>306</Lines>
  <Paragraphs>259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10882</CharactersWithSpaces>
  <SharedDoc>false</SharedDoc>
  <HLinks>
    <vt:vector size="72" baseType="variant">
      <vt:variant>
        <vt:i4>1245239</vt:i4>
      </vt:variant>
      <vt:variant>
        <vt:i4>59</vt:i4>
      </vt:variant>
      <vt:variant>
        <vt:i4>0</vt:i4>
      </vt:variant>
      <vt:variant>
        <vt:i4>5</vt:i4>
      </vt:variant>
      <vt:variant>
        <vt:lpwstr/>
      </vt:variant>
      <vt:variant>
        <vt:lpwstr>_Toc421700214</vt:lpwstr>
      </vt:variant>
      <vt:variant>
        <vt:i4>1245239</vt:i4>
      </vt:variant>
      <vt:variant>
        <vt:i4>53</vt:i4>
      </vt:variant>
      <vt:variant>
        <vt:i4>0</vt:i4>
      </vt:variant>
      <vt:variant>
        <vt:i4>5</vt:i4>
      </vt:variant>
      <vt:variant>
        <vt:lpwstr/>
      </vt:variant>
      <vt:variant>
        <vt:lpwstr>_Toc421700213</vt:lpwstr>
      </vt:variant>
      <vt:variant>
        <vt:i4>1245239</vt:i4>
      </vt:variant>
      <vt:variant>
        <vt:i4>47</vt:i4>
      </vt:variant>
      <vt:variant>
        <vt:i4>0</vt:i4>
      </vt:variant>
      <vt:variant>
        <vt:i4>5</vt:i4>
      </vt:variant>
      <vt:variant>
        <vt:lpwstr/>
      </vt:variant>
      <vt:variant>
        <vt:lpwstr>_Toc421700212</vt:lpwstr>
      </vt:variant>
      <vt:variant>
        <vt:i4>1245239</vt:i4>
      </vt:variant>
      <vt:variant>
        <vt:i4>41</vt:i4>
      </vt:variant>
      <vt:variant>
        <vt:i4>0</vt:i4>
      </vt:variant>
      <vt:variant>
        <vt:i4>5</vt:i4>
      </vt:variant>
      <vt:variant>
        <vt:lpwstr/>
      </vt:variant>
      <vt:variant>
        <vt:lpwstr>_Toc421700211</vt:lpwstr>
      </vt:variant>
      <vt:variant>
        <vt:i4>1245239</vt:i4>
      </vt:variant>
      <vt:variant>
        <vt:i4>35</vt:i4>
      </vt:variant>
      <vt:variant>
        <vt:i4>0</vt:i4>
      </vt:variant>
      <vt:variant>
        <vt:i4>5</vt:i4>
      </vt:variant>
      <vt:variant>
        <vt:lpwstr/>
      </vt:variant>
      <vt:variant>
        <vt:lpwstr>_Toc421700210</vt:lpwstr>
      </vt:variant>
      <vt:variant>
        <vt:i4>1179703</vt:i4>
      </vt:variant>
      <vt:variant>
        <vt:i4>29</vt:i4>
      </vt:variant>
      <vt:variant>
        <vt:i4>0</vt:i4>
      </vt:variant>
      <vt:variant>
        <vt:i4>5</vt:i4>
      </vt:variant>
      <vt:variant>
        <vt:lpwstr/>
      </vt:variant>
      <vt:variant>
        <vt:lpwstr>_Toc421700209</vt:lpwstr>
      </vt:variant>
      <vt:variant>
        <vt:i4>1179703</vt:i4>
      </vt:variant>
      <vt:variant>
        <vt:i4>23</vt:i4>
      </vt:variant>
      <vt:variant>
        <vt:i4>0</vt:i4>
      </vt:variant>
      <vt:variant>
        <vt:i4>5</vt:i4>
      </vt:variant>
      <vt:variant>
        <vt:lpwstr/>
      </vt:variant>
      <vt:variant>
        <vt:lpwstr>_Toc421700208</vt:lpwstr>
      </vt:variant>
      <vt:variant>
        <vt:i4>1179703</vt:i4>
      </vt:variant>
      <vt:variant>
        <vt:i4>17</vt:i4>
      </vt:variant>
      <vt:variant>
        <vt:i4>0</vt:i4>
      </vt:variant>
      <vt:variant>
        <vt:i4>5</vt:i4>
      </vt:variant>
      <vt:variant>
        <vt:lpwstr/>
      </vt:variant>
      <vt:variant>
        <vt:lpwstr>_Toc421700207</vt:lpwstr>
      </vt:variant>
      <vt:variant>
        <vt:i4>1179703</vt:i4>
      </vt:variant>
      <vt:variant>
        <vt:i4>11</vt:i4>
      </vt:variant>
      <vt:variant>
        <vt:i4>0</vt:i4>
      </vt:variant>
      <vt:variant>
        <vt:i4>5</vt:i4>
      </vt:variant>
      <vt:variant>
        <vt:lpwstr/>
      </vt:variant>
      <vt:variant>
        <vt:lpwstr>_Toc421700206</vt:lpwstr>
      </vt:variant>
      <vt:variant>
        <vt:i4>1179703</vt:i4>
      </vt:variant>
      <vt:variant>
        <vt:i4>5</vt:i4>
      </vt:variant>
      <vt:variant>
        <vt:i4>0</vt:i4>
      </vt:variant>
      <vt:variant>
        <vt:i4>5</vt:i4>
      </vt:variant>
      <vt:variant>
        <vt:lpwstr/>
      </vt:variant>
      <vt:variant>
        <vt:lpwstr>_Toc421700205</vt:lpwstr>
      </vt:variant>
      <vt:variant>
        <vt:i4>5046279</vt:i4>
      </vt:variant>
      <vt:variant>
        <vt:i4>0</vt:i4>
      </vt:variant>
      <vt:variant>
        <vt:i4>0</vt:i4>
      </vt:variant>
      <vt:variant>
        <vt:i4>5</vt:i4>
      </vt:variant>
      <vt:variant>
        <vt:lpwstr>http://eur-lex.europa.eu/budget/www/index-en.htm</vt:lpwstr>
      </vt:variant>
      <vt:variant>
        <vt:lpwstr/>
      </vt:variant>
      <vt:variant>
        <vt:i4>5111875</vt:i4>
      </vt:variant>
      <vt:variant>
        <vt:i4>0</vt:i4>
      </vt:variant>
      <vt:variant>
        <vt:i4>0</vt:i4>
      </vt:variant>
      <vt:variant>
        <vt:i4>5</vt:i4>
      </vt:variant>
      <vt:variant>
        <vt:lpwstr>http://ec.europa.eu/budget/library/biblio/documents/financing/calc_own_res_2007_en.pdf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2015-10-14T10:12:00Z</cp:lastPrinted>
  <dcterms:created xsi:type="dcterms:W3CDTF">2015-10-16T09:28:00Z</dcterms:created>
  <dcterms:modified xsi:type="dcterms:W3CDTF">2015-10-19T15:35:00Z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