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41B2ED73B27C46F9A886DCCDE7F17E59" style="width:450.8pt;height:320.55pt">
            <v:imagedata r:id="rId9" o:title=""/>
          </v:shape>
        </w:pict>
      </w:r>
    </w:p>
    <w:bookmarkEnd w:id="0"/>
    <w:p>
      <w:pPr>
        <w:rPr>
          <w:noProof/>
          <w:lang w:eastAsia="en-US"/>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rPr>
          <w:noProof/>
        </w:rPr>
      </w:pPr>
      <w:bookmarkStart w:id="1" w:name="_GoBack"/>
      <w:bookmarkEnd w:id="1"/>
      <w:r>
        <w:rPr>
          <w:noProof/>
        </w:rPr>
        <w:lastRenderedPageBreak/>
        <w:t>Having regard to:</w:t>
      </w:r>
    </w:p>
    <w:p>
      <w:pPr>
        <w:pStyle w:val="Tiret0"/>
        <w:rPr>
          <w:noProof/>
        </w:rPr>
      </w:pPr>
      <w:r>
        <w:rPr>
          <w:noProof/>
        </w:rPr>
        <w:t>the Treaty on the Functioning of the European Union, and in particular Article 314 thereof, in conjunction with the Treaty establishing the European Atomic Energy Community, and in particular Article 106a thereof,</w:t>
      </w:r>
    </w:p>
    <w:p>
      <w:pPr>
        <w:pStyle w:val="Tiret0"/>
        <w:rPr>
          <w:rFonts w:cs="Arial"/>
          <w:noProof/>
          <w:szCs w:val="18"/>
        </w:rPr>
      </w:pPr>
      <w:r>
        <w:rPr>
          <w:noProof/>
        </w:rPr>
        <w:t>the Regulation (EU, Euratom) No 966/2012 of the European Parliament and of the Council of 25 October 2012 on the Financial Regulation applicable to the general budget of the Union</w:t>
      </w:r>
      <w:r>
        <w:rPr>
          <w:rStyle w:val="FootnoteReference"/>
          <w:noProof/>
        </w:rPr>
        <w:footnoteReference w:id="2"/>
      </w:r>
      <w:r>
        <w:rPr>
          <w:noProof/>
        </w:rPr>
        <w:t>, and in particular Article 41 thereof,</w:t>
      </w:r>
    </w:p>
    <w:p>
      <w:pPr>
        <w:pStyle w:val="Tiret0"/>
        <w:rPr>
          <w:noProof/>
        </w:rPr>
      </w:pPr>
      <w:r>
        <w:rPr>
          <w:noProof/>
        </w:rPr>
        <w:t>the general budget of the European Union for the financial year 2015 adopted on 17 December 2014</w:t>
      </w:r>
      <w:r>
        <w:rPr>
          <w:rStyle w:val="FootnoteReference"/>
          <w:noProof/>
        </w:rPr>
        <w:footnoteReference w:id="3"/>
      </w:r>
      <w:r>
        <w:rPr>
          <w:noProof/>
        </w:rPr>
        <w:t>,</w:t>
      </w:r>
    </w:p>
    <w:p>
      <w:pPr>
        <w:pStyle w:val="Tiret0"/>
        <w:rPr>
          <w:noProof/>
        </w:rPr>
      </w:pPr>
      <w:r>
        <w:rPr>
          <w:noProof/>
        </w:rPr>
        <w:t>the amending budget No 1/2015</w:t>
      </w:r>
      <w:r>
        <w:rPr>
          <w:rStyle w:val="FootnoteReference"/>
          <w:noProof/>
        </w:rPr>
        <w:footnoteReference w:id="4"/>
      </w:r>
      <w:r>
        <w:rPr>
          <w:noProof/>
        </w:rPr>
        <w:t>, adopted on 28 April 2015,</w:t>
      </w:r>
    </w:p>
    <w:p>
      <w:pPr>
        <w:pStyle w:val="Tiret0"/>
        <w:rPr>
          <w:noProof/>
        </w:rPr>
      </w:pPr>
      <w:r>
        <w:rPr>
          <w:noProof/>
        </w:rPr>
        <w:t>the amending budget No 2/2015</w:t>
      </w:r>
      <w:r>
        <w:rPr>
          <w:rStyle w:val="FootnoteReference"/>
          <w:noProof/>
        </w:rPr>
        <w:footnoteReference w:id="5"/>
      </w:r>
      <w:r>
        <w:rPr>
          <w:noProof/>
        </w:rPr>
        <w:t>, adopted on 7 July 2015,</w:t>
      </w:r>
    </w:p>
    <w:p>
      <w:pPr>
        <w:pStyle w:val="Tiret0"/>
        <w:rPr>
          <w:noProof/>
        </w:rPr>
      </w:pPr>
      <w:r>
        <w:rPr>
          <w:noProof/>
        </w:rPr>
        <w:t>the amending budget No 3/2015</w:t>
      </w:r>
      <w:r>
        <w:rPr>
          <w:rStyle w:val="FootnoteReference"/>
          <w:noProof/>
        </w:rPr>
        <w:footnoteReference w:id="6"/>
      </w:r>
      <w:r>
        <w:rPr>
          <w:noProof/>
        </w:rPr>
        <w:t>, adopted on 7 July 2015,</w:t>
      </w:r>
    </w:p>
    <w:p>
      <w:pPr>
        <w:pStyle w:val="Tiret0"/>
        <w:rPr>
          <w:noProof/>
        </w:rPr>
      </w:pPr>
      <w:r>
        <w:rPr>
          <w:noProof/>
        </w:rPr>
        <w:t>the amending budget No 4/2015</w:t>
      </w:r>
      <w:r>
        <w:rPr>
          <w:rStyle w:val="FootnoteReference"/>
          <w:noProof/>
        </w:rPr>
        <w:footnoteReference w:id="7"/>
      </w:r>
      <w:r>
        <w:rPr>
          <w:noProof/>
        </w:rPr>
        <w:t>, adopted on 7 July 2015,</w:t>
      </w:r>
    </w:p>
    <w:p>
      <w:pPr>
        <w:pStyle w:val="Tiret0"/>
        <w:rPr>
          <w:noProof/>
        </w:rPr>
      </w:pPr>
      <w:r>
        <w:rPr>
          <w:noProof/>
        </w:rPr>
        <w:t>the amending budget No 5/2015</w:t>
      </w:r>
      <w:r>
        <w:rPr>
          <w:rStyle w:val="FootnoteReference"/>
          <w:noProof/>
        </w:rPr>
        <w:footnoteReference w:id="8"/>
      </w:r>
      <w:r>
        <w:rPr>
          <w:noProof/>
        </w:rPr>
        <w:t>, adopted on 7 July 2015,</w:t>
      </w:r>
    </w:p>
    <w:p>
      <w:pPr>
        <w:pStyle w:val="Tiret0"/>
        <w:rPr>
          <w:noProof/>
        </w:rPr>
      </w:pPr>
      <w:r>
        <w:rPr>
          <w:noProof/>
        </w:rPr>
        <w:t>the amending budget No 6/2015</w:t>
      </w:r>
      <w:r>
        <w:rPr>
          <w:rStyle w:val="FootnoteReference"/>
          <w:noProof/>
        </w:rPr>
        <w:footnoteReference w:id="9"/>
      </w:r>
      <w:r>
        <w:rPr>
          <w:noProof/>
        </w:rPr>
        <w:t>, adopted on 14 October 2015,</w:t>
      </w:r>
    </w:p>
    <w:p>
      <w:pPr>
        <w:pStyle w:val="Tiret0"/>
        <w:rPr>
          <w:noProof/>
        </w:rPr>
      </w:pPr>
      <w:r>
        <w:rPr>
          <w:noProof/>
        </w:rPr>
        <w:t>the amending budget No 7/2015</w:t>
      </w:r>
      <w:r>
        <w:rPr>
          <w:rStyle w:val="FootnoteReference"/>
          <w:noProof/>
        </w:rPr>
        <w:footnoteReference w:id="10"/>
      </w:r>
      <w:r>
        <w:rPr>
          <w:noProof/>
        </w:rPr>
        <w:t>, adopted on 14 October 2015,</w:t>
      </w:r>
    </w:p>
    <w:p>
      <w:pPr>
        <w:spacing w:after="600"/>
        <w:jc w:val="both"/>
        <w:rPr>
          <w:noProof/>
        </w:rPr>
      </w:pPr>
      <w:r>
        <w:rPr>
          <w:noProof/>
        </w:rPr>
        <w:t>The European Commission hereby presents to the European Parliament and to the Council the Draft Amending Budget No 8 to the 2015 budget.</w:t>
      </w:r>
    </w:p>
    <w:p>
      <w:pPr>
        <w:spacing w:after="240"/>
        <w:jc w:val="both"/>
        <w:rPr>
          <w:b/>
          <w:noProof/>
          <w:u w:val="single"/>
          <w:lang w:eastAsia="ko-KR"/>
        </w:rPr>
      </w:pPr>
      <w:r>
        <w:rPr>
          <w:b/>
          <w:noProof/>
          <w:u w:val="single"/>
          <w:lang w:eastAsia="ko-KR"/>
        </w:rPr>
        <w:t>CHANGES TO THE STATEMENT OF REVENUE AND EXPENDITURE BY SECTION</w:t>
      </w:r>
    </w:p>
    <w:p>
      <w:pPr>
        <w:jc w:val="both"/>
        <w:rPr>
          <w:noProof/>
          <w:lang w:eastAsia="ko-KR"/>
        </w:rPr>
      </w:pPr>
      <w:r>
        <w:rPr>
          <w:noProof/>
        </w:rPr>
        <w:t>The changes to the statement of revenue and expenditure by section are available on EUR-Lex (</w:t>
      </w:r>
      <w:hyperlink r:id="rId16" w:history="1">
        <w:r>
          <w:rPr>
            <w:rStyle w:val="Hyperlink"/>
            <w:noProof/>
            <w:color w:val="auto"/>
          </w:rPr>
          <w:t>http://eur-lex.europa.eu/budget/www/index-en.htm</w:t>
        </w:r>
      </w:hyperlink>
      <w:r>
        <w:rPr>
          <w:noProof/>
        </w:rPr>
        <w:t>). An English version of the changes to this statement is attached for information as a budgetary annex.</w:t>
      </w:r>
    </w:p>
    <w:p>
      <w:pPr>
        <w:rPr>
          <w:noProof/>
        </w:rPr>
        <w:sectPr>
          <w:headerReference w:type="even" r:id="rId17"/>
          <w:headerReference w:type="default" r:id="rId18"/>
          <w:footerReference w:type="even" r:id="rId19"/>
          <w:footerReference w:type="default" r:id="rId20"/>
          <w:headerReference w:type="first" r:id="rId21"/>
          <w:footerReference w:type="first" r:id="rId22"/>
          <w:pgSz w:w="11907" w:h="16839"/>
          <w:pgMar w:top="1418" w:right="1418" w:bottom="1418" w:left="1418" w:header="709" w:footer="709" w:gutter="0"/>
          <w:cols w:space="708"/>
          <w:docGrid w:linePitch="360"/>
        </w:sectPr>
      </w:pPr>
    </w:p>
    <w:p>
      <w:pPr>
        <w:pStyle w:val="TOCHeading"/>
        <w:rPr>
          <w:noProof/>
        </w:rPr>
      </w:pPr>
      <w:bookmarkStart w:id="2" w:name="_Toc294675429"/>
      <w:bookmarkStart w:id="3" w:name="_Toc272133653"/>
      <w:bookmarkStart w:id="4" w:name="_Toc294673202"/>
      <w:bookmarkStart w:id="5" w:name="_Toc318365572"/>
      <w:bookmarkStart w:id="6" w:name="_Toc361649893"/>
      <w:bookmarkStart w:id="7" w:name="_Toc387301589"/>
      <w:r>
        <w:rPr>
          <w:noProof/>
        </w:rPr>
        <w:t>TABLE OF CONTENT</w:t>
      </w:r>
    </w:p>
    <w:p>
      <w:pPr>
        <w:pStyle w:val="TOC1"/>
        <w:tabs>
          <w:tab w:val="left" w:pos="480"/>
          <w:tab w:val="right" w:leader="dot" w:pos="9061"/>
        </w:tabs>
        <w:rPr>
          <w:rFonts w:asciiTheme="minorHAnsi" w:eastAsiaTheme="minorEastAsia" w:hAnsiTheme="minorHAnsi" w:cstheme="minorBidi"/>
          <w:b w:val="0"/>
          <w:bCs w:val="0"/>
          <w:caps w:val="0"/>
          <w:noProof/>
          <w:sz w:val="22"/>
          <w:szCs w:val="22"/>
        </w:rPr>
      </w:pPr>
      <w:r>
        <w:rPr>
          <w:noProof/>
        </w:rPr>
        <w:fldChar w:fldCharType="begin"/>
      </w:r>
      <w:r>
        <w:rPr>
          <w:noProof/>
        </w:rPr>
        <w:instrText xml:space="preserve"> TOC \o "1-3" \h \z \u </w:instrText>
      </w:r>
      <w:r>
        <w:rPr>
          <w:noProof/>
        </w:rPr>
        <w:fldChar w:fldCharType="separate"/>
      </w:r>
      <w:hyperlink w:anchor="_Toc432150794" w:history="1">
        <w:r>
          <w:rPr>
            <w:rStyle w:val="Hyperlink"/>
            <w:noProof/>
          </w:rPr>
          <w:t>1.</w:t>
        </w:r>
        <w:r>
          <w:rPr>
            <w:rFonts w:asciiTheme="minorHAnsi" w:eastAsiaTheme="minorEastAsia" w:hAnsiTheme="minorHAnsi" w:cstheme="minorBidi"/>
            <w:b w:val="0"/>
            <w:bCs w:val="0"/>
            <w:caps w:val="0"/>
            <w:noProof/>
            <w:sz w:val="22"/>
            <w:szCs w:val="22"/>
          </w:rPr>
          <w:tab/>
        </w:r>
        <w:r>
          <w:rPr>
            <w:rStyle w:val="Hyperlink"/>
            <w:noProof/>
          </w:rPr>
          <w:t>Introduction</w:t>
        </w:r>
        <w:r>
          <w:rPr>
            <w:noProof/>
            <w:webHidden/>
          </w:rPr>
          <w:tab/>
        </w:r>
        <w:r>
          <w:rPr>
            <w:noProof/>
            <w:webHidden/>
          </w:rPr>
          <w:fldChar w:fldCharType="begin"/>
        </w:r>
        <w:r>
          <w:rPr>
            <w:noProof/>
            <w:webHidden/>
          </w:rPr>
          <w:instrText xml:space="preserve"> PAGEREF _Toc432150794 \h </w:instrText>
        </w:r>
        <w:r>
          <w:rPr>
            <w:noProof/>
            <w:webHidden/>
          </w:rPr>
        </w:r>
        <w:r>
          <w:rPr>
            <w:noProof/>
            <w:webHidden/>
          </w:rPr>
          <w:fldChar w:fldCharType="separate"/>
        </w:r>
        <w:r>
          <w:rPr>
            <w:noProof/>
            <w:webHidden/>
          </w:rPr>
          <w:t>4</w:t>
        </w:r>
        <w:r>
          <w:rPr>
            <w:noProof/>
            <w:webHidden/>
          </w:rPr>
          <w:fldChar w:fldCharType="end"/>
        </w:r>
      </w:hyperlink>
    </w:p>
    <w:p>
      <w:pPr>
        <w:pStyle w:val="TOC1"/>
        <w:tabs>
          <w:tab w:val="left" w:pos="480"/>
          <w:tab w:val="right" w:leader="dot" w:pos="9061"/>
        </w:tabs>
        <w:rPr>
          <w:rFonts w:asciiTheme="minorHAnsi" w:eastAsiaTheme="minorEastAsia" w:hAnsiTheme="minorHAnsi" w:cstheme="minorBidi"/>
          <w:b w:val="0"/>
          <w:bCs w:val="0"/>
          <w:caps w:val="0"/>
          <w:noProof/>
          <w:sz w:val="22"/>
          <w:szCs w:val="22"/>
        </w:rPr>
      </w:pPr>
      <w:hyperlink w:anchor="_Toc432150795" w:history="1">
        <w:r>
          <w:rPr>
            <w:rStyle w:val="Hyperlink"/>
            <w:noProof/>
          </w:rPr>
          <w:t>2.</w:t>
        </w:r>
        <w:r>
          <w:rPr>
            <w:rFonts w:asciiTheme="minorHAnsi" w:eastAsiaTheme="minorEastAsia" w:hAnsiTheme="minorHAnsi" w:cstheme="minorBidi"/>
            <w:b w:val="0"/>
            <w:bCs w:val="0"/>
            <w:caps w:val="0"/>
            <w:noProof/>
            <w:sz w:val="22"/>
            <w:szCs w:val="22"/>
          </w:rPr>
          <w:tab/>
        </w:r>
        <w:r>
          <w:rPr>
            <w:rStyle w:val="Hyperlink"/>
            <w:noProof/>
          </w:rPr>
          <w:t>Own Resources</w:t>
        </w:r>
        <w:r>
          <w:rPr>
            <w:noProof/>
            <w:webHidden/>
          </w:rPr>
          <w:tab/>
        </w:r>
        <w:r>
          <w:rPr>
            <w:noProof/>
            <w:webHidden/>
          </w:rPr>
          <w:fldChar w:fldCharType="begin"/>
        </w:r>
        <w:r>
          <w:rPr>
            <w:noProof/>
            <w:webHidden/>
          </w:rPr>
          <w:instrText xml:space="preserve"> PAGEREF _Toc432150795 \h </w:instrText>
        </w:r>
        <w:r>
          <w:rPr>
            <w:noProof/>
            <w:webHidden/>
          </w:rPr>
        </w:r>
        <w:r>
          <w:rPr>
            <w:noProof/>
            <w:webHidden/>
          </w:rPr>
          <w:fldChar w:fldCharType="separate"/>
        </w:r>
        <w:r>
          <w:rPr>
            <w:noProof/>
            <w:webHidden/>
          </w:rPr>
          <w:t>4</w:t>
        </w:r>
        <w:r>
          <w:rPr>
            <w:noProof/>
            <w:webHidden/>
          </w:rPr>
          <w:fldChar w:fldCharType="end"/>
        </w:r>
      </w:hyperlink>
    </w:p>
    <w:p>
      <w:pPr>
        <w:pStyle w:val="TOC2"/>
        <w:tabs>
          <w:tab w:val="left" w:pos="960"/>
          <w:tab w:val="right" w:leader="dot" w:pos="9061"/>
        </w:tabs>
        <w:rPr>
          <w:rFonts w:asciiTheme="minorHAnsi" w:eastAsiaTheme="minorEastAsia" w:hAnsiTheme="minorHAnsi" w:cstheme="minorBidi"/>
          <w:smallCaps w:val="0"/>
          <w:noProof/>
          <w:sz w:val="22"/>
          <w:szCs w:val="22"/>
        </w:rPr>
      </w:pPr>
      <w:hyperlink w:anchor="_Toc432150796" w:history="1">
        <w:r>
          <w:rPr>
            <w:rStyle w:val="Hyperlink"/>
            <w:noProof/>
          </w:rPr>
          <w:t>2.1.</w:t>
        </w:r>
        <w:r>
          <w:rPr>
            <w:rFonts w:asciiTheme="minorHAnsi" w:eastAsiaTheme="minorEastAsia" w:hAnsiTheme="minorHAnsi" w:cstheme="minorBidi"/>
            <w:smallCaps w:val="0"/>
            <w:noProof/>
            <w:sz w:val="22"/>
            <w:szCs w:val="22"/>
          </w:rPr>
          <w:tab/>
        </w:r>
        <w:r>
          <w:rPr>
            <w:rStyle w:val="Hyperlink"/>
            <w:noProof/>
          </w:rPr>
          <w:t>Traditional Own Resources</w:t>
        </w:r>
        <w:r>
          <w:rPr>
            <w:noProof/>
            <w:webHidden/>
          </w:rPr>
          <w:tab/>
        </w:r>
        <w:r>
          <w:rPr>
            <w:noProof/>
            <w:webHidden/>
          </w:rPr>
          <w:fldChar w:fldCharType="begin"/>
        </w:r>
        <w:r>
          <w:rPr>
            <w:noProof/>
            <w:webHidden/>
          </w:rPr>
          <w:instrText xml:space="preserve"> PAGEREF _Toc432150796 \h </w:instrText>
        </w:r>
        <w:r>
          <w:rPr>
            <w:noProof/>
            <w:webHidden/>
          </w:rPr>
        </w:r>
        <w:r>
          <w:rPr>
            <w:noProof/>
            <w:webHidden/>
          </w:rPr>
          <w:fldChar w:fldCharType="separate"/>
        </w:r>
        <w:r>
          <w:rPr>
            <w:noProof/>
            <w:webHidden/>
          </w:rPr>
          <w:t>4</w:t>
        </w:r>
        <w:r>
          <w:rPr>
            <w:noProof/>
            <w:webHidden/>
          </w:rPr>
          <w:fldChar w:fldCharType="end"/>
        </w:r>
      </w:hyperlink>
    </w:p>
    <w:p>
      <w:pPr>
        <w:pStyle w:val="TOC2"/>
        <w:tabs>
          <w:tab w:val="left" w:pos="960"/>
          <w:tab w:val="right" w:leader="dot" w:pos="9061"/>
        </w:tabs>
        <w:rPr>
          <w:rFonts w:asciiTheme="minorHAnsi" w:eastAsiaTheme="minorEastAsia" w:hAnsiTheme="minorHAnsi" w:cstheme="minorBidi"/>
          <w:smallCaps w:val="0"/>
          <w:noProof/>
          <w:sz w:val="22"/>
          <w:szCs w:val="22"/>
        </w:rPr>
      </w:pPr>
      <w:hyperlink w:anchor="_Toc432150797" w:history="1">
        <w:r>
          <w:rPr>
            <w:rStyle w:val="Hyperlink"/>
            <w:noProof/>
          </w:rPr>
          <w:t>2.2.</w:t>
        </w:r>
        <w:r>
          <w:rPr>
            <w:rFonts w:asciiTheme="minorHAnsi" w:eastAsiaTheme="minorEastAsia" w:hAnsiTheme="minorHAnsi" w:cstheme="minorBidi"/>
            <w:smallCaps w:val="0"/>
            <w:noProof/>
            <w:sz w:val="22"/>
            <w:szCs w:val="22"/>
          </w:rPr>
          <w:tab/>
        </w:r>
        <w:r>
          <w:rPr>
            <w:rStyle w:val="Hyperlink"/>
            <w:noProof/>
          </w:rPr>
          <w:t>VAT and GNI own resources balances</w:t>
        </w:r>
        <w:r>
          <w:rPr>
            <w:noProof/>
            <w:webHidden/>
          </w:rPr>
          <w:tab/>
        </w:r>
        <w:r>
          <w:rPr>
            <w:noProof/>
            <w:webHidden/>
          </w:rPr>
          <w:fldChar w:fldCharType="begin"/>
        </w:r>
        <w:r>
          <w:rPr>
            <w:noProof/>
            <w:webHidden/>
          </w:rPr>
          <w:instrText xml:space="preserve"> PAGEREF _Toc432150797 \h </w:instrText>
        </w:r>
        <w:r>
          <w:rPr>
            <w:noProof/>
            <w:webHidden/>
          </w:rPr>
        </w:r>
        <w:r>
          <w:rPr>
            <w:noProof/>
            <w:webHidden/>
          </w:rPr>
          <w:fldChar w:fldCharType="separate"/>
        </w:r>
        <w:r>
          <w:rPr>
            <w:noProof/>
            <w:webHidden/>
          </w:rPr>
          <w:t>4</w:t>
        </w:r>
        <w:r>
          <w:rPr>
            <w:noProof/>
            <w:webHidden/>
          </w:rPr>
          <w:fldChar w:fldCharType="end"/>
        </w:r>
      </w:hyperlink>
    </w:p>
    <w:p>
      <w:pPr>
        <w:pStyle w:val="TOC2"/>
        <w:tabs>
          <w:tab w:val="left" w:pos="960"/>
          <w:tab w:val="right" w:leader="dot" w:pos="9061"/>
        </w:tabs>
        <w:rPr>
          <w:rFonts w:asciiTheme="minorHAnsi" w:eastAsiaTheme="minorEastAsia" w:hAnsiTheme="minorHAnsi" w:cstheme="minorBidi"/>
          <w:smallCaps w:val="0"/>
          <w:noProof/>
          <w:sz w:val="22"/>
          <w:szCs w:val="22"/>
        </w:rPr>
      </w:pPr>
      <w:hyperlink w:anchor="_Toc432150798" w:history="1">
        <w:r>
          <w:rPr>
            <w:rStyle w:val="Hyperlink"/>
            <w:noProof/>
          </w:rPr>
          <w:t>2.3.</w:t>
        </w:r>
        <w:r>
          <w:rPr>
            <w:rFonts w:asciiTheme="minorHAnsi" w:eastAsiaTheme="minorEastAsia" w:hAnsiTheme="minorHAnsi" w:cstheme="minorBidi"/>
            <w:smallCaps w:val="0"/>
            <w:noProof/>
            <w:sz w:val="22"/>
            <w:szCs w:val="22"/>
          </w:rPr>
          <w:tab/>
        </w:r>
        <w:r>
          <w:rPr>
            <w:rStyle w:val="Hyperlink"/>
            <w:noProof/>
          </w:rPr>
          <w:t>Other Revenue</w:t>
        </w:r>
        <w:r>
          <w:rPr>
            <w:noProof/>
            <w:webHidden/>
          </w:rPr>
          <w:tab/>
        </w:r>
        <w:r>
          <w:rPr>
            <w:noProof/>
            <w:webHidden/>
          </w:rPr>
          <w:fldChar w:fldCharType="begin"/>
        </w:r>
        <w:r>
          <w:rPr>
            <w:noProof/>
            <w:webHidden/>
          </w:rPr>
          <w:instrText xml:space="preserve"> PAGEREF _Toc432150798 \h </w:instrText>
        </w:r>
        <w:r>
          <w:rPr>
            <w:noProof/>
            <w:webHidden/>
          </w:rPr>
        </w:r>
        <w:r>
          <w:rPr>
            <w:noProof/>
            <w:webHidden/>
          </w:rPr>
          <w:fldChar w:fldCharType="separate"/>
        </w:r>
        <w:r>
          <w:rPr>
            <w:noProof/>
            <w:webHidden/>
          </w:rPr>
          <w:t>5</w:t>
        </w:r>
        <w:r>
          <w:rPr>
            <w:noProof/>
            <w:webHidden/>
          </w:rPr>
          <w:fldChar w:fldCharType="end"/>
        </w:r>
      </w:hyperlink>
    </w:p>
    <w:p>
      <w:pPr>
        <w:pStyle w:val="TOC2"/>
        <w:tabs>
          <w:tab w:val="left" w:pos="960"/>
          <w:tab w:val="right" w:leader="dot" w:pos="9061"/>
        </w:tabs>
        <w:rPr>
          <w:rFonts w:asciiTheme="minorHAnsi" w:eastAsiaTheme="minorEastAsia" w:hAnsiTheme="minorHAnsi" w:cstheme="minorBidi"/>
          <w:smallCaps w:val="0"/>
          <w:noProof/>
          <w:sz w:val="22"/>
          <w:szCs w:val="22"/>
        </w:rPr>
      </w:pPr>
      <w:hyperlink w:anchor="_Toc432150799" w:history="1">
        <w:r>
          <w:rPr>
            <w:rStyle w:val="Hyperlink"/>
            <w:noProof/>
          </w:rPr>
          <w:t>2.4.</w:t>
        </w:r>
        <w:r>
          <w:rPr>
            <w:rFonts w:asciiTheme="minorHAnsi" w:eastAsiaTheme="minorEastAsia" w:hAnsiTheme="minorHAnsi" w:cstheme="minorBidi"/>
            <w:smallCaps w:val="0"/>
            <w:noProof/>
            <w:sz w:val="22"/>
            <w:szCs w:val="22"/>
          </w:rPr>
          <w:tab/>
        </w:r>
        <w:r>
          <w:rPr>
            <w:rStyle w:val="Hyperlink"/>
            <w:noProof/>
          </w:rPr>
          <w:t>GNI own resources contributions</w:t>
        </w:r>
        <w:r>
          <w:rPr>
            <w:noProof/>
            <w:webHidden/>
          </w:rPr>
          <w:tab/>
        </w:r>
        <w:r>
          <w:rPr>
            <w:noProof/>
            <w:webHidden/>
          </w:rPr>
          <w:fldChar w:fldCharType="begin"/>
        </w:r>
        <w:r>
          <w:rPr>
            <w:noProof/>
            <w:webHidden/>
          </w:rPr>
          <w:instrText xml:space="preserve"> PAGEREF _Toc432150799 \h </w:instrText>
        </w:r>
        <w:r>
          <w:rPr>
            <w:noProof/>
            <w:webHidden/>
          </w:rPr>
        </w:r>
        <w:r>
          <w:rPr>
            <w:noProof/>
            <w:webHidden/>
          </w:rPr>
          <w:fldChar w:fldCharType="separate"/>
        </w:r>
        <w:r>
          <w:rPr>
            <w:noProof/>
            <w:webHidden/>
          </w:rPr>
          <w:t>6</w:t>
        </w:r>
        <w:r>
          <w:rPr>
            <w:noProof/>
            <w:webHidden/>
          </w:rPr>
          <w:fldChar w:fldCharType="end"/>
        </w:r>
      </w:hyperlink>
    </w:p>
    <w:p>
      <w:pPr>
        <w:pStyle w:val="TOC1"/>
        <w:tabs>
          <w:tab w:val="left" w:pos="480"/>
          <w:tab w:val="right" w:leader="dot" w:pos="9061"/>
        </w:tabs>
        <w:rPr>
          <w:rFonts w:asciiTheme="minorHAnsi" w:eastAsiaTheme="minorEastAsia" w:hAnsiTheme="minorHAnsi" w:cstheme="minorBidi"/>
          <w:b w:val="0"/>
          <w:bCs w:val="0"/>
          <w:caps w:val="0"/>
          <w:noProof/>
          <w:sz w:val="22"/>
          <w:szCs w:val="22"/>
        </w:rPr>
      </w:pPr>
      <w:hyperlink w:anchor="_Toc432150800" w:history="1">
        <w:r>
          <w:rPr>
            <w:rStyle w:val="Hyperlink"/>
            <w:noProof/>
          </w:rPr>
          <w:t>3.</w:t>
        </w:r>
        <w:r>
          <w:rPr>
            <w:rFonts w:asciiTheme="minorHAnsi" w:eastAsiaTheme="minorEastAsia" w:hAnsiTheme="minorHAnsi" w:cstheme="minorBidi"/>
            <w:b w:val="0"/>
            <w:bCs w:val="0"/>
            <w:caps w:val="0"/>
            <w:noProof/>
            <w:sz w:val="22"/>
            <w:szCs w:val="22"/>
          </w:rPr>
          <w:tab/>
        </w:r>
        <w:r>
          <w:rPr>
            <w:rStyle w:val="Hyperlink"/>
            <w:noProof/>
          </w:rPr>
          <w:t>European Data Protection Supervisor (Section IX)</w:t>
        </w:r>
        <w:r>
          <w:rPr>
            <w:noProof/>
            <w:webHidden/>
          </w:rPr>
          <w:tab/>
        </w:r>
        <w:r>
          <w:rPr>
            <w:noProof/>
            <w:webHidden/>
          </w:rPr>
          <w:fldChar w:fldCharType="begin"/>
        </w:r>
        <w:r>
          <w:rPr>
            <w:noProof/>
            <w:webHidden/>
          </w:rPr>
          <w:instrText xml:space="preserve"> PAGEREF _Toc432150800 \h </w:instrText>
        </w:r>
        <w:r>
          <w:rPr>
            <w:noProof/>
            <w:webHidden/>
          </w:rPr>
        </w:r>
        <w:r>
          <w:rPr>
            <w:noProof/>
            <w:webHidden/>
          </w:rPr>
          <w:fldChar w:fldCharType="separate"/>
        </w:r>
        <w:r>
          <w:rPr>
            <w:noProof/>
            <w:webHidden/>
          </w:rPr>
          <w:t>6</w:t>
        </w:r>
        <w:r>
          <w:rPr>
            <w:noProof/>
            <w:webHidden/>
          </w:rPr>
          <w:fldChar w:fldCharType="end"/>
        </w:r>
      </w:hyperlink>
    </w:p>
    <w:p>
      <w:pPr>
        <w:rPr>
          <w:noProof/>
        </w:rPr>
      </w:pPr>
      <w:r>
        <w:rPr>
          <w:noProof/>
        </w:rPr>
        <w:fldChar w:fldCharType="end"/>
      </w:r>
    </w:p>
    <w:p>
      <w:pPr>
        <w:rPr>
          <w:noProof/>
          <w:lang w:eastAsia="de-DE"/>
        </w:rPr>
        <w:sectPr>
          <w:headerReference w:type="even" r:id="rId23"/>
          <w:headerReference w:type="default" r:id="rId24"/>
          <w:footerReference w:type="even" r:id="rId25"/>
          <w:footerReference w:type="default" r:id="rId26"/>
          <w:headerReference w:type="first" r:id="rId27"/>
          <w:footerReference w:type="first" r:id="rId28"/>
          <w:pgSz w:w="11907" w:h="16839"/>
          <w:pgMar w:top="1418" w:right="1418" w:bottom="1418" w:left="1418" w:header="709" w:footer="709" w:gutter="0"/>
          <w:cols w:space="720"/>
        </w:sectPr>
      </w:pPr>
    </w:p>
    <w:p>
      <w:pPr>
        <w:pStyle w:val="ManualHeading1"/>
        <w:spacing w:before="240"/>
        <w:ind w:left="851" w:hanging="851"/>
        <w:rPr>
          <w:noProof/>
        </w:rPr>
      </w:pPr>
      <w:bookmarkStart w:id="8" w:name="_Toc385506031"/>
      <w:bookmarkStart w:id="9" w:name="_Toc432150794"/>
      <w:bookmarkStart w:id="10" w:name="_Toc351469332"/>
      <w:bookmarkStart w:id="11" w:name="_Toc361649879"/>
      <w:r>
        <w:rPr>
          <w:noProof/>
        </w:rPr>
        <w:t>1.</w:t>
      </w:r>
      <w:r>
        <w:rPr>
          <w:noProof/>
        </w:rPr>
        <w:tab/>
        <w:t>Introduction</w:t>
      </w:r>
      <w:bookmarkEnd w:id="8"/>
      <w:bookmarkEnd w:id="9"/>
    </w:p>
    <w:p>
      <w:pPr>
        <w:spacing w:before="120" w:after="120"/>
        <w:jc w:val="both"/>
        <w:rPr>
          <w:noProof/>
        </w:rPr>
      </w:pPr>
      <w:r>
        <w:rPr>
          <w:noProof/>
        </w:rPr>
        <w:t>Draft Amending Budget (DAB) No 8 for the year 2015 concerns the following:</w:t>
      </w:r>
    </w:p>
    <w:p>
      <w:pPr>
        <w:pStyle w:val="ListDash"/>
        <w:rPr>
          <w:noProof/>
        </w:rPr>
      </w:pPr>
      <w:r>
        <w:rPr>
          <w:noProof/>
        </w:rPr>
        <w:t>A revision of the forecast of Traditional Own Resources (customs duties),</w:t>
      </w:r>
    </w:p>
    <w:p>
      <w:pPr>
        <w:pStyle w:val="ListDash"/>
        <w:rPr>
          <w:noProof/>
        </w:rPr>
      </w:pPr>
      <w:r>
        <w:rPr>
          <w:noProof/>
        </w:rPr>
        <w:t>The budgeting of the remainder of the 2014 VAT and GNI own resources balances,</w:t>
      </w:r>
    </w:p>
    <w:p>
      <w:pPr>
        <w:pStyle w:val="ListDash"/>
        <w:rPr>
          <w:noProof/>
        </w:rPr>
      </w:pPr>
      <w:r>
        <w:rPr>
          <w:noProof/>
        </w:rPr>
        <w:t>The budgeting of the 2015 VAT and GNI own resources balances,</w:t>
      </w:r>
    </w:p>
    <w:p>
      <w:pPr>
        <w:pStyle w:val="ListDash"/>
        <w:rPr>
          <w:noProof/>
        </w:rPr>
      </w:pPr>
      <w:r>
        <w:rPr>
          <w:noProof/>
        </w:rPr>
        <w:t>An update of the forecast for other revenue,</w:t>
      </w:r>
    </w:p>
    <w:p>
      <w:pPr>
        <w:pStyle w:val="ListDash"/>
        <w:rPr>
          <w:noProof/>
        </w:rPr>
      </w:pPr>
      <w:r>
        <w:rPr>
          <w:noProof/>
        </w:rPr>
        <w:t>A reduction of EUR 123 474 in both commitment and payment appropriation in the budget of the European Data Protection Supervisor.</w:t>
      </w:r>
    </w:p>
    <w:p>
      <w:pPr>
        <w:pStyle w:val="ListDash"/>
        <w:numPr>
          <w:ilvl w:val="0"/>
          <w:numId w:val="0"/>
        </w:numPr>
        <w:rPr>
          <w:noProof/>
        </w:rPr>
      </w:pPr>
      <w:r>
        <w:rPr>
          <w:noProof/>
        </w:rPr>
        <w:t>The overall impact in terms of revenue, is a decrease in the GNI based contribution of EUR 9.4 billion.</w:t>
      </w:r>
    </w:p>
    <w:p>
      <w:pPr>
        <w:pStyle w:val="ManualHeading1"/>
        <w:spacing w:before="240"/>
        <w:ind w:left="851" w:hanging="851"/>
        <w:rPr>
          <w:noProof/>
        </w:rPr>
      </w:pPr>
      <w:bookmarkStart w:id="12" w:name="_Toc358885558"/>
      <w:bookmarkStart w:id="13" w:name="_Toc399926619"/>
      <w:bookmarkStart w:id="14" w:name="_Toc432150795"/>
      <w:bookmarkStart w:id="15" w:name="_Toc294673190"/>
      <w:bookmarkStart w:id="16" w:name="_Toc326922986"/>
      <w:r>
        <w:rPr>
          <w:noProof/>
        </w:rPr>
        <w:t>2.</w:t>
      </w:r>
      <w:r>
        <w:rPr>
          <w:noProof/>
        </w:rPr>
        <w:tab/>
        <w:t>Own Resources</w:t>
      </w:r>
      <w:bookmarkEnd w:id="12"/>
      <w:bookmarkEnd w:id="13"/>
      <w:bookmarkEnd w:id="14"/>
    </w:p>
    <w:p>
      <w:pPr>
        <w:spacing w:before="120" w:after="120"/>
        <w:jc w:val="both"/>
        <w:rPr>
          <w:noProof/>
        </w:rPr>
      </w:pPr>
      <w:r>
        <w:rPr>
          <w:noProof/>
        </w:rPr>
        <w:t>In accordance with Article 16 of Council Regulation (EC, Euratom) No 1150/2000 of 22 May 2000</w:t>
      </w:r>
      <w:r>
        <w:rPr>
          <w:noProof/>
          <w:vertAlign w:val="superscript"/>
        </w:rPr>
        <w:footnoteReference w:id="11"/>
      </w:r>
      <w:r>
        <w:rPr>
          <w:noProof/>
        </w:rPr>
        <w:t>, the Commission has revised the forecasts for own resources. This refers in particular to traditional own resources and to VAT (value added tax) and GNI (gross national income) balances.</w:t>
      </w:r>
    </w:p>
    <w:p>
      <w:pPr>
        <w:pStyle w:val="ManualHeading2"/>
        <w:rPr>
          <w:noProof/>
        </w:rPr>
      </w:pPr>
      <w:bookmarkStart w:id="17" w:name="_Toc399926620"/>
      <w:bookmarkStart w:id="18" w:name="_Toc432150796"/>
      <w:r>
        <w:rPr>
          <w:noProof/>
        </w:rPr>
        <w:t>2.1.</w:t>
      </w:r>
      <w:r>
        <w:rPr>
          <w:noProof/>
        </w:rPr>
        <w:tab/>
        <w:t>Traditional Own Resources</w:t>
      </w:r>
      <w:bookmarkEnd w:id="17"/>
      <w:bookmarkEnd w:id="18"/>
      <w:r>
        <w:rPr>
          <w:noProof/>
        </w:rPr>
        <w:t xml:space="preserve"> </w:t>
      </w:r>
    </w:p>
    <w:p>
      <w:pPr>
        <w:spacing w:before="120" w:after="120"/>
        <w:jc w:val="both"/>
        <w:rPr>
          <w:noProof/>
        </w:rPr>
      </w:pPr>
      <w:r>
        <w:rPr>
          <w:noProof/>
        </w:rPr>
        <w:t>The Commission proposes to increase Traditional Own Resources (TOR) by EUR 800 million in chapter 12 of revenue to reflect the trend in custom duties made available to the budget up to now. If new data for the last quarter of the year imply significant changes to this estimation, the Commission might revise its figures in the course of the budgetary procedure.</w:t>
      </w:r>
    </w:p>
    <w:p>
      <w:pPr>
        <w:pStyle w:val="ManualHeading2"/>
        <w:rPr>
          <w:noProof/>
        </w:rPr>
      </w:pPr>
      <w:bookmarkStart w:id="19" w:name="_Toc399926621"/>
      <w:bookmarkStart w:id="20" w:name="_Toc432150797"/>
      <w:r>
        <w:rPr>
          <w:noProof/>
        </w:rPr>
        <w:t>2.2.</w:t>
      </w:r>
      <w:r>
        <w:rPr>
          <w:noProof/>
        </w:rPr>
        <w:tab/>
        <w:t>VAT and GNI own resources balances</w:t>
      </w:r>
      <w:bookmarkEnd w:id="19"/>
      <w:bookmarkEnd w:id="20"/>
    </w:p>
    <w:p>
      <w:pPr>
        <w:spacing w:before="120" w:after="120"/>
        <w:rPr>
          <w:i/>
          <w:noProof/>
          <w:lang w:eastAsia="de-DE"/>
        </w:rPr>
      </w:pPr>
      <w:r>
        <w:rPr>
          <w:i/>
          <w:noProof/>
          <w:lang w:eastAsia="de-DE"/>
        </w:rPr>
        <w:t>Remainder of the 2014 VAT and GNI balances</w:t>
      </w:r>
    </w:p>
    <w:p>
      <w:pPr>
        <w:spacing w:before="120" w:after="120"/>
        <w:jc w:val="both"/>
        <w:rPr>
          <w:noProof/>
          <w:lang w:eastAsia="de-DE"/>
        </w:rPr>
      </w:pPr>
      <w:r>
        <w:rPr>
          <w:noProof/>
          <w:lang w:eastAsia="de-DE"/>
        </w:rPr>
        <w:t>In November 2014, the Commission calculated the VAT and GNI balances for the year 2013 and previous years. In principle, these balances should have been entered into the own resources account on the first working day of December 2014. Given the fact that these balances were exceptionally high (9.5 billion EUR) and on the basis of the Commission's proposal, the Council adopted on 18 December 2014 Regulation (EU, Euratom) No 1377/2014</w:t>
      </w:r>
      <w:r>
        <w:rPr>
          <w:rStyle w:val="FootnoteReference"/>
          <w:noProof/>
          <w:lang w:eastAsia="de-DE"/>
        </w:rPr>
        <w:footnoteReference w:id="12"/>
      </w:r>
      <w:r>
        <w:rPr>
          <w:noProof/>
          <w:lang w:eastAsia="de-DE"/>
        </w:rPr>
        <w:t xml:space="preserve"> which allowed retroactively Member States, under certain conditions, to defer making available the amounts of VAT and GNI balances until the first working day of September 2015.</w:t>
      </w:r>
    </w:p>
    <w:p>
      <w:pPr>
        <w:spacing w:before="120" w:after="120"/>
        <w:jc w:val="both"/>
        <w:rPr>
          <w:noProof/>
          <w:lang w:eastAsia="de-DE"/>
        </w:rPr>
      </w:pPr>
      <w:r>
        <w:rPr>
          <w:noProof/>
          <w:lang w:eastAsia="de-DE"/>
        </w:rPr>
        <w:t>Member States wishing to benefit from a deferred making available transmitted before the first working day of December 2014 a formal request with a payment schedule to the Commission. On this basis, 6 Member States deferred their payments until 2015.</w:t>
      </w:r>
    </w:p>
    <w:p>
      <w:pPr>
        <w:spacing w:before="120" w:after="120"/>
        <w:jc w:val="both"/>
        <w:rPr>
          <w:noProof/>
          <w:lang w:eastAsia="de-DE"/>
        </w:rPr>
      </w:pPr>
      <w:r>
        <w:rPr>
          <w:noProof/>
          <w:lang w:eastAsia="de-DE"/>
        </w:rPr>
        <w:t>On 17 December 2014 the European Parliament and Council adopted AB5/2014</w:t>
      </w:r>
      <w:r>
        <w:rPr>
          <w:rStyle w:val="FootnoteReference"/>
          <w:noProof/>
          <w:lang w:eastAsia="de-DE"/>
        </w:rPr>
        <w:footnoteReference w:id="13"/>
      </w:r>
      <w:r>
        <w:rPr>
          <w:noProof/>
          <w:lang w:eastAsia="de-DE"/>
        </w:rPr>
        <w:t>, which integrated the VAT and GNI balances made available in 2014 in the budget 2014 for an amount of about 4 billion EUR.</w:t>
      </w:r>
    </w:p>
    <w:p>
      <w:pPr>
        <w:spacing w:before="120" w:after="120"/>
        <w:jc w:val="both"/>
        <w:rPr>
          <w:noProof/>
          <w:lang w:eastAsia="de-DE"/>
        </w:rPr>
      </w:pPr>
      <w:r>
        <w:rPr>
          <w:noProof/>
          <w:lang w:eastAsia="de-DE"/>
        </w:rPr>
        <w:t>By 1 September 2015, all deferred payments of the VAT and GNI balances were made available. Therefore, the Commission proposes to enter an amount of EUR 5 723,9 million (a negative amount of EUR 211 million for the VAT balances in chapter 31 and a positive amount of EUR 5 934,9 million for the GNI balances in chapter 32).</w:t>
      </w:r>
    </w:p>
    <w:p>
      <w:pPr>
        <w:tabs>
          <w:tab w:val="left" w:pos="993"/>
        </w:tabs>
        <w:spacing w:before="120" w:after="120"/>
        <w:jc w:val="both"/>
        <w:rPr>
          <w:i/>
          <w:noProof/>
          <w:lang w:eastAsia="de-DE"/>
        </w:rPr>
      </w:pPr>
    </w:p>
    <w:p>
      <w:pPr>
        <w:tabs>
          <w:tab w:val="left" w:pos="993"/>
        </w:tabs>
        <w:spacing w:before="120" w:after="120"/>
        <w:jc w:val="both"/>
        <w:rPr>
          <w:i/>
          <w:noProof/>
          <w:lang w:eastAsia="de-DE"/>
        </w:rPr>
      </w:pPr>
      <w:r>
        <w:rPr>
          <w:i/>
          <w:noProof/>
          <w:lang w:eastAsia="de-DE"/>
        </w:rPr>
        <w:t>2015 VAT and GNI balances</w:t>
      </w:r>
    </w:p>
    <w:p>
      <w:pPr>
        <w:spacing w:before="120" w:after="120"/>
        <w:jc w:val="both"/>
        <w:rPr>
          <w:noProof/>
        </w:rPr>
      </w:pPr>
      <w:r>
        <w:rPr>
          <w:noProof/>
        </w:rPr>
        <w:t xml:space="preserve">For the first working day of December 2015, Member States have to make available the </w:t>
      </w:r>
      <w:r>
        <w:rPr>
          <w:noProof/>
          <w:lang w:eastAsia="de-DE"/>
        </w:rPr>
        <w:t xml:space="preserve">VAT and GNI own resources balances for 2014 and earlier years. </w:t>
      </w:r>
      <w:r>
        <w:rPr>
          <w:noProof/>
        </w:rPr>
        <w:t>As far as the VAT and GNI own resources balances of previous years are concerned, and on the basis of the available information, the Commission proposes to enter an amount of EUR 18, 2 million for the VAT balances and of  EUR 1 391,2 million for the GNI balances, having a global impact of EUR 1 409,4 million, which reduces the Member States' GNI contributions accordingly</w:t>
      </w:r>
      <w:r>
        <w:rPr>
          <w:rStyle w:val="FootnoteReference"/>
          <w:noProof/>
        </w:rPr>
        <w:footnoteReference w:id="14"/>
      </w:r>
      <w:r>
        <w:rPr>
          <w:noProof/>
        </w:rPr>
        <w:t>. This positive amount relates to chapters 31</w:t>
      </w:r>
      <w:r>
        <w:rPr>
          <w:noProof/>
          <w:vertAlign w:val="superscript"/>
        </w:rPr>
        <w:footnoteReference w:id="15"/>
      </w:r>
      <w:r>
        <w:rPr>
          <w:noProof/>
        </w:rPr>
        <w:t xml:space="preserve"> and 32</w:t>
      </w:r>
      <w:r>
        <w:rPr>
          <w:noProof/>
          <w:vertAlign w:val="superscript"/>
        </w:rPr>
        <w:footnoteReference w:id="16"/>
      </w:r>
      <w:r>
        <w:rPr>
          <w:noProof/>
        </w:rPr>
        <w:t xml:space="preserve"> of the revenue side of the budget.</w:t>
      </w:r>
    </w:p>
    <w:p>
      <w:pPr>
        <w:spacing w:before="120" w:after="120"/>
        <w:jc w:val="both"/>
        <w:rPr>
          <w:noProof/>
        </w:rPr>
      </w:pPr>
      <w:r>
        <w:rPr>
          <w:noProof/>
        </w:rPr>
        <w:t>At this stage the calculations for Member States' balances are still provisional because of the on-going verification of VAT and GNI data. This may lead the Commission to revise the figures in the course of the procedure for this DAB.</w:t>
      </w:r>
    </w:p>
    <w:p>
      <w:pPr>
        <w:pStyle w:val="ManualHeading2"/>
        <w:rPr>
          <w:noProof/>
        </w:rPr>
      </w:pPr>
      <w:bookmarkStart w:id="21" w:name="_Toc432150798"/>
      <w:r>
        <w:rPr>
          <w:noProof/>
        </w:rPr>
        <w:t>2.3.</w:t>
      </w:r>
      <w:r>
        <w:rPr>
          <w:noProof/>
        </w:rPr>
        <w:tab/>
        <w:t>Other Revenue</w:t>
      </w:r>
      <w:bookmarkEnd w:id="21"/>
    </w:p>
    <w:p>
      <w:pPr>
        <w:autoSpaceDE w:val="0"/>
        <w:autoSpaceDN w:val="0"/>
        <w:adjustRightInd w:val="0"/>
        <w:spacing w:after="120"/>
        <w:rPr>
          <w:noProof/>
        </w:rPr>
      </w:pPr>
      <w:r>
        <w:rPr>
          <w:noProof/>
        </w:rPr>
        <w:t>Taking into account the amounts that at this stage of the year are cashed or will probably be cashed, it is proposed to increase the initial forecasts by a net amount of EUR 1 470 million. The detail by line is shown in the table below.</w:t>
      </w:r>
    </w:p>
    <w:tbl>
      <w:tblPr>
        <w:tblW w:w="9994" w:type="dxa"/>
        <w:tblInd w:w="94" w:type="dxa"/>
        <w:tblLook w:val="04A0" w:firstRow="1" w:lastRow="0" w:firstColumn="1" w:lastColumn="0" w:noHBand="0" w:noVBand="1"/>
      </w:tblPr>
      <w:tblGrid>
        <w:gridCol w:w="5294"/>
        <w:gridCol w:w="1440"/>
        <w:gridCol w:w="1640"/>
        <w:gridCol w:w="1620"/>
      </w:tblGrid>
      <w:tr>
        <w:trPr>
          <w:trHeight w:val="405"/>
        </w:trPr>
        <w:tc>
          <w:tcPr>
            <w:tcW w:w="5294" w:type="dxa"/>
            <w:tcBorders>
              <w:top w:val="single" w:sz="8" w:space="0" w:color="auto"/>
              <w:left w:val="single" w:sz="8" w:space="0" w:color="auto"/>
              <w:bottom w:val="single" w:sz="8" w:space="0" w:color="auto"/>
              <w:right w:val="single" w:sz="8" w:space="0" w:color="auto"/>
            </w:tcBorders>
            <w:shd w:val="clear" w:color="auto" w:fill="E0E0E0"/>
            <w:noWrap/>
            <w:vAlign w:val="center"/>
            <w:hideMark/>
          </w:tcPr>
          <w:p>
            <w:pPr>
              <w:spacing w:before="60" w:after="60"/>
              <w:jc w:val="center"/>
              <w:rPr>
                <w:b/>
                <w:noProof/>
                <w:sz w:val="20"/>
                <w:szCs w:val="20"/>
              </w:rPr>
            </w:pPr>
            <w:r>
              <w:rPr>
                <w:b/>
                <w:noProof/>
              </w:rPr>
              <w:br w:type="page"/>
            </w:r>
            <w:r>
              <w:rPr>
                <w:b/>
                <w:noProof/>
                <w:sz w:val="20"/>
                <w:szCs w:val="20"/>
              </w:rPr>
              <w:t>Revenue lines</w:t>
            </w:r>
          </w:p>
        </w:tc>
        <w:tc>
          <w:tcPr>
            <w:tcW w:w="1440" w:type="dxa"/>
            <w:tcBorders>
              <w:top w:val="single" w:sz="8" w:space="0" w:color="auto"/>
              <w:left w:val="nil"/>
              <w:bottom w:val="single" w:sz="8" w:space="0" w:color="auto"/>
              <w:right w:val="single" w:sz="8" w:space="0" w:color="auto"/>
            </w:tcBorders>
            <w:shd w:val="clear" w:color="auto" w:fill="E0E0E0"/>
            <w:vAlign w:val="center"/>
            <w:hideMark/>
          </w:tcPr>
          <w:p>
            <w:pPr>
              <w:spacing w:before="60" w:after="60"/>
              <w:jc w:val="center"/>
              <w:rPr>
                <w:b/>
                <w:noProof/>
                <w:sz w:val="20"/>
                <w:szCs w:val="20"/>
              </w:rPr>
            </w:pPr>
            <w:r>
              <w:rPr>
                <w:b/>
                <w:noProof/>
                <w:sz w:val="20"/>
                <w:szCs w:val="20"/>
              </w:rPr>
              <w:t>Budget 2015</w:t>
            </w:r>
          </w:p>
        </w:tc>
        <w:tc>
          <w:tcPr>
            <w:tcW w:w="1640" w:type="dxa"/>
            <w:tcBorders>
              <w:top w:val="single" w:sz="8" w:space="0" w:color="auto"/>
              <w:left w:val="nil"/>
              <w:bottom w:val="single" w:sz="8" w:space="0" w:color="auto"/>
              <w:right w:val="single" w:sz="8" w:space="0" w:color="auto"/>
            </w:tcBorders>
            <w:shd w:val="clear" w:color="auto" w:fill="E0E0E0"/>
            <w:vAlign w:val="center"/>
            <w:hideMark/>
          </w:tcPr>
          <w:p>
            <w:pPr>
              <w:spacing w:before="60" w:after="60"/>
              <w:jc w:val="center"/>
              <w:rPr>
                <w:b/>
                <w:noProof/>
                <w:sz w:val="20"/>
                <w:szCs w:val="20"/>
              </w:rPr>
            </w:pPr>
            <w:r>
              <w:rPr>
                <w:b/>
                <w:noProof/>
                <w:sz w:val="20"/>
                <w:szCs w:val="20"/>
              </w:rPr>
              <w:t>DAB 8/2015</w:t>
            </w:r>
          </w:p>
        </w:tc>
        <w:tc>
          <w:tcPr>
            <w:tcW w:w="1620" w:type="dxa"/>
            <w:tcBorders>
              <w:top w:val="single" w:sz="8" w:space="0" w:color="auto"/>
              <w:left w:val="nil"/>
              <w:bottom w:val="single" w:sz="8" w:space="0" w:color="auto"/>
              <w:right w:val="single" w:sz="8" w:space="0" w:color="auto"/>
            </w:tcBorders>
            <w:shd w:val="clear" w:color="auto" w:fill="E0E0E0"/>
            <w:vAlign w:val="center"/>
            <w:hideMark/>
          </w:tcPr>
          <w:p>
            <w:pPr>
              <w:spacing w:before="60" w:after="60"/>
              <w:jc w:val="center"/>
              <w:rPr>
                <w:b/>
                <w:noProof/>
                <w:sz w:val="20"/>
                <w:szCs w:val="20"/>
              </w:rPr>
            </w:pPr>
            <w:r>
              <w:rPr>
                <w:b/>
                <w:noProof/>
                <w:sz w:val="20"/>
                <w:szCs w:val="20"/>
              </w:rPr>
              <w:t>New amount</w:t>
            </w:r>
          </w:p>
        </w:tc>
      </w:tr>
      <w:tr>
        <w:trPr>
          <w:trHeight w:val="20"/>
        </w:trPr>
        <w:tc>
          <w:tcPr>
            <w:tcW w:w="5294" w:type="dxa"/>
            <w:tcBorders>
              <w:top w:val="nil"/>
              <w:left w:val="single" w:sz="8" w:space="0" w:color="auto"/>
              <w:bottom w:val="single" w:sz="8" w:space="0" w:color="auto"/>
              <w:right w:val="single" w:sz="8" w:space="0" w:color="auto"/>
            </w:tcBorders>
            <w:noWrap/>
            <w:vAlign w:val="center"/>
          </w:tcPr>
          <w:p>
            <w:pPr>
              <w:spacing w:before="60" w:after="60"/>
              <w:jc w:val="both"/>
              <w:rPr>
                <w:noProof/>
                <w:sz w:val="20"/>
                <w:szCs w:val="20"/>
              </w:rPr>
            </w:pPr>
            <w:r>
              <w:rPr>
                <w:noProof/>
                <w:sz w:val="20"/>
                <w:szCs w:val="20"/>
              </w:rPr>
              <w:t>5 2 1  — Revenue from investments or loans granted, bank and other interest on the accounts of organisations receiving subsidies transferred to the Commission</w:t>
            </w:r>
          </w:p>
        </w:tc>
        <w:tc>
          <w:tcPr>
            <w:tcW w:w="1440" w:type="dxa"/>
            <w:tcBorders>
              <w:top w:val="nil"/>
              <w:left w:val="nil"/>
              <w:bottom w:val="single" w:sz="8" w:space="0" w:color="auto"/>
              <w:right w:val="single" w:sz="8" w:space="0" w:color="auto"/>
            </w:tcBorders>
          </w:tcPr>
          <w:p>
            <w:pPr>
              <w:spacing w:before="60" w:after="60"/>
              <w:jc w:val="right"/>
              <w:rPr>
                <w:noProof/>
                <w:sz w:val="20"/>
                <w:szCs w:val="20"/>
              </w:rPr>
            </w:pPr>
            <w:r>
              <w:rPr>
                <w:noProof/>
                <w:sz w:val="20"/>
                <w:szCs w:val="20"/>
              </w:rPr>
              <w:t>10 000 000</w:t>
            </w:r>
          </w:p>
        </w:tc>
        <w:tc>
          <w:tcPr>
            <w:tcW w:w="1640" w:type="dxa"/>
            <w:tcBorders>
              <w:top w:val="nil"/>
              <w:left w:val="nil"/>
              <w:bottom w:val="single" w:sz="8" w:space="0" w:color="auto"/>
              <w:right w:val="single" w:sz="8" w:space="0" w:color="auto"/>
            </w:tcBorders>
          </w:tcPr>
          <w:p>
            <w:pPr>
              <w:spacing w:before="60" w:after="60"/>
              <w:jc w:val="right"/>
              <w:rPr>
                <w:noProof/>
                <w:sz w:val="20"/>
                <w:szCs w:val="20"/>
              </w:rPr>
            </w:pPr>
            <w:r>
              <w:rPr>
                <w:noProof/>
                <w:sz w:val="20"/>
                <w:szCs w:val="20"/>
              </w:rPr>
              <w:t>40 000 000</w:t>
            </w:r>
          </w:p>
        </w:tc>
        <w:tc>
          <w:tcPr>
            <w:tcW w:w="1620" w:type="dxa"/>
            <w:tcBorders>
              <w:top w:val="nil"/>
              <w:left w:val="nil"/>
              <w:bottom w:val="single" w:sz="8" w:space="0" w:color="auto"/>
              <w:right w:val="single" w:sz="8" w:space="0" w:color="auto"/>
            </w:tcBorders>
          </w:tcPr>
          <w:p>
            <w:pPr>
              <w:spacing w:before="60" w:after="60"/>
              <w:jc w:val="right"/>
              <w:rPr>
                <w:noProof/>
                <w:sz w:val="20"/>
                <w:szCs w:val="20"/>
              </w:rPr>
            </w:pPr>
            <w:r>
              <w:rPr>
                <w:noProof/>
                <w:sz w:val="20"/>
                <w:szCs w:val="20"/>
              </w:rPr>
              <w:t>50 000 000</w:t>
            </w:r>
          </w:p>
          <w:p>
            <w:pPr>
              <w:spacing w:before="60" w:after="60"/>
              <w:jc w:val="right"/>
              <w:rPr>
                <w:noProof/>
                <w:sz w:val="20"/>
                <w:szCs w:val="20"/>
              </w:rPr>
            </w:pPr>
          </w:p>
        </w:tc>
      </w:tr>
      <w:tr>
        <w:trPr>
          <w:trHeight w:val="20"/>
        </w:trPr>
        <w:tc>
          <w:tcPr>
            <w:tcW w:w="5294" w:type="dxa"/>
            <w:tcBorders>
              <w:top w:val="nil"/>
              <w:left w:val="single" w:sz="8" w:space="0" w:color="auto"/>
              <w:bottom w:val="single" w:sz="8" w:space="0" w:color="auto"/>
              <w:right w:val="single" w:sz="8" w:space="0" w:color="auto"/>
            </w:tcBorders>
            <w:noWrap/>
            <w:vAlign w:val="center"/>
            <w:hideMark/>
          </w:tcPr>
          <w:p>
            <w:pPr>
              <w:spacing w:before="60" w:after="60"/>
              <w:jc w:val="both"/>
              <w:rPr>
                <w:noProof/>
                <w:sz w:val="20"/>
                <w:szCs w:val="20"/>
              </w:rPr>
            </w:pPr>
            <w:r>
              <w:rPr>
                <w:noProof/>
                <w:sz w:val="20"/>
                <w:szCs w:val="20"/>
              </w:rPr>
              <w:t>7 0 0 0 — Interest due on late payments into the accounts held with the treasuries of the Member States</w:t>
            </w:r>
          </w:p>
        </w:tc>
        <w:tc>
          <w:tcPr>
            <w:tcW w:w="1440" w:type="dxa"/>
            <w:tcBorders>
              <w:top w:val="nil"/>
              <w:left w:val="nil"/>
              <w:bottom w:val="single" w:sz="8" w:space="0" w:color="auto"/>
              <w:right w:val="single" w:sz="8" w:space="0" w:color="auto"/>
            </w:tcBorders>
            <w:hideMark/>
          </w:tcPr>
          <w:p>
            <w:pPr>
              <w:spacing w:before="60" w:after="60"/>
              <w:jc w:val="right"/>
              <w:rPr>
                <w:noProof/>
                <w:sz w:val="20"/>
                <w:szCs w:val="20"/>
              </w:rPr>
            </w:pPr>
            <w:r>
              <w:rPr>
                <w:noProof/>
                <w:sz w:val="20"/>
                <w:szCs w:val="20"/>
              </w:rPr>
              <w:t xml:space="preserve">5 000 000 </w:t>
            </w:r>
          </w:p>
        </w:tc>
        <w:tc>
          <w:tcPr>
            <w:tcW w:w="1640" w:type="dxa"/>
            <w:tcBorders>
              <w:top w:val="nil"/>
              <w:left w:val="nil"/>
              <w:bottom w:val="single" w:sz="8" w:space="0" w:color="auto"/>
              <w:right w:val="single" w:sz="8" w:space="0" w:color="auto"/>
            </w:tcBorders>
          </w:tcPr>
          <w:p>
            <w:pPr>
              <w:spacing w:before="60" w:after="60"/>
              <w:jc w:val="right"/>
              <w:rPr>
                <w:noProof/>
                <w:sz w:val="20"/>
                <w:szCs w:val="20"/>
              </w:rPr>
            </w:pPr>
            <w:r>
              <w:rPr>
                <w:noProof/>
                <w:sz w:val="20"/>
                <w:szCs w:val="20"/>
              </w:rPr>
              <w:t>5 000 000</w:t>
            </w:r>
          </w:p>
        </w:tc>
        <w:tc>
          <w:tcPr>
            <w:tcW w:w="1620" w:type="dxa"/>
            <w:tcBorders>
              <w:top w:val="nil"/>
              <w:left w:val="nil"/>
              <w:bottom w:val="single" w:sz="8" w:space="0" w:color="auto"/>
              <w:right w:val="single" w:sz="8" w:space="0" w:color="auto"/>
            </w:tcBorders>
          </w:tcPr>
          <w:p>
            <w:pPr>
              <w:spacing w:before="60" w:after="60"/>
              <w:jc w:val="right"/>
              <w:rPr>
                <w:noProof/>
                <w:sz w:val="20"/>
                <w:szCs w:val="20"/>
              </w:rPr>
            </w:pPr>
            <w:r>
              <w:rPr>
                <w:noProof/>
                <w:sz w:val="20"/>
                <w:szCs w:val="20"/>
              </w:rPr>
              <w:t>10 000 000</w:t>
            </w:r>
          </w:p>
        </w:tc>
      </w:tr>
      <w:tr>
        <w:trPr>
          <w:trHeight w:val="20"/>
        </w:trPr>
        <w:tc>
          <w:tcPr>
            <w:tcW w:w="5294" w:type="dxa"/>
            <w:tcBorders>
              <w:top w:val="nil"/>
              <w:left w:val="single" w:sz="8" w:space="0" w:color="auto"/>
              <w:bottom w:val="single" w:sz="8" w:space="0" w:color="auto"/>
              <w:right w:val="single" w:sz="8" w:space="0" w:color="auto"/>
            </w:tcBorders>
            <w:vAlign w:val="center"/>
            <w:hideMark/>
          </w:tcPr>
          <w:p>
            <w:pPr>
              <w:spacing w:before="60" w:after="60"/>
              <w:jc w:val="both"/>
              <w:rPr>
                <w:noProof/>
                <w:sz w:val="20"/>
                <w:szCs w:val="20"/>
              </w:rPr>
            </w:pPr>
            <w:r>
              <w:rPr>
                <w:noProof/>
                <w:sz w:val="20"/>
                <w:szCs w:val="20"/>
              </w:rPr>
              <w:t>7 0 1 — Interest on late payments and other interest on fines</w:t>
            </w:r>
          </w:p>
        </w:tc>
        <w:tc>
          <w:tcPr>
            <w:tcW w:w="1440" w:type="dxa"/>
            <w:tcBorders>
              <w:top w:val="nil"/>
              <w:left w:val="nil"/>
              <w:bottom w:val="single" w:sz="8" w:space="0" w:color="auto"/>
              <w:right w:val="single" w:sz="8" w:space="0" w:color="auto"/>
            </w:tcBorders>
            <w:hideMark/>
          </w:tcPr>
          <w:p>
            <w:pPr>
              <w:spacing w:before="60" w:after="60"/>
              <w:jc w:val="right"/>
              <w:rPr>
                <w:noProof/>
                <w:sz w:val="20"/>
                <w:szCs w:val="20"/>
              </w:rPr>
            </w:pPr>
            <w:r>
              <w:rPr>
                <w:noProof/>
                <w:sz w:val="20"/>
                <w:szCs w:val="20"/>
              </w:rPr>
              <w:t xml:space="preserve">15 000 000 </w:t>
            </w:r>
          </w:p>
        </w:tc>
        <w:tc>
          <w:tcPr>
            <w:tcW w:w="1640" w:type="dxa"/>
            <w:tcBorders>
              <w:top w:val="nil"/>
              <w:left w:val="nil"/>
              <w:bottom w:val="single" w:sz="8" w:space="0" w:color="auto"/>
              <w:right w:val="single" w:sz="8" w:space="0" w:color="auto"/>
            </w:tcBorders>
          </w:tcPr>
          <w:p>
            <w:pPr>
              <w:spacing w:before="60" w:after="60"/>
              <w:jc w:val="right"/>
              <w:rPr>
                <w:noProof/>
                <w:sz w:val="20"/>
                <w:szCs w:val="20"/>
              </w:rPr>
            </w:pPr>
            <w:r>
              <w:rPr>
                <w:noProof/>
                <w:sz w:val="20"/>
                <w:szCs w:val="20"/>
              </w:rPr>
              <w:t>30 000 000</w:t>
            </w:r>
          </w:p>
        </w:tc>
        <w:tc>
          <w:tcPr>
            <w:tcW w:w="1620" w:type="dxa"/>
            <w:tcBorders>
              <w:top w:val="nil"/>
              <w:left w:val="nil"/>
              <w:bottom w:val="single" w:sz="8" w:space="0" w:color="auto"/>
              <w:right w:val="single" w:sz="8" w:space="0" w:color="auto"/>
            </w:tcBorders>
          </w:tcPr>
          <w:p>
            <w:pPr>
              <w:spacing w:before="60" w:after="60"/>
              <w:jc w:val="right"/>
              <w:rPr>
                <w:noProof/>
                <w:sz w:val="20"/>
                <w:szCs w:val="20"/>
              </w:rPr>
            </w:pPr>
            <w:r>
              <w:rPr>
                <w:noProof/>
                <w:sz w:val="20"/>
                <w:szCs w:val="20"/>
              </w:rPr>
              <w:t>45 000 000</w:t>
            </w:r>
          </w:p>
        </w:tc>
      </w:tr>
      <w:tr>
        <w:trPr>
          <w:trHeight w:val="20"/>
        </w:trPr>
        <w:tc>
          <w:tcPr>
            <w:tcW w:w="5294" w:type="dxa"/>
            <w:tcBorders>
              <w:top w:val="nil"/>
              <w:left w:val="single" w:sz="8" w:space="0" w:color="auto"/>
              <w:bottom w:val="single" w:sz="8" w:space="0" w:color="auto"/>
              <w:right w:val="single" w:sz="8" w:space="0" w:color="auto"/>
            </w:tcBorders>
            <w:vAlign w:val="center"/>
            <w:hideMark/>
          </w:tcPr>
          <w:p>
            <w:pPr>
              <w:spacing w:before="60" w:after="60"/>
              <w:jc w:val="both"/>
              <w:rPr>
                <w:noProof/>
                <w:sz w:val="20"/>
                <w:szCs w:val="20"/>
              </w:rPr>
            </w:pPr>
            <w:r>
              <w:rPr>
                <w:noProof/>
                <w:sz w:val="20"/>
                <w:szCs w:val="20"/>
              </w:rPr>
              <w:t>7 1 0 — Fines, periodic penalty payments and other penalties</w:t>
            </w:r>
          </w:p>
        </w:tc>
        <w:tc>
          <w:tcPr>
            <w:tcW w:w="1440" w:type="dxa"/>
            <w:tcBorders>
              <w:top w:val="nil"/>
              <w:left w:val="nil"/>
              <w:bottom w:val="single" w:sz="8" w:space="0" w:color="auto"/>
              <w:right w:val="single" w:sz="8" w:space="0" w:color="auto"/>
            </w:tcBorders>
            <w:hideMark/>
          </w:tcPr>
          <w:p>
            <w:pPr>
              <w:spacing w:before="60" w:after="60"/>
              <w:jc w:val="right"/>
              <w:rPr>
                <w:noProof/>
                <w:sz w:val="20"/>
                <w:szCs w:val="20"/>
              </w:rPr>
            </w:pPr>
            <w:r>
              <w:rPr>
                <w:noProof/>
                <w:sz w:val="20"/>
                <w:szCs w:val="20"/>
              </w:rPr>
              <w:t xml:space="preserve">100 000 000 </w:t>
            </w:r>
          </w:p>
        </w:tc>
        <w:tc>
          <w:tcPr>
            <w:tcW w:w="1640" w:type="dxa"/>
            <w:tcBorders>
              <w:top w:val="nil"/>
              <w:left w:val="nil"/>
              <w:bottom w:val="single" w:sz="8" w:space="0" w:color="auto"/>
              <w:right w:val="single" w:sz="8" w:space="0" w:color="auto"/>
            </w:tcBorders>
          </w:tcPr>
          <w:p>
            <w:pPr>
              <w:spacing w:before="60" w:after="60"/>
              <w:jc w:val="right"/>
              <w:rPr>
                <w:noProof/>
                <w:sz w:val="20"/>
                <w:szCs w:val="20"/>
              </w:rPr>
            </w:pPr>
            <w:r>
              <w:rPr>
                <w:noProof/>
                <w:sz w:val="20"/>
                <w:szCs w:val="20"/>
              </w:rPr>
              <w:t>1 315 000 000</w:t>
            </w:r>
          </w:p>
        </w:tc>
        <w:tc>
          <w:tcPr>
            <w:tcW w:w="1620" w:type="dxa"/>
            <w:tcBorders>
              <w:top w:val="nil"/>
              <w:left w:val="nil"/>
              <w:bottom w:val="single" w:sz="8" w:space="0" w:color="auto"/>
              <w:right w:val="single" w:sz="8" w:space="0" w:color="auto"/>
            </w:tcBorders>
          </w:tcPr>
          <w:p>
            <w:pPr>
              <w:spacing w:before="60" w:after="60"/>
              <w:jc w:val="right"/>
              <w:rPr>
                <w:noProof/>
                <w:sz w:val="20"/>
                <w:szCs w:val="20"/>
              </w:rPr>
            </w:pPr>
            <w:r>
              <w:rPr>
                <w:noProof/>
                <w:sz w:val="20"/>
                <w:szCs w:val="20"/>
              </w:rPr>
              <w:t>1 415 000 000</w:t>
            </w:r>
          </w:p>
        </w:tc>
      </w:tr>
      <w:tr>
        <w:trPr>
          <w:trHeight w:val="20"/>
        </w:trPr>
        <w:tc>
          <w:tcPr>
            <w:tcW w:w="5294" w:type="dxa"/>
            <w:tcBorders>
              <w:top w:val="nil"/>
              <w:left w:val="single" w:sz="8" w:space="0" w:color="auto"/>
              <w:bottom w:val="single" w:sz="8" w:space="0" w:color="auto"/>
              <w:right w:val="single" w:sz="8" w:space="0" w:color="auto"/>
            </w:tcBorders>
            <w:vAlign w:val="center"/>
          </w:tcPr>
          <w:p>
            <w:pPr>
              <w:spacing w:before="60" w:after="60"/>
              <w:jc w:val="both"/>
              <w:rPr>
                <w:noProof/>
                <w:sz w:val="20"/>
                <w:szCs w:val="20"/>
              </w:rPr>
            </w:pPr>
            <w:r>
              <w:rPr>
                <w:noProof/>
                <w:sz w:val="20"/>
                <w:szCs w:val="20"/>
              </w:rPr>
              <w:t>7 1 2 — Penalty payments and lump sums imposed on a Member State for not complying with a judgment of the Court of Justice of the European Union on its failure to fulfil an obligation under the Treaty</w:t>
            </w:r>
          </w:p>
        </w:tc>
        <w:tc>
          <w:tcPr>
            <w:tcW w:w="1440" w:type="dxa"/>
            <w:tcBorders>
              <w:top w:val="nil"/>
              <w:left w:val="nil"/>
              <w:bottom w:val="single" w:sz="8" w:space="0" w:color="auto"/>
              <w:right w:val="single" w:sz="8" w:space="0" w:color="auto"/>
            </w:tcBorders>
          </w:tcPr>
          <w:p>
            <w:pPr>
              <w:spacing w:before="60" w:after="60"/>
              <w:jc w:val="right"/>
              <w:rPr>
                <w:noProof/>
                <w:sz w:val="20"/>
                <w:szCs w:val="20"/>
              </w:rPr>
            </w:pPr>
            <w:r>
              <w:rPr>
                <w:noProof/>
                <w:sz w:val="20"/>
                <w:szCs w:val="20"/>
              </w:rPr>
              <w:t>p.m.</w:t>
            </w:r>
          </w:p>
        </w:tc>
        <w:tc>
          <w:tcPr>
            <w:tcW w:w="1640" w:type="dxa"/>
            <w:tcBorders>
              <w:top w:val="nil"/>
              <w:left w:val="nil"/>
              <w:bottom w:val="single" w:sz="8" w:space="0" w:color="auto"/>
              <w:right w:val="single" w:sz="8" w:space="0" w:color="auto"/>
            </w:tcBorders>
          </w:tcPr>
          <w:p>
            <w:pPr>
              <w:spacing w:before="60" w:after="60"/>
              <w:jc w:val="right"/>
              <w:rPr>
                <w:noProof/>
                <w:sz w:val="20"/>
                <w:szCs w:val="20"/>
              </w:rPr>
            </w:pPr>
            <w:r>
              <w:rPr>
                <w:noProof/>
                <w:sz w:val="20"/>
                <w:szCs w:val="20"/>
              </w:rPr>
              <w:t xml:space="preserve">50 000 000 </w:t>
            </w:r>
          </w:p>
        </w:tc>
        <w:tc>
          <w:tcPr>
            <w:tcW w:w="1620" w:type="dxa"/>
            <w:tcBorders>
              <w:top w:val="nil"/>
              <w:left w:val="nil"/>
              <w:bottom w:val="single" w:sz="8" w:space="0" w:color="auto"/>
              <w:right w:val="single" w:sz="8" w:space="0" w:color="auto"/>
            </w:tcBorders>
          </w:tcPr>
          <w:p>
            <w:pPr>
              <w:spacing w:before="60" w:after="60"/>
              <w:jc w:val="right"/>
              <w:rPr>
                <w:noProof/>
                <w:sz w:val="20"/>
                <w:szCs w:val="20"/>
              </w:rPr>
            </w:pPr>
            <w:r>
              <w:rPr>
                <w:noProof/>
                <w:sz w:val="20"/>
                <w:szCs w:val="20"/>
              </w:rPr>
              <w:t>50 000 000</w:t>
            </w:r>
          </w:p>
        </w:tc>
      </w:tr>
      <w:tr>
        <w:trPr>
          <w:trHeight w:val="20"/>
        </w:trPr>
        <w:tc>
          <w:tcPr>
            <w:tcW w:w="5294" w:type="dxa"/>
            <w:tcBorders>
              <w:top w:val="nil"/>
              <w:left w:val="single" w:sz="8" w:space="0" w:color="auto"/>
              <w:bottom w:val="single" w:sz="8" w:space="0" w:color="auto"/>
              <w:right w:val="single" w:sz="8" w:space="0" w:color="auto"/>
            </w:tcBorders>
            <w:vAlign w:val="center"/>
          </w:tcPr>
          <w:p>
            <w:pPr>
              <w:spacing w:before="60" w:after="60"/>
              <w:jc w:val="both"/>
              <w:rPr>
                <w:noProof/>
                <w:sz w:val="20"/>
                <w:szCs w:val="20"/>
              </w:rPr>
            </w:pPr>
            <w:r>
              <w:rPr>
                <w:noProof/>
                <w:sz w:val="20"/>
                <w:szCs w:val="20"/>
              </w:rPr>
              <w:t>8 1 0 — Capital repayments and interest in respect of special loans and risk capital granted in the framework of financial cooperation with Mediterranean third countries</w:t>
            </w:r>
          </w:p>
        </w:tc>
        <w:tc>
          <w:tcPr>
            <w:tcW w:w="1440" w:type="dxa"/>
            <w:tcBorders>
              <w:top w:val="nil"/>
              <w:left w:val="nil"/>
              <w:bottom w:val="single" w:sz="8" w:space="0" w:color="auto"/>
              <w:right w:val="single" w:sz="8" w:space="0" w:color="auto"/>
            </w:tcBorders>
          </w:tcPr>
          <w:p>
            <w:pPr>
              <w:spacing w:before="60" w:after="60"/>
              <w:jc w:val="right"/>
              <w:rPr>
                <w:noProof/>
                <w:sz w:val="20"/>
                <w:szCs w:val="20"/>
              </w:rPr>
            </w:pPr>
            <w:r>
              <w:rPr>
                <w:noProof/>
                <w:sz w:val="20"/>
                <w:szCs w:val="20"/>
              </w:rPr>
              <w:t>p.m.</w:t>
            </w:r>
          </w:p>
        </w:tc>
        <w:tc>
          <w:tcPr>
            <w:tcW w:w="1640" w:type="dxa"/>
            <w:tcBorders>
              <w:top w:val="nil"/>
              <w:left w:val="nil"/>
              <w:bottom w:val="single" w:sz="8" w:space="0" w:color="auto"/>
              <w:right w:val="single" w:sz="8" w:space="0" w:color="auto"/>
            </w:tcBorders>
          </w:tcPr>
          <w:p>
            <w:pPr>
              <w:spacing w:before="60" w:after="60"/>
              <w:jc w:val="right"/>
              <w:rPr>
                <w:noProof/>
                <w:sz w:val="20"/>
                <w:szCs w:val="20"/>
              </w:rPr>
            </w:pPr>
            <w:r>
              <w:rPr>
                <w:noProof/>
                <w:sz w:val="20"/>
                <w:szCs w:val="20"/>
              </w:rPr>
              <w:t>30 000 000</w:t>
            </w:r>
          </w:p>
        </w:tc>
        <w:tc>
          <w:tcPr>
            <w:tcW w:w="1620" w:type="dxa"/>
            <w:tcBorders>
              <w:top w:val="nil"/>
              <w:left w:val="nil"/>
              <w:bottom w:val="single" w:sz="8" w:space="0" w:color="auto"/>
              <w:right w:val="single" w:sz="8" w:space="0" w:color="auto"/>
            </w:tcBorders>
          </w:tcPr>
          <w:p>
            <w:pPr>
              <w:spacing w:before="60" w:after="60"/>
              <w:jc w:val="right"/>
              <w:rPr>
                <w:noProof/>
                <w:sz w:val="20"/>
                <w:szCs w:val="20"/>
              </w:rPr>
            </w:pPr>
            <w:r>
              <w:rPr>
                <w:noProof/>
                <w:sz w:val="20"/>
                <w:szCs w:val="20"/>
              </w:rPr>
              <w:t>30 000 000</w:t>
            </w:r>
          </w:p>
        </w:tc>
      </w:tr>
      <w:tr>
        <w:trPr>
          <w:trHeight w:val="20"/>
        </w:trPr>
        <w:tc>
          <w:tcPr>
            <w:tcW w:w="5294" w:type="dxa"/>
            <w:tcBorders>
              <w:top w:val="single" w:sz="8" w:space="0" w:color="auto"/>
              <w:left w:val="single" w:sz="8" w:space="0" w:color="auto"/>
              <w:bottom w:val="single" w:sz="8" w:space="0" w:color="auto"/>
              <w:right w:val="nil"/>
            </w:tcBorders>
            <w:noWrap/>
            <w:vAlign w:val="center"/>
            <w:hideMark/>
          </w:tcPr>
          <w:p>
            <w:pPr>
              <w:spacing w:before="60" w:after="60"/>
              <w:jc w:val="right"/>
              <w:rPr>
                <w:b/>
                <w:bCs/>
                <w:noProof/>
              </w:rPr>
            </w:pPr>
            <w:r>
              <w:rPr>
                <w:b/>
                <w:bCs/>
                <w:noProof/>
              </w:rPr>
              <w:t>Total</w:t>
            </w:r>
          </w:p>
        </w:tc>
        <w:tc>
          <w:tcPr>
            <w:tcW w:w="1440" w:type="dxa"/>
            <w:tcBorders>
              <w:top w:val="single" w:sz="8" w:space="0" w:color="auto"/>
              <w:left w:val="single" w:sz="8" w:space="0" w:color="auto"/>
              <w:bottom w:val="single" w:sz="8" w:space="0" w:color="auto"/>
              <w:right w:val="single" w:sz="8" w:space="0" w:color="auto"/>
            </w:tcBorders>
            <w:noWrap/>
            <w:hideMark/>
          </w:tcPr>
          <w:p>
            <w:pPr>
              <w:spacing w:before="60" w:after="60"/>
              <w:jc w:val="right"/>
              <w:rPr>
                <w:noProof/>
                <w:sz w:val="20"/>
                <w:szCs w:val="20"/>
              </w:rPr>
            </w:pPr>
            <w:r>
              <w:rPr>
                <w:noProof/>
                <w:sz w:val="20"/>
                <w:szCs w:val="20"/>
              </w:rPr>
              <w:t>130 000 000</w:t>
            </w:r>
          </w:p>
        </w:tc>
        <w:tc>
          <w:tcPr>
            <w:tcW w:w="1640" w:type="dxa"/>
            <w:tcBorders>
              <w:top w:val="single" w:sz="8" w:space="0" w:color="auto"/>
              <w:left w:val="nil"/>
              <w:bottom w:val="single" w:sz="8" w:space="0" w:color="auto"/>
              <w:right w:val="single" w:sz="8" w:space="0" w:color="auto"/>
            </w:tcBorders>
            <w:noWrap/>
          </w:tcPr>
          <w:p>
            <w:pPr>
              <w:spacing w:before="60" w:after="60"/>
              <w:jc w:val="right"/>
              <w:rPr>
                <w:noProof/>
                <w:sz w:val="20"/>
                <w:szCs w:val="20"/>
              </w:rPr>
            </w:pPr>
            <w:r>
              <w:rPr>
                <w:noProof/>
                <w:sz w:val="20"/>
                <w:szCs w:val="20"/>
              </w:rPr>
              <w:t>1 470 000 000</w:t>
            </w:r>
          </w:p>
        </w:tc>
        <w:tc>
          <w:tcPr>
            <w:tcW w:w="1620" w:type="dxa"/>
            <w:tcBorders>
              <w:top w:val="single" w:sz="8" w:space="0" w:color="auto"/>
              <w:left w:val="nil"/>
              <w:bottom w:val="single" w:sz="8" w:space="0" w:color="auto"/>
              <w:right w:val="single" w:sz="8" w:space="0" w:color="auto"/>
            </w:tcBorders>
            <w:noWrap/>
          </w:tcPr>
          <w:p>
            <w:pPr>
              <w:spacing w:before="60" w:after="60"/>
              <w:jc w:val="right"/>
              <w:rPr>
                <w:noProof/>
                <w:sz w:val="20"/>
                <w:szCs w:val="20"/>
              </w:rPr>
            </w:pPr>
            <w:r>
              <w:rPr>
                <w:noProof/>
                <w:sz w:val="20"/>
                <w:szCs w:val="20"/>
              </w:rPr>
              <w:t>1 600 000 000</w:t>
            </w:r>
          </w:p>
        </w:tc>
      </w:tr>
    </w:tbl>
    <w:p>
      <w:pPr>
        <w:rPr>
          <w:noProof/>
          <w:lang w:eastAsia="de-DE"/>
        </w:rPr>
      </w:pPr>
      <w:bookmarkStart w:id="22" w:name="_Toc399926622"/>
      <w:r>
        <w:rPr>
          <w:noProof/>
        </w:rPr>
        <w:br w:type="page"/>
      </w:r>
    </w:p>
    <w:p>
      <w:pPr>
        <w:pStyle w:val="ManualHeading2"/>
        <w:rPr>
          <w:noProof/>
        </w:rPr>
      </w:pPr>
      <w:bookmarkStart w:id="23" w:name="_Toc432150799"/>
      <w:r>
        <w:rPr>
          <w:noProof/>
        </w:rPr>
        <w:t>2.4.</w:t>
      </w:r>
      <w:r>
        <w:rPr>
          <w:noProof/>
        </w:rPr>
        <w:tab/>
        <w:t>GNI own resources contributions</w:t>
      </w:r>
      <w:bookmarkEnd w:id="22"/>
      <w:bookmarkEnd w:id="23"/>
    </w:p>
    <w:p>
      <w:pPr>
        <w:spacing w:before="120" w:after="120"/>
        <w:jc w:val="both"/>
        <w:rPr>
          <w:noProof/>
        </w:rPr>
      </w:pPr>
      <w:r>
        <w:rPr>
          <w:noProof/>
        </w:rPr>
        <w:t>Taking into account the revised forecasts for traditional own resources, VAT and GNI balances, the increased other revenue, as set out above, and the decreased payment appropriations for the European Data Protection Supervisor, the resulting overall impact on Member States' GNI contributions of this DAB 8/2015 is a decrease of EUR 9 403,4 million.</w:t>
      </w:r>
    </w:p>
    <w:tbl>
      <w:tblPr>
        <w:tblW w:w="6046" w:type="dxa"/>
        <w:jc w:val="center"/>
        <w:tblInd w:w="93" w:type="dxa"/>
        <w:tblLayout w:type="fixed"/>
        <w:tblLook w:val="04A0" w:firstRow="1" w:lastRow="0" w:firstColumn="1" w:lastColumn="0" w:noHBand="0" w:noVBand="1"/>
      </w:tblPr>
      <w:tblGrid>
        <w:gridCol w:w="1726"/>
        <w:gridCol w:w="1440"/>
        <w:gridCol w:w="1440"/>
        <w:gridCol w:w="1440"/>
      </w:tblGrid>
      <w:tr>
        <w:trPr>
          <w:trHeight w:val="450"/>
          <w:jc w:val="center"/>
        </w:trPr>
        <w:tc>
          <w:tcPr>
            <w:tcW w:w="1726" w:type="dxa"/>
            <w:tcBorders>
              <w:top w:val="single" w:sz="8" w:space="0" w:color="auto"/>
              <w:left w:val="single" w:sz="8" w:space="0" w:color="auto"/>
              <w:bottom w:val="single" w:sz="8" w:space="0" w:color="auto"/>
              <w:right w:val="single" w:sz="8" w:space="0" w:color="auto"/>
            </w:tcBorders>
            <w:shd w:val="clear" w:color="auto" w:fill="auto"/>
            <w:vAlign w:val="center"/>
            <w:hideMark/>
          </w:tcPr>
          <w:p>
            <w:pPr>
              <w:jc w:val="center"/>
              <w:rPr>
                <w:noProof/>
                <w:color w:val="000000"/>
                <w:sz w:val="16"/>
                <w:szCs w:val="16"/>
              </w:rPr>
            </w:pPr>
            <w:r>
              <w:rPr>
                <w:noProof/>
                <w:color w:val="000000"/>
                <w:sz w:val="16"/>
                <w:szCs w:val="16"/>
              </w:rPr>
              <w:t>Member State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pPr>
              <w:jc w:val="center"/>
              <w:rPr>
                <w:noProof/>
                <w:color w:val="000000"/>
                <w:sz w:val="16"/>
                <w:szCs w:val="16"/>
              </w:rPr>
            </w:pPr>
            <w:r>
              <w:rPr>
                <w:noProof/>
                <w:color w:val="000000"/>
                <w:sz w:val="16"/>
                <w:szCs w:val="16"/>
              </w:rPr>
              <w:t>Amending budget No. 6/2015</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pPr>
              <w:jc w:val="center"/>
              <w:rPr>
                <w:noProof/>
                <w:color w:val="000000"/>
                <w:sz w:val="16"/>
                <w:szCs w:val="16"/>
              </w:rPr>
            </w:pPr>
            <w:r>
              <w:rPr>
                <w:noProof/>
                <w:color w:val="000000"/>
                <w:sz w:val="16"/>
                <w:szCs w:val="16"/>
              </w:rPr>
              <w:t>Draft amending budget No. 8/2015</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pPr>
              <w:jc w:val="center"/>
              <w:rPr>
                <w:noProof/>
                <w:color w:val="000000"/>
                <w:sz w:val="16"/>
                <w:szCs w:val="16"/>
              </w:rPr>
            </w:pPr>
            <w:r>
              <w:rPr>
                <w:noProof/>
                <w:color w:val="000000"/>
                <w:sz w:val="16"/>
                <w:szCs w:val="16"/>
              </w:rPr>
              <w:t>New amount</w:t>
            </w:r>
          </w:p>
        </w:tc>
      </w:tr>
      <w:tr>
        <w:trPr>
          <w:trHeight w:val="251"/>
          <w:jc w:val="center"/>
        </w:trPr>
        <w:tc>
          <w:tcPr>
            <w:tcW w:w="1726" w:type="dxa"/>
            <w:tcBorders>
              <w:top w:val="nil"/>
              <w:left w:val="single" w:sz="8" w:space="0" w:color="auto"/>
              <w:bottom w:val="nil"/>
              <w:right w:val="single" w:sz="8" w:space="0" w:color="auto"/>
            </w:tcBorders>
            <w:shd w:val="clear" w:color="auto" w:fill="auto"/>
            <w:vAlign w:val="center"/>
            <w:hideMark/>
          </w:tcPr>
          <w:p>
            <w:pPr>
              <w:rPr>
                <w:noProof/>
                <w:color w:val="000000"/>
                <w:sz w:val="16"/>
                <w:szCs w:val="16"/>
              </w:rPr>
            </w:pPr>
            <w:r>
              <w:rPr>
                <w:noProof/>
                <w:color w:val="000000"/>
                <w:sz w:val="16"/>
                <w:szCs w:val="16"/>
              </w:rPr>
              <w:t>Belgium</w:t>
            </w:r>
          </w:p>
        </w:tc>
        <w:tc>
          <w:tcPr>
            <w:tcW w:w="1440" w:type="dxa"/>
            <w:tcBorders>
              <w:top w:val="nil"/>
              <w:left w:val="nil"/>
              <w:bottom w:val="nil"/>
              <w:right w:val="single" w:sz="8" w:space="0" w:color="auto"/>
            </w:tcBorders>
            <w:shd w:val="clear" w:color="auto" w:fill="auto"/>
            <w:vAlign w:val="bottom"/>
          </w:tcPr>
          <w:p>
            <w:pPr>
              <w:jc w:val="right"/>
              <w:rPr>
                <w:noProof/>
                <w:color w:val="000000"/>
                <w:sz w:val="16"/>
                <w:szCs w:val="16"/>
              </w:rPr>
            </w:pPr>
            <w:r>
              <w:rPr>
                <w:noProof/>
                <w:sz w:val="16"/>
                <w:szCs w:val="16"/>
              </w:rPr>
              <w:t>2 948 138 218</w:t>
            </w:r>
          </w:p>
        </w:tc>
        <w:tc>
          <w:tcPr>
            <w:tcW w:w="1440" w:type="dxa"/>
            <w:tcBorders>
              <w:top w:val="nil"/>
              <w:left w:val="nil"/>
              <w:bottom w:val="nil"/>
              <w:right w:val="single" w:sz="8" w:space="0" w:color="auto"/>
            </w:tcBorders>
            <w:shd w:val="clear" w:color="auto" w:fill="auto"/>
            <w:vAlign w:val="bottom"/>
          </w:tcPr>
          <w:p>
            <w:pPr>
              <w:jc w:val="right"/>
              <w:rPr>
                <w:noProof/>
                <w:color w:val="000000"/>
                <w:sz w:val="16"/>
                <w:szCs w:val="16"/>
              </w:rPr>
            </w:pPr>
            <w:r>
              <w:rPr>
                <w:noProof/>
                <w:sz w:val="16"/>
                <w:szCs w:val="16"/>
              </w:rPr>
              <w:t>- 271 023 955</w:t>
            </w:r>
          </w:p>
        </w:tc>
        <w:tc>
          <w:tcPr>
            <w:tcW w:w="1440" w:type="dxa"/>
            <w:tcBorders>
              <w:top w:val="nil"/>
              <w:left w:val="nil"/>
              <w:bottom w:val="nil"/>
              <w:right w:val="single" w:sz="8" w:space="0" w:color="auto"/>
            </w:tcBorders>
            <w:shd w:val="clear" w:color="auto" w:fill="auto"/>
            <w:vAlign w:val="bottom"/>
          </w:tcPr>
          <w:p>
            <w:pPr>
              <w:jc w:val="right"/>
              <w:rPr>
                <w:noProof/>
                <w:color w:val="000000"/>
                <w:sz w:val="16"/>
                <w:szCs w:val="16"/>
              </w:rPr>
            </w:pPr>
            <w:r>
              <w:rPr>
                <w:noProof/>
                <w:sz w:val="16"/>
                <w:szCs w:val="16"/>
              </w:rPr>
              <w:t>2 677 114 263</w:t>
            </w:r>
          </w:p>
        </w:tc>
      </w:tr>
      <w:tr>
        <w:trPr>
          <w:trHeight w:val="251"/>
          <w:jc w:val="center"/>
        </w:trPr>
        <w:tc>
          <w:tcPr>
            <w:tcW w:w="1726" w:type="dxa"/>
            <w:tcBorders>
              <w:top w:val="nil"/>
              <w:left w:val="single" w:sz="8" w:space="0" w:color="auto"/>
              <w:bottom w:val="nil"/>
              <w:right w:val="single" w:sz="8" w:space="0" w:color="auto"/>
            </w:tcBorders>
            <w:shd w:val="clear" w:color="auto" w:fill="auto"/>
            <w:vAlign w:val="center"/>
            <w:hideMark/>
          </w:tcPr>
          <w:p>
            <w:pPr>
              <w:rPr>
                <w:noProof/>
                <w:color w:val="000000"/>
                <w:sz w:val="16"/>
                <w:szCs w:val="16"/>
              </w:rPr>
            </w:pPr>
            <w:r>
              <w:rPr>
                <w:noProof/>
                <w:color w:val="000000"/>
                <w:sz w:val="16"/>
                <w:szCs w:val="16"/>
              </w:rPr>
              <w:t>Bulgaria</w:t>
            </w:r>
          </w:p>
        </w:tc>
        <w:tc>
          <w:tcPr>
            <w:tcW w:w="1440" w:type="dxa"/>
            <w:tcBorders>
              <w:top w:val="nil"/>
              <w:left w:val="nil"/>
              <w:bottom w:val="nil"/>
              <w:right w:val="single" w:sz="8" w:space="0" w:color="auto"/>
            </w:tcBorders>
            <w:shd w:val="clear" w:color="auto" w:fill="auto"/>
            <w:vAlign w:val="bottom"/>
          </w:tcPr>
          <w:p>
            <w:pPr>
              <w:jc w:val="right"/>
              <w:rPr>
                <w:noProof/>
                <w:color w:val="000000"/>
                <w:sz w:val="16"/>
                <w:szCs w:val="16"/>
              </w:rPr>
            </w:pPr>
            <w:r>
              <w:rPr>
                <w:noProof/>
                <w:sz w:val="16"/>
                <w:szCs w:val="16"/>
              </w:rPr>
              <w:t xml:space="preserve"> 300 569 728</w:t>
            </w:r>
          </w:p>
        </w:tc>
        <w:tc>
          <w:tcPr>
            <w:tcW w:w="1440" w:type="dxa"/>
            <w:tcBorders>
              <w:top w:val="nil"/>
              <w:left w:val="nil"/>
              <w:bottom w:val="nil"/>
              <w:right w:val="single" w:sz="8" w:space="0" w:color="auto"/>
            </w:tcBorders>
            <w:shd w:val="clear" w:color="auto" w:fill="auto"/>
            <w:vAlign w:val="bottom"/>
          </w:tcPr>
          <w:p>
            <w:pPr>
              <w:jc w:val="right"/>
              <w:rPr>
                <w:noProof/>
                <w:color w:val="000000"/>
                <w:sz w:val="16"/>
                <w:szCs w:val="16"/>
              </w:rPr>
            </w:pPr>
            <w:r>
              <w:rPr>
                <w:noProof/>
                <w:sz w:val="16"/>
                <w:szCs w:val="16"/>
              </w:rPr>
              <w:t>- 27 631 539</w:t>
            </w:r>
          </w:p>
        </w:tc>
        <w:tc>
          <w:tcPr>
            <w:tcW w:w="1440" w:type="dxa"/>
            <w:tcBorders>
              <w:top w:val="nil"/>
              <w:left w:val="nil"/>
              <w:bottom w:val="nil"/>
              <w:right w:val="single" w:sz="8" w:space="0" w:color="auto"/>
            </w:tcBorders>
            <w:shd w:val="clear" w:color="auto" w:fill="auto"/>
            <w:vAlign w:val="bottom"/>
          </w:tcPr>
          <w:p>
            <w:pPr>
              <w:jc w:val="right"/>
              <w:rPr>
                <w:noProof/>
                <w:color w:val="000000"/>
                <w:sz w:val="16"/>
                <w:szCs w:val="16"/>
              </w:rPr>
            </w:pPr>
            <w:r>
              <w:rPr>
                <w:noProof/>
                <w:sz w:val="16"/>
                <w:szCs w:val="16"/>
              </w:rPr>
              <w:t xml:space="preserve"> 272 938 189</w:t>
            </w:r>
          </w:p>
        </w:tc>
      </w:tr>
      <w:tr>
        <w:trPr>
          <w:trHeight w:val="251"/>
          <w:jc w:val="center"/>
        </w:trPr>
        <w:tc>
          <w:tcPr>
            <w:tcW w:w="1726" w:type="dxa"/>
            <w:tcBorders>
              <w:top w:val="nil"/>
              <w:left w:val="single" w:sz="8" w:space="0" w:color="auto"/>
              <w:bottom w:val="nil"/>
              <w:right w:val="single" w:sz="8" w:space="0" w:color="auto"/>
            </w:tcBorders>
            <w:shd w:val="clear" w:color="auto" w:fill="auto"/>
            <w:vAlign w:val="center"/>
            <w:hideMark/>
          </w:tcPr>
          <w:p>
            <w:pPr>
              <w:rPr>
                <w:noProof/>
                <w:color w:val="000000"/>
                <w:sz w:val="16"/>
                <w:szCs w:val="16"/>
              </w:rPr>
            </w:pPr>
            <w:r>
              <w:rPr>
                <w:noProof/>
                <w:color w:val="000000"/>
                <w:sz w:val="16"/>
                <w:szCs w:val="16"/>
              </w:rPr>
              <w:t>Czech Republic</w:t>
            </w:r>
          </w:p>
        </w:tc>
        <w:tc>
          <w:tcPr>
            <w:tcW w:w="1440" w:type="dxa"/>
            <w:tcBorders>
              <w:top w:val="nil"/>
              <w:left w:val="nil"/>
              <w:bottom w:val="nil"/>
              <w:right w:val="single" w:sz="8" w:space="0" w:color="auto"/>
            </w:tcBorders>
            <w:shd w:val="clear" w:color="auto" w:fill="auto"/>
            <w:vAlign w:val="bottom"/>
          </w:tcPr>
          <w:p>
            <w:pPr>
              <w:jc w:val="right"/>
              <w:rPr>
                <w:noProof/>
                <w:color w:val="000000"/>
                <w:sz w:val="16"/>
                <w:szCs w:val="16"/>
              </w:rPr>
            </w:pPr>
            <w:r>
              <w:rPr>
                <w:noProof/>
                <w:sz w:val="16"/>
                <w:szCs w:val="16"/>
              </w:rPr>
              <w:t>1 042 222 019</w:t>
            </w:r>
          </w:p>
        </w:tc>
        <w:tc>
          <w:tcPr>
            <w:tcW w:w="1440" w:type="dxa"/>
            <w:tcBorders>
              <w:top w:val="nil"/>
              <w:left w:val="nil"/>
              <w:bottom w:val="nil"/>
              <w:right w:val="single" w:sz="8" w:space="0" w:color="auto"/>
            </w:tcBorders>
            <w:shd w:val="clear" w:color="auto" w:fill="auto"/>
            <w:vAlign w:val="bottom"/>
          </w:tcPr>
          <w:p>
            <w:pPr>
              <w:jc w:val="right"/>
              <w:rPr>
                <w:noProof/>
                <w:color w:val="000000"/>
                <w:sz w:val="16"/>
                <w:szCs w:val="16"/>
              </w:rPr>
            </w:pPr>
            <w:r>
              <w:rPr>
                <w:noProof/>
                <w:sz w:val="16"/>
                <w:szCs w:val="16"/>
              </w:rPr>
              <w:t>- 95 812 038</w:t>
            </w:r>
          </w:p>
        </w:tc>
        <w:tc>
          <w:tcPr>
            <w:tcW w:w="1440" w:type="dxa"/>
            <w:tcBorders>
              <w:top w:val="nil"/>
              <w:left w:val="nil"/>
              <w:bottom w:val="nil"/>
              <w:right w:val="single" w:sz="8" w:space="0" w:color="auto"/>
            </w:tcBorders>
            <w:shd w:val="clear" w:color="auto" w:fill="auto"/>
            <w:vAlign w:val="bottom"/>
          </w:tcPr>
          <w:p>
            <w:pPr>
              <w:jc w:val="right"/>
              <w:rPr>
                <w:noProof/>
                <w:color w:val="000000"/>
                <w:sz w:val="16"/>
                <w:szCs w:val="16"/>
              </w:rPr>
            </w:pPr>
            <w:r>
              <w:rPr>
                <w:noProof/>
                <w:sz w:val="16"/>
                <w:szCs w:val="16"/>
              </w:rPr>
              <w:t xml:space="preserve"> 946 409 981</w:t>
            </w:r>
          </w:p>
        </w:tc>
      </w:tr>
      <w:tr>
        <w:trPr>
          <w:trHeight w:val="251"/>
          <w:jc w:val="center"/>
        </w:trPr>
        <w:tc>
          <w:tcPr>
            <w:tcW w:w="1726" w:type="dxa"/>
            <w:tcBorders>
              <w:top w:val="nil"/>
              <w:left w:val="single" w:sz="8" w:space="0" w:color="auto"/>
              <w:bottom w:val="nil"/>
              <w:right w:val="single" w:sz="8" w:space="0" w:color="auto"/>
            </w:tcBorders>
            <w:shd w:val="clear" w:color="auto" w:fill="auto"/>
            <w:vAlign w:val="center"/>
            <w:hideMark/>
          </w:tcPr>
          <w:p>
            <w:pPr>
              <w:rPr>
                <w:noProof/>
                <w:color w:val="000000"/>
                <w:sz w:val="16"/>
                <w:szCs w:val="16"/>
              </w:rPr>
            </w:pPr>
            <w:r>
              <w:rPr>
                <w:noProof/>
                <w:color w:val="000000"/>
                <w:sz w:val="16"/>
                <w:szCs w:val="16"/>
              </w:rPr>
              <w:t>Denmark</w:t>
            </w:r>
          </w:p>
        </w:tc>
        <w:tc>
          <w:tcPr>
            <w:tcW w:w="1440" w:type="dxa"/>
            <w:tcBorders>
              <w:top w:val="nil"/>
              <w:left w:val="nil"/>
              <w:bottom w:val="nil"/>
              <w:right w:val="single" w:sz="8" w:space="0" w:color="auto"/>
            </w:tcBorders>
            <w:shd w:val="clear" w:color="auto" w:fill="auto"/>
            <w:vAlign w:val="bottom"/>
          </w:tcPr>
          <w:p>
            <w:pPr>
              <w:jc w:val="right"/>
              <w:rPr>
                <w:noProof/>
                <w:color w:val="000000"/>
                <w:sz w:val="16"/>
                <w:szCs w:val="16"/>
              </w:rPr>
            </w:pPr>
            <w:r>
              <w:rPr>
                <w:noProof/>
                <w:sz w:val="16"/>
                <w:szCs w:val="16"/>
              </w:rPr>
              <w:t>1 961 742 240</w:t>
            </w:r>
          </w:p>
        </w:tc>
        <w:tc>
          <w:tcPr>
            <w:tcW w:w="1440" w:type="dxa"/>
            <w:tcBorders>
              <w:top w:val="nil"/>
              <w:left w:val="nil"/>
              <w:bottom w:val="nil"/>
              <w:right w:val="single" w:sz="8" w:space="0" w:color="auto"/>
            </w:tcBorders>
            <w:shd w:val="clear" w:color="auto" w:fill="auto"/>
            <w:vAlign w:val="bottom"/>
          </w:tcPr>
          <w:p>
            <w:pPr>
              <w:jc w:val="right"/>
              <w:rPr>
                <w:noProof/>
                <w:color w:val="000000"/>
                <w:sz w:val="16"/>
                <w:szCs w:val="16"/>
              </w:rPr>
            </w:pPr>
            <w:r>
              <w:rPr>
                <w:noProof/>
                <w:sz w:val="16"/>
                <w:szCs w:val="16"/>
              </w:rPr>
              <w:t>- 180 344 034</w:t>
            </w:r>
          </w:p>
        </w:tc>
        <w:tc>
          <w:tcPr>
            <w:tcW w:w="1440" w:type="dxa"/>
            <w:tcBorders>
              <w:top w:val="nil"/>
              <w:left w:val="nil"/>
              <w:bottom w:val="nil"/>
              <w:right w:val="single" w:sz="8" w:space="0" w:color="auto"/>
            </w:tcBorders>
            <w:shd w:val="clear" w:color="auto" w:fill="auto"/>
            <w:vAlign w:val="bottom"/>
          </w:tcPr>
          <w:p>
            <w:pPr>
              <w:jc w:val="right"/>
              <w:rPr>
                <w:noProof/>
                <w:color w:val="000000"/>
                <w:sz w:val="16"/>
                <w:szCs w:val="16"/>
              </w:rPr>
            </w:pPr>
            <w:r>
              <w:rPr>
                <w:noProof/>
                <w:sz w:val="16"/>
                <w:szCs w:val="16"/>
              </w:rPr>
              <w:t>1 781 398 206</w:t>
            </w:r>
          </w:p>
        </w:tc>
      </w:tr>
      <w:tr>
        <w:trPr>
          <w:trHeight w:val="251"/>
          <w:jc w:val="center"/>
        </w:trPr>
        <w:tc>
          <w:tcPr>
            <w:tcW w:w="1726" w:type="dxa"/>
            <w:tcBorders>
              <w:top w:val="nil"/>
              <w:left w:val="single" w:sz="8" w:space="0" w:color="auto"/>
              <w:bottom w:val="nil"/>
              <w:right w:val="single" w:sz="8" w:space="0" w:color="auto"/>
            </w:tcBorders>
            <w:shd w:val="clear" w:color="auto" w:fill="auto"/>
            <w:vAlign w:val="center"/>
            <w:hideMark/>
          </w:tcPr>
          <w:p>
            <w:pPr>
              <w:rPr>
                <w:noProof/>
                <w:color w:val="000000"/>
                <w:sz w:val="16"/>
                <w:szCs w:val="16"/>
              </w:rPr>
            </w:pPr>
            <w:r>
              <w:rPr>
                <w:noProof/>
                <w:color w:val="000000"/>
                <w:sz w:val="16"/>
                <w:szCs w:val="16"/>
              </w:rPr>
              <w:t>Germany</w:t>
            </w:r>
          </w:p>
        </w:tc>
        <w:tc>
          <w:tcPr>
            <w:tcW w:w="1440" w:type="dxa"/>
            <w:tcBorders>
              <w:top w:val="nil"/>
              <w:left w:val="nil"/>
              <w:bottom w:val="nil"/>
              <w:right w:val="single" w:sz="8" w:space="0" w:color="auto"/>
            </w:tcBorders>
            <w:shd w:val="clear" w:color="auto" w:fill="auto"/>
            <w:vAlign w:val="bottom"/>
          </w:tcPr>
          <w:p>
            <w:pPr>
              <w:jc w:val="right"/>
              <w:rPr>
                <w:noProof/>
                <w:color w:val="000000"/>
                <w:sz w:val="16"/>
                <w:szCs w:val="16"/>
              </w:rPr>
            </w:pPr>
            <w:r>
              <w:rPr>
                <w:noProof/>
                <w:sz w:val="16"/>
                <w:szCs w:val="16"/>
              </w:rPr>
              <w:t>21 864 405 229</w:t>
            </w:r>
          </w:p>
        </w:tc>
        <w:tc>
          <w:tcPr>
            <w:tcW w:w="1440" w:type="dxa"/>
            <w:tcBorders>
              <w:top w:val="nil"/>
              <w:left w:val="nil"/>
              <w:bottom w:val="nil"/>
              <w:right w:val="single" w:sz="8" w:space="0" w:color="auto"/>
            </w:tcBorders>
            <w:shd w:val="clear" w:color="auto" w:fill="auto"/>
            <w:vAlign w:val="bottom"/>
          </w:tcPr>
          <w:p>
            <w:pPr>
              <w:jc w:val="right"/>
              <w:rPr>
                <w:noProof/>
                <w:color w:val="000000"/>
                <w:sz w:val="16"/>
                <w:szCs w:val="16"/>
              </w:rPr>
            </w:pPr>
            <w:r>
              <w:rPr>
                <w:noProof/>
                <w:sz w:val="16"/>
                <w:szCs w:val="16"/>
              </w:rPr>
              <w:t>-2 010 006 699</w:t>
            </w:r>
          </w:p>
        </w:tc>
        <w:tc>
          <w:tcPr>
            <w:tcW w:w="1440" w:type="dxa"/>
            <w:tcBorders>
              <w:top w:val="nil"/>
              <w:left w:val="nil"/>
              <w:bottom w:val="nil"/>
              <w:right w:val="single" w:sz="8" w:space="0" w:color="auto"/>
            </w:tcBorders>
            <w:shd w:val="clear" w:color="auto" w:fill="auto"/>
            <w:vAlign w:val="bottom"/>
          </w:tcPr>
          <w:p>
            <w:pPr>
              <w:jc w:val="right"/>
              <w:rPr>
                <w:noProof/>
                <w:color w:val="000000"/>
                <w:sz w:val="16"/>
                <w:szCs w:val="16"/>
              </w:rPr>
            </w:pPr>
            <w:r>
              <w:rPr>
                <w:noProof/>
                <w:sz w:val="16"/>
                <w:szCs w:val="16"/>
              </w:rPr>
              <w:t>19 854 398 530</w:t>
            </w:r>
          </w:p>
        </w:tc>
      </w:tr>
      <w:tr>
        <w:trPr>
          <w:trHeight w:val="251"/>
          <w:jc w:val="center"/>
        </w:trPr>
        <w:tc>
          <w:tcPr>
            <w:tcW w:w="1726" w:type="dxa"/>
            <w:tcBorders>
              <w:top w:val="nil"/>
              <w:left w:val="single" w:sz="8" w:space="0" w:color="auto"/>
              <w:bottom w:val="nil"/>
              <w:right w:val="single" w:sz="8" w:space="0" w:color="auto"/>
            </w:tcBorders>
            <w:shd w:val="clear" w:color="auto" w:fill="auto"/>
            <w:vAlign w:val="center"/>
            <w:hideMark/>
          </w:tcPr>
          <w:p>
            <w:pPr>
              <w:rPr>
                <w:noProof/>
                <w:color w:val="000000"/>
                <w:sz w:val="16"/>
                <w:szCs w:val="16"/>
              </w:rPr>
            </w:pPr>
            <w:r>
              <w:rPr>
                <w:noProof/>
                <w:color w:val="000000"/>
                <w:sz w:val="16"/>
                <w:szCs w:val="16"/>
              </w:rPr>
              <w:t>Estonia</w:t>
            </w:r>
          </w:p>
        </w:tc>
        <w:tc>
          <w:tcPr>
            <w:tcW w:w="1440" w:type="dxa"/>
            <w:tcBorders>
              <w:top w:val="nil"/>
              <w:left w:val="nil"/>
              <w:bottom w:val="nil"/>
              <w:right w:val="single" w:sz="8" w:space="0" w:color="auto"/>
            </w:tcBorders>
            <w:shd w:val="clear" w:color="auto" w:fill="auto"/>
            <w:vAlign w:val="bottom"/>
          </w:tcPr>
          <w:p>
            <w:pPr>
              <w:jc w:val="right"/>
              <w:rPr>
                <w:noProof/>
                <w:color w:val="000000"/>
                <w:sz w:val="16"/>
                <w:szCs w:val="16"/>
              </w:rPr>
            </w:pPr>
            <w:r>
              <w:rPr>
                <w:noProof/>
                <w:sz w:val="16"/>
                <w:szCs w:val="16"/>
              </w:rPr>
              <w:t xml:space="preserve"> 142 812 302</w:t>
            </w:r>
          </w:p>
        </w:tc>
        <w:tc>
          <w:tcPr>
            <w:tcW w:w="1440" w:type="dxa"/>
            <w:tcBorders>
              <w:top w:val="nil"/>
              <w:left w:val="nil"/>
              <w:bottom w:val="nil"/>
              <w:right w:val="single" w:sz="8" w:space="0" w:color="auto"/>
            </w:tcBorders>
            <w:shd w:val="clear" w:color="auto" w:fill="auto"/>
            <w:vAlign w:val="bottom"/>
          </w:tcPr>
          <w:p>
            <w:pPr>
              <w:jc w:val="right"/>
              <w:rPr>
                <w:noProof/>
                <w:color w:val="000000"/>
                <w:sz w:val="16"/>
                <w:szCs w:val="16"/>
              </w:rPr>
            </w:pPr>
            <w:r>
              <w:rPr>
                <w:noProof/>
                <w:sz w:val="16"/>
                <w:szCs w:val="16"/>
              </w:rPr>
              <w:t>- 13 128 812</w:t>
            </w:r>
          </w:p>
        </w:tc>
        <w:tc>
          <w:tcPr>
            <w:tcW w:w="1440" w:type="dxa"/>
            <w:tcBorders>
              <w:top w:val="nil"/>
              <w:left w:val="nil"/>
              <w:bottom w:val="nil"/>
              <w:right w:val="single" w:sz="8" w:space="0" w:color="auto"/>
            </w:tcBorders>
            <w:shd w:val="clear" w:color="auto" w:fill="auto"/>
            <w:vAlign w:val="bottom"/>
          </w:tcPr>
          <w:p>
            <w:pPr>
              <w:jc w:val="right"/>
              <w:rPr>
                <w:noProof/>
                <w:color w:val="000000"/>
                <w:sz w:val="16"/>
                <w:szCs w:val="16"/>
              </w:rPr>
            </w:pPr>
            <w:r>
              <w:rPr>
                <w:noProof/>
                <w:sz w:val="16"/>
                <w:szCs w:val="16"/>
              </w:rPr>
              <w:t xml:space="preserve"> 129 683 490</w:t>
            </w:r>
          </w:p>
        </w:tc>
      </w:tr>
      <w:tr>
        <w:trPr>
          <w:trHeight w:val="251"/>
          <w:jc w:val="center"/>
        </w:trPr>
        <w:tc>
          <w:tcPr>
            <w:tcW w:w="1726" w:type="dxa"/>
            <w:tcBorders>
              <w:top w:val="nil"/>
              <w:left w:val="single" w:sz="8" w:space="0" w:color="auto"/>
              <w:bottom w:val="nil"/>
              <w:right w:val="single" w:sz="8" w:space="0" w:color="auto"/>
            </w:tcBorders>
            <w:shd w:val="clear" w:color="auto" w:fill="auto"/>
            <w:vAlign w:val="center"/>
            <w:hideMark/>
          </w:tcPr>
          <w:p>
            <w:pPr>
              <w:rPr>
                <w:noProof/>
                <w:color w:val="000000"/>
                <w:sz w:val="16"/>
                <w:szCs w:val="16"/>
              </w:rPr>
            </w:pPr>
            <w:r>
              <w:rPr>
                <w:noProof/>
                <w:color w:val="000000"/>
                <w:sz w:val="16"/>
                <w:szCs w:val="16"/>
              </w:rPr>
              <w:t>Ireland</w:t>
            </w:r>
          </w:p>
        </w:tc>
        <w:tc>
          <w:tcPr>
            <w:tcW w:w="1440" w:type="dxa"/>
            <w:tcBorders>
              <w:top w:val="nil"/>
              <w:left w:val="nil"/>
              <w:bottom w:val="nil"/>
              <w:right w:val="single" w:sz="8" w:space="0" w:color="auto"/>
            </w:tcBorders>
            <w:shd w:val="clear" w:color="auto" w:fill="auto"/>
            <w:vAlign w:val="bottom"/>
          </w:tcPr>
          <w:p>
            <w:pPr>
              <w:jc w:val="right"/>
              <w:rPr>
                <w:noProof/>
                <w:color w:val="000000"/>
                <w:sz w:val="16"/>
                <w:szCs w:val="16"/>
              </w:rPr>
            </w:pPr>
            <w:r>
              <w:rPr>
                <w:noProof/>
                <w:sz w:val="16"/>
                <w:szCs w:val="16"/>
              </w:rPr>
              <w:t>1 170 159 800</w:t>
            </w:r>
          </w:p>
        </w:tc>
        <w:tc>
          <w:tcPr>
            <w:tcW w:w="1440" w:type="dxa"/>
            <w:tcBorders>
              <w:top w:val="nil"/>
              <w:left w:val="nil"/>
              <w:bottom w:val="nil"/>
              <w:right w:val="single" w:sz="8" w:space="0" w:color="auto"/>
            </w:tcBorders>
            <w:shd w:val="clear" w:color="auto" w:fill="auto"/>
            <w:vAlign w:val="bottom"/>
          </w:tcPr>
          <w:p>
            <w:pPr>
              <w:jc w:val="right"/>
              <w:rPr>
                <w:noProof/>
                <w:color w:val="000000"/>
                <w:sz w:val="16"/>
                <w:szCs w:val="16"/>
              </w:rPr>
            </w:pPr>
            <w:r>
              <w:rPr>
                <w:noProof/>
                <w:sz w:val="16"/>
                <w:szCs w:val="16"/>
              </w:rPr>
              <w:t>- 107 573 428</w:t>
            </w:r>
          </w:p>
        </w:tc>
        <w:tc>
          <w:tcPr>
            <w:tcW w:w="1440" w:type="dxa"/>
            <w:tcBorders>
              <w:top w:val="nil"/>
              <w:left w:val="nil"/>
              <w:bottom w:val="nil"/>
              <w:right w:val="single" w:sz="8" w:space="0" w:color="auto"/>
            </w:tcBorders>
            <w:shd w:val="clear" w:color="auto" w:fill="auto"/>
            <w:vAlign w:val="bottom"/>
          </w:tcPr>
          <w:p>
            <w:pPr>
              <w:jc w:val="right"/>
              <w:rPr>
                <w:noProof/>
                <w:color w:val="000000"/>
                <w:sz w:val="16"/>
                <w:szCs w:val="16"/>
              </w:rPr>
            </w:pPr>
            <w:r>
              <w:rPr>
                <w:noProof/>
                <w:sz w:val="16"/>
                <w:szCs w:val="16"/>
              </w:rPr>
              <w:t>1 062 586 372</w:t>
            </w:r>
          </w:p>
        </w:tc>
      </w:tr>
      <w:tr>
        <w:trPr>
          <w:trHeight w:val="251"/>
          <w:jc w:val="center"/>
        </w:trPr>
        <w:tc>
          <w:tcPr>
            <w:tcW w:w="1726" w:type="dxa"/>
            <w:tcBorders>
              <w:top w:val="nil"/>
              <w:left w:val="single" w:sz="8" w:space="0" w:color="auto"/>
              <w:bottom w:val="nil"/>
              <w:right w:val="single" w:sz="8" w:space="0" w:color="auto"/>
            </w:tcBorders>
            <w:shd w:val="clear" w:color="auto" w:fill="auto"/>
            <w:vAlign w:val="center"/>
            <w:hideMark/>
          </w:tcPr>
          <w:p>
            <w:pPr>
              <w:rPr>
                <w:noProof/>
                <w:color w:val="000000"/>
                <w:sz w:val="16"/>
                <w:szCs w:val="16"/>
              </w:rPr>
            </w:pPr>
            <w:r>
              <w:rPr>
                <w:noProof/>
                <w:color w:val="000000"/>
                <w:sz w:val="16"/>
                <w:szCs w:val="16"/>
              </w:rPr>
              <w:t>Greece</w:t>
            </w:r>
          </w:p>
        </w:tc>
        <w:tc>
          <w:tcPr>
            <w:tcW w:w="1440" w:type="dxa"/>
            <w:tcBorders>
              <w:top w:val="nil"/>
              <w:left w:val="nil"/>
              <w:bottom w:val="nil"/>
              <w:right w:val="single" w:sz="8" w:space="0" w:color="auto"/>
            </w:tcBorders>
            <w:shd w:val="clear" w:color="auto" w:fill="auto"/>
            <w:vAlign w:val="bottom"/>
          </w:tcPr>
          <w:p>
            <w:pPr>
              <w:jc w:val="right"/>
              <w:rPr>
                <w:noProof/>
                <w:color w:val="000000"/>
                <w:sz w:val="16"/>
                <w:szCs w:val="16"/>
              </w:rPr>
            </w:pPr>
            <w:r>
              <w:rPr>
                <w:noProof/>
                <w:sz w:val="16"/>
                <w:szCs w:val="16"/>
              </w:rPr>
              <w:t>1 281 873 093</w:t>
            </w:r>
          </w:p>
        </w:tc>
        <w:tc>
          <w:tcPr>
            <w:tcW w:w="1440" w:type="dxa"/>
            <w:tcBorders>
              <w:top w:val="nil"/>
              <w:left w:val="nil"/>
              <w:bottom w:val="nil"/>
              <w:right w:val="single" w:sz="8" w:space="0" w:color="auto"/>
            </w:tcBorders>
            <w:shd w:val="clear" w:color="auto" w:fill="auto"/>
            <w:vAlign w:val="bottom"/>
          </w:tcPr>
          <w:p>
            <w:pPr>
              <w:jc w:val="right"/>
              <w:rPr>
                <w:noProof/>
                <w:color w:val="000000"/>
                <w:sz w:val="16"/>
                <w:szCs w:val="16"/>
              </w:rPr>
            </w:pPr>
            <w:r>
              <w:rPr>
                <w:noProof/>
                <w:sz w:val="16"/>
                <w:szCs w:val="16"/>
              </w:rPr>
              <w:t>- 117 843 293</w:t>
            </w:r>
          </w:p>
        </w:tc>
        <w:tc>
          <w:tcPr>
            <w:tcW w:w="1440" w:type="dxa"/>
            <w:tcBorders>
              <w:top w:val="nil"/>
              <w:left w:val="nil"/>
              <w:bottom w:val="nil"/>
              <w:right w:val="single" w:sz="8" w:space="0" w:color="auto"/>
            </w:tcBorders>
            <w:shd w:val="clear" w:color="auto" w:fill="auto"/>
            <w:vAlign w:val="bottom"/>
          </w:tcPr>
          <w:p>
            <w:pPr>
              <w:jc w:val="right"/>
              <w:rPr>
                <w:noProof/>
                <w:color w:val="000000"/>
                <w:sz w:val="16"/>
                <w:szCs w:val="16"/>
              </w:rPr>
            </w:pPr>
            <w:r>
              <w:rPr>
                <w:noProof/>
                <w:sz w:val="16"/>
                <w:szCs w:val="16"/>
              </w:rPr>
              <w:t>1 164 029 800</w:t>
            </w:r>
          </w:p>
        </w:tc>
      </w:tr>
      <w:tr>
        <w:trPr>
          <w:trHeight w:val="251"/>
          <w:jc w:val="center"/>
        </w:trPr>
        <w:tc>
          <w:tcPr>
            <w:tcW w:w="1726" w:type="dxa"/>
            <w:tcBorders>
              <w:top w:val="nil"/>
              <w:left w:val="single" w:sz="8" w:space="0" w:color="auto"/>
              <w:bottom w:val="nil"/>
              <w:right w:val="single" w:sz="8" w:space="0" w:color="auto"/>
            </w:tcBorders>
            <w:shd w:val="clear" w:color="auto" w:fill="auto"/>
            <w:vAlign w:val="center"/>
            <w:hideMark/>
          </w:tcPr>
          <w:p>
            <w:pPr>
              <w:rPr>
                <w:noProof/>
                <w:color w:val="000000"/>
                <w:sz w:val="16"/>
                <w:szCs w:val="16"/>
              </w:rPr>
            </w:pPr>
            <w:r>
              <w:rPr>
                <w:noProof/>
                <w:color w:val="000000"/>
                <w:sz w:val="16"/>
                <w:szCs w:val="16"/>
              </w:rPr>
              <w:t>Spain</w:t>
            </w:r>
          </w:p>
        </w:tc>
        <w:tc>
          <w:tcPr>
            <w:tcW w:w="1440" w:type="dxa"/>
            <w:tcBorders>
              <w:top w:val="nil"/>
              <w:left w:val="nil"/>
              <w:bottom w:val="nil"/>
              <w:right w:val="single" w:sz="8" w:space="0" w:color="auto"/>
            </w:tcBorders>
            <w:shd w:val="clear" w:color="auto" w:fill="auto"/>
            <w:vAlign w:val="bottom"/>
          </w:tcPr>
          <w:p>
            <w:pPr>
              <w:jc w:val="right"/>
              <w:rPr>
                <w:noProof/>
                <w:color w:val="000000"/>
                <w:sz w:val="16"/>
                <w:szCs w:val="16"/>
              </w:rPr>
            </w:pPr>
            <w:r>
              <w:rPr>
                <w:noProof/>
                <w:sz w:val="16"/>
                <w:szCs w:val="16"/>
              </w:rPr>
              <w:t>7 815 907 916</w:t>
            </w:r>
          </w:p>
        </w:tc>
        <w:tc>
          <w:tcPr>
            <w:tcW w:w="1440" w:type="dxa"/>
            <w:tcBorders>
              <w:top w:val="nil"/>
              <w:left w:val="nil"/>
              <w:bottom w:val="nil"/>
              <w:right w:val="single" w:sz="8" w:space="0" w:color="auto"/>
            </w:tcBorders>
            <w:shd w:val="clear" w:color="auto" w:fill="auto"/>
            <w:vAlign w:val="bottom"/>
          </w:tcPr>
          <w:p>
            <w:pPr>
              <w:jc w:val="right"/>
              <w:rPr>
                <w:noProof/>
                <w:color w:val="000000"/>
                <w:sz w:val="16"/>
                <w:szCs w:val="16"/>
              </w:rPr>
            </w:pPr>
            <w:r>
              <w:rPr>
                <w:noProof/>
                <w:sz w:val="16"/>
                <w:szCs w:val="16"/>
              </w:rPr>
              <w:t>- 718 520 678</w:t>
            </w:r>
          </w:p>
        </w:tc>
        <w:tc>
          <w:tcPr>
            <w:tcW w:w="1440" w:type="dxa"/>
            <w:tcBorders>
              <w:top w:val="nil"/>
              <w:left w:val="nil"/>
              <w:bottom w:val="nil"/>
              <w:right w:val="single" w:sz="8" w:space="0" w:color="auto"/>
            </w:tcBorders>
            <w:shd w:val="clear" w:color="auto" w:fill="auto"/>
            <w:vAlign w:val="bottom"/>
          </w:tcPr>
          <w:p>
            <w:pPr>
              <w:jc w:val="right"/>
              <w:rPr>
                <w:noProof/>
                <w:color w:val="000000"/>
                <w:sz w:val="16"/>
                <w:szCs w:val="16"/>
              </w:rPr>
            </w:pPr>
            <w:r>
              <w:rPr>
                <w:noProof/>
                <w:sz w:val="16"/>
                <w:szCs w:val="16"/>
              </w:rPr>
              <w:t>7 097 387 238</w:t>
            </w:r>
          </w:p>
        </w:tc>
      </w:tr>
      <w:tr>
        <w:trPr>
          <w:trHeight w:val="251"/>
          <w:jc w:val="center"/>
        </w:trPr>
        <w:tc>
          <w:tcPr>
            <w:tcW w:w="1726" w:type="dxa"/>
            <w:tcBorders>
              <w:top w:val="nil"/>
              <w:left w:val="single" w:sz="8" w:space="0" w:color="auto"/>
              <w:bottom w:val="nil"/>
              <w:right w:val="single" w:sz="8" w:space="0" w:color="auto"/>
            </w:tcBorders>
            <w:shd w:val="clear" w:color="auto" w:fill="auto"/>
            <w:vAlign w:val="center"/>
            <w:hideMark/>
          </w:tcPr>
          <w:p>
            <w:pPr>
              <w:rPr>
                <w:noProof/>
                <w:color w:val="000000"/>
                <w:sz w:val="16"/>
                <w:szCs w:val="16"/>
              </w:rPr>
            </w:pPr>
            <w:r>
              <w:rPr>
                <w:noProof/>
                <w:color w:val="000000"/>
                <w:sz w:val="16"/>
                <w:szCs w:val="16"/>
              </w:rPr>
              <w:t>France</w:t>
            </w:r>
          </w:p>
        </w:tc>
        <w:tc>
          <w:tcPr>
            <w:tcW w:w="1440" w:type="dxa"/>
            <w:tcBorders>
              <w:top w:val="nil"/>
              <w:left w:val="nil"/>
              <w:bottom w:val="nil"/>
              <w:right w:val="single" w:sz="8" w:space="0" w:color="auto"/>
            </w:tcBorders>
            <w:shd w:val="clear" w:color="auto" w:fill="auto"/>
            <w:vAlign w:val="bottom"/>
          </w:tcPr>
          <w:p>
            <w:pPr>
              <w:jc w:val="right"/>
              <w:rPr>
                <w:noProof/>
                <w:color w:val="000000"/>
                <w:sz w:val="16"/>
                <w:szCs w:val="16"/>
              </w:rPr>
            </w:pPr>
            <w:r>
              <w:rPr>
                <w:noProof/>
                <w:sz w:val="16"/>
                <w:szCs w:val="16"/>
              </w:rPr>
              <w:t>15 814 431 821</w:t>
            </w:r>
          </w:p>
        </w:tc>
        <w:tc>
          <w:tcPr>
            <w:tcW w:w="1440" w:type="dxa"/>
            <w:tcBorders>
              <w:top w:val="nil"/>
              <w:left w:val="nil"/>
              <w:bottom w:val="nil"/>
              <w:right w:val="single" w:sz="8" w:space="0" w:color="auto"/>
            </w:tcBorders>
            <w:shd w:val="clear" w:color="auto" w:fill="auto"/>
            <w:vAlign w:val="bottom"/>
          </w:tcPr>
          <w:p>
            <w:pPr>
              <w:jc w:val="right"/>
              <w:rPr>
                <w:noProof/>
                <w:color w:val="000000"/>
                <w:sz w:val="16"/>
                <w:szCs w:val="16"/>
              </w:rPr>
            </w:pPr>
            <w:r>
              <w:rPr>
                <w:noProof/>
                <w:sz w:val="16"/>
                <w:szCs w:val="16"/>
              </w:rPr>
              <w:t>-1 453 829 344</w:t>
            </w:r>
          </w:p>
        </w:tc>
        <w:tc>
          <w:tcPr>
            <w:tcW w:w="1440" w:type="dxa"/>
            <w:tcBorders>
              <w:top w:val="nil"/>
              <w:left w:val="nil"/>
              <w:bottom w:val="nil"/>
              <w:right w:val="single" w:sz="8" w:space="0" w:color="auto"/>
            </w:tcBorders>
            <w:shd w:val="clear" w:color="auto" w:fill="auto"/>
            <w:vAlign w:val="bottom"/>
          </w:tcPr>
          <w:p>
            <w:pPr>
              <w:jc w:val="right"/>
              <w:rPr>
                <w:noProof/>
                <w:color w:val="000000"/>
                <w:sz w:val="16"/>
                <w:szCs w:val="16"/>
              </w:rPr>
            </w:pPr>
            <w:r>
              <w:rPr>
                <w:noProof/>
                <w:sz w:val="16"/>
                <w:szCs w:val="16"/>
              </w:rPr>
              <w:t>14 360 602 477</w:t>
            </w:r>
          </w:p>
        </w:tc>
      </w:tr>
      <w:tr>
        <w:trPr>
          <w:trHeight w:val="251"/>
          <w:jc w:val="center"/>
        </w:trPr>
        <w:tc>
          <w:tcPr>
            <w:tcW w:w="1726" w:type="dxa"/>
            <w:tcBorders>
              <w:top w:val="nil"/>
              <w:left w:val="single" w:sz="8" w:space="0" w:color="auto"/>
              <w:bottom w:val="nil"/>
              <w:right w:val="single" w:sz="8" w:space="0" w:color="auto"/>
            </w:tcBorders>
            <w:shd w:val="clear" w:color="auto" w:fill="auto"/>
            <w:vAlign w:val="center"/>
            <w:hideMark/>
          </w:tcPr>
          <w:p>
            <w:pPr>
              <w:rPr>
                <w:noProof/>
                <w:color w:val="000000"/>
                <w:sz w:val="16"/>
                <w:szCs w:val="16"/>
              </w:rPr>
            </w:pPr>
            <w:r>
              <w:rPr>
                <w:noProof/>
                <w:color w:val="000000"/>
                <w:sz w:val="16"/>
                <w:szCs w:val="16"/>
              </w:rPr>
              <w:t>Croatia</w:t>
            </w:r>
          </w:p>
        </w:tc>
        <w:tc>
          <w:tcPr>
            <w:tcW w:w="1440" w:type="dxa"/>
            <w:tcBorders>
              <w:top w:val="nil"/>
              <w:left w:val="nil"/>
              <w:bottom w:val="nil"/>
              <w:right w:val="single" w:sz="8" w:space="0" w:color="auto"/>
            </w:tcBorders>
            <w:shd w:val="clear" w:color="auto" w:fill="auto"/>
            <w:vAlign w:val="bottom"/>
          </w:tcPr>
          <w:p>
            <w:pPr>
              <w:jc w:val="right"/>
              <w:rPr>
                <w:noProof/>
                <w:color w:val="000000"/>
                <w:sz w:val="16"/>
                <w:szCs w:val="16"/>
              </w:rPr>
            </w:pPr>
            <w:r>
              <w:rPr>
                <w:noProof/>
                <w:sz w:val="16"/>
                <w:szCs w:val="16"/>
              </w:rPr>
              <w:t xml:space="preserve"> 302 256 027</w:t>
            </w:r>
          </w:p>
        </w:tc>
        <w:tc>
          <w:tcPr>
            <w:tcW w:w="1440" w:type="dxa"/>
            <w:tcBorders>
              <w:top w:val="nil"/>
              <w:left w:val="nil"/>
              <w:bottom w:val="nil"/>
              <w:right w:val="single" w:sz="8" w:space="0" w:color="auto"/>
            </w:tcBorders>
            <w:shd w:val="clear" w:color="auto" w:fill="auto"/>
            <w:vAlign w:val="bottom"/>
          </w:tcPr>
          <w:p>
            <w:pPr>
              <w:jc w:val="right"/>
              <w:rPr>
                <w:noProof/>
                <w:color w:val="000000"/>
                <w:sz w:val="16"/>
                <w:szCs w:val="16"/>
              </w:rPr>
            </w:pPr>
            <w:r>
              <w:rPr>
                <w:noProof/>
                <w:sz w:val="16"/>
                <w:szCs w:val="16"/>
              </w:rPr>
              <w:t>- 27 786 561</w:t>
            </w:r>
          </w:p>
        </w:tc>
        <w:tc>
          <w:tcPr>
            <w:tcW w:w="1440" w:type="dxa"/>
            <w:tcBorders>
              <w:top w:val="nil"/>
              <w:left w:val="nil"/>
              <w:bottom w:val="nil"/>
              <w:right w:val="single" w:sz="8" w:space="0" w:color="auto"/>
            </w:tcBorders>
            <w:shd w:val="clear" w:color="auto" w:fill="auto"/>
            <w:vAlign w:val="bottom"/>
          </w:tcPr>
          <w:p>
            <w:pPr>
              <w:jc w:val="right"/>
              <w:rPr>
                <w:noProof/>
                <w:color w:val="000000"/>
                <w:sz w:val="16"/>
                <w:szCs w:val="16"/>
              </w:rPr>
            </w:pPr>
            <w:r>
              <w:rPr>
                <w:noProof/>
                <w:sz w:val="16"/>
                <w:szCs w:val="16"/>
              </w:rPr>
              <w:t xml:space="preserve"> 274 469 466</w:t>
            </w:r>
          </w:p>
        </w:tc>
      </w:tr>
      <w:tr>
        <w:trPr>
          <w:trHeight w:val="251"/>
          <w:jc w:val="center"/>
        </w:trPr>
        <w:tc>
          <w:tcPr>
            <w:tcW w:w="1726" w:type="dxa"/>
            <w:tcBorders>
              <w:top w:val="nil"/>
              <w:left w:val="single" w:sz="8" w:space="0" w:color="auto"/>
              <w:bottom w:val="nil"/>
              <w:right w:val="single" w:sz="8" w:space="0" w:color="auto"/>
            </w:tcBorders>
            <w:shd w:val="clear" w:color="auto" w:fill="auto"/>
            <w:vAlign w:val="center"/>
            <w:hideMark/>
          </w:tcPr>
          <w:p>
            <w:pPr>
              <w:rPr>
                <w:noProof/>
                <w:color w:val="000000"/>
                <w:sz w:val="16"/>
                <w:szCs w:val="16"/>
              </w:rPr>
            </w:pPr>
            <w:r>
              <w:rPr>
                <w:noProof/>
                <w:color w:val="000000"/>
                <w:sz w:val="16"/>
                <w:szCs w:val="16"/>
              </w:rPr>
              <w:t>Italy</w:t>
            </w:r>
          </w:p>
        </w:tc>
        <w:tc>
          <w:tcPr>
            <w:tcW w:w="1440" w:type="dxa"/>
            <w:tcBorders>
              <w:top w:val="nil"/>
              <w:left w:val="nil"/>
              <w:bottom w:val="nil"/>
              <w:right w:val="single" w:sz="8" w:space="0" w:color="auto"/>
            </w:tcBorders>
            <w:shd w:val="clear" w:color="auto" w:fill="auto"/>
            <w:vAlign w:val="bottom"/>
          </w:tcPr>
          <w:p>
            <w:pPr>
              <w:jc w:val="right"/>
              <w:rPr>
                <w:noProof/>
                <w:color w:val="000000"/>
                <w:sz w:val="16"/>
                <w:szCs w:val="16"/>
              </w:rPr>
            </w:pPr>
            <w:r>
              <w:rPr>
                <w:noProof/>
                <w:sz w:val="16"/>
                <w:szCs w:val="16"/>
              </w:rPr>
              <w:t>11 502 867 468</w:t>
            </w:r>
          </w:p>
        </w:tc>
        <w:tc>
          <w:tcPr>
            <w:tcW w:w="1440" w:type="dxa"/>
            <w:tcBorders>
              <w:top w:val="nil"/>
              <w:left w:val="nil"/>
              <w:bottom w:val="nil"/>
              <w:right w:val="single" w:sz="8" w:space="0" w:color="auto"/>
            </w:tcBorders>
            <w:shd w:val="clear" w:color="auto" w:fill="auto"/>
            <w:vAlign w:val="bottom"/>
          </w:tcPr>
          <w:p>
            <w:pPr>
              <w:jc w:val="right"/>
              <w:rPr>
                <w:noProof/>
                <w:color w:val="000000"/>
                <w:sz w:val="16"/>
                <w:szCs w:val="16"/>
              </w:rPr>
            </w:pPr>
            <w:r>
              <w:rPr>
                <w:noProof/>
                <w:sz w:val="16"/>
                <w:szCs w:val="16"/>
              </w:rPr>
              <w:t>-1 057 464 881</w:t>
            </w:r>
          </w:p>
        </w:tc>
        <w:tc>
          <w:tcPr>
            <w:tcW w:w="1440" w:type="dxa"/>
            <w:tcBorders>
              <w:top w:val="nil"/>
              <w:left w:val="nil"/>
              <w:bottom w:val="nil"/>
              <w:right w:val="single" w:sz="8" w:space="0" w:color="auto"/>
            </w:tcBorders>
            <w:shd w:val="clear" w:color="auto" w:fill="auto"/>
            <w:vAlign w:val="bottom"/>
          </w:tcPr>
          <w:p>
            <w:pPr>
              <w:jc w:val="right"/>
              <w:rPr>
                <w:noProof/>
                <w:color w:val="000000"/>
                <w:sz w:val="16"/>
                <w:szCs w:val="16"/>
              </w:rPr>
            </w:pPr>
            <w:r>
              <w:rPr>
                <w:noProof/>
                <w:sz w:val="16"/>
                <w:szCs w:val="16"/>
              </w:rPr>
              <w:t>10 445 402 587</w:t>
            </w:r>
          </w:p>
        </w:tc>
      </w:tr>
      <w:tr>
        <w:trPr>
          <w:trHeight w:val="251"/>
          <w:jc w:val="center"/>
        </w:trPr>
        <w:tc>
          <w:tcPr>
            <w:tcW w:w="1726" w:type="dxa"/>
            <w:tcBorders>
              <w:top w:val="nil"/>
              <w:left w:val="single" w:sz="8" w:space="0" w:color="auto"/>
              <w:bottom w:val="nil"/>
              <w:right w:val="single" w:sz="8" w:space="0" w:color="auto"/>
            </w:tcBorders>
            <w:shd w:val="clear" w:color="auto" w:fill="auto"/>
            <w:vAlign w:val="center"/>
            <w:hideMark/>
          </w:tcPr>
          <w:p>
            <w:pPr>
              <w:rPr>
                <w:noProof/>
                <w:color w:val="000000"/>
                <w:sz w:val="16"/>
                <w:szCs w:val="16"/>
              </w:rPr>
            </w:pPr>
            <w:r>
              <w:rPr>
                <w:noProof/>
                <w:color w:val="000000"/>
                <w:sz w:val="16"/>
                <w:szCs w:val="16"/>
              </w:rPr>
              <w:t>Cyprus</w:t>
            </w:r>
          </w:p>
        </w:tc>
        <w:tc>
          <w:tcPr>
            <w:tcW w:w="1440" w:type="dxa"/>
            <w:tcBorders>
              <w:top w:val="nil"/>
              <w:left w:val="nil"/>
              <w:bottom w:val="nil"/>
              <w:right w:val="single" w:sz="8" w:space="0" w:color="auto"/>
            </w:tcBorders>
            <w:shd w:val="clear" w:color="auto" w:fill="auto"/>
            <w:vAlign w:val="bottom"/>
          </w:tcPr>
          <w:p>
            <w:pPr>
              <w:jc w:val="right"/>
              <w:rPr>
                <w:noProof/>
                <w:color w:val="000000"/>
                <w:sz w:val="16"/>
                <w:szCs w:val="16"/>
              </w:rPr>
            </w:pPr>
            <w:r>
              <w:rPr>
                <w:noProof/>
                <w:sz w:val="16"/>
                <w:szCs w:val="16"/>
              </w:rPr>
              <w:t xml:space="preserve"> 118 108 966</w:t>
            </w:r>
          </w:p>
        </w:tc>
        <w:tc>
          <w:tcPr>
            <w:tcW w:w="1440" w:type="dxa"/>
            <w:tcBorders>
              <w:top w:val="nil"/>
              <w:left w:val="nil"/>
              <w:bottom w:val="nil"/>
              <w:right w:val="single" w:sz="8" w:space="0" w:color="auto"/>
            </w:tcBorders>
            <w:shd w:val="clear" w:color="auto" w:fill="auto"/>
            <w:vAlign w:val="bottom"/>
          </w:tcPr>
          <w:p>
            <w:pPr>
              <w:jc w:val="right"/>
              <w:rPr>
                <w:noProof/>
                <w:color w:val="000000"/>
                <w:sz w:val="16"/>
                <w:szCs w:val="16"/>
              </w:rPr>
            </w:pPr>
            <w:r>
              <w:rPr>
                <w:noProof/>
                <w:sz w:val="16"/>
                <w:szCs w:val="16"/>
              </w:rPr>
              <w:t>- 10 857 822</w:t>
            </w:r>
          </w:p>
        </w:tc>
        <w:tc>
          <w:tcPr>
            <w:tcW w:w="1440" w:type="dxa"/>
            <w:tcBorders>
              <w:top w:val="nil"/>
              <w:left w:val="nil"/>
              <w:bottom w:val="nil"/>
              <w:right w:val="single" w:sz="8" w:space="0" w:color="auto"/>
            </w:tcBorders>
            <w:shd w:val="clear" w:color="auto" w:fill="auto"/>
            <w:vAlign w:val="bottom"/>
          </w:tcPr>
          <w:p>
            <w:pPr>
              <w:jc w:val="right"/>
              <w:rPr>
                <w:noProof/>
                <w:color w:val="000000"/>
                <w:sz w:val="16"/>
                <w:szCs w:val="16"/>
              </w:rPr>
            </w:pPr>
            <w:r>
              <w:rPr>
                <w:noProof/>
                <w:sz w:val="16"/>
                <w:szCs w:val="16"/>
              </w:rPr>
              <w:t xml:space="preserve"> 107 251 144</w:t>
            </w:r>
          </w:p>
        </w:tc>
      </w:tr>
      <w:tr>
        <w:trPr>
          <w:trHeight w:val="251"/>
          <w:jc w:val="center"/>
        </w:trPr>
        <w:tc>
          <w:tcPr>
            <w:tcW w:w="1726" w:type="dxa"/>
            <w:tcBorders>
              <w:top w:val="nil"/>
              <w:left w:val="single" w:sz="8" w:space="0" w:color="auto"/>
              <w:bottom w:val="nil"/>
              <w:right w:val="single" w:sz="8" w:space="0" w:color="auto"/>
            </w:tcBorders>
            <w:shd w:val="clear" w:color="auto" w:fill="auto"/>
            <w:vAlign w:val="center"/>
            <w:hideMark/>
          </w:tcPr>
          <w:p>
            <w:pPr>
              <w:rPr>
                <w:noProof/>
                <w:color w:val="000000"/>
                <w:sz w:val="16"/>
                <w:szCs w:val="16"/>
              </w:rPr>
            </w:pPr>
            <w:r>
              <w:rPr>
                <w:noProof/>
                <w:color w:val="000000"/>
                <w:sz w:val="16"/>
                <w:szCs w:val="16"/>
              </w:rPr>
              <w:t>Latvia</w:t>
            </w:r>
          </w:p>
        </w:tc>
        <w:tc>
          <w:tcPr>
            <w:tcW w:w="1440" w:type="dxa"/>
            <w:tcBorders>
              <w:top w:val="nil"/>
              <w:left w:val="nil"/>
              <w:bottom w:val="nil"/>
              <w:right w:val="single" w:sz="8" w:space="0" w:color="auto"/>
            </w:tcBorders>
            <w:shd w:val="clear" w:color="auto" w:fill="auto"/>
            <w:vAlign w:val="bottom"/>
          </w:tcPr>
          <w:p>
            <w:pPr>
              <w:jc w:val="right"/>
              <w:rPr>
                <w:noProof/>
                <w:color w:val="000000"/>
                <w:sz w:val="16"/>
                <w:szCs w:val="16"/>
              </w:rPr>
            </w:pPr>
            <w:r>
              <w:rPr>
                <w:noProof/>
                <w:sz w:val="16"/>
                <w:szCs w:val="16"/>
              </w:rPr>
              <w:t xml:space="preserve"> 179 251 974</w:t>
            </w:r>
          </w:p>
        </w:tc>
        <w:tc>
          <w:tcPr>
            <w:tcW w:w="1440" w:type="dxa"/>
            <w:tcBorders>
              <w:top w:val="nil"/>
              <w:left w:val="nil"/>
              <w:bottom w:val="nil"/>
              <w:right w:val="single" w:sz="8" w:space="0" w:color="auto"/>
            </w:tcBorders>
            <w:shd w:val="clear" w:color="auto" w:fill="auto"/>
            <w:vAlign w:val="bottom"/>
          </w:tcPr>
          <w:p>
            <w:pPr>
              <w:jc w:val="right"/>
              <w:rPr>
                <w:noProof/>
                <w:color w:val="000000"/>
                <w:sz w:val="16"/>
                <w:szCs w:val="16"/>
              </w:rPr>
            </w:pPr>
            <w:r>
              <w:rPr>
                <w:noProof/>
                <w:sz w:val="16"/>
                <w:szCs w:val="16"/>
              </w:rPr>
              <w:t>- 16 478 732</w:t>
            </w:r>
          </w:p>
        </w:tc>
        <w:tc>
          <w:tcPr>
            <w:tcW w:w="1440" w:type="dxa"/>
            <w:tcBorders>
              <w:top w:val="nil"/>
              <w:left w:val="nil"/>
              <w:bottom w:val="nil"/>
              <w:right w:val="single" w:sz="8" w:space="0" w:color="auto"/>
            </w:tcBorders>
            <w:shd w:val="clear" w:color="auto" w:fill="auto"/>
            <w:vAlign w:val="bottom"/>
          </w:tcPr>
          <w:p>
            <w:pPr>
              <w:jc w:val="right"/>
              <w:rPr>
                <w:noProof/>
                <w:color w:val="000000"/>
                <w:sz w:val="16"/>
                <w:szCs w:val="16"/>
              </w:rPr>
            </w:pPr>
            <w:r>
              <w:rPr>
                <w:noProof/>
                <w:sz w:val="16"/>
                <w:szCs w:val="16"/>
              </w:rPr>
              <w:t xml:space="preserve"> 162 773 242</w:t>
            </w:r>
          </w:p>
        </w:tc>
      </w:tr>
      <w:tr>
        <w:trPr>
          <w:trHeight w:val="251"/>
          <w:jc w:val="center"/>
        </w:trPr>
        <w:tc>
          <w:tcPr>
            <w:tcW w:w="1726" w:type="dxa"/>
            <w:tcBorders>
              <w:top w:val="nil"/>
              <w:left w:val="single" w:sz="8" w:space="0" w:color="auto"/>
              <w:bottom w:val="nil"/>
              <w:right w:val="single" w:sz="8" w:space="0" w:color="auto"/>
            </w:tcBorders>
            <w:shd w:val="clear" w:color="auto" w:fill="auto"/>
            <w:vAlign w:val="center"/>
            <w:hideMark/>
          </w:tcPr>
          <w:p>
            <w:pPr>
              <w:rPr>
                <w:noProof/>
                <w:color w:val="000000"/>
                <w:sz w:val="16"/>
                <w:szCs w:val="16"/>
              </w:rPr>
            </w:pPr>
            <w:r>
              <w:rPr>
                <w:noProof/>
                <w:color w:val="000000"/>
                <w:sz w:val="16"/>
                <w:szCs w:val="16"/>
              </w:rPr>
              <w:t>Lithuania</w:t>
            </w:r>
          </w:p>
        </w:tc>
        <w:tc>
          <w:tcPr>
            <w:tcW w:w="1440" w:type="dxa"/>
            <w:tcBorders>
              <w:top w:val="nil"/>
              <w:left w:val="nil"/>
              <w:bottom w:val="nil"/>
              <w:right w:val="single" w:sz="8" w:space="0" w:color="auto"/>
            </w:tcBorders>
            <w:shd w:val="clear" w:color="auto" w:fill="auto"/>
            <w:vAlign w:val="bottom"/>
          </w:tcPr>
          <w:p>
            <w:pPr>
              <w:jc w:val="right"/>
              <w:rPr>
                <w:noProof/>
                <w:color w:val="000000"/>
                <w:sz w:val="16"/>
                <w:szCs w:val="16"/>
              </w:rPr>
            </w:pPr>
            <w:r>
              <w:rPr>
                <w:noProof/>
                <w:sz w:val="16"/>
                <w:szCs w:val="16"/>
              </w:rPr>
              <w:t xml:space="preserve"> 265 124 885</w:t>
            </w:r>
          </w:p>
        </w:tc>
        <w:tc>
          <w:tcPr>
            <w:tcW w:w="1440" w:type="dxa"/>
            <w:tcBorders>
              <w:top w:val="nil"/>
              <w:left w:val="nil"/>
              <w:bottom w:val="nil"/>
              <w:right w:val="single" w:sz="8" w:space="0" w:color="auto"/>
            </w:tcBorders>
            <w:shd w:val="clear" w:color="auto" w:fill="auto"/>
            <w:vAlign w:val="bottom"/>
          </w:tcPr>
          <w:p>
            <w:pPr>
              <w:jc w:val="right"/>
              <w:rPr>
                <w:noProof/>
                <w:color w:val="000000"/>
                <w:sz w:val="16"/>
                <w:szCs w:val="16"/>
              </w:rPr>
            </w:pPr>
            <w:r>
              <w:rPr>
                <w:noProof/>
                <w:sz w:val="16"/>
                <w:szCs w:val="16"/>
              </w:rPr>
              <w:t>- 24 373 075</w:t>
            </w:r>
          </w:p>
        </w:tc>
        <w:tc>
          <w:tcPr>
            <w:tcW w:w="1440" w:type="dxa"/>
            <w:tcBorders>
              <w:top w:val="nil"/>
              <w:left w:val="nil"/>
              <w:bottom w:val="nil"/>
              <w:right w:val="single" w:sz="8" w:space="0" w:color="auto"/>
            </w:tcBorders>
            <w:shd w:val="clear" w:color="auto" w:fill="auto"/>
            <w:vAlign w:val="bottom"/>
          </w:tcPr>
          <w:p>
            <w:pPr>
              <w:jc w:val="right"/>
              <w:rPr>
                <w:noProof/>
                <w:color w:val="000000"/>
                <w:sz w:val="16"/>
                <w:szCs w:val="16"/>
              </w:rPr>
            </w:pPr>
            <w:r>
              <w:rPr>
                <w:noProof/>
                <w:sz w:val="16"/>
                <w:szCs w:val="16"/>
              </w:rPr>
              <w:t xml:space="preserve"> 240 751 810</w:t>
            </w:r>
          </w:p>
        </w:tc>
      </w:tr>
      <w:tr>
        <w:trPr>
          <w:trHeight w:val="251"/>
          <w:jc w:val="center"/>
        </w:trPr>
        <w:tc>
          <w:tcPr>
            <w:tcW w:w="1726" w:type="dxa"/>
            <w:tcBorders>
              <w:top w:val="nil"/>
              <w:left w:val="single" w:sz="8" w:space="0" w:color="auto"/>
              <w:bottom w:val="nil"/>
              <w:right w:val="single" w:sz="8" w:space="0" w:color="auto"/>
            </w:tcBorders>
            <w:shd w:val="clear" w:color="auto" w:fill="auto"/>
            <w:vAlign w:val="center"/>
            <w:hideMark/>
          </w:tcPr>
          <w:p>
            <w:pPr>
              <w:rPr>
                <w:noProof/>
                <w:color w:val="000000"/>
                <w:sz w:val="16"/>
                <w:szCs w:val="16"/>
              </w:rPr>
            </w:pPr>
            <w:r>
              <w:rPr>
                <w:noProof/>
                <w:color w:val="000000"/>
                <w:sz w:val="16"/>
                <w:szCs w:val="16"/>
              </w:rPr>
              <w:t>Luxembourg</w:t>
            </w:r>
          </w:p>
        </w:tc>
        <w:tc>
          <w:tcPr>
            <w:tcW w:w="1440" w:type="dxa"/>
            <w:tcBorders>
              <w:top w:val="nil"/>
              <w:left w:val="nil"/>
              <w:bottom w:val="nil"/>
              <w:right w:val="single" w:sz="8" w:space="0" w:color="auto"/>
            </w:tcBorders>
            <w:shd w:val="clear" w:color="auto" w:fill="auto"/>
            <w:vAlign w:val="bottom"/>
          </w:tcPr>
          <w:p>
            <w:pPr>
              <w:jc w:val="right"/>
              <w:rPr>
                <w:noProof/>
                <w:color w:val="000000"/>
                <w:sz w:val="16"/>
                <w:szCs w:val="16"/>
              </w:rPr>
            </w:pPr>
            <w:r>
              <w:rPr>
                <w:noProof/>
                <w:sz w:val="16"/>
                <w:szCs w:val="16"/>
              </w:rPr>
              <w:t xml:space="preserve"> 220 672 982</w:t>
            </w:r>
          </w:p>
        </w:tc>
        <w:tc>
          <w:tcPr>
            <w:tcW w:w="1440" w:type="dxa"/>
            <w:tcBorders>
              <w:top w:val="nil"/>
              <w:left w:val="nil"/>
              <w:bottom w:val="nil"/>
              <w:right w:val="single" w:sz="8" w:space="0" w:color="auto"/>
            </w:tcBorders>
            <w:shd w:val="clear" w:color="auto" w:fill="auto"/>
            <w:vAlign w:val="bottom"/>
          </w:tcPr>
          <w:p>
            <w:pPr>
              <w:jc w:val="right"/>
              <w:rPr>
                <w:noProof/>
                <w:color w:val="000000"/>
                <w:sz w:val="16"/>
                <w:szCs w:val="16"/>
              </w:rPr>
            </w:pPr>
            <w:r>
              <w:rPr>
                <w:noProof/>
                <w:sz w:val="16"/>
                <w:szCs w:val="16"/>
              </w:rPr>
              <w:t>- 20 286 587</w:t>
            </w:r>
          </w:p>
        </w:tc>
        <w:tc>
          <w:tcPr>
            <w:tcW w:w="1440" w:type="dxa"/>
            <w:tcBorders>
              <w:top w:val="nil"/>
              <w:left w:val="nil"/>
              <w:bottom w:val="nil"/>
              <w:right w:val="single" w:sz="8" w:space="0" w:color="auto"/>
            </w:tcBorders>
            <w:shd w:val="clear" w:color="auto" w:fill="auto"/>
            <w:vAlign w:val="bottom"/>
          </w:tcPr>
          <w:p>
            <w:pPr>
              <w:jc w:val="right"/>
              <w:rPr>
                <w:noProof/>
                <w:color w:val="000000"/>
                <w:sz w:val="16"/>
                <w:szCs w:val="16"/>
              </w:rPr>
            </w:pPr>
            <w:r>
              <w:rPr>
                <w:noProof/>
                <w:sz w:val="16"/>
                <w:szCs w:val="16"/>
              </w:rPr>
              <w:t xml:space="preserve"> 200 386 395</w:t>
            </w:r>
          </w:p>
        </w:tc>
      </w:tr>
      <w:tr>
        <w:trPr>
          <w:trHeight w:val="251"/>
          <w:jc w:val="center"/>
        </w:trPr>
        <w:tc>
          <w:tcPr>
            <w:tcW w:w="1726" w:type="dxa"/>
            <w:tcBorders>
              <w:top w:val="nil"/>
              <w:left w:val="single" w:sz="8" w:space="0" w:color="auto"/>
              <w:bottom w:val="nil"/>
              <w:right w:val="single" w:sz="8" w:space="0" w:color="auto"/>
            </w:tcBorders>
            <w:shd w:val="clear" w:color="auto" w:fill="auto"/>
            <w:vAlign w:val="center"/>
            <w:hideMark/>
          </w:tcPr>
          <w:p>
            <w:pPr>
              <w:rPr>
                <w:noProof/>
                <w:color w:val="000000"/>
                <w:sz w:val="16"/>
                <w:szCs w:val="16"/>
              </w:rPr>
            </w:pPr>
            <w:r>
              <w:rPr>
                <w:noProof/>
                <w:color w:val="000000"/>
                <w:sz w:val="16"/>
                <w:szCs w:val="16"/>
              </w:rPr>
              <w:t>Hungary</w:t>
            </w:r>
          </w:p>
        </w:tc>
        <w:tc>
          <w:tcPr>
            <w:tcW w:w="1440" w:type="dxa"/>
            <w:tcBorders>
              <w:top w:val="nil"/>
              <w:left w:val="nil"/>
              <w:bottom w:val="nil"/>
              <w:right w:val="single" w:sz="8" w:space="0" w:color="auto"/>
            </w:tcBorders>
            <w:shd w:val="clear" w:color="auto" w:fill="auto"/>
            <w:vAlign w:val="bottom"/>
          </w:tcPr>
          <w:p>
            <w:pPr>
              <w:jc w:val="right"/>
              <w:rPr>
                <w:noProof/>
                <w:color w:val="000000"/>
                <w:sz w:val="16"/>
                <w:szCs w:val="16"/>
              </w:rPr>
            </w:pPr>
            <w:r>
              <w:rPr>
                <w:noProof/>
                <w:sz w:val="16"/>
                <w:szCs w:val="16"/>
              </w:rPr>
              <w:t xml:space="preserve"> 749 838 714</w:t>
            </w:r>
          </w:p>
        </w:tc>
        <w:tc>
          <w:tcPr>
            <w:tcW w:w="1440" w:type="dxa"/>
            <w:tcBorders>
              <w:top w:val="nil"/>
              <w:left w:val="nil"/>
              <w:bottom w:val="nil"/>
              <w:right w:val="single" w:sz="8" w:space="0" w:color="auto"/>
            </w:tcBorders>
            <w:shd w:val="clear" w:color="auto" w:fill="auto"/>
            <w:vAlign w:val="bottom"/>
          </w:tcPr>
          <w:p>
            <w:pPr>
              <w:jc w:val="right"/>
              <w:rPr>
                <w:noProof/>
                <w:color w:val="000000"/>
                <w:sz w:val="16"/>
                <w:szCs w:val="16"/>
              </w:rPr>
            </w:pPr>
            <w:r>
              <w:rPr>
                <w:noProof/>
                <w:sz w:val="16"/>
                <w:szCs w:val="16"/>
              </w:rPr>
              <w:t>- 68 933 082</w:t>
            </w:r>
          </w:p>
        </w:tc>
        <w:tc>
          <w:tcPr>
            <w:tcW w:w="1440" w:type="dxa"/>
            <w:tcBorders>
              <w:top w:val="nil"/>
              <w:left w:val="nil"/>
              <w:bottom w:val="nil"/>
              <w:right w:val="single" w:sz="8" w:space="0" w:color="auto"/>
            </w:tcBorders>
            <w:shd w:val="clear" w:color="auto" w:fill="auto"/>
            <w:vAlign w:val="bottom"/>
          </w:tcPr>
          <w:p>
            <w:pPr>
              <w:jc w:val="right"/>
              <w:rPr>
                <w:noProof/>
                <w:color w:val="000000"/>
                <w:sz w:val="16"/>
                <w:szCs w:val="16"/>
              </w:rPr>
            </w:pPr>
            <w:r>
              <w:rPr>
                <w:noProof/>
                <w:sz w:val="16"/>
                <w:szCs w:val="16"/>
              </w:rPr>
              <w:t xml:space="preserve"> 680 905 632</w:t>
            </w:r>
          </w:p>
        </w:tc>
      </w:tr>
      <w:tr>
        <w:trPr>
          <w:trHeight w:val="251"/>
          <w:jc w:val="center"/>
        </w:trPr>
        <w:tc>
          <w:tcPr>
            <w:tcW w:w="1726" w:type="dxa"/>
            <w:tcBorders>
              <w:top w:val="nil"/>
              <w:left w:val="single" w:sz="8" w:space="0" w:color="auto"/>
              <w:bottom w:val="nil"/>
              <w:right w:val="single" w:sz="8" w:space="0" w:color="auto"/>
            </w:tcBorders>
            <w:shd w:val="clear" w:color="auto" w:fill="auto"/>
            <w:vAlign w:val="center"/>
            <w:hideMark/>
          </w:tcPr>
          <w:p>
            <w:pPr>
              <w:rPr>
                <w:noProof/>
                <w:color w:val="000000"/>
                <w:sz w:val="16"/>
                <w:szCs w:val="16"/>
              </w:rPr>
            </w:pPr>
            <w:r>
              <w:rPr>
                <w:noProof/>
                <w:color w:val="000000"/>
                <w:sz w:val="16"/>
                <w:szCs w:val="16"/>
              </w:rPr>
              <w:t>Malta</w:t>
            </w:r>
          </w:p>
        </w:tc>
        <w:tc>
          <w:tcPr>
            <w:tcW w:w="1440" w:type="dxa"/>
            <w:tcBorders>
              <w:top w:val="nil"/>
              <w:left w:val="nil"/>
              <w:bottom w:val="nil"/>
              <w:right w:val="single" w:sz="8" w:space="0" w:color="auto"/>
            </w:tcBorders>
            <w:shd w:val="clear" w:color="auto" w:fill="auto"/>
            <w:vAlign w:val="bottom"/>
          </w:tcPr>
          <w:p>
            <w:pPr>
              <w:jc w:val="right"/>
              <w:rPr>
                <w:noProof/>
                <w:color w:val="000000"/>
                <w:sz w:val="16"/>
                <w:szCs w:val="16"/>
              </w:rPr>
            </w:pPr>
            <w:r>
              <w:rPr>
                <w:noProof/>
                <w:sz w:val="16"/>
                <w:szCs w:val="16"/>
              </w:rPr>
              <w:t xml:space="preserve"> 57 924 570</w:t>
            </w:r>
          </w:p>
        </w:tc>
        <w:tc>
          <w:tcPr>
            <w:tcW w:w="1440" w:type="dxa"/>
            <w:tcBorders>
              <w:top w:val="nil"/>
              <w:left w:val="nil"/>
              <w:bottom w:val="nil"/>
              <w:right w:val="single" w:sz="8" w:space="0" w:color="auto"/>
            </w:tcBorders>
            <w:shd w:val="clear" w:color="auto" w:fill="auto"/>
            <w:vAlign w:val="bottom"/>
          </w:tcPr>
          <w:p>
            <w:pPr>
              <w:jc w:val="right"/>
              <w:rPr>
                <w:noProof/>
                <w:color w:val="000000"/>
                <w:sz w:val="16"/>
                <w:szCs w:val="16"/>
              </w:rPr>
            </w:pPr>
            <w:r>
              <w:rPr>
                <w:noProof/>
                <w:sz w:val="16"/>
                <w:szCs w:val="16"/>
              </w:rPr>
              <w:t>- 5 325 038</w:t>
            </w:r>
          </w:p>
        </w:tc>
        <w:tc>
          <w:tcPr>
            <w:tcW w:w="1440" w:type="dxa"/>
            <w:tcBorders>
              <w:top w:val="nil"/>
              <w:left w:val="nil"/>
              <w:bottom w:val="nil"/>
              <w:right w:val="single" w:sz="8" w:space="0" w:color="auto"/>
            </w:tcBorders>
            <w:shd w:val="clear" w:color="auto" w:fill="auto"/>
            <w:vAlign w:val="bottom"/>
          </w:tcPr>
          <w:p>
            <w:pPr>
              <w:jc w:val="right"/>
              <w:rPr>
                <w:noProof/>
                <w:color w:val="000000"/>
                <w:sz w:val="16"/>
                <w:szCs w:val="16"/>
              </w:rPr>
            </w:pPr>
            <w:r>
              <w:rPr>
                <w:noProof/>
                <w:sz w:val="16"/>
                <w:szCs w:val="16"/>
              </w:rPr>
              <w:t xml:space="preserve"> 52 599 532</w:t>
            </w:r>
          </w:p>
        </w:tc>
      </w:tr>
      <w:tr>
        <w:trPr>
          <w:trHeight w:val="251"/>
          <w:jc w:val="center"/>
        </w:trPr>
        <w:tc>
          <w:tcPr>
            <w:tcW w:w="1726" w:type="dxa"/>
            <w:tcBorders>
              <w:top w:val="nil"/>
              <w:left w:val="single" w:sz="8" w:space="0" w:color="auto"/>
              <w:bottom w:val="nil"/>
              <w:right w:val="single" w:sz="8" w:space="0" w:color="auto"/>
            </w:tcBorders>
            <w:shd w:val="clear" w:color="auto" w:fill="auto"/>
            <w:vAlign w:val="center"/>
            <w:hideMark/>
          </w:tcPr>
          <w:p>
            <w:pPr>
              <w:rPr>
                <w:noProof/>
                <w:color w:val="000000"/>
                <w:sz w:val="16"/>
                <w:szCs w:val="16"/>
              </w:rPr>
            </w:pPr>
            <w:r>
              <w:rPr>
                <w:noProof/>
                <w:color w:val="000000"/>
                <w:sz w:val="16"/>
                <w:szCs w:val="16"/>
              </w:rPr>
              <w:t>Netherlands</w:t>
            </w:r>
          </w:p>
        </w:tc>
        <w:tc>
          <w:tcPr>
            <w:tcW w:w="1440" w:type="dxa"/>
            <w:tcBorders>
              <w:top w:val="nil"/>
              <w:left w:val="nil"/>
              <w:bottom w:val="nil"/>
              <w:right w:val="single" w:sz="8" w:space="0" w:color="auto"/>
            </w:tcBorders>
            <w:shd w:val="clear" w:color="auto" w:fill="auto"/>
            <w:vAlign w:val="bottom"/>
          </w:tcPr>
          <w:p>
            <w:pPr>
              <w:jc w:val="right"/>
              <w:rPr>
                <w:noProof/>
                <w:color w:val="000000"/>
                <w:sz w:val="16"/>
                <w:szCs w:val="16"/>
              </w:rPr>
            </w:pPr>
            <w:r>
              <w:rPr>
                <w:noProof/>
                <w:sz w:val="16"/>
                <w:szCs w:val="16"/>
              </w:rPr>
              <w:t>4 802 411 377</w:t>
            </w:r>
          </w:p>
        </w:tc>
        <w:tc>
          <w:tcPr>
            <w:tcW w:w="1440" w:type="dxa"/>
            <w:tcBorders>
              <w:top w:val="nil"/>
              <w:left w:val="nil"/>
              <w:bottom w:val="nil"/>
              <w:right w:val="single" w:sz="8" w:space="0" w:color="auto"/>
            </w:tcBorders>
            <w:shd w:val="clear" w:color="auto" w:fill="auto"/>
            <w:vAlign w:val="bottom"/>
          </w:tcPr>
          <w:p>
            <w:pPr>
              <w:jc w:val="right"/>
              <w:rPr>
                <w:noProof/>
                <w:color w:val="000000"/>
                <w:sz w:val="16"/>
                <w:szCs w:val="16"/>
              </w:rPr>
            </w:pPr>
            <w:r>
              <w:rPr>
                <w:noProof/>
                <w:sz w:val="16"/>
                <w:szCs w:val="16"/>
              </w:rPr>
              <w:t>- 441 488 298</w:t>
            </w:r>
          </w:p>
        </w:tc>
        <w:tc>
          <w:tcPr>
            <w:tcW w:w="1440" w:type="dxa"/>
            <w:tcBorders>
              <w:top w:val="nil"/>
              <w:left w:val="nil"/>
              <w:bottom w:val="nil"/>
              <w:right w:val="single" w:sz="8" w:space="0" w:color="auto"/>
            </w:tcBorders>
            <w:shd w:val="clear" w:color="auto" w:fill="auto"/>
            <w:vAlign w:val="bottom"/>
          </w:tcPr>
          <w:p>
            <w:pPr>
              <w:jc w:val="right"/>
              <w:rPr>
                <w:noProof/>
                <w:color w:val="000000"/>
                <w:sz w:val="16"/>
                <w:szCs w:val="16"/>
              </w:rPr>
            </w:pPr>
            <w:r>
              <w:rPr>
                <w:noProof/>
                <w:sz w:val="16"/>
                <w:szCs w:val="16"/>
              </w:rPr>
              <w:t>4 360 923 079</w:t>
            </w:r>
          </w:p>
        </w:tc>
      </w:tr>
      <w:tr>
        <w:trPr>
          <w:trHeight w:val="251"/>
          <w:jc w:val="center"/>
        </w:trPr>
        <w:tc>
          <w:tcPr>
            <w:tcW w:w="1726" w:type="dxa"/>
            <w:tcBorders>
              <w:top w:val="nil"/>
              <w:left w:val="single" w:sz="8" w:space="0" w:color="auto"/>
              <w:bottom w:val="nil"/>
              <w:right w:val="single" w:sz="8" w:space="0" w:color="auto"/>
            </w:tcBorders>
            <w:shd w:val="clear" w:color="auto" w:fill="auto"/>
            <w:vAlign w:val="center"/>
            <w:hideMark/>
          </w:tcPr>
          <w:p>
            <w:pPr>
              <w:rPr>
                <w:noProof/>
                <w:color w:val="000000"/>
                <w:sz w:val="16"/>
                <w:szCs w:val="16"/>
              </w:rPr>
            </w:pPr>
            <w:r>
              <w:rPr>
                <w:noProof/>
                <w:color w:val="000000"/>
                <w:sz w:val="16"/>
                <w:szCs w:val="16"/>
              </w:rPr>
              <w:t>Austria</w:t>
            </w:r>
          </w:p>
        </w:tc>
        <w:tc>
          <w:tcPr>
            <w:tcW w:w="1440" w:type="dxa"/>
            <w:tcBorders>
              <w:top w:val="nil"/>
              <w:left w:val="nil"/>
              <w:bottom w:val="nil"/>
              <w:right w:val="single" w:sz="8" w:space="0" w:color="auto"/>
            </w:tcBorders>
            <w:shd w:val="clear" w:color="auto" w:fill="auto"/>
            <w:vAlign w:val="bottom"/>
          </w:tcPr>
          <w:p>
            <w:pPr>
              <w:jc w:val="right"/>
              <w:rPr>
                <w:noProof/>
                <w:color w:val="000000"/>
                <w:sz w:val="16"/>
                <w:szCs w:val="16"/>
              </w:rPr>
            </w:pPr>
            <w:r>
              <w:rPr>
                <w:noProof/>
                <w:sz w:val="16"/>
                <w:szCs w:val="16"/>
              </w:rPr>
              <w:t>2 333 565 332</w:t>
            </w:r>
          </w:p>
        </w:tc>
        <w:tc>
          <w:tcPr>
            <w:tcW w:w="1440" w:type="dxa"/>
            <w:tcBorders>
              <w:top w:val="nil"/>
              <w:left w:val="nil"/>
              <w:bottom w:val="nil"/>
              <w:right w:val="single" w:sz="8" w:space="0" w:color="auto"/>
            </w:tcBorders>
            <w:shd w:val="clear" w:color="auto" w:fill="auto"/>
            <w:vAlign w:val="bottom"/>
          </w:tcPr>
          <w:p>
            <w:pPr>
              <w:jc w:val="right"/>
              <w:rPr>
                <w:noProof/>
                <w:color w:val="000000"/>
                <w:sz w:val="16"/>
                <w:szCs w:val="16"/>
              </w:rPr>
            </w:pPr>
            <w:r>
              <w:rPr>
                <w:noProof/>
                <w:sz w:val="16"/>
                <w:szCs w:val="16"/>
              </w:rPr>
              <w:t>- 214 525 934</w:t>
            </w:r>
          </w:p>
        </w:tc>
        <w:tc>
          <w:tcPr>
            <w:tcW w:w="1440" w:type="dxa"/>
            <w:tcBorders>
              <w:top w:val="nil"/>
              <w:left w:val="nil"/>
              <w:bottom w:val="nil"/>
              <w:right w:val="single" w:sz="8" w:space="0" w:color="auto"/>
            </w:tcBorders>
            <w:shd w:val="clear" w:color="auto" w:fill="auto"/>
            <w:vAlign w:val="bottom"/>
          </w:tcPr>
          <w:p>
            <w:pPr>
              <w:jc w:val="right"/>
              <w:rPr>
                <w:noProof/>
                <w:color w:val="000000"/>
                <w:sz w:val="16"/>
                <w:szCs w:val="16"/>
              </w:rPr>
            </w:pPr>
            <w:r>
              <w:rPr>
                <w:noProof/>
                <w:sz w:val="16"/>
                <w:szCs w:val="16"/>
              </w:rPr>
              <w:t>2 119 039 398</w:t>
            </w:r>
          </w:p>
        </w:tc>
      </w:tr>
      <w:tr>
        <w:trPr>
          <w:trHeight w:val="251"/>
          <w:jc w:val="center"/>
        </w:trPr>
        <w:tc>
          <w:tcPr>
            <w:tcW w:w="1726" w:type="dxa"/>
            <w:tcBorders>
              <w:top w:val="nil"/>
              <w:left w:val="single" w:sz="8" w:space="0" w:color="auto"/>
              <w:bottom w:val="nil"/>
              <w:right w:val="single" w:sz="8" w:space="0" w:color="auto"/>
            </w:tcBorders>
            <w:shd w:val="clear" w:color="auto" w:fill="auto"/>
            <w:vAlign w:val="center"/>
            <w:hideMark/>
          </w:tcPr>
          <w:p>
            <w:pPr>
              <w:rPr>
                <w:noProof/>
                <w:color w:val="000000"/>
                <w:sz w:val="16"/>
                <w:szCs w:val="16"/>
              </w:rPr>
            </w:pPr>
            <w:r>
              <w:rPr>
                <w:noProof/>
                <w:color w:val="000000"/>
                <w:sz w:val="16"/>
                <w:szCs w:val="16"/>
              </w:rPr>
              <w:t>Poland</w:t>
            </w:r>
          </w:p>
        </w:tc>
        <w:tc>
          <w:tcPr>
            <w:tcW w:w="1440" w:type="dxa"/>
            <w:tcBorders>
              <w:top w:val="nil"/>
              <w:left w:val="nil"/>
              <w:bottom w:val="nil"/>
              <w:right w:val="single" w:sz="8" w:space="0" w:color="auto"/>
            </w:tcBorders>
            <w:shd w:val="clear" w:color="auto" w:fill="auto"/>
            <w:vAlign w:val="bottom"/>
          </w:tcPr>
          <w:p>
            <w:pPr>
              <w:jc w:val="right"/>
              <w:rPr>
                <w:noProof/>
                <w:color w:val="000000"/>
                <w:sz w:val="16"/>
                <w:szCs w:val="16"/>
              </w:rPr>
            </w:pPr>
            <w:r>
              <w:rPr>
                <w:noProof/>
                <w:sz w:val="16"/>
                <w:szCs w:val="16"/>
              </w:rPr>
              <w:t>2 913 421 073</w:t>
            </w:r>
          </w:p>
        </w:tc>
        <w:tc>
          <w:tcPr>
            <w:tcW w:w="1440" w:type="dxa"/>
            <w:tcBorders>
              <w:top w:val="nil"/>
              <w:left w:val="nil"/>
              <w:bottom w:val="nil"/>
              <w:right w:val="single" w:sz="8" w:space="0" w:color="auto"/>
            </w:tcBorders>
            <w:shd w:val="clear" w:color="auto" w:fill="auto"/>
            <w:vAlign w:val="bottom"/>
          </w:tcPr>
          <w:p>
            <w:pPr>
              <w:jc w:val="right"/>
              <w:rPr>
                <w:noProof/>
                <w:color w:val="000000"/>
                <w:sz w:val="16"/>
                <w:szCs w:val="16"/>
              </w:rPr>
            </w:pPr>
            <w:r>
              <w:rPr>
                <w:noProof/>
                <w:sz w:val="16"/>
                <w:szCs w:val="16"/>
              </w:rPr>
              <w:t>- 267 832 388</w:t>
            </w:r>
          </w:p>
        </w:tc>
        <w:tc>
          <w:tcPr>
            <w:tcW w:w="1440" w:type="dxa"/>
            <w:tcBorders>
              <w:top w:val="nil"/>
              <w:left w:val="nil"/>
              <w:bottom w:val="nil"/>
              <w:right w:val="single" w:sz="8" w:space="0" w:color="auto"/>
            </w:tcBorders>
            <w:shd w:val="clear" w:color="auto" w:fill="auto"/>
            <w:vAlign w:val="bottom"/>
          </w:tcPr>
          <w:p>
            <w:pPr>
              <w:jc w:val="right"/>
              <w:rPr>
                <w:noProof/>
                <w:color w:val="000000"/>
                <w:sz w:val="16"/>
                <w:szCs w:val="16"/>
              </w:rPr>
            </w:pPr>
            <w:r>
              <w:rPr>
                <w:noProof/>
                <w:sz w:val="16"/>
                <w:szCs w:val="16"/>
              </w:rPr>
              <w:t>2 645 588 685</w:t>
            </w:r>
          </w:p>
        </w:tc>
      </w:tr>
      <w:tr>
        <w:trPr>
          <w:trHeight w:val="251"/>
          <w:jc w:val="center"/>
        </w:trPr>
        <w:tc>
          <w:tcPr>
            <w:tcW w:w="1726" w:type="dxa"/>
            <w:tcBorders>
              <w:top w:val="nil"/>
              <w:left w:val="single" w:sz="8" w:space="0" w:color="auto"/>
              <w:bottom w:val="nil"/>
              <w:right w:val="single" w:sz="8" w:space="0" w:color="auto"/>
            </w:tcBorders>
            <w:shd w:val="clear" w:color="auto" w:fill="auto"/>
            <w:vAlign w:val="center"/>
            <w:hideMark/>
          </w:tcPr>
          <w:p>
            <w:pPr>
              <w:rPr>
                <w:noProof/>
                <w:color w:val="000000"/>
                <w:sz w:val="16"/>
                <w:szCs w:val="16"/>
              </w:rPr>
            </w:pPr>
            <w:r>
              <w:rPr>
                <w:noProof/>
                <w:color w:val="000000"/>
                <w:sz w:val="16"/>
                <w:szCs w:val="16"/>
              </w:rPr>
              <w:t>Portugal</w:t>
            </w:r>
          </w:p>
        </w:tc>
        <w:tc>
          <w:tcPr>
            <w:tcW w:w="1440" w:type="dxa"/>
            <w:tcBorders>
              <w:top w:val="nil"/>
              <w:left w:val="nil"/>
              <w:bottom w:val="nil"/>
              <w:right w:val="single" w:sz="8" w:space="0" w:color="auto"/>
            </w:tcBorders>
            <w:shd w:val="clear" w:color="auto" w:fill="auto"/>
            <w:vAlign w:val="bottom"/>
          </w:tcPr>
          <w:p>
            <w:pPr>
              <w:jc w:val="right"/>
              <w:rPr>
                <w:noProof/>
                <w:color w:val="000000"/>
                <w:sz w:val="16"/>
                <w:szCs w:val="16"/>
              </w:rPr>
            </w:pPr>
            <w:r>
              <w:rPr>
                <w:noProof/>
                <w:sz w:val="16"/>
                <w:szCs w:val="16"/>
              </w:rPr>
              <w:t>1 245 527 807</w:t>
            </w:r>
          </w:p>
        </w:tc>
        <w:tc>
          <w:tcPr>
            <w:tcW w:w="1440" w:type="dxa"/>
            <w:tcBorders>
              <w:top w:val="nil"/>
              <w:left w:val="nil"/>
              <w:bottom w:val="nil"/>
              <w:right w:val="single" w:sz="8" w:space="0" w:color="auto"/>
            </w:tcBorders>
            <w:shd w:val="clear" w:color="auto" w:fill="auto"/>
            <w:vAlign w:val="bottom"/>
          </w:tcPr>
          <w:p>
            <w:pPr>
              <w:jc w:val="right"/>
              <w:rPr>
                <w:noProof/>
                <w:color w:val="000000"/>
                <w:sz w:val="16"/>
                <w:szCs w:val="16"/>
              </w:rPr>
            </w:pPr>
            <w:r>
              <w:rPr>
                <w:noProof/>
                <w:sz w:val="16"/>
                <w:szCs w:val="16"/>
              </w:rPr>
              <w:t>- 114 502 050</w:t>
            </w:r>
          </w:p>
        </w:tc>
        <w:tc>
          <w:tcPr>
            <w:tcW w:w="1440" w:type="dxa"/>
            <w:tcBorders>
              <w:top w:val="nil"/>
              <w:left w:val="nil"/>
              <w:bottom w:val="nil"/>
              <w:right w:val="single" w:sz="8" w:space="0" w:color="auto"/>
            </w:tcBorders>
            <w:shd w:val="clear" w:color="auto" w:fill="auto"/>
            <w:vAlign w:val="bottom"/>
          </w:tcPr>
          <w:p>
            <w:pPr>
              <w:jc w:val="right"/>
              <w:rPr>
                <w:noProof/>
                <w:color w:val="000000"/>
                <w:sz w:val="16"/>
                <w:szCs w:val="16"/>
              </w:rPr>
            </w:pPr>
            <w:r>
              <w:rPr>
                <w:noProof/>
                <w:sz w:val="16"/>
                <w:szCs w:val="16"/>
              </w:rPr>
              <w:t>1 131 025 757</w:t>
            </w:r>
          </w:p>
        </w:tc>
      </w:tr>
      <w:tr>
        <w:trPr>
          <w:trHeight w:val="251"/>
          <w:jc w:val="center"/>
        </w:trPr>
        <w:tc>
          <w:tcPr>
            <w:tcW w:w="1726" w:type="dxa"/>
            <w:tcBorders>
              <w:top w:val="nil"/>
              <w:left w:val="single" w:sz="8" w:space="0" w:color="auto"/>
              <w:bottom w:val="nil"/>
              <w:right w:val="single" w:sz="8" w:space="0" w:color="auto"/>
            </w:tcBorders>
            <w:shd w:val="clear" w:color="auto" w:fill="auto"/>
            <w:vAlign w:val="center"/>
            <w:hideMark/>
          </w:tcPr>
          <w:p>
            <w:pPr>
              <w:rPr>
                <w:noProof/>
                <w:color w:val="000000"/>
                <w:sz w:val="16"/>
                <w:szCs w:val="16"/>
              </w:rPr>
            </w:pPr>
            <w:r>
              <w:rPr>
                <w:noProof/>
                <w:color w:val="000000"/>
                <w:sz w:val="16"/>
                <w:szCs w:val="16"/>
              </w:rPr>
              <w:t>Romania</w:t>
            </w:r>
          </w:p>
        </w:tc>
        <w:tc>
          <w:tcPr>
            <w:tcW w:w="1440" w:type="dxa"/>
            <w:tcBorders>
              <w:top w:val="nil"/>
              <w:left w:val="nil"/>
              <w:bottom w:val="nil"/>
              <w:right w:val="single" w:sz="8" w:space="0" w:color="auto"/>
            </w:tcBorders>
            <w:shd w:val="clear" w:color="auto" w:fill="auto"/>
            <w:vAlign w:val="bottom"/>
          </w:tcPr>
          <w:p>
            <w:pPr>
              <w:jc w:val="right"/>
              <w:rPr>
                <w:noProof/>
                <w:color w:val="000000"/>
                <w:sz w:val="16"/>
                <w:szCs w:val="16"/>
              </w:rPr>
            </w:pPr>
            <w:r>
              <w:rPr>
                <w:noProof/>
                <w:sz w:val="16"/>
                <w:szCs w:val="16"/>
              </w:rPr>
              <w:t>1 106 037 387</w:t>
            </w:r>
          </w:p>
        </w:tc>
        <w:tc>
          <w:tcPr>
            <w:tcW w:w="1440" w:type="dxa"/>
            <w:tcBorders>
              <w:top w:val="nil"/>
              <w:left w:val="nil"/>
              <w:bottom w:val="nil"/>
              <w:right w:val="single" w:sz="8" w:space="0" w:color="auto"/>
            </w:tcBorders>
            <w:shd w:val="clear" w:color="auto" w:fill="auto"/>
            <w:vAlign w:val="bottom"/>
          </w:tcPr>
          <w:p>
            <w:pPr>
              <w:jc w:val="right"/>
              <w:rPr>
                <w:noProof/>
                <w:color w:val="000000"/>
                <w:sz w:val="16"/>
                <w:szCs w:val="16"/>
              </w:rPr>
            </w:pPr>
            <w:r>
              <w:rPr>
                <w:noProof/>
                <w:sz w:val="16"/>
                <w:szCs w:val="16"/>
              </w:rPr>
              <w:t>- 101 678 620</w:t>
            </w:r>
          </w:p>
        </w:tc>
        <w:tc>
          <w:tcPr>
            <w:tcW w:w="1440" w:type="dxa"/>
            <w:tcBorders>
              <w:top w:val="nil"/>
              <w:left w:val="nil"/>
              <w:bottom w:val="nil"/>
              <w:right w:val="single" w:sz="8" w:space="0" w:color="auto"/>
            </w:tcBorders>
            <w:shd w:val="clear" w:color="auto" w:fill="auto"/>
            <w:vAlign w:val="bottom"/>
          </w:tcPr>
          <w:p>
            <w:pPr>
              <w:jc w:val="right"/>
              <w:rPr>
                <w:noProof/>
                <w:color w:val="000000"/>
                <w:sz w:val="16"/>
                <w:szCs w:val="16"/>
              </w:rPr>
            </w:pPr>
            <w:r>
              <w:rPr>
                <w:noProof/>
                <w:sz w:val="16"/>
                <w:szCs w:val="16"/>
              </w:rPr>
              <w:t>1 004 358 767</w:t>
            </w:r>
          </w:p>
        </w:tc>
      </w:tr>
      <w:tr>
        <w:trPr>
          <w:trHeight w:val="251"/>
          <w:jc w:val="center"/>
        </w:trPr>
        <w:tc>
          <w:tcPr>
            <w:tcW w:w="1726" w:type="dxa"/>
            <w:tcBorders>
              <w:top w:val="nil"/>
              <w:left w:val="single" w:sz="8" w:space="0" w:color="auto"/>
              <w:bottom w:val="nil"/>
              <w:right w:val="single" w:sz="8" w:space="0" w:color="auto"/>
            </w:tcBorders>
            <w:shd w:val="clear" w:color="auto" w:fill="auto"/>
            <w:vAlign w:val="center"/>
            <w:hideMark/>
          </w:tcPr>
          <w:p>
            <w:pPr>
              <w:rPr>
                <w:noProof/>
                <w:color w:val="000000"/>
                <w:sz w:val="16"/>
                <w:szCs w:val="16"/>
              </w:rPr>
            </w:pPr>
            <w:r>
              <w:rPr>
                <w:noProof/>
                <w:color w:val="000000"/>
                <w:sz w:val="16"/>
                <w:szCs w:val="16"/>
              </w:rPr>
              <w:t>Slovenia</w:t>
            </w:r>
          </w:p>
        </w:tc>
        <w:tc>
          <w:tcPr>
            <w:tcW w:w="1440" w:type="dxa"/>
            <w:tcBorders>
              <w:top w:val="nil"/>
              <w:left w:val="nil"/>
              <w:bottom w:val="nil"/>
              <w:right w:val="single" w:sz="8" w:space="0" w:color="auto"/>
            </w:tcBorders>
            <w:shd w:val="clear" w:color="auto" w:fill="auto"/>
            <w:vAlign w:val="bottom"/>
          </w:tcPr>
          <w:p>
            <w:pPr>
              <w:jc w:val="right"/>
              <w:rPr>
                <w:noProof/>
                <w:color w:val="000000"/>
                <w:sz w:val="16"/>
                <w:szCs w:val="16"/>
              </w:rPr>
            </w:pPr>
            <w:r>
              <w:rPr>
                <w:noProof/>
                <w:sz w:val="16"/>
                <w:szCs w:val="16"/>
              </w:rPr>
              <w:t xml:space="preserve"> 267 427 364</w:t>
            </w:r>
          </w:p>
        </w:tc>
        <w:tc>
          <w:tcPr>
            <w:tcW w:w="1440" w:type="dxa"/>
            <w:tcBorders>
              <w:top w:val="nil"/>
              <w:left w:val="nil"/>
              <w:bottom w:val="nil"/>
              <w:right w:val="single" w:sz="8" w:space="0" w:color="auto"/>
            </w:tcBorders>
            <w:shd w:val="clear" w:color="auto" w:fill="auto"/>
            <w:vAlign w:val="bottom"/>
          </w:tcPr>
          <w:p>
            <w:pPr>
              <w:jc w:val="right"/>
              <w:rPr>
                <w:noProof/>
                <w:color w:val="000000"/>
                <w:sz w:val="16"/>
                <w:szCs w:val="16"/>
              </w:rPr>
            </w:pPr>
            <w:r>
              <w:rPr>
                <w:noProof/>
                <w:sz w:val="16"/>
                <w:szCs w:val="16"/>
              </w:rPr>
              <w:t>- 24 584 744</w:t>
            </w:r>
          </w:p>
        </w:tc>
        <w:tc>
          <w:tcPr>
            <w:tcW w:w="1440" w:type="dxa"/>
            <w:tcBorders>
              <w:top w:val="nil"/>
              <w:left w:val="nil"/>
              <w:bottom w:val="nil"/>
              <w:right w:val="single" w:sz="8" w:space="0" w:color="auto"/>
            </w:tcBorders>
            <w:shd w:val="clear" w:color="auto" w:fill="auto"/>
            <w:vAlign w:val="bottom"/>
          </w:tcPr>
          <w:p>
            <w:pPr>
              <w:jc w:val="right"/>
              <w:rPr>
                <w:noProof/>
                <w:color w:val="000000"/>
                <w:sz w:val="16"/>
                <w:szCs w:val="16"/>
              </w:rPr>
            </w:pPr>
            <w:r>
              <w:rPr>
                <w:noProof/>
                <w:sz w:val="16"/>
                <w:szCs w:val="16"/>
              </w:rPr>
              <w:t xml:space="preserve"> 242 842 620</w:t>
            </w:r>
          </w:p>
        </w:tc>
      </w:tr>
      <w:tr>
        <w:trPr>
          <w:trHeight w:val="251"/>
          <w:jc w:val="center"/>
        </w:trPr>
        <w:tc>
          <w:tcPr>
            <w:tcW w:w="1726" w:type="dxa"/>
            <w:tcBorders>
              <w:top w:val="nil"/>
              <w:left w:val="single" w:sz="8" w:space="0" w:color="auto"/>
              <w:bottom w:val="nil"/>
              <w:right w:val="single" w:sz="8" w:space="0" w:color="auto"/>
            </w:tcBorders>
            <w:shd w:val="clear" w:color="auto" w:fill="auto"/>
            <w:vAlign w:val="center"/>
            <w:hideMark/>
          </w:tcPr>
          <w:p>
            <w:pPr>
              <w:rPr>
                <w:noProof/>
                <w:color w:val="000000"/>
                <w:sz w:val="16"/>
                <w:szCs w:val="16"/>
              </w:rPr>
            </w:pPr>
            <w:r>
              <w:rPr>
                <w:noProof/>
                <w:color w:val="000000"/>
                <w:sz w:val="16"/>
                <w:szCs w:val="16"/>
              </w:rPr>
              <w:t>Slovakia</w:t>
            </w:r>
          </w:p>
        </w:tc>
        <w:tc>
          <w:tcPr>
            <w:tcW w:w="1440" w:type="dxa"/>
            <w:tcBorders>
              <w:top w:val="nil"/>
              <w:left w:val="nil"/>
              <w:bottom w:val="nil"/>
              <w:right w:val="single" w:sz="8" w:space="0" w:color="auto"/>
            </w:tcBorders>
            <w:shd w:val="clear" w:color="auto" w:fill="auto"/>
            <w:vAlign w:val="bottom"/>
          </w:tcPr>
          <w:p>
            <w:pPr>
              <w:jc w:val="right"/>
              <w:rPr>
                <w:noProof/>
                <w:color w:val="000000"/>
                <w:sz w:val="16"/>
                <w:szCs w:val="16"/>
              </w:rPr>
            </w:pPr>
            <w:r>
              <w:rPr>
                <w:noProof/>
                <w:sz w:val="16"/>
                <w:szCs w:val="16"/>
              </w:rPr>
              <w:t xml:space="preserve"> 537 365 257</w:t>
            </w:r>
          </w:p>
        </w:tc>
        <w:tc>
          <w:tcPr>
            <w:tcW w:w="1440" w:type="dxa"/>
            <w:tcBorders>
              <w:top w:val="nil"/>
              <w:left w:val="nil"/>
              <w:bottom w:val="nil"/>
              <w:right w:val="single" w:sz="8" w:space="0" w:color="auto"/>
            </w:tcBorders>
            <w:shd w:val="clear" w:color="auto" w:fill="auto"/>
            <w:vAlign w:val="bottom"/>
          </w:tcPr>
          <w:p>
            <w:pPr>
              <w:jc w:val="right"/>
              <w:rPr>
                <w:noProof/>
                <w:color w:val="000000"/>
                <w:sz w:val="16"/>
                <w:szCs w:val="16"/>
              </w:rPr>
            </w:pPr>
            <w:r>
              <w:rPr>
                <w:noProof/>
                <w:sz w:val="16"/>
                <w:szCs w:val="16"/>
              </w:rPr>
              <w:t>- 49 400 281</w:t>
            </w:r>
          </w:p>
        </w:tc>
        <w:tc>
          <w:tcPr>
            <w:tcW w:w="1440" w:type="dxa"/>
            <w:tcBorders>
              <w:top w:val="nil"/>
              <w:left w:val="nil"/>
              <w:bottom w:val="nil"/>
              <w:right w:val="single" w:sz="8" w:space="0" w:color="auto"/>
            </w:tcBorders>
            <w:shd w:val="clear" w:color="auto" w:fill="auto"/>
            <w:vAlign w:val="bottom"/>
          </w:tcPr>
          <w:p>
            <w:pPr>
              <w:jc w:val="right"/>
              <w:rPr>
                <w:noProof/>
                <w:color w:val="000000"/>
                <w:sz w:val="16"/>
                <w:szCs w:val="16"/>
              </w:rPr>
            </w:pPr>
            <w:r>
              <w:rPr>
                <w:noProof/>
                <w:sz w:val="16"/>
                <w:szCs w:val="16"/>
              </w:rPr>
              <w:t xml:space="preserve"> 487 964 976</w:t>
            </w:r>
          </w:p>
        </w:tc>
      </w:tr>
      <w:tr>
        <w:trPr>
          <w:trHeight w:val="251"/>
          <w:jc w:val="center"/>
        </w:trPr>
        <w:tc>
          <w:tcPr>
            <w:tcW w:w="1726" w:type="dxa"/>
            <w:tcBorders>
              <w:top w:val="nil"/>
              <w:left w:val="single" w:sz="8" w:space="0" w:color="auto"/>
              <w:bottom w:val="nil"/>
              <w:right w:val="single" w:sz="8" w:space="0" w:color="auto"/>
            </w:tcBorders>
            <w:shd w:val="clear" w:color="auto" w:fill="auto"/>
            <w:vAlign w:val="center"/>
            <w:hideMark/>
          </w:tcPr>
          <w:p>
            <w:pPr>
              <w:rPr>
                <w:noProof/>
                <w:color w:val="000000"/>
                <w:sz w:val="16"/>
                <w:szCs w:val="16"/>
              </w:rPr>
            </w:pPr>
            <w:r>
              <w:rPr>
                <w:noProof/>
                <w:color w:val="000000"/>
                <w:sz w:val="16"/>
                <w:szCs w:val="16"/>
              </w:rPr>
              <w:t>Finland</w:t>
            </w:r>
          </w:p>
        </w:tc>
        <w:tc>
          <w:tcPr>
            <w:tcW w:w="1440" w:type="dxa"/>
            <w:tcBorders>
              <w:top w:val="nil"/>
              <w:left w:val="nil"/>
              <w:bottom w:val="nil"/>
              <w:right w:val="single" w:sz="8" w:space="0" w:color="auto"/>
            </w:tcBorders>
            <w:shd w:val="clear" w:color="auto" w:fill="auto"/>
            <w:vAlign w:val="bottom"/>
          </w:tcPr>
          <w:p>
            <w:pPr>
              <w:jc w:val="right"/>
              <w:rPr>
                <w:noProof/>
                <w:color w:val="000000"/>
                <w:sz w:val="16"/>
                <w:szCs w:val="16"/>
              </w:rPr>
            </w:pPr>
            <w:r>
              <w:rPr>
                <w:noProof/>
                <w:sz w:val="16"/>
                <w:szCs w:val="16"/>
              </w:rPr>
              <w:t>1 452 033 370</w:t>
            </w:r>
          </w:p>
        </w:tc>
        <w:tc>
          <w:tcPr>
            <w:tcW w:w="1440" w:type="dxa"/>
            <w:tcBorders>
              <w:top w:val="nil"/>
              <w:left w:val="nil"/>
              <w:bottom w:val="nil"/>
              <w:right w:val="single" w:sz="8" w:space="0" w:color="auto"/>
            </w:tcBorders>
            <w:shd w:val="clear" w:color="auto" w:fill="auto"/>
            <w:vAlign w:val="bottom"/>
          </w:tcPr>
          <w:p>
            <w:pPr>
              <w:jc w:val="right"/>
              <w:rPr>
                <w:noProof/>
                <w:color w:val="000000"/>
                <w:sz w:val="16"/>
                <w:szCs w:val="16"/>
              </w:rPr>
            </w:pPr>
            <w:r>
              <w:rPr>
                <w:noProof/>
                <w:sz w:val="16"/>
                <w:szCs w:val="16"/>
              </w:rPr>
              <w:t>- 133 486 220</w:t>
            </w:r>
          </w:p>
        </w:tc>
        <w:tc>
          <w:tcPr>
            <w:tcW w:w="1440" w:type="dxa"/>
            <w:tcBorders>
              <w:top w:val="nil"/>
              <w:left w:val="nil"/>
              <w:bottom w:val="nil"/>
              <w:right w:val="single" w:sz="8" w:space="0" w:color="auto"/>
            </w:tcBorders>
            <w:shd w:val="clear" w:color="auto" w:fill="auto"/>
            <w:vAlign w:val="bottom"/>
          </w:tcPr>
          <w:p>
            <w:pPr>
              <w:jc w:val="right"/>
              <w:rPr>
                <w:noProof/>
                <w:color w:val="000000"/>
                <w:sz w:val="16"/>
                <w:szCs w:val="16"/>
              </w:rPr>
            </w:pPr>
            <w:r>
              <w:rPr>
                <w:noProof/>
                <w:sz w:val="16"/>
                <w:szCs w:val="16"/>
              </w:rPr>
              <w:t>1 318 547 150</w:t>
            </w:r>
          </w:p>
        </w:tc>
      </w:tr>
      <w:tr>
        <w:trPr>
          <w:trHeight w:val="251"/>
          <w:jc w:val="center"/>
        </w:trPr>
        <w:tc>
          <w:tcPr>
            <w:tcW w:w="1726" w:type="dxa"/>
            <w:tcBorders>
              <w:top w:val="nil"/>
              <w:left w:val="single" w:sz="8" w:space="0" w:color="auto"/>
              <w:bottom w:val="nil"/>
              <w:right w:val="single" w:sz="8" w:space="0" w:color="auto"/>
            </w:tcBorders>
            <w:shd w:val="clear" w:color="auto" w:fill="auto"/>
            <w:vAlign w:val="center"/>
            <w:hideMark/>
          </w:tcPr>
          <w:p>
            <w:pPr>
              <w:rPr>
                <w:noProof/>
                <w:color w:val="000000"/>
                <w:sz w:val="16"/>
                <w:szCs w:val="16"/>
              </w:rPr>
            </w:pPr>
            <w:r>
              <w:rPr>
                <w:noProof/>
                <w:color w:val="000000"/>
                <w:sz w:val="16"/>
                <w:szCs w:val="16"/>
              </w:rPr>
              <w:t>Sweden</w:t>
            </w:r>
          </w:p>
        </w:tc>
        <w:tc>
          <w:tcPr>
            <w:tcW w:w="1440" w:type="dxa"/>
            <w:tcBorders>
              <w:top w:val="nil"/>
              <w:left w:val="nil"/>
              <w:bottom w:val="nil"/>
              <w:right w:val="single" w:sz="8" w:space="0" w:color="auto"/>
            </w:tcBorders>
            <w:shd w:val="clear" w:color="auto" w:fill="auto"/>
            <w:vAlign w:val="bottom"/>
          </w:tcPr>
          <w:p>
            <w:pPr>
              <w:jc w:val="right"/>
              <w:rPr>
                <w:noProof/>
                <w:color w:val="000000"/>
                <w:sz w:val="16"/>
                <w:szCs w:val="16"/>
              </w:rPr>
            </w:pPr>
            <w:r>
              <w:rPr>
                <w:noProof/>
                <w:sz w:val="16"/>
                <w:szCs w:val="16"/>
              </w:rPr>
              <w:t>3 135 321 563</w:t>
            </w:r>
          </w:p>
        </w:tc>
        <w:tc>
          <w:tcPr>
            <w:tcW w:w="1440" w:type="dxa"/>
            <w:tcBorders>
              <w:top w:val="nil"/>
              <w:left w:val="nil"/>
              <w:bottom w:val="nil"/>
              <w:right w:val="single" w:sz="8" w:space="0" w:color="auto"/>
            </w:tcBorders>
            <w:shd w:val="clear" w:color="auto" w:fill="auto"/>
            <w:vAlign w:val="bottom"/>
          </w:tcPr>
          <w:p>
            <w:pPr>
              <w:jc w:val="right"/>
              <w:rPr>
                <w:noProof/>
                <w:color w:val="000000"/>
                <w:sz w:val="16"/>
                <w:szCs w:val="16"/>
              </w:rPr>
            </w:pPr>
            <w:r>
              <w:rPr>
                <w:noProof/>
                <w:sz w:val="16"/>
                <w:szCs w:val="16"/>
              </w:rPr>
              <w:t>- 288 231 821</w:t>
            </w:r>
          </w:p>
        </w:tc>
        <w:tc>
          <w:tcPr>
            <w:tcW w:w="1440" w:type="dxa"/>
            <w:tcBorders>
              <w:top w:val="nil"/>
              <w:left w:val="nil"/>
              <w:bottom w:val="nil"/>
              <w:right w:val="single" w:sz="8" w:space="0" w:color="auto"/>
            </w:tcBorders>
            <w:shd w:val="clear" w:color="auto" w:fill="auto"/>
            <w:vAlign w:val="bottom"/>
          </w:tcPr>
          <w:p>
            <w:pPr>
              <w:jc w:val="right"/>
              <w:rPr>
                <w:noProof/>
                <w:color w:val="000000"/>
                <w:sz w:val="16"/>
                <w:szCs w:val="16"/>
              </w:rPr>
            </w:pPr>
            <w:r>
              <w:rPr>
                <w:noProof/>
                <w:sz w:val="16"/>
                <w:szCs w:val="16"/>
              </w:rPr>
              <w:t>2 847 089 742</w:t>
            </w:r>
          </w:p>
        </w:tc>
      </w:tr>
      <w:tr>
        <w:trPr>
          <w:trHeight w:val="262"/>
          <w:jc w:val="center"/>
        </w:trPr>
        <w:tc>
          <w:tcPr>
            <w:tcW w:w="1726" w:type="dxa"/>
            <w:tcBorders>
              <w:top w:val="nil"/>
              <w:left w:val="single" w:sz="8" w:space="0" w:color="auto"/>
              <w:bottom w:val="nil"/>
              <w:right w:val="single" w:sz="8" w:space="0" w:color="auto"/>
            </w:tcBorders>
            <w:shd w:val="clear" w:color="auto" w:fill="auto"/>
            <w:vAlign w:val="center"/>
            <w:hideMark/>
          </w:tcPr>
          <w:p>
            <w:pPr>
              <w:rPr>
                <w:noProof/>
                <w:color w:val="000000"/>
                <w:sz w:val="16"/>
                <w:szCs w:val="16"/>
              </w:rPr>
            </w:pPr>
            <w:r>
              <w:rPr>
                <w:noProof/>
                <w:color w:val="000000"/>
                <w:sz w:val="16"/>
                <w:szCs w:val="16"/>
              </w:rPr>
              <w:t>United Kingdom</w:t>
            </w:r>
          </w:p>
        </w:tc>
        <w:tc>
          <w:tcPr>
            <w:tcW w:w="1440" w:type="dxa"/>
            <w:tcBorders>
              <w:top w:val="nil"/>
              <w:left w:val="nil"/>
              <w:bottom w:val="single" w:sz="8" w:space="0" w:color="auto"/>
              <w:right w:val="single" w:sz="8" w:space="0" w:color="auto"/>
            </w:tcBorders>
            <w:shd w:val="clear" w:color="auto" w:fill="auto"/>
            <w:vAlign w:val="bottom"/>
          </w:tcPr>
          <w:p>
            <w:pPr>
              <w:jc w:val="right"/>
              <w:rPr>
                <w:noProof/>
                <w:color w:val="000000"/>
                <w:sz w:val="16"/>
                <w:szCs w:val="16"/>
              </w:rPr>
            </w:pPr>
            <w:r>
              <w:rPr>
                <w:noProof/>
                <w:sz w:val="16"/>
                <w:szCs w:val="16"/>
              </w:rPr>
              <w:t>16 756 318 720</w:t>
            </w:r>
          </w:p>
        </w:tc>
        <w:tc>
          <w:tcPr>
            <w:tcW w:w="1440" w:type="dxa"/>
            <w:tcBorders>
              <w:top w:val="nil"/>
              <w:left w:val="nil"/>
              <w:bottom w:val="single" w:sz="8" w:space="0" w:color="auto"/>
              <w:right w:val="single" w:sz="8" w:space="0" w:color="auto"/>
            </w:tcBorders>
            <w:shd w:val="clear" w:color="auto" w:fill="auto"/>
            <w:vAlign w:val="bottom"/>
          </w:tcPr>
          <w:p>
            <w:pPr>
              <w:jc w:val="right"/>
              <w:rPr>
                <w:noProof/>
                <w:color w:val="000000"/>
                <w:sz w:val="16"/>
                <w:szCs w:val="16"/>
              </w:rPr>
            </w:pPr>
            <w:r>
              <w:rPr>
                <w:noProof/>
                <w:sz w:val="16"/>
                <w:szCs w:val="16"/>
              </w:rPr>
              <w:t>-1 540 417 520</w:t>
            </w:r>
          </w:p>
        </w:tc>
        <w:tc>
          <w:tcPr>
            <w:tcW w:w="1440" w:type="dxa"/>
            <w:tcBorders>
              <w:top w:val="nil"/>
              <w:left w:val="nil"/>
              <w:bottom w:val="single" w:sz="8" w:space="0" w:color="auto"/>
              <w:right w:val="single" w:sz="8" w:space="0" w:color="auto"/>
            </w:tcBorders>
            <w:shd w:val="clear" w:color="auto" w:fill="auto"/>
            <w:vAlign w:val="bottom"/>
          </w:tcPr>
          <w:p>
            <w:pPr>
              <w:jc w:val="right"/>
              <w:rPr>
                <w:noProof/>
                <w:color w:val="000000"/>
                <w:sz w:val="16"/>
                <w:szCs w:val="16"/>
              </w:rPr>
            </w:pPr>
            <w:r>
              <w:rPr>
                <w:noProof/>
                <w:sz w:val="16"/>
                <w:szCs w:val="16"/>
              </w:rPr>
              <w:t>15 215 901 200</w:t>
            </w:r>
          </w:p>
        </w:tc>
      </w:tr>
      <w:tr>
        <w:trPr>
          <w:trHeight w:val="262"/>
          <w:jc w:val="center"/>
        </w:trPr>
        <w:tc>
          <w:tcPr>
            <w:tcW w:w="1726" w:type="dxa"/>
            <w:tcBorders>
              <w:top w:val="nil"/>
              <w:left w:val="single" w:sz="8" w:space="0" w:color="auto"/>
              <w:bottom w:val="single" w:sz="8" w:space="0" w:color="auto"/>
              <w:right w:val="single" w:sz="8" w:space="0" w:color="auto"/>
            </w:tcBorders>
            <w:shd w:val="clear" w:color="auto" w:fill="auto"/>
            <w:vAlign w:val="center"/>
            <w:hideMark/>
          </w:tcPr>
          <w:p>
            <w:pPr>
              <w:jc w:val="right"/>
              <w:rPr>
                <w:noProof/>
                <w:color w:val="000000"/>
                <w:sz w:val="16"/>
                <w:szCs w:val="16"/>
              </w:rPr>
            </w:pPr>
            <w:r>
              <w:rPr>
                <w:noProof/>
                <w:color w:val="000000"/>
                <w:sz w:val="16"/>
                <w:szCs w:val="16"/>
              </w:rPr>
              <w:t xml:space="preserve"> Article 1</w:t>
            </w:r>
            <w:r>
              <w:rPr>
                <w:noProof/>
                <w:color w:val="000000"/>
                <w:sz w:val="16"/>
                <w:szCs w:val="16"/>
              </w:rPr>
              <w:t> </w:t>
            </w:r>
            <w:r>
              <w:rPr>
                <w:noProof/>
                <w:color w:val="000000"/>
                <w:sz w:val="16"/>
                <w:szCs w:val="16"/>
              </w:rPr>
              <w:t>4</w:t>
            </w:r>
            <w:r>
              <w:rPr>
                <w:noProof/>
                <w:color w:val="000000"/>
                <w:sz w:val="16"/>
                <w:szCs w:val="16"/>
              </w:rPr>
              <w:t> </w:t>
            </w:r>
            <w:r>
              <w:rPr>
                <w:noProof/>
                <w:color w:val="000000"/>
                <w:sz w:val="16"/>
                <w:szCs w:val="16"/>
              </w:rPr>
              <w:t xml:space="preserve">0 — Total </w:t>
            </w:r>
          </w:p>
        </w:tc>
        <w:tc>
          <w:tcPr>
            <w:tcW w:w="1440" w:type="dxa"/>
            <w:tcBorders>
              <w:top w:val="nil"/>
              <w:left w:val="nil"/>
              <w:bottom w:val="single" w:sz="8" w:space="0" w:color="auto"/>
              <w:right w:val="single" w:sz="8" w:space="0" w:color="auto"/>
            </w:tcBorders>
            <w:shd w:val="clear" w:color="auto" w:fill="auto"/>
            <w:vAlign w:val="bottom"/>
          </w:tcPr>
          <w:p>
            <w:pPr>
              <w:jc w:val="right"/>
              <w:rPr>
                <w:noProof/>
                <w:color w:val="000000"/>
                <w:sz w:val="16"/>
                <w:szCs w:val="16"/>
              </w:rPr>
            </w:pPr>
            <w:r>
              <w:rPr>
                <w:noProof/>
                <w:sz w:val="16"/>
                <w:szCs w:val="16"/>
              </w:rPr>
              <w:t>102 287 737 202</w:t>
            </w:r>
          </w:p>
        </w:tc>
        <w:tc>
          <w:tcPr>
            <w:tcW w:w="1440" w:type="dxa"/>
            <w:tcBorders>
              <w:top w:val="nil"/>
              <w:left w:val="nil"/>
              <w:bottom w:val="single" w:sz="8" w:space="0" w:color="auto"/>
              <w:right w:val="single" w:sz="8" w:space="0" w:color="auto"/>
            </w:tcBorders>
            <w:shd w:val="clear" w:color="auto" w:fill="auto"/>
            <w:vAlign w:val="bottom"/>
          </w:tcPr>
          <w:p>
            <w:pPr>
              <w:jc w:val="right"/>
              <w:rPr>
                <w:noProof/>
                <w:color w:val="000000"/>
                <w:sz w:val="16"/>
                <w:szCs w:val="16"/>
              </w:rPr>
            </w:pPr>
            <w:r>
              <w:rPr>
                <w:noProof/>
                <w:sz w:val="16"/>
                <w:szCs w:val="16"/>
              </w:rPr>
              <w:t>-9 403 367 474</w:t>
            </w:r>
          </w:p>
        </w:tc>
        <w:tc>
          <w:tcPr>
            <w:tcW w:w="1440" w:type="dxa"/>
            <w:tcBorders>
              <w:top w:val="nil"/>
              <w:left w:val="nil"/>
              <w:bottom w:val="single" w:sz="8" w:space="0" w:color="auto"/>
              <w:right w:val="single" w:sz="8" w:space="0" w:color="auto"/>
            </w:tcBorders>
            <w:shd w:val="clear" w:color="auto" w:fill="auto"/>
            <w:vAlign w:val="bottom"/>
          </w:tcPr>
          <w:p>
            <w:pPr>
              <w:jc w:val="right"/>
              <w:rPr>
                <w:noProof/>
                <w:color w:val="000000"/>
                <w:sz w:val="16"/>
                <w:szCs w:val="16"/>
              </w:rPr>
            </w:pPr>
            <w:r>
              <w:rPr>
                <w:noProof/>
                <w:sz w:val="16"/>
                <w:szCs w:val="16"/>
              </w:rPr>
              <w:t>92 884 369 728</w:t>
            </w:r>
          </w:p>
        </w:tc>
      </w:tr>
    </w:tbl>
    <w:p>
      <w:pPr>
        <w:pStyle w:val="ManualHeading1"/>
        <w:spacing w:before="240"/>
        <w:ind w:left="851" w:hanging="851"/>
        <w:rPr>
          <w:noProof/>
        </w:rPr>
      </w:pPr>
      <w:bookmarkStart w:id="24" w:name="_Toc432150800"/>
      <w:bookmarkEnd w:id="15"/>
      <w:bookmarkEnd w:id="16"/>
      <w:r>
        <w:rPr>
          <w:noProof/>
        </w:rPr>
        <w:t>3.</w:t>
      </w:r>
      <w:r>
        <w:rPr>
          <w:noProof/>
        </w:rPr>
        <w:tab/>
        <w:t>European Data Protection Supervisor (Section IX)</w:t>
      </w:r>
      <w:bookmarkEnd w:id="24"/>
    </w:p>
    <w:p>
      <w:pPr>
        <w:spacing w:before="120" w:after="120"/>
        <w:jc w:val="both"/>
        <w:rPr>
          <w:noProof/>
        </w:rPr>
      </w:pPr>
      <w:r>
        <w:rPr>
          <w:noProof/>
        </w:rPr>
        <w:t>In accordance with article 41(2) of the Financial Regulation, the European Data Protection Supervisor (EDPS) has requested that the Commission present a draft amending budget on its behalf. The purpose is to reduce by EUR 123 474 both commitment and payment appropriations (non-differentiated expenditure).</w:t>
      </w:r>
    </w:p>
    <w:p>
      <w:pPr>
        <w:spacing w:before="120" w:after="120"/>
        <w:jc w:val="both"/>
        <w:rPr>
          <w:noProof/>
        </w:rPr>
      </w:pPr>
      <w:r>
        <w:rPr>
          <w:noProof/>
        </w:rPr>
        <w:t>The selection procedure of the new European Data Protection Supervisor and the Assistant was not completed when preparing the draft budget for year 2015. Therefore, it was decided to take a prudent approach and request the necessary appropriations to cover for the most expensive scenario, i.e. the replacement of both EDPS members. Finally, the former Assistant EDPS was appointed as the new EDPS, and consequently a part of the temporary allowances will remain unused (EUR 56 160).</w:t>
      </w:r>
    </w:p>
    <w:p>
      <w:pPr>
        <w:spacing w:before="120" w:after="120"/>
        <w:jc w:val="both"/>
        <w:rPr>
          <w:noProof/>
        </w:rPr>
      </w:pPr>
      <w:r>
        <w:rPr>
          <w:noProof/>
        </w:rPr>
        <w:t>Further to amending budgets adopted by the Management Board of the Translation Centre, a total of EUR 67 314 was reimbursed to the EDPS this year. This extra assigned revenue was not foreseen in its estimates, and will reduce accordingly the need for fresh appropriations. As a result, on the basis of the principle of sound financial management, the EDPS considers that it should be given back to the EU general budget.</w:t>
      </w:r>
      <w:bookmarkEnd w:id="2"/>
      <w:bookmarkEnd w:id="3"/>
      <w:bookmarkEnd w:id="4"/>
      <w:bookmarkEnd w:id="5"/>
      <w:bookmarkEnd w:id="6"/>
      <w:bookmarkEnd w:id="7"/>
      <w:bookmarkEnd w:id="10"/>
      <w:bookmarkEnd w:id="11"/>
    </w:p>
    <w:sectPr>
      <w:headerReference w:type="even" r:id="rId29"/>
      <w:headerReference w:type="default" r:id="rId30"/>
      <w:footerReference w:type="even" r:id="rId31"/>
      <w:footerReference w:type="default" r:id="rId32"/>
      <w:headerReference w:type="first" r:id="rId33"/>
      <w:footerReference w:type="first" r:id="rId34"/>
      <w:pgSz w:w="11907" w:h="16839"/>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spacing w:before="0"/>
      <w:ind w:left="-851" w:right="-851"/>
      <w:rPr>
        <w:rFonts w:ascii="Arial" w:hAnsi="Arial" w:cs="Arial"/>
        <w:b/>
        <w:sz w:val="48"/>
      </w:rPr>
    </w:pP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fldChar w:fldCharType="begin"/>
    </w:r>
    <w:r>
      <w:instrText xml:space="preserve"> DOCPROPERTY "Classification" \* MERGEFORMAT </w:instrText>
    </w:r>
    <w:r>
      <w:fldChar w:fldCharType="separate"/>
    </w:r>
    <w:r>
      <w:t xml:space="preserve"> </w:t>
    </w:r>
    <w:r>
      <w:fldChar w:fldCharType="end"/>
    </w:r>
    <w:r>
      <w:tab/>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spacing w:before="0"/>
      <w:ind w:left="-851" w:right="-851"/>
      <w:rPr>
        <w:rFonts w:ascii="Arial" w:hAnsi="Arial" w:cs="Arial"/>
        <w:b/>
        <w:sz w:val="48"/>
      </w:rPr>
    </w:pPr>
    <w:r>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r>
      <w:fldChar w:fldCharType="begin"/>
    </w:r>
    <w:r>
      <w:instrText xml:space="preserve"> DOCPROPERTY "Classification" \* MERGEFORMAT </w:instrText>
    </w:r>
    <w:r>
      <w:fldChar w:fldCharType="separate"/>
    </w:r>
    <w:r>
      <w:t xml:space="preserve"> </w:t>
    </w:r>
    <w:r>
      <w:fldChar w:fldCharType="end"/>
    </w: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spacing w:before="0"/>
      <w:ind w:left="-851" w:right="-851"/>
      <w:rPr>
        <w:rFonts w:ascii="Arial" w:hAnsi="Arial" w:cs="Arial"/>
        <w:b/>
        <w:sz w:val="48"/>
      </w:rPr>
    </w:pPr>
    <w:r>
      <w:rPr>
        <w:rFonts w:ascii="Arial" w:hAnsi="Arial" w:cs="Arial"/>
        <w:b/>
        <w:sz w:val="48"/>
      </w:rPr>
      <w:tab/>
    </w:r>
    <w:r>
      <w:fldChar w:fldCharType="begin"/>
    </w:r>
    <w:r>
      <w:instrText xml:space="preserve"> PAGE  \* MERGEFORMAT </w:instrText>
    </w:r>
    <w:r>
      <w:fldChar w:fldCharType="separate"/>
    </w:r>
    <w:r>
      <w:rPr>
        <w:noProof/>
      </w:rPr>
      <w:t>3</w:t>
    </w:r>
    <w:r>
      <w:fldChar w:fldCharType="end"/>
    </w:r>
    <w:r>
      <w:tab/>
    </w:r>
    <w:r>
      <w:fldChar w:fldCharType="begin"/>
    </w:r>
    <w:r>
      <w:instrText xml:space="preserve"> DOCPROPERTY "Classification" \* MERGEFORMAT </w:instrText>
    </w:r>
    <w:r>
      <w:fldChar w:fldCharType="separate"/>
    </w:r>
    <w:r>
      <w:t xml:space="preserve"> </w:t>
    </w:r>
    <w:r>
      <w:fldChar w:fldCharType="end"/>
    </w:r>
    <w: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 w:id="2">
    <w:p>
      <w:pPr>
        <w:pStyle w:val="FootnoteText"/>
        <w:rPr>
          <w:lang w:val="pl-PL"/>
        </w:rPr>
      </w:pPr>
      <w:r>
        <w:rPr>
          <w:rStyle w:val="FootnoteReference"/>
        </w:rPr>
        <w:footnoteRef/>
      </w:r>
      <w:r>
        <w:rPr>
          <w:sz w:val="19"/>
          <w:szCs w:val="19"/>
          <w:lang w:val="pl-PL"/>
        </w:rPr>
        <w:tab/>
      </w:r>
      <w:r>
        <w:rPr>
          <w:sz w:val="18"/>
          <w:szCs w:val="18"/>
          <w:lang w:val="pl-PL"/>
        </w:rPr>
        <w:t>OJ L 298, 26.10.2012, p. 1.</w:t>
      </w:r>
    </w:p>
  </w:footnote>
  <w:footnote w:id="3">
    <w:p>
      <w:pPr>
        <w:pStyle w:val="FootnoteText"/>
        <w:rPr>
          <w:lang w:val="pl-PL"/>
        </w:rPr>
      </w:pPr>
      <w:r>
        <w:rPr>
          <w:rStyle w:val="FootnoteReference"/>
        </w:rPr>
        <w:footnoteRef/>
      </w:r>
      <w:r>
        <w:rPr>
          <w:lang w:val="pl-PL"/>
        </w:rPr>
        <w:tab/>
      </w:r>
      <w:r>
        <w:rPr>
          <w:sz w:val="18"/>
          <w:szCs w:val="18"/>
          <w:lang w:val="pl-PL"/>
        </w:rPr>
        <w:t>OJ L 69, 13.3.2015, p. 1.</w:t>
      </w:r>
    </w:p>
  </w:footnote>
  <w:footnote w:id="4">
    <w:p>
      <w:pPr>
        <w:pStyle w:val="FootnoteText"/>
        <w:rPr>
          <w:sz w:val="18"/>
          <w:szCs w:val="18"/>
          <w:lang w:val="pl-PL"/>
        </w:rPr>
      </w:pPr>
      <w:r>
        <w:rPr>
          <w:rStyle w:val="FootnoteReference"/>
          <w:sz w:val="18"/>
          <w:szCs w:val="18"/>
        </w:rPr>
        <w:footnoteRef/>
      </w:r>
      <w:r>
        <w:rPr>
          <w:sz w:val="18"/>
          <w:szCs w:val="18"/>
          <w:lang w:val="pl-PL"/>
        </w:rPr>
        <w:t xml:space="preserve"> </w:t>
      </w:r>
      <w:r>
        <w:rPr>
          <w:sz w:val="18"/>
          <w:szCs w:val="18"/>
          <w:lang w:val="pl-PL"/>
        </w:rPr>
        <w:tab/>
        <w:t>OJ L 189, 17.7.2015.</w:t>
      </w:r>
    </w:p>
  </w:footnote>
  <w:footnote w:id="5">
    <w:p>
      <w:pPr>
        <w:pStyle w:val="FootnoteText"/>
        <w:rPr>
          <w:sz w:val="18"/>
          <w:szCs w:val="18"/>
          <w:lang w:val="pl-PL"/>
        </w:rPr>
      </w:pPr>
      <w:r>
        <w:rPr>
          <w:rStyle w:val="FootnoteReference"/>
          <w:sz w:val="18"/>
          <w:szCs w:val="18"/>
        </w:rPr>
        <w:footnoteRef/>
      </w:r>
      <w:r>
        <w:rPr>
          <w:sz w:val="18"/>
          <w:szCs w:val="18"/>
          <w:lang w:val="pl-PL"/>
        </w:rPr>
        <w:t xml:space="preserve"> </w:t>
      </w:r>
      <w:r>
        <w:rPr>
          <w:sz w:val="18"/>
          <w:szCs w:val="18"/>
          <w:lang w:val="pl-PL"/>
        </w:rPr>
        <w:tab/>
        <w:t>OJ L 261, 7.10.2015.</w:t>
      </w:r>
    </w:p>
  </w:footnote>
  <w:footnote w:id="6">
    <w:p>
      <w:pPr>
        <w:pStyle w:val="FootnoteText"/>
        <w:rPr>
          <w:sz w:val="18"/>
          <w:szCs w:val="18"/>
          <w:lang w:val="pl-PL"/>
        </w:rPr>
      </w:pPr>
      <w:r>
        <w:rPr>
          <w:rStyle w:val="FootnoteReference"/>
          <w:sz w:val="18"/>
          <w:szCs w:val="18"/>
        </w:rPr>
        <w:footnoteRef/>
      </w:r>
      <w:r>
        <w:rPr>
          <w:sz w:val="18"/>
          <w:szCs w:val="18"/>
          <w:lang w:val="pl-PL"/>
        </w:rPr>
        <w:t xml:space="preserve"> </w:t>
      </w:r>
      <w:r>
        <w:rPr>
          <w:sz w:val="18"/>
          <w:szCs w:val="18"/>
          <w:lang w:val="pl-PL"/>
        </w:rPr>
        <w:tab/>
        <w:t>OJ L 261, 7.10.2015.</w:t>
      </w:r>
    </w:p>
  </w:footnote>
  <w:footnote w:id="7">
    <w:p>
      <w:pPr>
        <w:pStyle w:val="FootnoteText"/>
        <w:rPr>
          <w:sz w:val="18"/>
          <w:szCs w:val="18"/>
          <w:lang w:val="pl-PL"/>
        </w:rPr>
      </w:pPr>
      <w:r>
        <w:rPr>
          <w:rStyle w:val="FootnoteReference"/>
          <w:sz w:val="18"/>
          <w:szCs w:val="18"/>
        </w:rPr>
        <w:footnoteRef/>
      </w:r>
      <w:r>
        <w:rPr>
          <w:sz w:val="18"/>
          <w:szCs w:val="18"/>
          <w:lang w:val="pl-PL"/>
        </w:rPr>
        <w:t xml:space="preserve"> </w:t>
      </w:r>
      <w:r>
        <w:rPr>
          <w:sz w:val="18"/>
          <w:szCs w:val="18"/>
          <w:lang w:val="pl-PL"/>
        </w:rPr>
        <w:tab/>
        <w:t>OJ L 261, 7.10.2015.</w:t>
      </w:r>
    </w:p>
  </w:footnote>
  <w:footnote w:id="8">
    <w:p>
      <w:pPr>
        <w:pStyle w:val="FootnoteText"/>
        <w:rPr>
          <w:sz w:val="18"/>
          <w:szCs w:val="18"/>
          <w:lang w:val="pl-PL"/>
        </w:rPr>
      </w:pPr>
      <w:r>
        <w:rPr>
          <w:rStyle w:val="FootnoteReference"/>
          <w:sz w:val="18"/>
          <w:szCs w:val="18"/>
        </w:rPr>
        <w:footnoteRef/>
      </w:r>
      <w:r>
        <w:rPr>
          <w:sz w:val="18"/>
          <w:szCs w:val="18"/>
          <w:lang w:val="pl-PL"/>
        </w:rPr>
        <w:t xml:space="preserve"> </w:t>
      </w:r>
      <w:r>
        <w:rPr>
          <w:sz w:val="18"/>
          <w:szCs w:val="18"/>
          <w:lang w:val="pl-PL"/>
        </w:rPr>
        <w:tab/>
        <w:t>OJ L 261, 7.10.2015.</w:t>
      </w:r>
    </w:p>
  </w:footnote>
  <w:footnote w:id="9">
    <w:p>
      <w:pPr>
        <w:pStyle w:val="FootnoteText"/>
        <w:rPr>
          <w:lang w:val="pl-PL"/>
        </w:rPr>
      </w:pPr>
      <w:r>
        <w:rPr>
          <w:rStyle w:val="FootnoteReference"/>
          <w:sz w:val="18"/>
          <w:szCs w:val="18"/>
        </w:rPr>
        <w:footnoteRef/>
      </w:r>
      <w:r>
        <w:rPr>
          <w:sz w:val="18"/>
          <w:szCs w:val="18"/>
          <w:lang w:val="pl-PL"/>
        </w:rPr>
        <w:t xml:space="preserve"> </w:t>
      </w:r>
      <w:r>
        <w:rPr>
          <w:sz w:val="18"/>
          <w:szCs w:val="18"/>
          <w:lang w:val="pl-PL"/>
        </w:rPr>
        <w:tab/>
        <w:t>OJ L XXX, XX.XX.XXX</w:t>
      </w:r>
      <w:r>
        <w:rPr>
          <w:lang w:val="pl-PL"/>
        </w:rPr>
        <w:t>.</w:t>
      </w:r>
    </w:p>
  </w:footnote>
  <w:footnote w:id="10">
    <w:p>
      <w:pPr>
        <w:pStyle w:val="FootnoteText"/>
        <w:rPr>
          <w:sz w:val="18"/>
          <w:szCs w:val="18"/>
          <w:lang w:val="pl-PL"/>
        </w:rPr>
      </w:pPr>
      <w:r>
        <w:rPr>
          <w:rStyle w:val="FootnoteReference"/>
          <w:sz w:val="18"/>
          <w:szCs w:val="18"/>
        </w:rPr>
        <w:footnoteRef/>
      </w:r>
      <w:r>
        <w:rPr>
          <w:sz w:val="18"/>
          <w:szCs w:val="18"/>
          <w:lang w:val="pl-PL"/>
        </w:rPr>
        <w:t xml:space="preserve"> </w:t>
      </w:r>
      <w:r>
        <w:rPr>
          <w:sz w:val="18"/>
          <w:szCs w:val="18"/>
          <w:lang w:val="pl-PL"/>
        </w:rPr>
        <w:tab/>
        <w:t>OJ L XXX, XX.XX.XXX..</w:t>
      </w:r>
    </w:p>
  </w:footnote>
  <w:footnote w:id="11">
    <w:p>
      <w:pPr>
        <w:pStyle w:val="FootnoteText"/>
        <w:rPr>
          <w:sz w:val="18"/>
          <w:szCs w:val="18"/>
          <w:lang w:val="pl-PL"/>
        </w:rPr>
      </w:pPr>
      <w:r>
        <w:rPr>
          <w:rStyle w:val="FootnoteReference"/>
          <w:sz w:val="18"/>
          <w:szCs w:val="18"/>
        </w:rPr>
        <w:footnoteRef/>
      </w:r>
      <w:r>
        <w:rPr>
          <w:sz w:val="18"/>
          <w:szCs w:val="18"/>
          <w:lang w:val="pl-PL"/>
        </w:rPr>
        <w:t xml:space="preserve"> </w:t>
      </w:r>
      <w:r>
        <w:rPr>
          <w:sz w:val="18"/>
          <w:szCs w:val="18"/>
          <w:lang w:val="pl-PL"/>
        </w:rPr>
        <w:tab/>
        <w:t>OJ L 130, 31.5.2000, p. 1.</w:t>
      </w:r>
    </w:p>
  </w:footnote>
  <w:footnote w:id="12">
    <w:p>
      <w:pPr>
        <w:pStyle w:val="FootnoteText"/>
        <w:rPr>
          <w:sz w:val="18"/>
          <w:szCs w:val="18"/>
          <w:lang w:val="pl-PL"/>
        </w:rPr>
      </w:pPr>
      <w:r>
        <w:rPr>
          <w:rStyle w:val="FootnoteReference"/>
        </w:rPr>
        <w:footnoteRef/>
      </w:r>
      <w:r>
        <w:rPr>
          <w:lang w:val="pl-PL"/>
        </w:rPr>
        <w:t xml:space="preserve"> </w:t>
      </w:r>
      <w:r>
        <w:rPr>
          <w:lang w:val="pl-PL"/>
        </w:rPr>
        <w:tab/>
      </w:r>
      <w:r>
        <w:rPr>
          <w:sz w:val="18"/>
          <w:szCs w:val="18"/>
          <w:lang w:val="pl-PL"/>
        </w:rPr>
        <w:t>OJ L 367, 23.12.2014, p. 14.</w:t>
      </w:r>
    </w:p>
  </w:footnote>
  <w:footnote w:id="13">
    <w:p>
      <w:pPr>
        <w:pStyle w:val="FootnoteText"/>
        <w:rPr>
          <w:lang w:val="pl-PL"/>
        </w:rPr>
      </w:pPr>
      <w:r>
        <w:rPr>
          <w:rStyle w:val="FootnoteReference"/>
        </w:rPr>
        <w:footnoteRef/>
      </w:r>
      <w:r>
        <w:rPr>
          <w:sz w:val="18"/>
          <w:szCs w:val="18"/>
          <w:lang w:val="pl-PL"/>
        </w:rPr>
        <w:t xml:space="preserve"> </w:t>
      </w:r>
      <w:r>
        <w:rPr>
          <w:sz w:val="18"/>
          <w:szCs w:val="18"/>
          <w:lang w:val="pl-PL"/>
        </w:rPr>
        <w:tab/>
        <w:t>OJ L 73, 17.3.2015, p. 468.</w:t>
      </w:r>
    </w:p>
  </w:footnote>
  <w:footnote w:id="14">
    <w:p>
      <w:pPr>
        <w:pStyle w:val="FootnoteText"/>
        <w:rPr>
          <w:sz w:val="18"/>
          <w:szCs w:val="18"/>
        </w:rPr>
      </w:pPr>
      <w:r>
        <w:rPr>
          <w:rStyle w:val="FootnoteReference"/>
        </w:rPr>
        <w:footnoteRef/>
      </w:r>
      <w:r>
        <w:t xml:space="preserve"> </w:t>
      </w:r>
      <w:r>
        <w:tab/>
      </w:r>
      <w:r>
        <w:rPr>
          <w:sz w:val="18"/>
          <w:szCs w:val="18"/>
        </w:rPr>
        <w:t>The budgeting of this amount is intended to counterbalance the financial impact for the Member States for the VAT and GNI balances they have to make available on the first working day of December 2015.</w:t>
      </w:r>
    </w:p>
  </w:footnote>
  <w:footnote w:id="15">
    <w:p>
      <w:pPr>
        <w:pStyle w:val="FootnoteText"/>
        <w:rPr>
          <w:sz w:val="18"/>
          <w:szCs w:val="18"/>
        </w:rPr>
      </w:pPr>
      <w:r>
        <w:rPr>
          <w:rStyle w:val="FootnoteReference"/>
          <w:sz w:val="18"/>
          <w:szCs w:val="18"/>
        </w:rPr>
        <w:footnoteRef/>
      </w:r>
      <w:r>
        <w:rPr>
          <w:sz w:val="18"/>
          <w:szCs w:val="18"/>
        </w:rPr>
        <w:t xml:space="preserve"> </w:t>
      </w:r>
      <w:r>
        <w:rPr>
          <w:sz w:val="18"/>
          <w:szCs w:val="18"/>
        </w:rPr>
        <w:tab/>
        <w:t>Balances and adjustment of balances based on VAT for the previous financial years resulting from application of article 10(4), (5) and (8) of Regulation (EC, EURATOM) No 1150/2000.</w:t>
      </w:r>
    </w:p>
  </w:footnote>
  <w:footnote w:id="16">
    <w:p>
      <w:pPr>
        <w:pStyle w:val="FootnoteText"/>
        <w:rPr>
          <w:sz w:val="18"/>
          <w:szCs w:val="18"/>
        </w:rPr>
      </w:pPr>
      <w:r>
        <w:rPr>
          <w:rStyle w:val="FootnoteReference"/>
          <w:sz w:val="18"/>
          <w:szCs w:val="18"/>
        </w:rPr>
        <w:footnoteRef/>
      </w:r>
      <w:r>
        <w:rPr>
          <w:sz w:val="18"/>
          <w:szCs w:val="18"/>
        </w:rPr>
        <w:t xml:space="preserve"> </w:t>
      </w:r>
      <w:r>
        <w:rPr>
          <w:sz w:val="18"/>
          <w:szCs w:val="18"/>
        </w:rPr>
        <w:tab/>
        <w:t>Balances and adjustment of balances based on gross national income/product for the previous financial years as a result of the application of article 10(6) to (8) of Regulation (EC, EURATOM) No 1150/2000.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sz w:val="2"/>
        <w:szCs w:val="2"/>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sz w:val="2"/>
        <w:szCs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sz w:val="2"/>
        <w:szCs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4448CE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8"/>
    <w:multiLevelType w:val="singleLevel"/>
    <w:tmpl w:val="9ED833C0"/>
    <w:lvl w:ilvl="0">
      <w:start w:val="1"/>
      <w:numFmt w:val="decimal"/>
      <w:lvlText w:val="%1."/>
      <w:lvlJc w:val="left"/>
      <w:pPr>
        <w:tabs>
          <w:tab w:val="num" w:pos="360"/>
        </w:tabs>
        <w:ind w:left="360" w:hanging="360"/>
      </w:pPr>
    </w:lvl>
  </w:abstractNum>
  <w:abstractNum w:abstractNumId="2">
    <w:nsid w:val="00A856D4"/>
    <w:multiLevelType w:val="hybridMultilevel"/>
    <w:tmpl w:val="B07CF3C4"/>
    <w:lvl w:ilvl="0" w:tplc="3D900F3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354526B"/>
    <w:multiLevelType w:val="hybridMultilevel"/>
    <w:tmpl w:val="18D88870"/>
    <w:lvl w:ilvl="0" w:tplc="8A36BA8C">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4401886"/>
    <w:multiLevelType w:val="hybridMultilevel"/>
    <w:tmpl w:val="FBA0B950"/>
    <w:lvl w:ilvl="0" w:tplc="D1CAE414">
      <w:numFmt w:val="bullet"/>
      <w:lvlText w:val="-"/>
      <w:lvlJc w:val="left"/>
      <w:pPr>
        <w:tabs>
          <w:tab w:val="num" w:pos="810"/>
        </w:tabs>
        <w:ind w:left="810" w:hanging="45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9F20AC0"/>
    <w:multiLevelType w:val="hybridMultilevel"/>
    <w:tmpl w:val="32B0E5D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1A2403CB"/>
    <w:multiLevelType w:val="hybridMultilevel"/>
    <w:tmpl w:val="8B06DF60"/>
    <w:lvl w:ilvl="0" w:tplc="0FE4063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7936C33"/>
    <w:multiLevelType w:val="hybridMultilevel"/>
    <w:tmpl w:val="4036C0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28284234"/>
    <w:multiLevelType w:val="hybridMultilevel"/>
    <w:tmpl w:val="B1B622D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8795CFC"/>
    <w:multiLevelType w:val="hybridMultilevel"/>
    <w:tmpl w:val="D988CAFC"/>
    <w:lvl w:ilvl="0" w:tplc="040C000F">
      <w:start w:val="1"/>
      <w:numFmt w:val="decimal"/>
      <w:lvlText w:val="%1."/>
      <w:lvlJc w:val="left"/>
      <w:pPr>
        <w:tabs>
          <w:tab w:val="num" w:pos="720"/>
        </w:tabs>
        <w:ind w:left="720" w:hanging="360"/>
      </w:pPr>
    </w:lvl>
    <w:lvl w:ilvl="1" w:tplc="94027E84">
      <w:start w:val="1"/>
      <w:numFmt w:val="bullet"/>
      <w:lvlText w:val=""/>
      <w:lvlJc w:val="left"/>
      <w:pPr>
        <w:tabs>
          <w:tab w:val="num" w:pos="1440"/>
        </w:tabs>
        <w:ind w:left="1440" w:hanging="360"/>
      </w:pPr>
      <w:rPr>
        <w:rFonts w:ascii="Symbol" w:hAnsi="Symbol"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nsid w:val="2AAA725C"/>
    <w:multiLevelType w:val="hybridMultilevel"/>
    <w:tmpl w:val="1C9E4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3">
    <w:nsid w:val="2F6F6245"/>
    <w:multiLevelType w:val="hybridMultilevel"/>
    <w:tmpl w:val="8842EE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F78565E"/>
    <w:multiLevelType w:val="hybridMultilevel"/>
    <w:tmpl w:val="3F76E56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nsid w:val="31246D7F"/>
    <w:multiLevelType w:val="hybridMultilevel"/>
    <w:tmpl w:val="E1EA8208"/>
    <w:lvl w:ilvl="0" w:tplc="94027E84">
      <w:start w:val="1"/>
      <w:numFmt w:val="bullet"/>
      <w:lvlText w:val=""/>
      <w:lvlJc w:val="left"/>
      <w:pPr>
        <w:tabs>
          <w:tab w:val="num" w:pos="1437"/>
        </w:tabs>
        <w:ind w:left="1437"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nsid w:val="32A52C4F"/>
    <w:multiLevelType w:val="singleLevel"/>
    <w:tmpl w:val="CEFC5A24"/>
    <w:lvl w:ilvl="0">
      <w:start w:val="1"/>
      <w:numFmt w:val="bullet"/>
      <w:lvlRestart w:val="0"/>
      <w:pStyle w:val="Tiret0"/>
      <w:lvlText w:val="–"/>
      <w:lvlJc w:val="left"/>
      <w:pPr>
        <w:tabs>
          <w:tab w:val="num" w:pos="850"/>
        </w:tabs>
        <w:ind w:left="850" w:hanging="850"/>
      </w:pPr>
    </w:lvl>
  </w:abstractNum>
  <w:abstractNum w:abstractNumId="17">
    <w:nsid w:val="33BE45BD"/>
    <w:multiLevelType w:val="hybridMultilevel"/>
    <w:tmpl w:val="6D2219A0"/>
    <w:lvl w:ilvl="0" w:tplc="08090001">
      <w:start w:val="1"/>
      <w:numFmt w:val="bullet"/>
      <w:lvlText w:val=""/>
      <w:lvlJc w:val="left"/>
      <w:pPr>
        <w:tabs>
          <w:tab w:val="num" w:pos="720"/>
        </w:tabs>
        <w:ind w:left="720" w:hanging="360"/>
      </w:pPr>
      <w:rPr>
        <w:rFonts w:ascii="Symbol" w:hAnsi="Symbol" w:hint="default"/>
      </w:rPr>
    </w:lvl>
    <w:lvl w:ilvl="1" w:tplc="94027E84">
      <w:start w:val="1"/>
      <w:numFmt w:val="bullet"/>
      <w:lvlText w:val=""/>
      <w:lvlJc w:val="left"/>
      <w:pPr>
        <w:tabs>
          <w:tab w:val="num" w:pos="1440"/>
        </w:tabs>
        <w:ind w:left="1440" w:hanging="360"/>
      </w:pPr>
      <w:rPr>
        <w:rFonts w:ascii="Symbol" w:hAnsi="Symbol"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8">
    <w:nsid w:val="34EA3932"/>
    <w:multiLevelType w:val="hybridMultilevel"/>
    <w:tmpl w:val="FA52BE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20">
    <w:nsid w:val="40315490"/>
    <w:multiLevelType w:val="singleLevel"/>
    <w:tmpl w:val="1F86C700"/>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21">
    <w:nsid w:val="438628B4"/>
    <w:multiLevelType w:val="hybridMultilevel"/>
    <w:tmpl w:val="7706A2BE"/>
    <w:lvl w:ilvl="0" w:tplc="3D900F36">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2">
    <w:nsid w:val="4AF131E8"/>
    <w:multiLevelType w:val="hybridMultilevel"/>
    <w:tmpl w:val="7EE22C9C"/>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nsid w:val="50F627D1"/>
    <w:multiLevelType w:val="hybridMultilevel"/>
    <w:tmpl w:val="9D34625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39E2343"/>
    <w:multiLevelType w:val="hybridMultilevel"/>
    <w:tmpl w:val="D89C5EF0"/>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5">
    <w:nsid w:val="54FB55F2"/>
    <w:multiLevelType w:val="hybridMultilevel"/>
    <w:tmpl w:val="63DED26E"/>
    <w:lvl w:ilvl="0" w:tplc="34DC57B6">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8D36DEC"/>
    <w:multiLevelType w:val="hybridMultilevel"/>
    <w:tmpl w:val="79644CE6"/>
    <w:lvl w:ilvl="0" w:tplc="8A36BA8C">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F8C3B69"/>
    <w:multiLevelType w:val="multilevel"/>
    <w:tmpl w:val="9B14DAA8"/>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9">
    <w:nsid w:val="6D2B5511"/>
    <w:multiLevelType w:val="singleLevel"/>
    <w:tmpl w:val="74A09970"/>
    <w:name w:val="Heading__2"/>
    <w:lvl w:ilvl="0">
      <w:start w:val="1"/>
      <w:numFmt w:val="bullet"/>
      <w:lvlRestart w:val="0"/>
      <w:pStyle w:val="ListBullet"/>
      <w:lvlText w:val=""/>
      <w:lvlJc w:val="left"/>
      <w:pPr>
        <w:tabs>
          <w:tab w:val="num" w:pos="283"/>
        </w:tabs>
        <w:ind w:left="283" w:hanging="283"/>
      </w:pPr>
      <w:rPr>
        <w:rFonts w:ascii="Symbol" w:hAnsi="Symbol" w:hint="default"/>
      </w:rPr>
    </w:lvl>
  </w:abstractNum>
  <w:abstractNum w:abstractNumId="30">
    <w:nsid w:val="6D38527D"/>
    <w:multiLevelType w:val="hybridMultilevel"/>
    <w:tmpl w:val="C0B8F2B8"/>
    <w:lvl w:ilvl="0" w:tplc="EB1C0EE4">
      <w:start w:val="4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123216D"/>
    <w:multiLevelType w:val="hybridMultilevel"/>
    <w:tmpl w:val="F648ECEA"/>
    <w:lvl w:ilvl="0" w:tplc="5810F3C8">
      <w:start w:val="1"/>
      <w:numFmt w:val="bullet"/>
      <w:lvlText w:val=""/>
      <w:lvlJc w:val="left"/>
      <w:pPr>
        <w:tabs>
          <w:tab w:val="num" w:pos="720"/>
        </w:tabs>
        <w:ind w:left="720" w:hanging="360"/>
      </w:pPr>
      <w:rPr>
        <w:rFonts w:ascii="Symbol" w:hAnsi="Symbol" w:hint="default"/>
      </w:rPr>
    </w:lvl>
    <w:lvl w:ilvl="1" w:tplc="E45E7B3C" w:tentative="1">
      <w:start w:val="1"/>
      <w:numFmt w:val="bullet"/>
      <w:lvlText w:val="o"/>
      <w:lvlJc w:val="left"/>
      <w:pPr>
        <w:tabs>
          <w:tab w:val="num" w:pos="1440"/>
        </w:tabs>
        <w:ind w:left="1440" w:hanging="360"/>
      </w:pPr>
      <w:rPr>
        <w:rFonts w:ascii="Courier New" w:hAnsi="Courier New" w:cs="Courier New" w:hint="default"/>
      </w:rPr>
    </w:lvl>
    <w:lvl w:ilvl="2" w:tplc="46941928" w:tentative="1">
      <w:start w:val="1"/>
      <w:numFmt w:val="bullet"/>
      <w:lvlText w:val=""/>
      <w:lvlJc w:val="left"/>
      <w:pPr>
        <w:tabs>
          <w:tab w:val="num" w:pos="2160"/>
        </w:tabs>
        <w:ind w:left="2160" w:hanging="360"/>
      </w:pPr>
      <w:rPr>
        <w:rFonts w:ascii="Wingdings" w:hAnsi="Wingdings" w:hint="default"/>
      </w:rPr>
    </w:lvl>
    <w:lvl w:ilvl="3" w:tplc="9906EA66" w:tentative="1">
      <w:start w:val="1"/>
      <w:numFmt w:val="bullet"/>
      <w:lvlText w:val=""/>
      <w:lvlJc w:val="left"/>
      <w:pPr>
        <w:tabs>
          <w:tab w:val="num" w:pos="2880"/>
        </w:tabs>
        <w:ind w:left="2880" w:hanging="360"/>
      </w:pPr>
      <w:rPr>
        <w:rFonts w:ascii="Symbol" w:hAnsi="Symbol" w:hint="default"/>
      </w:rPr>
    </w:lvl>
    <w:lvl w:ilvl="4" w:tplc="F54297AE" w:tentative="1">
      <w:start w:val="1"/>
      <w:numFmt w:val="bullet"/>
      <w:lvlText w:val="o"/>
      <w:lvlJc w:val="left"/>
      <w:pPr>
        <w:tabs>
          <w:tab w:val="num" w:pos="3600"/>
        </w:tabs>
        <w:ind w:left="3600" w:hanging="360"/>
      </w:pPr>
      <w:rPr>
        <w:rFonts w:ascii="Courier New" w:hAnsi="Courier New" w:cs="Courier New" w:hint="default"/>
      </w:rPr>
    </w:lvl>
    <w:lvl w:ilvl="5" w:tplc="878EFA52" w:tentative="1">
      <w:start w:val="1"/>
      <w:numFmt w:val="bullet"/>
      <w:lvlText w:val=""/>
      <w:lvlJc w:val="left"/>
      <w:pPr>
        <w:tabs>
          <w:tab w:val="num" w:pos="4320"/>
        </w:tabs>
        <w:ind w:left="4320" w:hanging="360"/>
      </w:pPr>
      <w:rPr>
        <w:rFonts w:ascii="Wingdings" w:hAnsi="Wingdings" w:hint="default"/>
      </w:rPr>
    </w:lvl>
    <w:lvl w:ilvl="6" w:tplc="B0DEB76A" w:tentative="1">
      <w:start w:val="1"/>
      <w:numFmt w:val="bullet"/>
      <w:lvlText w:val=""/>
      <w:lvlJc w:val="left"/>
      <w:pPr>
        <w:tabs>
          <w:tab w:val="num" w:pos="5040"/>
        </w:tabs>
        <w:ind w:left="5040" w:hanging="360"/>
      </w:pPr>
      <w:rPr>
        <w:rFonts w:ascii="Symbol" w:hAnsi="Symbol" w:hint="default"/>
      </w:rPr>
    </w:lvl>
    <w:lvl w:ilvl="7" w:tplc="F0B2655E" w:tentative="1">
      <w:start w:val="1"/>
      <w:numFmt w:val="bullet"/>
      <w:lvlText w:val="o"/>
      <w:lvlJc w:val="left"/>
      <w:pPr>
        <w:tabs>
          <w:tab w:val="num" w:pos="5760"/>
        </w:tabs>
        <w:ind w:left="5760" w:hanging="360"/>
      </w:pPr>
      <w:rPr>
        <w:rFonts w:ascii="Courier New" w:hAnsi="Courier New" w:cs="Courier New" w:hint="default"/>
      </w:rPr>
    </w:lvl>
    <w:lvl w:ilvl="8" w:tplc="41F24686"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20"/>
  </w:num>
  <w:num w:numId="3">
    <w:abstractNumId w:val="2"/>
  </w:num>
  <w:num w:numId="4">
    <w:abstractNumId w:val="20"/>
  </w:num>
  <w:num w:numId="5">
    <w:abstractNumId w:val="31"/>
  </w:num>
  <w:num w:numId="6">
    <w:abstractNumId w:val="20"/>
  </w:num>
  <w:num w:numId="7">
    <w:abstractNumId w:val="29"/>
  </w:num>
  <w:num w:numId="8">
    <w:abstractNumId w:val="19"/>
  </w:num>
  <w:num w:numId="9">
    <w:abstractNumId w:val="10"/>
  </w:num>
  <w:num w:numId="10">
    <w:abstractNumId w:val="17"/>
  </w:num>
  <w:num w:numId="11">
    <w:abstractNumId w:val="18"/>
  </w:num>
  <w:num w:numId="12">
    <w:abstractNumId w:val="5"/>
  </w:num>
  <w:num w:numId="13">
    <w:abstractNumId w:val="8"/>
  </w:num>
  <w:num w:numId="14">
    <w:abstractNumId w:val="12"/>
  </w:num>
  <w:num w:numId="15">
    <w:abstractNumId w:val="15"/>
  </w:num>
  <w:num w:numId="16">
    <w:abstractNumId w:val="21"/>
  </w:num>
  <w:num w:numId="17">
    <w:abstractNumId w:val="20"/>
  </w:num>
  <w:num w:numId="18">
    <w:abstractNumId w:val="27"/>
  </w:num>
  <w:num w:numId="19">
    <w:abstractNumId w:val="4"/>
  </w:num>
  <w:num w:numId="20">
    <w:abstractNumId w:val="14"/>
  </w:num>
  <w:num w:numId="21">
    <w:abstractNumId w:val="20"/>
  </w:num>
  <w:num w:numId="22">
    <w:abstractNumId w:val="20"/>
  </w:num>
  <w:num w:numId="23">
    <w:abstractNumId w:val="3"/>
  </w:num>
  <w:num w:numId="24">
    <w:abstractNumId w:val="30"/>
  </w:num>
  <w:num w:numId="25">
    <w:abstractNumId w:val="26"/>
  </w:num>
  <w:num w:numId="26">
    <w:abstractNumId w:val="0"/>
  </w:num>
  <w:num w:numId="27">
    <w:abstractNumId w:val="24"/>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7"/>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num>
  <w:num w:numId="38">
    <w:abstractNumId w:val="28"/>
  </w:num>
  <w:num w:numId="39">
    <w:abstractNumId w:val="27"/>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7"/>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7"/>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num>
  <w:num w:numId="44">
    <w:abstractNumId w:val="13"/>
  </w:num>
  <w:num w:numId="45">
    <w:abstractNumId w:val="22"/>
  </w:num>
  <w:num w:numId="46">
    <w:abstractNumId w:val="6"/>
  </w:num>
  <w:num w:numId="47">
    <w:abstractNumId w:val="25"/>
  </w:num>
  <w:num w:numId="48">
    <w:abstractNumId w:val="23"/>
  </w:num>
  <w:num w:numId="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41B2ED73B27C46F9A886DCCDE7F17E59"/>
    <w:docVar w:name="LW_CROSSREFERENCE" w:val="&lt;UNUSED&gt;"/>
    <w:docVar w:name="LW_DocType" w:val="NORMAL"/>
    <w:docVar w:name="LW_EMISSION" w:val="19.10.2015"/>
    <w:docVar w:name="LW_EMISSION_ISODATE" w:val="2015-10-19"/>
    <w:docVar w:name="LW_EMISSION_LOCATION" w:val="BRX"/>
    <w:docVar w:name="LW_EMISSION_PREFIX" w:val="Brussels, "/>
    <w:docVar w:name="LW_EMISSION_SUFFIX" w:val="&lt;EMPTY&gt;"/>
    <w:docVar w:name="LW_ID_DOCTYPE_NONLW" w:val="CP-035"/>
    <w:docVar w:name="LW_LANGUE" w:val="EN"/>
    <w:docVar w:name="LW_MARKING" w:val="&lt;UNUSED&g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15"/>
    <w:docVar w:name="LW_REF.INST.NEW" w:val="COM"/>
    <w:docVar w:name="LW_REF.INST.NEW_ADOPTED" w:val="final"/>
    <w:docVar w:name="LW_REF.INST.NEW_TEXT" w:val="(2015) 545"/>
    <w:docVar w:name="LW_REF.INTERNE" w:val="&lt;UNUSED&gt;"/>
    <w:docVar w:name="LW_SOUS.TITRE.OBJ.CP" w:val="&lt;UNUSED&gt;"/>
    <w:docVar w:name="LW_SUPERTITRE" w:val="&lt;UNUSED&gt;"/>
    <w:docVar w:name="LW_TITRE.OBJ.CP" w:val="OWN RESOURCES_x000b_EUROPEAN DATA PROTECTION SUPERVISOR"/>
    <w:docVar w:name="LW_TITRE.OBJ.CP_PREVIOUS" w:val="&lt;UNUSED&gt;"/>
    <w:docVar w:name="LW_TYPE.DOC.CP" w:val="DRAFT AMENDING BUDGET No 8_x000b_TO THE GENERAL BUDGET 2015"/>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footnote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autoRedefine/>
    <w:qFormat/>
    <w:pPr>
      <w:keepNext/>
      <w:spacing w:before="240" w:after="120"/>
      <w:outlineLvl w:val="0"/>
    </w:pPr>
    <w:rPr>
      <w:rFonts w:ascii="Arial" w:hAnsi="Arial" w:cs="Arial"/>
      <w:b/>
      <w:bCs/>
      <w:kern w:val="32"/>
      <w:sz w:val="32"/>
      <w:szCs w:val="32"/>
    </w:rPr>
  </w:style>
  <w:style w:type="paragraph" w:styleId="Heading2">
    <w:name w:val="heading 2"/>
    <w:basedOn w:val="Normal"/>
    <w:next w:val="Normal"/>
    <w:autoRedefine/>
    <w:qFormat/>
    <w:pPr>
      <w:keepNext/>
      <w:spacing w:before="240" w:after="120"/>
      <w:ind w:left="720" w:hanging="720"/>
      <w:outlineLvl w:val="1"/>
    </w:pPr>
    <w:rPr>
      <w:rFonts w:ascii="Arial" w:hAnsi="Arial" w:cs="Arial"/>
      <w:b/>
      <w:bCs/>
      <w:i/>
      <w:iCs/>
      <w:sz w:val="28"/>
      <w:szCs w:val="28"/>
    </w:rPr>
  </w:style>
  <w:style w:type="paragraph" w:styleId="Heading3">
    <w:name w:val="heading 3"/>
    <w:basedOn w:val="Normal"/>
    <w:next w:val="Normal"/>
    <w:autoRedefine/>
    <w:qFormat/>
    <w:pPr>
      <w:keepNext/>
      <w:numPr>
        <w:ilvl w:val="2"/>
      </w:numPr>
      <w:tabs>
        <w:tab w:val="num" w:pos="850"/>
      </w:tabs>
      <w:spacing w:before="120" w:after="120"/>
      <w:ind w:left="850" w:hanging="850"/>
      <w:jc w:val="both"/>
      <w:outlineLvl w:val="2"/>
    </w:pPr>
    <w:rPr>
      <w:rFonts w:ascii="Arial" w:hAnsi="Arial" w:cs="Arial"/>
      <w:b/>
      <w:bCs/>
      <w:i/>
      <w:sz w:val="26"/>
      <w:szCs w:val="26"/>
    </w:rPr>
  </w:style>
  <w:style w:type="paragraph" w:styleId="Heading4">
    <w:name w:val="heading 4"/>
    <w:basedOn w:val="Normal"/>
    <w:next w:val="Normal"/>
    <w:qFormat/>
    <w:pPr>
      <w:keepNext/>
      <w:numPr>
        <w:ilvl w:val="3"/>
      </w:numPr>
      <w:tabs>
        <w:tab w:val="num" w:pos="1030"/>
      </w:tabs>
      <w:spacing w:before="120" w:after="120"/>
      <w:ind w:left="1030" w:hanging="850"/>
      <w:jc w:val="both"/>
      <w:outlineLvl w:val="3"/>
    </w:pPr>
    <w:rPr>
      <w:b/>
      <w:bCs/>
      <w:szCs w:val="28"/>
      <w:lang w:eastAsia="de-D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535"/>
        <w:tab w:val="right" w:pos="9071"/>
        <w:tab w:val="right" w:pos="9921"/>
      </w:tabs>
      <w:spacing w:before="360"/>
      <w:ind w:left="-850" w:right="-850"/>
    </w:pPr>
    <w:rPr>
      <w:lang w:eastAsia="de-DE"/>
    </w:rPr>
  </w:style>
  <w:style w:type="paragraph" w:styleId="FootnoteText">
    <w:name w:val="footnote text"/>
    <w:basedOn w:val="Normal"/>
    <w:link w:val="FootnoteTextChar"/>
    <w:pPr>
      <w:ind w:left="720" w:hanging="720"/>
      <w:jc w:val="both"/>
    </w:pPr>
    <w:rPr>
      <w:sz w:val="20"/>
      <w:szCs w:val="20"/>
      <w:lang w:eastAsia="de-DE"/>
    </w:rPr>
  </w:style>
  <w:style w:type="paragraph" w:styleId="TOC1">
    <w:name w:val="toc 1"/>
    <w:basedOn w:val="Normal"/>
    <w:next w:val="Normal"/>
    <w:uiPriority w:val="39"/>
    <w:pPr>
      <w:spacing w:before="120" w:after="120"/>
    </w:pPr>
    <w:rPr>
      <w:b/>
      <w:bCs/>
      <w:caps/>
      <w:sz w:val="20"/>
      <w:szCs w:val="20"/>
    </w:rPr>
  </w:style>
  <w:style w:type="character" w:styleId="FootnoteReference">
    <w:name w:val="footnote reference"/>
    <w:aliases w:val="stylish,Footnote Reference Superscript,BVI fnr,Footnote symbol,Footnote symboFußnotenzeichen,Footnote sign,Footnote Reference Number,E FNZ,-E Fußnotenzeichen,Footnote#,Footnote,Times 10 Point,Exposant 3 Point,Ref,de nota al pie,SUPER"/>
    <w:uiPriority w:val="99"/>
    <w:rPr>
      <w:vertAlign w:val="superscript"/>
    </w:rPr>
  </w:style>
  <w:style w:type="paragraph" w:customStyle="1" w:styleId="Text1">
    <w:name w:val="Text 1"/>
    <w:basedOn w:val="Normal"/>
    <w:pPr>
      <w:spacing w:before="120" w:after="120"/>
      <w:ind w:left="850"/>
      <w:jc w:val="both"/>
    </w:pPr>
    <w:rPr>
      <w:lang w:eastAsia="de-DE"/>
    </w:rPr>
  </w:style>
  <w:style w:type="paragraph" w:customStyle="1" w:styleId="Tiret0">
    <w:name w:val="Tiret 0"/>
    <w:basedOn w:val="Normal"/>
    <w:pPr>
      <w:numPr>
        <w:numId w:val="1"/>
      </w:numPr>
      <w:spacing w:before="120" w:after="120"/>
      <w:jc w:val="both"/>
    </w:pPr>
    <w:rPr>
      <w:lang w:eastAsia="de-DE"/>
    </w:rPr>
  </w:style>
  <w:style w:type="paragraph" w:customStyle="1" w:styleId="ManualHeading1">
    <w:name w:val="Manual Heading 1"/>
    <w:basedOn w:val="Normal"/>
    <w:next w:val="Text1"/>
    <w:pPr>
      <w:keepNext/>
      <w:tabs>
        <w:tab w:val="left" w:pos="850"/>
      </w:tabs>
      <w:spacing w:before="360" w:after="120"/>
      <w:ind w:left="850" w:hanging="850"/>
      <w:jc w:val="both"/>
      <w:outlineLvl w:val="0"/>
    </w:pPr>
    <w:rPr>
      <w:b/>
      <w:smallCaps/>
      <w:lang w:eastAsia="de-DE"/>
    </w:rPr>
  </w:style>
  <w:style w:type="paragraph" w:customStyle="1" w:styleId="ManualHeading2">
    <w:name w:val="Manual Heading 2"/>
    <w:basedOn w:val="Normal"/>
    <w:next w:val="Normal"/>
    <w:pPr>
      <w:keepNext/>
      <w:tabs>
        <w:tab w:val="left" w:pos="850"/>
      </w:tabs>
      <w:spacing w:before="120" w:after="120"/>
      <w:ind w:left="850" w:hanging="850"/>
      <w:jc w:val="both"/>
      <w:outlineLvl w:val="1"/>
    </w:pPr>
    <w:rPr>
      <w:b/>
      <w:lang w:eastAsia="de-DE"/>
    </w:rPr>
  </w:style>
  <w:style w:type="paragraph" w:customStyle="1" w:styleId="ListDash">
    <w:name w:val="List Dash"/>
    <w:basedOn w:val="Normal"/>
    <w:link w:val="ListDashChar"/>
    <w:pPr>
      <w:numPr>
        <w:numId w:val="2"/>
      </w:numPr>
      <w:spacing w:before="120" w:after="120"/>
      <w:jc w:val="both"/>
    </w:pPr>
    <w:rPr>
      <w:lang w:eastAsia="de-DE"/>
    </w:rPr>
  </w:style>
  <w:style w:type="paragraph" w:styleId="TOCHeading">
    <w:name w:val="TOC Heading"/>
    <w:basedOn w:val="Normal"/>
    <w:next w:val="Normal"/>
    <w:uiPriority w:val="39"/>
    <w:qFormat/>
    <w:pPr>
      <w:spacing w:before="120" w:after="240"/>
      <w:jc w:val="center"/>
    </w:pPr>
    <w:rPr>
      <w:b/>
      <w:sz w:val="28"/>
      <w:lang w:eastAsia="de-DE"/>
    </w:rPr>
  </w:style>
  <w:style w:type="paragraph" w:customStyle="1" w:styleId="Prliminairetitre">
    <w:name w:val="Préliminaire titre"/>
    <w:basedOn w:val="Normal"/>
    <w:next w:val="Normal"/>
    <w:pPr>
      <w:spacing w:before="360" w:after="360"/>
      <w:jc w:val="center"/>
    </w:pPr>
    <w:rPr>
      <w:b/>
      <w:lang w:eastAsia="de-DE"/>
    </w:rPr>
  </w:style>
  <w:style w:type="paragraph" w:customStyle="1" w:styleId="Prliminairetype">
    <w:name w:val="Préliminaire type"/>
    <w:basedOn w:val="Normal"/>
    <w:next w:val="Normal"/>
    <w:pPr>
      <w:spacing w:before="360"/>
      <w:jc w:val="center"/>
    </w:pPr>
    <w:rPr>
      <w:b/>
      <w:lang w:eastAsia="de-DE"/>
    </w:rPr>
  </w:style>
  <w:style w:type="character" w:styleId="Hyperlink">
    <w:name w:val="Hyperlink"/>
    <w:uiPriority w:val="99"/>
    <w:rPr>
      <w:color w:val="0000FF"/>
      <w:u w:val="single"/>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before="120" w:after="120"/>
      <w:jc w:val="both"/>
    </w:pPr>
    <w:rPr>
      <w:lang w:eastAsia="en-US"/>
    </w:rPr>
  </w:style>
  <w:style w:type="paragraph" w:styleId="Header">
    <w:name w:val="header"/>
    <w:basedOn w:val="Normal"/>
    <w:pPr>
      <w:tabs>
        <w:tab w:val="center" w:pos="4536"/>
        <w:tab w:val="right" w:pos="9072"/>
      </w:tabs>
    </w:pPr>
  </w:style>
  <w:style w:type="paragraph" w:customStyle="1" w:styleId="FooterCoverPage">
    <w:name w:val="Footer Cover Page"/>
    <w:basedOn w:val="Normal"/>
    <w:pPr>
      <w:tabs>
        <w:tab w:val="center" w:pos="4535"/>
        <w:tab w:val="right" w:pos="9071"/>
        <w:tab w:val="right" w:pos="9921"/>
      </w:tabs>
      <w:spacing w:before="360"/>
      <w:ind w:left="-850" w:right="-850"/>
    </w:pPr>
  </w:style>
  <w:style w:type="paragraph" w:customStyle="1" w:styleId="HeaderCoverPage">
    <w:name w:val="Header Cover Page"/>
    <w:basedOn w:val="Normal"/>
    <w:pPr>
      <w:tabs>
        <w:tab w:val="center" w:pos="4535"/>
        <w:tab w:val="right" w:pos="9071"/>
      </w:tabs>
      <w:spacing w:after="120"/>
      <w:jc w:val="both"/>
    </w:pPr>
  </w:style>
  <w:style w:type="paragraph" w:styleId="TOC2">
    <w:name w:val="toc 2"/>
    <w:basedOn w:val="Normal"/>
    <w:next w:val="Normal"/>
    <w:autoRedefine/>
    <w:uiPriority w:val="39"/>
    <w:pPr>
      <w:ind w:left="240"/>
    </w:pPr>
    <w:rPr>
      <w:smallCaps/>
      <w:sz w:val="20"/>
      <w:szCs w:val="20"/>
    </w:rPr>
  </w:style>
  <w:style w:type="paragraph" w:styleId="TOC3">
    <w:name w:val="toc 3"/>
    <w:basedOn w:val="Normal"/>
    <w:next w:val="Normal"/>
    <w:autoRedefine/>
    <w:semiHidden/>
    <w:pPr>
      <w:ind w:left="480"/>
    </w:pPr>
    <w:rPr>
      <w:i/>
      <w:iCs/>
      <w:sz w:val="20"/>
      <w:szCs w:val="20"/>
    </w:rPr>
  </w:style>
  <w:style w:type="paragraph" w:styleId="TOC4">
    <w:name w:val="toc 4"/>
    <w:basedOn w:val="Normal"/>
    <w:next w:val="Normal"/>
    <w:autoRedefine/>
    <w:semiHidden/>
    <w:pPr>
      <w:ind w:left="720"/>
    </w:pPr>
    <w:rPr>
      <w:sz w:val="18"/>
      <w:szCs w:val="18"/>
    </w:rPr>
  </w:style>
  <w:style w:type="paragraph" w:styleId="TOC5">
    <w:name w:val="toc 5"/>
    <w:basedOn w:val="Normal"/>
    <w:next w:val="Normal"/>
    <w:autoRedefine/>
    <w:semiHidden/>
    <w:pPr>
      <w:ind w:left="960"/>
    </w:pPr>
    <w:rPr>
      <w:sz w:val="18"/>
      <w:szCs w:val="18"/>
    </w:rPr>
  </w:style>
  <w:style w:type="paragraph" w:styleId="TOC6">
    <w:name w:val="toc 6"/>
    <w:basedOn w:val="Normal"/>
    <w:next w:val="Normal"/>
    <w:autoRedefine/>
    <w:semiHidden/>
    <w:pPr>
      <w:ind w:left="1200"/>
    </w:pPr>
    <w:rPr>
      <w:sz w:val="18"/>
      <w:szCs w:val="18"/>
    </w:rPr>
  </w:style>
  <w:style w:type="paragraph" w:styleId="TOC7">
    <w:name w:val="toc 7"/>
    <w:basedOn w:val="Normal"/>
    <w:next w:val="Normal"/>
    <w:autoRedefine/>
    <w:semiHidden/>
    <w:pPr>
      <w:ind w:left="1440"/>
    </w:pPr>
    <w:rPr>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styleId="ListBullet">
    <w:name w:val="List Bullet"/>
    <w:basedOn w:val="Normal"/>
    <w:pPr>
      <w:numPr>
        <w:numId w:val="7"/>
      </w:numPr>
      <w:spacing w:before="120" w:after="120"/>
      <w:jc w:val="both"/>
    </w:pPr>
    <w:rPr>
      <w:lang w:eastAsia="de-DE"/>
    </w:rPr>
  </w:style>
  <w:style w:type="paragraph" w:customStyle="1" w:styleId="ListDash2">
    <w:name w:val="List Dash 2"/>
    <w:basedOn w:val="Normal"/>
    <w:pPr>
      <w:tabs>
        <w:tab w:val="num" w:pos="1134"/>
      </w:tabs>
      <w:spacing w:before="120" w:after="120"/>
      <w:ind w:left="1134" w:hanging="283"/>
      <w:jc w:val="both"/>
    </w:pPr>
    <w:rPr>
      <w:lang w:eastAsia="de-DE"/>
    </w:rPr>
  </w:style>
  <w:style w:type="paragraph" w:customStyle="1" w:styleId="ListBullet1">
    <w:name w:val="List Bullet 1"/>
    <w:basedOn w:val="Text1"/>
    <w:pPr>
      <w:numPr>
        <w:numId w:val="8"/>
      </w:numPr>
      <w:spacing w:before="0" w:after="240"/>
    </w:pPr>
    <w:rPr>
      <w:szCs w:val="20"/>
      <w:lang w:eastAsia="en-US"/>
    </w:rPr>
  </w:style>
  <w:style w:type="paragraph" w:styleId="ListBullet2">
    <w:name w:val="List Bullet 2"/>
    <w:basedOn w:val="Normal"/>
    <w:pPr>
      <w:numPr>
        <w:numId w:val="14"/>
      </w:numPr>
      <w:spacing w:after="240"/>
      <w:jc w:val="both"/>
    </w:pPr>
    <w:rPr>
      <w:szCs w:val="20"/>
      <w:lang w:eastAsia="en-US"/>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rPr>
      <w:color w:val="800080"/>
      <w:u w:val="single"/>
    </w:rPr>
  </w:style>
  <w:style w:type="paragraph" w:customStyle="1" w:styleId="Typedudocument">
    <w:name w:val="Type du document"/>
    <w:basedOn w:val="Normal"/>
    <w:next w:val="Titreobjet"/>
    <w:pPr>
      <w:spacing w:before="360"/>
      <w:jc w:val="center"/>
    </w:pPr>
    <w:rPr>
      <w:b/>
      <w:lang w:eastAsia="en-US"/>
    </w:rPr>
  </w:style>
  <w:style w:type="paragraph" w:customStyle="1" w:styleId="Titreobjet">
    <w:name w:val="Titre objet"/>
    <w:basedOn w:val="Normal"/>
    <w:next w:val="Normal"/>
    <w:pPr>
      <w:spacing w:before="360" w:after="360"/>
      <w:jc w:val="center"/>
    </w:pPr>
    <w:rPr>
      <w:b/>
      <w:lang w:eastAsia="en-US"/>
    </w:rPr>
  </w:style>
  <w:style w:type="character" w:styleId="Emphasis">
    <w:name w:val="Emphasis"/>
    <w:qFormat/>
    <w:rPr>
      <w:i/>
      <w:iCs/>
    </w:rPr>
  </w:style>
  <w:style w:type="paragraph" w:styleId="NormalWeb">
    <w:name w:val="Normal (Web)"/>
    <w:basedOn w:val="Normal"/>
    <w:pPr>
      <w:spacing w:before="100" w:beforeAutospacing="1" w:after="100" w:afterAutospacing="1"/>
    </w:pPr>
  </w:style>
  <w:style w:type="paragraph" w:customStyle="1" w:styleId="Text2">
    <w:name w:val="Text 2"/>
    <w:basedOn w:val="Normal"/>
    <w:pPr>
      <w:spacing w:before="120" w:after="120"/>
      <w:ind w:left="850"/>
      <w:jc w:val="both"/>
    </w:pPr>
    <w:rPr>
      <w:lang w:eastAsia="en-US"/>
    </w:rPr>
  </w:style>
  <w:style w:type="paragraph" w:styleId="BalloonText">
    <w:name w:val="Balloon Text"/>
    <w:basedOn w:val="Normal"/>
    <w:semiHidden/>
    <w:rPr>
      <w:rFonts w:ascii="Tahoma" w:hAnsi="Tahoma" w:cs="Tahoma"/>
      <w:sz w:val="16"/>
      <w:szCs w:val="16"/>
    </w:rPr>
  </w:style>
  <w:style w:type="paragraph" w:styleId="ListNumber">
    <w:name w:val="List Number"/>
    <w:basedOn w:val="Normal"/>
    <w:pPr>
      <w:numPr>
        <w:numId w:val="18"/>
      </w:numPr>
      <w:spacing w:before="120" w:after="120"/>
      <w:jc w:val="both"/>
    </w:pPr>
    <w:rPr>
      <w:lang w:eastAsia="de-DE"/>
    </w:rPr>
  </w:style>
  <w:style w:type="paragraph" w:customStyle="1" w:styleId="ListNumberLevel2">
    <w:name w:val="List Number (Level 2)"/>
    <w:basedOn w:val="Normal"/>
    <w:pPr>
      <w:numPr>
        <w:ilvl w:val="1"/>
        <w:numId w:val="18"/>
      </w:numPr>
      <w:spacing w:before="120" w:after="120"/>
      <w:jc w:val="both"/>
    </w:pPr>
    <w:rPr>
      <w:lang w:eastAsia="de-DE"/>
    </w:rPr>
  </w:style>
  <w:style w:type="paragraph" w:customStyle="1" w:styleId="ListNumberLevel3">
    <w:name w:val="List Number (Level 3)"/>
    <w:basedOn w:val="Normal"/>
    <w:pPr>
      <w:numPr>
        <w:ilvl w:val="2"/>
        <w:numId w:val="18"/>
      </w:numPr>
      <w:spacing w:before="120" w:after="120"/>
      <w:jc w:val="both"/>
    </w:pPr>
    <w:rPr>
      <w:lang w:eastAsia="de-DE"/>
    </w:rPr>
  </w:style>
  <w:style w:type="paragraph" w:customStyle="1" w:styleId="ListNumberLevel4">
    <w:name w:val="List Number (Level 4)"/>
    <w:basedOn w:val="Normal"/>
    <w:pPr>
      <w:numPr>
        <w:ilvl w:val="3"/>
        <w:numId w:val="18"/>
      </w:numPr>
      <w:spacing w:before="120" w:after="120"/>
      <w:jc w:val="both"/>
    </w:pPr>
    <w:rPr>
      <w:lang w:eastAsia="de-DE"/>
    </w:rPr>
  </w:style>
  <w:style w:type="character" w:customStyle="1" w:styleId="ListDashChar">
    <w:name w:val="List Dash Char"/>
    <w:link w:val="ListDash"/>
    <w:rPr>
      <w:sz w:val="24"/>
      <w:szCs w:val="24"/>
      <w:lang w:eastAsia="de-DE"/>
    </w:rPr>
  </w:style>
  <w:style w:type="paragraph" w:customStyle="1" w:styleId="StyleManualHeading2Italic">
    <w:name w:val="Style Manual Heading 2 + Italic"/>
    <w:basedOn w:val="ManualHeading2"/>
    <w:autoRedefine/>
    <w:pPr>
      <w:spacing w:before="160" w:after="160"/>
      <w:ind w:left="851" w:hanging="851"/>
    </w:pPr>
    <w:rPr>
      <w:bCs/>
      <w:i/>
      <w:iCs/>
    </w:rPr>
  </w:style>
  <w:style w:type="character" w:customStyle="1" w:styleId="FootnoteTextChar">
    <w:name w:val="Footnote Text Char"/>
    <w:link w:val="FootnoteText"/>
    <w:rPr>
      <w:lang w:eastAsia="de-DE"/>
    </w:rPr>
  </w:style>
  <w:style w:type="paragraph" w:customStyle="1" w:styleId="NormalCentered">
    <w:name w:val="Normal Centered"/>
    <w:basedOn w:val="Normal"/>
    <w:uiPriority w:val="99"/>
    <w:pPr>
      <w:spacing w:before="120" w:after="120"/>
      <w:jc w:val="center"/>
    </w:pPr>
    <w:rPr>
      <w:lang w:eastAsia="de-DE"/>
    </w:rPr>
  </w:style>
  <w:style w:type="paragraph" w:customStyle="1" w:styleId="NormalRight">
    <w:name w:val="Normal Right"/>
    <w:basedOn w:val="Normal"/>
    <w:uiPriority w:val="99"/>
    <w:pPr>
      <w:spacing w:before="120" w:after="120"/>
      <w:jc w:val="right"/>
    </w:pPr>
    <w:rPr>
      <w:lang w:eastAsia="de-DE"/>
    </w:rPr>
  </w:style>
  <w:style w:type="paragraph" w:customStyle="1" w:styleId="NormalLeft">
    <w:name w:val="Normal Left"/>
    <w:basedOn w:val="Normal"/>
    <w:uiPriority w:val="99"/>
    <w:pPr>
      <w:spacing w:before="120" w:after="120"/>
    </w:pPr>
  </w:style>
  <w:style w:type="paragraph" w:styleId="Revision">
    <w:name w:val="Revision"/>
    <w:hidden/>
    <w:uiPriority w:val="99"/>
    <w:semiHidden/>
    <w:rPr>
      <w:sz w:val="24"/>
      <w:szCs w:val="24"/>
    </w:rPr>
  </w:style>
  <w:style w:type="paragraph" w:customStyle="1" w:styleId="Statut">
    <w:name w:val="Statut"/>
    <w:basedOn w:val="Normal"/>
    <w:next w:val="Typedudocument"/>
    <w:pPr>
      <w:spacing w:before="360"/>
      <w:jc w:val="center"/>
    </w:pPr>
    <w:rPr>
      <w:rFonts w:eastAsia="Calibri"/>
      <w:szCs w:val="22"/>
      <w:lang w:eastAsia="en-US"/>
    </w:rPr>
  </w:style>
  <w:style w:type="paragraph" w:customStyle="1" w:styleId="Footnoter">
    <w:name w:val="Footnote r"/>
    <w:basedOn w:val="Normal"/>
    <w:pPr>
      <w:shd w:val="clear" w:color="auto" w:fill="F2F8FB"/>
      <w:spacing w:before="100" w:beforeAutospacing="1" w:after="100" w:afterAutospacing="1"/>
    </w:pPr>
    <w:rPr>
      <w:szCs w:val="22"/>
    </w:rPr>
  </w:style>
  <w:style w:type="character" w:customStyle="1" w:styleId="hps">
    <w:name w:val="hps"/>
  </w:style>
  <w:style w:type="paragraph" w:customStyle="1" w:styleId="Point0number">
    <w:name w:val="Point 0 (number)"/>
    <w:basedOn w:val="Normal"/>
    <w:pPr>
      <w:numPr>
        <w:numId w:val="35"/>
      </w:numPr>
      <w:spacing w:before="120" w:after="120"/>
      <w:jc w:val="both"/>
    </w:pPr>
    <w:rPr>
      <w:szCs w:val="22"/>
    </w:rPr>
  </w:style>
  <w:style w:type="paragraph" w:customStyle="1" w:styleId="Point1number">
    <w:name w:val="Point 1 (number)"/>
    <w:basedOn w:val="Normal"/>
    <w:pPr>
      <w:numPr>
        <w:ilvl w:val="2"/>
        <w:numId w:val="35"/>
      </w:numPr>
      <w:spacing w:before="120" w:after="120"/>
      <w:jc w:val="both"/>
    </w:pPr>
    <w:rPr>
      <w:szCs w:val="22"/>
    </w:rPr>
  </w:style>
  <w:style w:type="paragraph" w:customStyle="1" w:styleId="Point2number">
    <w:name w:val="Point 2 (number)"/>
    <w:basedOn w:val="Normal"/>
    <w:pPr>
      <w:numPr>
        <w:ilvl w:val="4"/>
        <w:numId w:val="35"/>
      </w:numPr>
      <w:spacing w:before="120" w:after="120"/>
      <w:jc w:val="both"/>
    </w:pPr>
    <w:rPr>
      <w:szCs w:val="22"/>
    </w:rPr>
  </w:style>
  <w:style w:type="paragraph" w:customStyle="1" w:styleId="Point3number">
    <w:name w:val="Point 3 (number)"/>
    <w:basedOn w:val="Normal"/>
    <w:pPr>
      <w:numPr>
        <w:ilvl w:val="6"/>
        <w:numId w:val="35"/>
      </w:numPr>
      <w:spacing w:before="120" w:after="120"/>
      <w:jc w:val="both"/>
    </w:pPr>
    <w:rPr>
      <w:szCs w:val="22"/>
    </w:rPr>
  </w:style>
  <w:style w:type="paragraph" w:customStyle="1" w:styleId="Point0letter">
    <w:name w:val="Point 0 (letter)"/>
    <w:basedOn w:val="Normal"/>
    <w:pPr>
      <w:numPr>
        <w:ilvl w:val="1"/>
        <w:numId w:val="35"/>
      </w:numPr>
      <w:spacing w:before="120" w:after="120"/>
      <w:jc w:val="both"/>
    </w:pPr>
    <w:rPr>
      <w:szCs w:val="22"/>
    </w:rPr>
  </w:style>
  <w:style w:type="paragraph" w:customStyle="1" w:styleId="Point1letter">
    <w:name w:val="Point 1 (letter)"/>
    <w:basedOn w:val="Normal"/>
    <w:pPr>
      <w:numPr>
        <w:ilvl w:val="3"/>
        <w:numId w:val="35"/>
      </w:numPr>
      <w:spacing w:before="120" w:after="120"/>
      <w:jc w:val="both"/>
    </w:pPr>
    <w:rPr>
      <w:szCs w:val="22"/>
    </w:rPr>
  </w:style>
  <w:style w:type="paragraph" w:customStyle="1" w:styleId="Point2letter">
    <w:name w:val="Point 2 (letter)"/>
    <w:basedOn w:val="Normal"/>
    <w:pPr>
      <w:numPr>
        <w:ilvl w:val="5"/>
        <w:numId w:val="35"/>
      </w:numPr>
      <w:spacing w:before="120" w:after="120"/>
      <w:jc w:val="both"/>
    </w:pPr>
    <w:rPr>
      <w:szCs w:val="22"/>
    </w:rPr>
  </w:style>
  <w:style w:type="paragraph" w:customStyle="1" w:styleId="Point3letter">
    <w:name w:val="Point 3 (letter)"/>
    <w:basedOn w:val="Normal"/>
    <w:pPr>
      <w:numPr>
        <w:ilvl w:val="7"/>
        <w:numId w:val="35"/>
      </w:numPr>
      <w:spacing w:before="120" w:after="120"/>
      <w:jc w:val="both"/>
    </w:pPr>
    <w:rPr>
      <w:szCs w:val="22"/>
    </w:rPr>
  </w:style>
  <w:style w:type="paragraph" w:customStyle="1" w:styleId="Point4letter">
    <w:name w:val="Point 4 (letter)"/>
    <w:basedOn w:val="Normal"/>
    <w:pPr>
      <w:numPr>
        <w:ilvl w:val="8"/>
        <w:numId w:val="35"/>
      </w:numPr>
      <w:spacing w:before="120" w:after="120"/>
      <w:jc w:val="both"/>
    </w:pPr>
    <w:rPr>
      <w:szCs w:val="22"/>
    </w:rPr>
  </w:style>
  <w:style w:type="paragraph" w:customStyle="1" w:styleId="Tiret2">
    <w:name w:val="Tiret 2"/>
    <w:basedOn w:val="Normal"/>
    <w:pPr>
      <w:numPr>
        <w:numId w:val="38"/>
      </w:numPr>
      <w:spacing w:before="120" w:after="120"/>
      <w:jc w:val="both"/>
    </w:pPr>
    <w:rPr>
      <w:szCs w:val="22"/>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
    <w:basedOn w:val="Normal"/>
    <w:link w:val="ListParagraphChar"/>
    <w:uiPriority w:val="34"/>
    <w:qFormat/>
    <w:pPr>
      <w:spacing w:after="200" w:line="276" w:lineRule="auto"/>
      <w:ind w:left="720"/>
      <w:contextualSpacing/>
    </w:pPr>
    <w:rPr>
      <w:rFonts w:ascii="Calibri" w:eastAsia="MS Mincho" w:hAnsi="Calibri"/>
      <w:sz w:val="22"/>
      <w:szCs w:val="22"/>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rPr>
      <w:rFonts w:ascii="Calibri" w:eastAsia="MS Mincho" w:hAnsi="Calibri"/>
      <w:sz w:val="22"/>
      <w:szCs w:val="22"/>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footnote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autoRedefine/>
    <w:qFormat/>
    <w:pPr>
      <w:keepNext/>
      <w:spacing w:before="240" w:after="120"/>
      <w:outlineLvl w:val="0"/>
    </w:pPr>
    <w:rPr>
      <w:rFonts w:ascii="Arial" w:hAnsi="Arial" w:cs="Arial"/>
      <w:b/>
      <w:bCs/>
      <w:kern w:val="32"/>
      <w:sz w:val="32"/>
      <w:szCs w:val="32"/>
    </w:rPr>
  </w:style>
  <w:style w:type="paragraph" w:styleId="Heading2">
    <w:name w:val="heading 2"/>
    <w:basedOn w:val="Normal"/>
    <w:next w:val="Normal"/>
    <w:autoRedefine/>
    <w:qFormat/>
    <w:pPr>
      <w:keepNext/>
      <w:spacing w:before="240" w:after="120"/>
      <w:ind w:left="720" w:hanging="720"/>
      <w:outlineLvl w:val="1"/>
    </w:pPr>
    <w:rPr>
      <w:rFonts w:ascii="Arial" w:hAnsi="Arial" w:cs="Arial"/>
      <w:b/>
      <w:bCs/>
      <w:i/>
      <w:iCs/>
      <w:sz w:val="28"/>
      <w:szCs w:val="28"/>
    </w:rPr>
  </w:style>
  <w:style w:type="paragraph" w:styleId="Heading3">
    <w:name w:val="heading 3"/>
    <w:basedOn w:val="Normal"/>
    <w:next w:val="Normal"/>
    <w:autoRedefine/>
    <w:qFormat/>
    <w:pPr>
      <w:keepNext/>
      <w:numPr>
        <w:ilvl w:val="2"/>
      </w:numPr>
      <w:tabs>
        <w:tab w:val="num" w:pos="850"/>
      </w:tabs>
      <w:spacing w:before="120" w:after="120"/>
      <w:ind w:left="850" w:hanging="850"/>
      <w:jc w:val="both"/>
      <w:outlineLvl w:val="2"/>
    </w:pPr>
    <w:rPr>
      <w:rFonts w:ascii="Arial" w:hAnsi="Arial" w:cs="Arial"/>
      <w:b/>
      <w:bCs/>
      <w:i/>
      <w:sz w:val="26"/>
      <w:szCs w:val="26"/>
    </w:rPr>
  </w:style>
  <w:style w:type="paragraph" w:styleId="Heading4">
    <w:name w:val="heading 4"/>
    <w:basedOn w:val="Normal"/>
    <w:next w:val="Normal"/>
    <w:qFormat/>
    <w:pPr>
      <w:keepNext/>
      <w:numPr>
        <w:ilvl w:val="3"/>
      </w:numPr>
      <w:tabs>
        <w:tab w:val="num" w:pos="1030"/>
      </w:tabs>
      <w:spacing w:before="120" w:after="120"/>
      <w:ind w:left="1030" w:hanging="850"/>
      <w:jc w:val="both"/>
      <w:outlineLvl w:val="3"/>
    </w:pPr>
    <w:rPr>
      <w:b/>
      <w:bCs/>
      <w:szCs w:val="28"/>
      <w:lang w:eastAsia="de-D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535"/>
        <w:tab w:val="right" w:pos="9071"/>
        <w:tab w:val="right" w:pos="9921"/>
      </w:tabs>
      <w:spacing w:before="360"/>
      <w:ind w:left="-850" w:right="-850"/>
    </w:pPr>
    <w:rPr>
      <w:lang w:eastAsia="de-DE"/>
    </w:rPr>
  </w:style>
  <w:style w:type="paragraph" w:styleId="FootnoteText">
    <w:name w:val="footnote text"/>
    <w:basedOn w:val="Normal"/>
    <w:link w:val="FootnoteTextChar"/>
    <w:pPr>
      <w:ind w:left="720" w:hanging="720"/>
      <w:jc w:val="both"/>
    </w:pPr>
    <w:rPr>
      <w:sz w:val="20"/>
      <w:szCs w:val="20"/>
      <w:lang w:eastAsia="de-DE"/>
    </w:rPr>
  </w:style>
  <w:style w:type="paragraph" w:styleId="TOC1">
    <w:name w:val="toc 1"/>
    <w:basedOn w:val="Normal"/>
    <w:next w:val="Normal"/>
    <w:uiPriority w:val="39"/>
    <w:pPr>
      <w:spacing w:before="120" w:after="120"/>
    </w:pPr>
    <w:rPr>
      <w:b/>
      <w:bCs/>
      <w:caps/>
      <w:sz w:val="20"/>
      <w:szCs w:val="20"/>
    </w:rPr>
  </w:style>
  <w:style w:type="character" w:styleId="FootnoteReference">
    <w:name w:val="footnote reference"/>
    <w:aliases w:val="stylish,Footnote Reference Superscript,BVI fnr,Footnote symbol,Footnote symboFußnotenzeichen,Footnote sign,Footnote Reference Number,E FNZ,-E Fußnotenzeichen,Footnote#,Footnote,Times 10 Point,Exposant 3 Point,Ref,de nota al pie,SUPER"/>
    <w:uiPriority w:val="99"/>
    <w:rPr>
      <w:vertAlign w:val="superscript"/>
    </w:rPr>
  </w:style>
  <w:style w:type="paragraph" w:customStyle="1" w:styleId="Text1">
    <w:name w:val="Text 1"/>
    <w:basedOn w:val="Normal"/>
    <w:pPr>
      <w:spacing w:before="120" w:after="120"/>
      <w:ind w:left="850"/>
      <w:jc w:val="both"/>
    </w:pPr>
    <w:rPr>
      <w:lang w:eastAsia="de-DE"/>
    </w:rPr>
  </w:style>
  <w:style w:type="paragraph" w:customStyle="1" w:styleId="Tiret0">
    <w:name w:val="Tiret 0"/>
    <w:basedOn w:val="Normal"/>
    <w:pPr>
      <w:numPr>
        <w:numId w:val="1"/>
      </w:numPr>
      <w:spacing w:before="120" w:after="120"/>
      <w:jc w:val="both"/>
    </w:pPr>
    <w:rPr>
      <w:lang w:eastAsia="de-DE"/>
    </w:rPr>
  </w:style>
  <w:style w:type="paragraph" w:customStyle="1" w:styleId="ManualHeading1">
    <w:name w:val="Manual Heading 1"/>
    <w:basedOn w:val="Normal"/>
    <w:next w:val="Text1"/>
    <w:pPr>
      <w:keepNext/>
      <w:tabs>
        <w:tab w:val="left" w:pos="850"/>
      </w:tabs>
      <w:spacing w:before="360" w:after="120"/>
      <w:ind w:left="850" w:hanging="850"/>
      <w:jc w:val="both"/>
      <w:outlineLvl w:val="0"/>
    </w:pPr>
    <w:rPr>
      <w:b/>
      <w:smallCaps/>
      <w:lang w:eastAsia="de-DE"/>
    </w:rPr>
  </w:style>
  <w:style w:type="paragraph" w:customStyle="1" w:styleId="ManualHeading2">
    <w:name w:val="Manual Heading 2"/>
    <w:basedOn w:val="Normal"/>
    <w:next w:val="Normal"/>
    <w:pPr>
      <w:keepNext/>
      <w:tabs>
        <w:tab w:val="left" w:pos="850"/>
      </w:tabs>
      <w:spacing w:before="120" w:after="120"/>
      <w:ind w:left="850" w:hanging="850"/>
      <w:jc w:val="both"/>
      <w:outlineLvl w:val="1"/>
    </w:pPr>
    <w:rPr>
      <w:b/>
      <w:lang w:eastAsia="de-DE"/>
    </w:rPr>
  </w:style>
  <w:style w:type="paragraph" w:customStyle="1" w:styleId="ListDash">
    <w:name w:val="List Dash"/>
    <w:basedOn w:val="Normal"/>
    <w:link w:val="ListDashChar"/>
    <w:pPr>
      <w:numPr>
        <w:numId w:val="2"/>
      </w:numPr>
      <w:spacing w:before="120" w:after="120"/>
      <w:jc w:val="both"/>
    </w:pPr>
    <w:rPr>
      <w:lang w:eastAsia="de-DE"/>
    </w:rPr>
  </w:style>
  <w:style w:type="paragraph" w:styleId="TOCHeading">
    <w:name w:val="TOC Heading"/>
    <w:basedOn w:val="Normal"/>
    <w:next w:val="Normal"/>
    <w:uiPriority w:val="39"/>
    <w:qFormat/>
    <w:pPr>
      <w:spacing w:before="120" w:after="240"/>
      <w:jc w:val="center"/>
    </w:pPr>
    <w:rPr>
      <w:b/>
      <w:sz w:val="28"/>
      <w:lang w:eastAsia="de-DE"/>
    </w:rPr>
  </w:style>
  <w:style w:type="paragraph" w:customStyle="1" w:styleId="Prliminairetitre">
    <w:name w:val="Préliminaire titre"/>
    <w:basedOn w:val="Normal"/>
    <w:next w:val="Normal"/>
    <w:pPr>
      <w:spacing w:before="360" w:after="360"/>
      <w:jc w:val="center"/>
    </w:pPr>
    <w:rPr>
      <w:b/>
      <w:lang w:eastAsia="de-DE"/>
    </w:rPr>
  </w:style>
  <w:style w:type="paragraph" w:customStyle="1" w:styleId="Prliminairetype">
    <w:name w:val="Préliminaire type"/>
    <w:basedOn w:val="Normal"/>
    <w:next w:val="Normal"/>
    <w:pPr>
      <w:spacing w:before="360"/>
      <w:jc w:val="center"/>
    </w:pPr>
    <w:rPr>
      <w:b/>
      <w:lang w:eastAsia="de-DE"/>
    </w:rPr>
  </w:style>
  <w:style w:type="character" w:styleId="Hyperlink">
    <w:name w:val="Hyperlink"/>
    <w:uiPriority w:val="99"/>
    <w:rPr>
      <w:color w:val="0000FF"/>
      <w:u w:val="single"/>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before="120" w:after="120"/>
      <w:jc w:val="both"/>
    </w:pPr>
    <w:rPr>
      <w:lang w:eastAsia="en-US"/>
    </w:rPr>
  </w:style>
  <w:style w:type="paragraph" w:styleId="Header">
    <w:name w:val="header"/>
    <w:basedOn w:val="Normal"/>
    <w:pPr>
      <w:tabs>
        <w:tab w:val="center" w:pos="4536"/>
        <w:tab w:val="right" w:pos="9072"/>
      </w:tabs>
    </w:pPr>
  </w:style>
  <w:style w:type="paragraph" w:customStyle="1" w:styleId="FooterCoverPage">
    <w:name w:val="Footer Cover Page"/>
    <w:basedOn w:val="Normal"/>
    <w:pPr>
      <w:tabs>
        <w:tab w:val="center" w:pos="4535"/>
        <w:tab w:val="right" w:pos="9071"/>
        <w:tab w:val="right" w:pos="9921"/>
      </w:tabs>
      <w:spacing w:before="360"/>
      <w:ind w:left="-850" w:right="-850"/>
    </w:pPr>
  </w:style>
  <w:style w:type="paragraph" w:customStyle="1" w:styleId="HeaderCoverPage">
    <w:name w:val="Header Cover Page"/>
    <w:basedOn w:val="Normal"/>
    <w:pPr>
      <w:tabs>
        <w:tab w:val="center" w:pos="4535"/>
        <w:tab w:val="right" w:pos="9071"/>
      </w:tabs>
      <w:spacing w:after="120"/>
      <w:jc w:val="both"/>
    </w:pPr>
  </w:style>
  <w:style w:type="paragraph" w:styleId="TOC2">
    <w:name w:val="toc 2"/>
    <w:basedOn w:val="Normal"/>
    <w:next w:val="Normal"/>
    <w:autoRedefine/>
    <w:uiPriority w:val="39"/>
    <w:pPr>
      <w:ind w:left="240"/>
    </w:pPr>
    <w:rPr>
      <w:smallCaps/>
      <w:sz w:val="20"/>
      <w:szCs w:val="20"/>
    </w:rPr>
  </w:style>
  <w:style w:type="paragraph" w:styleId="TOC3">
    <w:name w:val="toc 3"/>
    <w:basedOn w:val="Normal"/>
    <w:next w:val="Normal"/>
    <w:autoRedefine/>
    <w:semiHidden/>
    <w:pPr>
      <w:ind w:left="480"/>
    </w:pPr>
    <w:rPr>
      <w:i/>
      <w:iCs/>
      <w:sz w:val="20"/>
      <w:szCs w:val="20"/>
    </w:rPr>
  </w:style>
  <w:style w:type="paragraph" w:styleId="TOC4">
    <w:name w:val="toc 4"/>
    <w:basedOn w:val="Normal"/>
    <w:next w:val="Normal"/>
    <w:autoRedefine/>
    <w:semiHidden/>
    <w:pPr>
      <w:ind w:left="720"/>
    </w:pPr>
    <w:rPr>
      <w:sz w:val="18"/>
      <w:szCs w:val="18"/>
    </w:rPr>
  </w:style>
  <w:style w:type="paragraph" w:styleId="TOC5">
    <w:name w:val="toc 5"/>
    <w:basedOn w:val="Normal"/>
    <w:next w:val="Normal"/>
    <w:autoRedefine/>
    <w:semiHidden/>
    <w:pPr>
      <w:ind w:left="960"/>
    </w:pPr>
    <w:rPr>
      <w:sz w:val="18"/>
      <w:szCs w:val="18"/>
    </w:rPr>
  </w:style>
  <w:style w:type="paragraph" w:styleId="TOC6">
    <w:name w:val="toc 6"/>
    <w:basedOn w:val="Normal"/>
    <w:next w:val="Normal"/>
    <w:autoRedefine/>
    <w:semiHidden/>
    <w:pPr>
      <w:ind w:left="1200"/>
    </w:pPr>
    <w:rPr>
      <w:sz w:val="18"/>
      <w:szCs w:val="18"/>
    </w:rPr>
  </w:style>
  <w:style w:type="paragraph" w:styleId="TOC7">
    <w:name w:val="toc 7"/>
    <w:basedOn w:val="Normal"/>
    <w:next w:val="Normal"/>
    <w:autoRedefine/>
    <w:semiHidden/>
    <w:pPr>
      <w:ind w:left="1440"/>
    </w:pPr>
    <w:rPr>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styleId="ListBullet">
    <w:name w:val="List Bullet"/>
    <w:basedOn w:val="Normal"/>
    <w:pPr>
      <w:numPr>
        <w:numId w:val="7"/>
      </w:numPr>
      <w:spacing w:before="120" w:after="120"/>
      <w:jc w:val="both"/>
    </w:pPr>
    <w:rPr>
      <w:lang w:eastAsia="de-DE"/>
    </w:rPr>
  </w:style>
  <w:style w:type="paragraph" w:customStyle="1" w:styleId="ListDash2">
    <w:name w:val="List Dash 2"/>
    <w:basedOn w:val="Normal"/>
    <w:pPr>
      <w:tabs>
        <w:tab w:val="num" w:pos="1134"/>
      </w:tabs>
      <w:spacing w:before="120" w:after="120"/>
      <w:ind w:left="1134" w:hanging="283"/>
      <w:jc w:val="both"/>
    </w:pPr>
    <w:rPr>
      <w:lang w:eastAsia="de-DE"/>
    </w:rPr>
  </w:style>
  <w:style w:type="paragraph" w:customStyle="1" w:styleId="ListBullet1">
    <w:name w:val="List Bullet 1"/>
    <w:basedOn w:val="Text1"/>
    <w:pPr>
      <w:numPr>
        <w:numId w:val="8"/>
      </w:numPr>
      <w:spacing w:before="0" w:after="240"/>
    </w:pPr>
    <w:rPr>
      <w:szCs w:val="20"/>
      <w:lang w:eastAsia="en-US"/>
    </w:rPr>
  </w:style>
  <w:style w:type="paragraph" w:styleId="ListBullet2">
    <w:name w:val="List Bullet 2"/>
    <w:basedOn w:val="Normal"/>
    <w:pPr>
      <w:numPr>
        <w:numId w:val="14"/>
      </w:numPr>
      <w:spacing w:after="240"/>
      <w:jc w:val="both"/>
    </w:pPr>
    <w:rPr>
      <w:szCs w:val="20"/>
      <w:lang w:eastAsia="en-US"/>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rPr>
      <w:color w:val="800080"/>
      <w:u w:val="single"/>
    </w:rPr>
  </w:style>
  <w:style w:type="paragraph" w:customStyle="1" w:styleId="Typedudocument">
    <w:name w:val="Type du document"/>
    <w:basedOn w:val="Normal"/>
    <w:next w:val="Titreobjet"/>
    <w:pPr>
      <w:spacing w:before="360"/>
      <w:jc w:val="center"/>
    </w:pPr>
    <w:rPr>
      <w:b/>
      <w:lang w:eastAsia="en-US"/>
    </w:rPr>
  </w:style>
  <w:style w:type="paragraph" w:customStyle="1" w:styleId="Titreobjet">
    <w:name w:val="Titre objet"/>
    <w:basedOn w:val="Normal"/>
    <w:next w:val="Normal"/>
    <w:pPr>
      <w:spacing w:before="360" w:after="360"/>
      <w:jc w:val="center"/>
    </w:pPr>
    <w:rPr>
      <w:b/>
      <w:lang w:eastAsia="en-US"/>
    </w:rPr>
  </w:style>
  <w:style w:type="character" w:styleId="Emphasis">
    <w:name w:val="Emphasis"/>
    <w:qFormat/>
    <w:rPr>
      <w:i/>
      <w:iCs/>
    </w:rPr>
  </w:style>
  <w:style w:type="paragraph" w:styleId="NormalWeb">
    <w:name w:val="Normal (Web)"/>
    <w:basedOn w:val="Normal"/>
    <w:pPr>
      <w:spacing w:before="100" w:beforeAutospacing="1" w:after="100" w:afterAutospacing="1"/>
    </w:pPr>
  </w:style>
  <w:style w:type="paragraph" w:customStyle="1" w:styleId="Text2">
    <w:name w:val="Text 2"/>
    <w:basedOn w:val="Normal"/>
    <w:pPr>
      <w:spacing w:before="120" w:after="120"/>
      <w:ind w:left="850"/>
      <w:jc w:val="both"/>
    </w:pPr>
    <w:rPr>
      <w:lang w:eastAsia="en-US"/>
    </w:rPr>
  </w:style>
  <w:style w:type="paragraph" w:styleId="BalloonText">
    <w:name w:val="Balloon Text"/>
    <w:basedOn w:val="Normal"/>
    <w:semiHidden/>
    <w:rPr>
      <w:rFonts w:ascii="Tahoma" w:hAnsi="Tahoma" w:cs="Tahoma"/>
      <w:sz w:val="16"/>
      <w:szCs w:val="16"/>
    </w:rPr>
  </w:style>
  <w:style w:type="paragraph" w:styleId="ListNumber">
    <w:name w:val="List Number"/>
    <w:basedOn w:val="Normal"/>
    <w:pPr>
      <w:numPr>
        <w:numId w:val="18"/>
      </w:numPr>
      <w:spacing w:before="120" w:after="120"/>
      <w:jc w:val="both"/>
    </w:pPr>
    <w:rPr>
      <w:lang w:eastAsia="de-DE"/>
    </w:rPr>
  </w:style>
  <w:style w:type="paragraph" w:customStyle="1" w:styleId="ListNumberLevel2">
    <w:name w:val="List Number (Level 2)"/>
    <w:basedOn w:val="Normal"/>
    <w:pPr>
      <w:numPr>
        <w:ilvl w:val="1"/>
        <w:numId w:val="18"/>
      </w:numPr>
      <w:spacing w:before="120" w:after="120"/>
      <w:jc w:val="both"/>
    </w:pPr>
    <w:rPr>
      <w:lang w:eastAsia="de-DE"/>
    </w:rPr>
  </w:style>
  <w:style w:type="paragraph" w:customStyle="1" w:styleId="ListNumberLevel3">
    <w:name w:val="List Number (Level 3)"/>
    <w:basedOn w:val="Normal"/>
    <w:pPr>
      <w:numPr>
        <w:ilvl w:val="2"/>
        <w:numId w:val="18"/>
      </w:numPr>
      <w:spacing w:before="120" w:after="120"/>
      <w:jc w:val="both"/>
    </w:pPr>
    <w:rPr>
      <w:lang w:eastAsia="de-DE"/>
    </w:rPr>
  </w:style>
  <w:style w:type="paragraph" w:customStyle="1" w:styleId="ListNumberLevel4">
    <w:name w:val="List Number (Level 4)"/>
    <w:basedOn w:val="Normal"/>
    <w:pPr>
      <w:numPr>
        <w:ilvl w:val="3"/>
        <w:numId w:val="18"/>
      </w:numPr>
      <w:spacing w:before="120" w:after="120"/>
      <w:jc w:val="both"/>
    </w:pPr>
    <w:rPr>
      <w:lang w:eastAsia="de-DE"/>
    </w:rPr>
  </w:style>
  <w:style w:type="character" w:customStyle="1" w:styleId="ListDashChar">
    <w:name w:val="List Dash Char"/>
    <w:link w:val="ListDash"/>
    <w:rPr>
      <w:sz w:val="24"/>
      <w:szCs w:val="24"/>
      <w:lang w:eastAsia="de-DE"/>
    </w:rPr>
  </w:style>
  <w:style w:type="paragraph" w:customStyle="1" w:styleId="StyleManualHeading2Italic">
    <w:name w:val="Style Manual Heading 2 + Italic"/>
    <w:basedOn w:val="ManualHeading2"/>
    <w:autoRedefine/>
    <w:pPr>
      <w:spacing w:before="160" w:after="160"/>
      <w:ind w:left="851" w:hanging="851"/>
    </w:pPr>
    <w:rPr>
      <w:bCs/>
      <w:i/>
      <w:iCs/>
    </w:rPr>
  </w:style>
  <w:style w:type="character" w:customStyle="1" w:styleId="FootnoteTextChar">
    <w:name w:val="Footnote Text Char"/>
    <w:link w:val="FootnoteText"/>
    <w:rPr>
      <w:lang w:eastAsia="de-DE"/>
    </w:rPr>
  </w:style>
  <w:style w:type="paragraph" w:customStyle="1" w:styleId="NormalCentered">
    <w:name w:val="Normal Centered"/>
    <w:basedOn w:val="Normal"/>
    <w:uiPriority w:val="99"/>
    <w:pPr>
      <w:spacing w:before="120" w:after="120"/>
      <w:jc w:val="center"/>
    </w:pPr>
    <w:rPr>
      <w:lang w:eastAsia="de-DE"/>
    </w:rPr>
  </w:style>
  <w:style w:type="paragraph" w:customStyle="1" w:styleId="NormalRight">
    <w:name w:val="Normal Right"/>
    <w:basedOn w:val="Normal"/>
    <w:uiPriority w:val="99"/>
    <w:pPr>
      <w:spacing w:before="120" w:after="120"/>
      <w:jc w:val="right"/>
    </w:pPr>
    <w:rPr>
      <w:lang w:eastAsia="de-DE"/>
    </w:rPr>
  </w:style>
  <w:style w:type="paragraph" w:customStyle="1" w:styleId="NormalLeft">
    <w:name w:val="Normal Left"/>
    <w:basedOn w:val="Normal"/>
    <w:uiPriority w:val="99"/>
    <w:pPr>
      <w:spacing w:before="120" w:after="120"/>
    </w:pPr>
  </w:style>
  <w:style w:type="paragraph" w:styleId="Revision">
    <w:name w:val="Revision"/>
    <w:hidden/>
    <w:uiPriority w:val="99"/>
    <w:semiHidden/>
    <w:rPr>
      <w:sz w:val="24"/>
      <w:szCs w:val="24"/>
    </w:rPr>
  </w:style>
  <w:style w:type="paragraph" w:customStyle="1" w:styleId="Statut">
    <w:name w:val="Statut"/>
    <w:basedOn w:val="Normal"/>
    <w:next w:val="Typedudocument"/>
    <w:pPr>
      <w:spacing w:before="360"/>
      <w:jc w:val="center"/>
    </w:pPr>
    <w:rPr>
      <w:rFonts w:eastAsia="Calibri"/>
      <w:szCs w:val="22"/>
      <w:lang w:eastAsia="en-US"/>
    </w:rPr>
  </w:style>
  <w:style w:type="paragraph" w:customStyle="1" w:styleId="Footnoter">
    <w:name w:val="Footnote r"/>
    <w:basedOn w:val="Normal"/>
    <w:pPr>
      <w:shd w:val="clear" w:color="auto" w:fill="F2F8FB"/>
      <w:spacing w:before="100" w:beforeAutospacing="1" w:after="100" w:afterAutospacing="1"/>
    </w:pPr>
    <w:rPr>
      <w:szCs w:val="22"/>
    </w:rPr>
  </w:style>
  <w:style w:type="character" w:customStyle="1" w:styleId="hps">
    <w:name w:val="hps"/>
  </w:style>
  <w:style w:type="paragraph" w:customStyle="1" w:styleId="Point0number">
    <w:name w:val="Point 0 (number)"/>
    <w:basedOn w:val="Normal"/>
    <w:pPr>
      <w:numPr>
        <w:numId w:val="35"/>
      </w:numPr>
      <w:spacing w:before="120" w:after="120"/>
      <w:jc w:val="both"/>
    </w:pPr>
    <w:rPr>
      <w:szCs w:val="22"/>
    </w:rPr>
  </w:style>
  <w:style w:type="paragraph" w:customStyle="1" w:styleId="Point1number">
    <w:name w:val="Point 1 (number)"/>
    <w:basedOn w:val="Normal"/>
    <w:pPr>
      <w:numPr>
        <w:ilvl w:val="2"/>
        <w:numId w:val="35"/>
      </w:numPr>
      <w:spacing w:before="120" w:after="120"/>
      <w:jc w:val="both"/>
    </w:pPr>
    <w:rPr>
      <w:szCs w:val="22"/>
    </w:rPr>
  </w:style>
  <w:style w:type="paragraph" w:customStyle="1" w:styleId="Point2number">
    <w:name w:val="Point 2 (number)"/>
    <w:basedOn w:val="Normal"/>
    <w:pPr>
      <w:numPr>
        <w:ilvl w:val="4"/>
        <w:numId w:val="35"/>
      </w:numPr>
      <w:spacing w:before="120" w:after="120"/>
      <w:jc w:val="both"/>
    </w:pPr>
    <w:rPr>
      <w:szCs w:val="22"/>
    </w:rPr>
  </w:style>
  <w:style w:type="paragraph" w:customStyle="1" w:styleId="Point3number">
    <w:name w:val="Point 3 (number)"/>
    <w:basedOn w:val="Normal"/>
    <w:pPr>
      <w:numPr>
        <w:ilvl w:val="6"/>
        <w:numId w:val="35"/>
      </w:numPr>
      <w:spacing w:before="120" w:after="120"/>
      <w:jc w:val="both"/>
    </w:pPr>
    <w:rPr>
      <w:szCs w:val="22"/>
    </w:rPr>
  </w:style>
  <w:style w:type="paragraph" w:customStyle="1" w:styleId="Point0letter">
    <w:name w:val="Point 0 (letter)"/>
    <w:basedOn w:val="Normal"/>
    <w:pPr>
      <w:numPr>
        <w:ilvl w:val="1"/>
        <w:numId w:val="35"/>
      </w:numPr>
      <w:spacing w:before="120" w:after="120"/>
      <w:jc w:val="both"/>
    </w:pPr>
    <w:rPr>
      <w:szCs w:val="22"/>
    </w:rPr>
  </w:style>
  <w:style w:type="paragraph" w:customStyle="1" w:styleId="Point1letter">
    <w:name w:val="Point 1 (letter)"/>
    <w:basedOn w:val="Normal"/>
    <w:pPr>
      <w:numPr>
        <w:ilvl w:val="3"/>
        <w:numId w:val="35"/>
      </w:numPr>
      <w:spacing w:before="120" w:after="120"/>
      <w:jc w:val="both"/>
    </w:pPr>
    <w:rPr>
      <w:szCs w:val="22"/>
    </w:rPr>
  </w:style>
  <w:style w:type="paragraph" w:customStyle="1" w:styleId="Point2letter">
    <w:name w:val="Point 2 (letter)"/>
    <w:basedOn w:val="Normal"/>
    <w:pPr>
      <w:numPr>
        <w:ilvl w:val="5"/>
        <w:numId w:val="35"/>
      </w:numPr>
      <w:spacing w:before="120" w:after="120"/>
      <w:jc w:val="both"/>
    </w:pPr>
    <w:rPr>
      <w:szCs w:val="22"/>
    </w:rPr>
  </w:style>
  <w:style w:type="paragraph" w:customStyle="1" w:styleId="Point3letter">
    <w:name w:val="Point 3 (letter)"/>
    <w:basedOn w:val="Normal"/>
    <w:pPr>
      <w:numPr>
        <w:ilvl w:val="7"/>
        <w:numId w:val="35"/>
      </w:numPr>
      <w:spacing w:before="120" w:after="120"/>
      <w:jc w:val="both"/>
    </w:pPr>
    <w:rPr>
      <w:szCs w:val="22"/>
    </w:rPr>
  </w:style>
  <w:style w:type="paragraph" w:customStyle="1" w:styleId="Point4letter">
    <w:name w:val="Point 4 (letter)"/>
    <w:basedOn w:val="Normal"/>
    <w:pPr>
      <w:numPr>
        <w:ilvl w:val="8"/>
        <w:numId w:val="35"/>
      </w:numPr>
      <w:spacing w:before="120" w:after="120"/>
      <w:jc w:val="both"/>
    </w:pPr>
    <w:rPr>
      <w:szCs w:val="22"/>
    </w:rPr>
  </w:style>
  <w:style w:type="paragraph" w:customStyle="1" w:styleId="Tiret2">
    <w:name w:val="Tiret 2"/>
    <w:basedOn w:val="Normal"/>
    <w:pPr>
      <w:numPr>
        <w:numId w:val="38"/>
      </w:numPr>
      <w:spacing w:before="120" w:after="120"/>
      <w:jc w:val="both"/>
    </w:pPr>
    <w:rPr>
      <w:szCs w:val="22"/>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
    <w:basedOn w:val="Normal"/>
    <w:link w:val="ListParagraphChar"/>
    <w:uiPriority w:val="34"/>
    <w:qFormat/>
    <w:pPr>
      <w:spacing w:after="200" w:line="276" w:lineRule="auto"/>
      <w:ind w:left="720"/>
      <w:contextualSpacing/>
    </w:pPr>
    <w:rPr>
      <w:rFonts w:ascii="Calibri" w:eastAsia="MS Mincho" w:hAnsi="Calibri"/>
      <w:sz w:val="22"/>
      <w:szCs w:val="22"/>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rPr>
      <w:rFonts w:ascii="Calibri" w:eastAsia="MS Mincho" w:hAnsi="Calibri"/>
      <w:sz w:val="22"/>
      <w:szCs w:val="22"/>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286090">
      <w:bodyDiv w:val="1"/>
      <w:marLeft w:val="0"/>
      <w:marRight w:val="0"/>
      <w:marTop w:val="0"/>
      <w:marBottom w:val="0"/>
      <w:divBdr>
        <w:top w:val="none" w:sz="0" w:space="0" w:color="auto"/>
        <w:left w:val="none" w:sz="0" w:space="0" w:color="auto"/>
        <w:bottom w:val="none" w:sz="0" w:space="0" w:color="auto"/>
        <w:right w:val="none" w:sz="0" w:space="0" w:color="auto"/>
      </w:divBdr>
      <w:divsChild>
        <w:div w:id="1952855758">
          <w:marLeft w:val="0"/>
          <w:marRight w:val="0"/>
          <w:marTop w:val="0"/>
          <w:marBottom w:val="0"/>
          <w:divBdr>
            <w:top w:val="none" w:sz="0" w:space="0" w:color="auto"/>
            <w:left w:val="none" w:sz="0" w:space="0" w:color="auto"/>
            <w:bottom w:val="none" w:sz="0" w:space="0" w:color="auto"/>
            <w:right w:val="none" w:sz="0" w:space="0" w:color="auto"/>
          </w:divBdr>
          <w:divsChild>
            <w:div w:id="1936203364">
              <w:marLeft w:val="0"/>
              <w:marRight w:val="0"/>
              <w:marTop w:val="0"/>
              <w:marBottom w:val="0"/>
              <w:divBdr>
                <w:top w:val="none" w:sz="0" w:space="0" w:color="auto"/>
                <w:left w:val="none" w:sz="0" w:space="0" w:color="auto"/>
                <w:bottom w:val="none" w:sz="0" w:space="0" w:color="auto"/>
                <w:right w:val="none" w:sz="0" w:space="0" w:color="auto"/>
              </w:divBdr>
              <w:divsChild>
                <w:div w:id="1099984863">
                  <w:marLeft w:val="0"/>
                  <w:marRight w:val="0"/>
                  <w:marTop w:val="0"/>
                  <w:marBottom w:val="0"/>
                  <w:divBdr>
                    <w:top w:val="none" w:sz="0" w:space="0" w:color="auto"/>
                    <w:left w:val="none" w:sz="0" w:space="0" w:color="auto"/>
                    <w:bottom w:val="none" w:sz="0" w:space="0" w:color="auto"/>
                    <w:right w:val="none" w:sz="0" w:space="0" w:color="auto"/>
                  </w:divBdr>
                  <w:divsChild>
                    <w:div w:id="1203328141">
                      <w:marLeft w:val="1"/>
                      <w:marRight w:val="1"/>
                      <w:marTop w:val="0"/>
                      <w:marBottom w:val="0"/>
                      <w:divBdr>
                        <w:top w:val="none" w:sz="0" w:space="0" w:color="auto"/>
                        <w:left w:val="none" w:sz="0" w:space="0" w:color="auto"/>
                        <w:bottom w:val="none" w:sz="0" w:space="0" w:color="auto"/>
                        <w:right w:val="none" w:sz="0" w:space="0" w:color="auto"/>
                      </w:divBdr>
                      <w:divsChild>
                        <w:div w:id="1936546657">
                          <w:marLeft w:val="0"/>
                          <w:marRight w:val="0"/>
                          <w:marTop w:val="0"/>
                          <w:marBottom w:val="0"/>
                          <w:divBdr>
                            <w:top w:val="none" w:sz="0" w:space="0" w:color="auto"/>
                            <w:left w:val="none" w:sz="0" w:space="0" w:color="auto"/>
                            <w:bottom w:val="none" w:sz="0" w:space="0" w:color="auto"/>
                            <w:right w:val="none" w:sz="0" w:space="0" w:color="auto"/>
                          </w:divBdr>
                          <w:divsChild>
                            <w:div w:id="1022240160">
                              <w:marLeft w:val="0"/>
                              <w:marRight w:val="0"/>
                              <w:marTop w:val="0"/>
                              <w:marBottom w:val="360"/>
                              <w:divBdr>
                                <w:top w:val="none" w:sz="0" w:space="0" w:color="auto"/>
                                <w:left w:val="none" w:sz="0" w:space="0" w:color="auto"/>
                                <w:bottom w:val="none" w:sz="0" w:space="0" w:color="auto"/>
                                <w:right w:val="none" w:sz="0" w:space="0" w:color="auto"/>
                              </w:divBdr>
                              <w:divsChild>
                                <w:div w:id="1375350455">
                                  <w:marLeft w:val="0"/>
                                  <w:marRight w:val="0"/>
                                  <w:marTop w:val="0"/>
                                  <w:marBottom w:val="0"/>
                                  <w:divBdr>
                                    <w:top w:val="none" w:sz="0" w:space="0" w:color="auto"/>
                                    <w:left w:val="none" w:sz="0" w:space="0" w:color="auto"/>
                                    <w:bottom w:val="none" w:sz="0" w:space="0" w:color="auto"/>
                                    <w:right w:val="none" w:sz="0" w:space="0" w:color="auto"/>
                                  </w:divBdr>
                                  <w:divsChild>
                                    <w:div w:id="154732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4623949">
      <w:bodyDiv w:val="1"/>
      <w:marLeft w:val="0"/>
      <w:marRight w:val="0"/>
      <w:marTop w:val="0"/>
      <w:marBottom w:val="0"/>
      <w:divBdr>
        <w:top w:val="none" w:sz="0" w:space="0" w:color="auto"/>
        <w:left w:val="none" w:sz="0" w:space="0" w:color="auto"/>
        <w:bottom w:val="none" w:sz="0" w:space="0" w:color="auto"/>
        <w:right w:val="none" w:sz="0" w:space="0" w:color="auto"/>
      </w:divBdr>
    </w:div>
    <w:div w:id="370612037">
      <w:bodyDiv w:val="1"/>
      <w:marLeft w:val="0"/>
      <w:marRight w:val="0"/>
      <w:marTop w:val="0"/>
      <w:marBottom w:val="0"/>
      <w:divBdr>
        <w:top w:val="none" w:sz="0" w:space="0" w:color="auto"/>
        <w:left w:val="none" w:sz="0" w:space="0" w:color="auto"/>
        <w:bottom w:val="none" w:sz="0" w:space="0" w:color="auto"/>
        <w:right w:val="none" w:sz="0" w:space="0" w:color="auto"/>
      </w:divBdr>
    </w:div>
    <w:div w:id="390540002">
      <w:bodyDiv w:val="1"/>
      <w:marLeft w:val="0"/>
      <w:marRight w:val="0"/>
      <w:marTop w:val="0"/>
      <w:marBottom w:val="0"/>
      <w:divBdr>
        <w:top w:val="none" w:sz="0" w:space="0" w:color="auto"/>
        <w:left w:val="none" w:sz="0" w:space="0" w:color="auto"/>
        <w:bottom w:val="none" w:sz="0" w:space="0" w:color="auto"/>
        <w:right w:val="none" w:sz="0" w:space="0" w:color="auto"/>
      </w:divBdr>
    </w:div>
    <w:div w:id="476648652">
      <w:bodyDiv w:val="1"/>
      <w:marLeft w:val="0"/>
      <w:marRight w:val="0"/>
      <w:marTop w:val="0"/>
      <w:marBottom w:val="0"/>
      <w:divBdr>
        <w:top w:val="none" w:sz="0" w:space="0" w:color="auto"/>
        <w:left w:val="none" w:sz="0" w:space="0" w:color="auto"/>
        <w:bottom w:val="none" w:sz="0" w:space="0" w:color="auto"/>
        <w:right w:val="none" w:sz="0" w:space="0" w:color="auto"/>
      </w:divBdr>
    </w:div>
    <w:div w:id="631600828">
      <w:bodyDiv w:val="1"/>
      <w:marLeft w:val="0"/>
      <w:marRight w:val="0"/>
      <w:marTop w:val="0"/>
      <w:marBottom w:val="0"/>
      <w:divBdr>
        <w:top w:val="none" w:sz="0" w:space="0" w:color="auto"/>
        <w:left w:val="none" w:sz="0" w:space="0" w:color="auto"/>
        <w:bottom w:val="none" w:sz="0" w:space="0" w:color="auto"/>
        <w:right w:val="none" w:sz="0" w:space="0" w:color="auto"/>
      </w:divBdr>
    </w:div>
    <w:div w:id="693187629">
      <w:bodyDiv w:val="1"/>
      <w:marLeft w:val="0"/>
      <w:marRight w:val="0"/>
      <w:marTop w:val="0"/>
      <w:marBottom w:val="0"/>
      <w:divBdr>
        <w:top w:val="none" w:sz="0" w:space="0" w:color="auto"/>
        <w:left w:val="none" w:sz="0" w:space="0" w:color="auto"/>
        <w:bottom w:val="none" w:sz="0" w:space="0" w:color="auto"/>
        <w:right w:val="none" w:sz="0" w:space="0" w:color="auto"/>
      </w:divBdr>
    </w:div>
    <w:div w:id="703360353">
      <w:bodyDiv w:val="1"/>
      <w:marLeft w:val="0"/>
      <w:marRight w:val="0"/>
      <w:marTop w:val="0"/>
      <w:marBottom w:val="0"/>
      <w:divBdr>
        <w:top w:val="none" w:sz="0" w:space="0" w:color="auto"/>
        <w:left w:val="none" w:sz="0" w:space="0" w:color="auto"/>
        <w:bottom w:val="none" w:sz="0" w:space="0" w:color="auto"/>
        <w:right w:val="none" w:sz="0" w:space="0" w:color="auto"/>
      </w:divBdr>
    </w:div>
    <w:div w:id="898131723">
      <w:bodyDiv w:val="1"/>
      <w:marLeft w:val="0"/>
      <w:marRight w:val="0"/>
      <w:marTop w:val="0"/>
      <w:marBottom w:val="0"/>
      <w:divBdr>
        <w:top w:val="none" w:sz="0" w:space="0" w:color="auto"/>
        <w:left w:val="none" w:sz="0" w:space="0" w:color="auto"/>
        <w:bottom w:val="none" w:sz="0" w:space="0" w:color="auto"/>
        <w:right w:val="none" w:sz="0" w:space="0" w:color="auto"/>
      </w:divBdr>
    </w:div>
    <w:div w:id="1237476849">
      <w:bodyDiv w:val="1"/>
      <w:marLeft w:val="0"/>
      <w:marRight w:val="0"/>
      <w:marTop w:val="0"/>
      <w:marBottom w:val="0"/>
      <w:divBdr>
        <w:top w:val="none" w:sz="0" w:space="0" w:color="auto"/>
        <w:left w:val="none" w:sz="0" w:space="0" w:color="auto"/>
        <w:bottom w:val="none" w:sz="0" w:space="0" w:color="auto"/>
        <w:right w:val="none" w:sz="0" w:space="0" w:color="auto"/>
      </w:divBdr>
    </w:div>
    <w:div w:id="1288586908">
      <w:bodyDiv w:val="1"/>
      <w:marLeft w:val="0"/>
      <w:marRight w:val="0"/>
      <w:marTop w:val="0"/>
      <w:marBottom w:val="0"/>
      <w:divBdr>
        <w:top w:val="none" w:sz="0" w:space="0" w:color="auto"/>
        <w:left w:val="none" w:sz="0" w:space="0" w:color="auto"/>
        <w:bottom w:val="none" w:sz="0" w:space="0" w:color="auto"/>
        <w:right w:val="none" w:sz="0" w:space="0" w:color="auto"/>
      </w:divBdr>
    </w:div>
    <w:div w:id="1331906149">
      <w:bodyDiv w:val="1"/>
      <w:marLeft w:val="0"/>
      <w:marRight w:val="0"/>
      <w:marTop w:val="0"/>
      <w:marBottom w:val="0"/>
      <w:divBdr>
        <w:top w:val="none" w:sz="0" w:space="0" w:color="auto"/>
        <w:left w:val="none" w:sz="0" w:space="0" w:color="auto"/>
        <w:bottom w:val="none" w:sz="0" w:space="0" w:color="auto"/>
        <w:right w:val="none" w:sz="0" w:space="0" w:color="auto"/>
      </w:divBdr>
    </w:div>
    <w:div w:id="1536893397">
      <w:bodyDiv w:val="1"/>
      <w:marLeft w:val="0"/>
      <w:marRight w:val="0"/>
      <w:marTop w:val="0"/>
      <w:marBottom w:val="0"/>
      <w:divBdr>
        <w:top w:val="none" w:sz="0" w:space="0" w:color="auto"/>
        <w:left w:val="none" w:sz="0" w:space="0" w:color="auto"/>
        <w:bottom w:val="none" w:sz="0" w:space="0" w:color="auto"/>
        <w:right w:val="none" w:sz="0" w:space="0" w:color="auto"/>
      </w:divBdr>
    </w:div>
    <w:div w:id="1725518721">
      <w:bodyDiv w:val="1"/>
      <w:marLeft w:val="0"/>
      <w:marRight w:val="0"/>
      <w:marTop w:val="0"/>
      <w:marBottom w:val="0"/>
      <w:divBdr>
        <w:top w:val="none" w:sz="0" w:space="0" w:color="auto"/>
        <w:left w:val="none" w:sz="0" w:space="0" w:color="auto"/>
        <w:bottom w:val="none" w:sz="0" w:space="0" w:color="auto"/>
        <w:right w:val="none" w:sz="0" w:space="0" w:color="auto"/>
      </w:divBdr>
    </w:div>
    <w:div w:id="1777287212">
      <w:bodyDiv w:val="1"/>
      <w:marLeft w:val="0"/>
      <w:marRight w:val="0"/>
      <w:marTop w:val="0"/>
      <w:marBottom w:val="0"/>
      <w:divBdr>
        <w:top w:val="none" w:sz="0" w:space="0" w:color="auto"/>
        <w:left w:val="none" w:sz="0" w:space="0" w:color="auto"/>
        <w:bottom w:val="none" w:sz="0" w:space="0" w:color="auto"/>
        <w:right w:val="none" w:sz="0" w:space="0" w:color="auto"/>
      </w:divBdr>
    </w:div>
    <w:div w:id="1899397083">
      <w:bodyDiv w:val="1"/>
      <w:marLeft w:val="0"/>
      <w:marRight w:val="0"/>
      <w:marTop w:val="0"/>
      <w:marBottom w:val="0"/>
      <w:divBdr>
        <w:top w:val="none" w:sz="0" w:space="0" w:color="auto"/>
        <w:left w:val="none" w:sz="0" w:space="0" w:color="auto"/>
        <w:bottom w:val="none" w:sz="0" w:space="0" w:color="auto"/>
        <w:right w:val="none" w:sz="0" w:space="0" w:color="auto"/>
      </w:divBdr>
    </w:div>
    <w:div w:id="1906259906">
      <w:bodyDiv w:val="1"/>
      <w:marLeft w:val="0"/>
      <w:marRight w:val="0"/>
      <w:marTop w:val="0"/>
      <w:marBottom w:val="0"/>
      <w:divBdr>
        <w:top w:val="none" w:sz="0" w:space="0" w:color="auto"/>
        <w:left w:val="none" w:sz="0" w:space="0" w:color="auto"/>
        <w:bottom w:val="none" w:sz="0" w:space="0" w:color="auto"/>
        <w:right w:val="none" w:sz="0" w:space="0" w:color="auto"/>
      </w:divBdr>
    </w:div>
    <w:div w:id="21347116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1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yperlink" Target="http://eur-lex.europa.eu/budget/www/index-en.htm" TargetMode="External"/><Relationship Id="rId20" Type="http://schemas.openxmlformats.org/officeDocument/2006/relationships/footer" Target="footer5.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footer" Target="footer1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E345DF-E410-42C2-AD9B-C38295882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1880</Words>
  <Characters>8462</Characters>
  <Application>Microsoft Office Word</Application>
  <DocSecurity>0</DocSecurity>
  <Lines>291</Lines>
  <Paragraphs>258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10084</CharactersWithSpaces>
  <SharedDoc>false</SharedDoc>
  <HLinks>
    <vt:vector size="72" baseType="variant">
      <vt:variant>
        <vt:i4>1245239</vt:i4>
      </vt:variant>
      <vt:variant>
        <vt:i4>59</vt:i4>
      </vt:variant>
      <vt:variant>
        <vt:i4>0</vt:i4>
      </vt:variant>
      <vt:variant>
        <vt:i4>5</vt:i4>
      </vt:variant>
      <vt:variant>
        <vt:lpwstr/>
      </vt:variant>
      <vt:variant>
        <vt:lpwstr>_Toc421700214</vt:lpwstr>
      </vt:variant>
      <vt:variant>
        <vt:i4>1245239</vt:i4>
      </vt:variant>
      <vt:variant>
        <vt:i4>53</vt:i4>
      </vt:variant>
      <vt:variant>
        <vt:i4>0</vt:i4>
      </vt:variant>
      <vt:variant>
        <vt:i4>5</vt:i4>
      </vt:variant>
      <vt:variant>
        <vt:lpwstr/>
      </vt:variant>
      <vt:variant>
        <vt:lpwstr>_Toc421700213</vt:lpwstr>
      </vt:variant>
      <vt:variant>
        <vt:i4>1245239</vt:i4>
      </vt:variant>
      <vt:variant>
        <vt:i4>47</vt:i4>
      </vt:variant>
      <vt:variant>
        <vt:i4>0</vt:i4>
      </vt:variant>
      <vt:variant>
        <vt:i4>5</vt:i4>
      </vt:variant>
      <vt:variant>
        <vt:lpwstr/>
      </vt:variant>
      <vt:variant>
        <vt:lpwstr>_Toc421700212</vt:lpwstr>
      </vt:variant>
      <vt:variant>
        <vt:i4>1245239</vt:i4>
      </vt:variant>
      <vt:variant>
        <vt:i4>41</vt:i4>
      </vt:variant>
      <vt:variant>
        <vt:i4>0</vt:i4>
      </vt:variant>
      <vt:variant>
        <vt:i4>5</vt:i4>
      </vt:variant>
      <vt:variant>
        <vt:lpwstr/>
      </vt:variant>
      <vt:variant>
        <vt:lpwstr>_Toc421700211</vt:lpwstr>
      </vt:variant>
      <vt:variant>
        <vt:i4>1245239</vt:i4>
      </vt:variant>
      <vt:variant>
        <vt:i4>35</vt:i4>
      </vt:variant>
      <vt:variant>
        <vt:i4>0</vt:i4>
      </vt:variant>
      <vt:variant>
        <vt:i4>5</vt:i4>
      </vt:variant>
      <vt:variant>
        <vt:lpwstr/>
      </vt:variant>
      <vt:variant>
        <vt:lpwstr>_Toc421700210</vt:lpwstr>
      </vt:variant>
      <vt:variant>
        <vt:i4>1179703</vt:i4>
      </vt:variant>
      <vt:variant>
        <vt:i4>29</vt:i4>
      </vt:variant>
      <vt:variant>
        <vt:i4>0</vt:i4>
      </vt:variant>
      <vt:variant>
        <vt:i4>5</vt:i4>
      </vt:variant>
      <vt:variant>
        <vt:lpwstr/>
      </vt:variant>
      <vt:variant>
        <vt:lpwstr>_Toc421700209</vt:lpwstr>
      </vt:variant>
      <vt:variant>
        <vt:i4>1179703</vt:i4>
      </vt:variant>
      <vt:variant>
        <vt:i4>23</vt:i4>
      </vt:variant>
      <vt:variant>
        <vt:i4>0</vt:i4>
      </vt:variant>
      <vt:variant>
        <vt:i4>5</vt:i4>
      </vt:variant>
      <vt:variant>
        <vt:lpwstr/>
      </vt:variant>
      <vt:variant>
        <vt:lpwstr>_Toc421700208</vt:lpwstr>
      </vt:variant>
      <vt:variant>
        <vt:i4>1179703</vt:i4>
      </vt:variant>
      <vt:variant>
        <vt:i4>17</vt:i4>
      </vt:variant>
      <vt:variant>
        <vt:i4>0</vt:i4>
      </vt:variant>
      <vt:variant>
        <vt:i4>5</vt:i4>
      </vt:variant>
      <vt:variant>
        <vt:lpwstr/>
      </vt:variant>
      <vt:variant>
        <vt:lpwstr>_Toc421700207</vt:lpwstr>
      </vt:variant>
      <vt:variant>
        <vt:i4>1179703</vt:i4>
      </vt:variant>
      <vt:variant>
        <vt:i4>11</vt:i4>
      </vt:variant>
      <vt:variant>
        <vt:i4>0</vt:i4>
      </vt:variant>
      <vt:variant>
        <vt:i4>5</vt:i4>
      </vt:variant>
      <vt:variant>
        <vt:lpwstr/>
      </vt:variant>
      <vt:variant>
        <vt:lpwstr>_Toc421700206</vt:lpwstr>
      </vt:variant>
      <vt:variant>
        <vt:i4>1179703</vt:i4>
      </vt:variant>
      <vt:variant>
        <vt:i4>5</vt:i4>
      </vt:variant>
      <vt:variant>
        <vt:i4>0</vt:i4>
      </vt:variant>
      <vt:variant>
        <vt:i4>5</vt:i4>
      </vt:variant>
      <vt:variant>
        <vt:lpwstr/>
      </vt:variant>
      <vt:variant>
        <vt:lpwstr>_Toc421700205</vt:lpwstr>
      </vt:variant>
      <vt:variant>
        <vt:i4>5046279</vt:i4>
      </vt:variant>
      <vt:variant>
        <vt:i4>0</vt:i4>
      </vt:variant>
      <vt:variant>
        <vt:i4>0</vt:i4>
      </vt:variant>
      <vt:variant>
        <vt:i4>5</vt:i4>
      </vt:variant>
      <vt:variant>
        <vt:lpwstr>http://eur-lex.europa.eu/budget/www/index-en.htm</vt:lpwstr>
      </vt:variant>
      <vt:variant>
        <vt:lpwstr/>
      </vt:variant>
      <vt:variant>
        <vt:i4>5111875</vt:i4>
      </vt:variant>
      <vt:variant>
        <vt:i4>0</vt:i4>
      </vt:variant>
      <vt:variant>
        <vt:i4>0</vt:i4>
      </vt:variant>
      <vt:variant>
        <vt:i4>5</vt:i4>
      </vt:variant>
      <vt:variant>
        <vt:lpwstr>http://ec.europa.eu/budget/library/biblio/documents/financing/calc_own_res_2007_en.pdf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cp:lastPrinted>2015-10-14T10:12:00Z</cp:lastPrinted>
  <dcterms:created xsi:type="dcterms:W3CDTF">2015-10-16T09:28:00Z</dcterms:created>
  <dcterms:modified xsi:type="dcterms:W3CDTF">2015-10-19T15:35:00Z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_NewReviewCycle">
    <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ies>
</file>