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DD0738AEB744CD589E2E1060C9B4388" style="width:451.35pt;height:351.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12 юни 2015 г. Финландия подаде заявление EGF/2015/005 FI/компютърно програмиране за финансово участие от страна на ЕФПГ вследствие на съкращения</w:t>
      </w:r>
      <w:r>
        <w:rPr>
          <w:rStyle w:val="FootnoteReference"/>
          <w:noProof/>
        </w:rPr>
        <w:footnoteReference w:id="2"/>
      </w:r>
      <w:r>
        <w:rPr>
          <w:noProof/>
        </w:rPr>
        <w:t xml:space="preserve"> в икономическия сектор, класифициран в разделение 62 на NACE Rev. 2 (Дейности в областта на информационните технологии) в регионите на ниво 2 по NUTS</w:t>
      </w:r>
      <w:r>
        <w:rPr>
          <w:rStyle w:val="FootnoteReference"/>
          <w:noProof/>
        </w:rPr>
        <w:footnoteReference w:id="3"/>
      </w:r>
      <w:r>
        <w:rPr>
          <w:noProof/>
        </w:rPr>
        <w:t xml:space="preserve"> Länsi-Suomi (FI19), Helsinki-Uusimaa (FI1B), Etelä-Suomi (FI1C) и Pohjois- ja Itä-Suomi (FI1D) във Финландия. Тези региони, взети заедно, обхващат цяла Финландия с изключение на островите Åland.</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EGF/2015/005 FI/Computer programming</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Финландия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 xml:space="preserve">Länsi-Suomi (FI19) </w:t>
            </w:r>
          </w:p>
          <w:p>
            <w:pPr>
              <w:spacing w:before="0" w:after="0"/>
              <w:ind w:rightChars="192" w:right="461"/>
              <w:jc w:val="left"/>
              <w:rPr>
                <w:noProof/>
                <w:szCs w:val="24"/>
              </w:rPr>
            </w:pPr>
            <w:r>
              <w:rPr>
                <w:noProof/>
              </w:rPr>
              <w:t>Helsinki-Uusimaa (FI1B)</w:t>
            </w:r>
          </w:p>
          <w:p>
            <w:pPr>
              <w:spacing w:before="0" w:after="0"/>
              <w:ind w:rightChars="192" w:right="461"/>
              <w:jc w:val="left"/>
              <w:rPr>
                <w:noProof/>
                <w:szCs w:val="24"/>
              </w:rPr>
            </w:pPr>
            <w:r>
              <w:rPr>
                <w:noProof/>
              </w:rPr>
              <w:t xml:space="preserve">Etelä-Suomi (FI1C) </w:t>
            </w:r>
          </w:p>
          <w:p>
            <w:pPr>
              <w:spacing w:before="0" w:after="0"/>
              <w:ind w:rightChars="192" w:right="461"/>
              <w:jc w:val="left"/>
              <w:rPr>
                <w:noProof/>
                <w:szCs w:val="24"/>
              </w:rPr>
            </w:pPr>
            <w:r>
              <w:rPr>
                <w:noProof/>
              </w:rPr>
              <w:t>Pohjois- ja Itä-Suomi (FI1D)</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12 юни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 юни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 юни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август 2015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13 ноември 2015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1, буква б)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lastRenderedPageBreak/>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69</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4"/>
            </w:r>
          </w:p>
        </w:tc>
        <w:tc>
          <w:tcPr>
            <w:tcW w:w="4379" w:type="dxa"/>
            <w:shd w:val="clear" w:color="auto" w:fill="auto"/>
          </w:tcPr>
          <w:p>
            <w:pPr>
              <w:spacing w:before="60" w:after="60"/>
              <w:ind w:rightChars="192" w:right="461"/>
              <w:jc w:val="left"/>
              <w:rPr>
                <w:noProof/>
                <w:szCs w:val="24"/>
              </w:rPr>
            </w:pPr>
            <w:r>
              <w:rPr>
                <w:noProof/>
              </w:rPr>
              <w:t>Разделение 62 (Дейности в областта на информационните технологии)</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(девет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30 юли 2014 г. — 30 април 2015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 xml:space="preserve">Брой на съкращенията по време на референтния период </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1603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отговарящите на критериите бенефициери</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1603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4 167 000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205 000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4 372 000</w:t>
            </w:r>
          </w:p>
        </w:tc>
      </w:tr>
      <w:tr>
        <w:tc>
          <w:tcPr>
            <w:tcW w:w="4908" w:type="dxa"/>
            <w:tcBorders>
              <w:top w:val="dotted" w:sz="4" w:space="0" w:color="auto"/>
            </w:tcBorders>
            <w:shd w:val="clear" w:color="auto" w:fill="auto"/>
            <w:vAlign w:val="center"/>
          </w:tcPr>
          <w:p>
            <w:pPr>
              <w:spacing w:before="0" w:after="0"/>
              <w:jc w:val="left"/>
              <w:rPr>
                <w:noProof/>
              </w:rPr>
            </w:pPr>
            <w:r>
              <w:rPr>
                <w:noProof/>
              </w:rPr>
              <w:t>Участие на ЕФПГ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2 623 200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Финландия подаде заявление EGF/2015/005 FI/компютърно програмиране на 12 юни 2015 г., в срок от 12 седмици от датата, на която са изпълнени критериите за намеса, определени в член 4 от Регламента за ЕФПГ. Комисията потвърди, че е получила заявлението в двуседмичен срок от датата на подаването му — на 12 юни 2015 г., а на 26 юни 2015 г. поиска допълнителна информация от Финландия. Тази допълнителна информация бе предоставена в срок от осем седмици от искането, след удължаване на срока с две седмици в резултат на надлежно обосновано искане на Финландия. Предвиденият 12</w:t>
      </w:r>
      <w:r>
        <w:rPr>
          <w:noProof/>
        </w:rPr>
        <w:noBreakHyphen/>
        <w:t xml:space="preserve">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13 ноември 2015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1603 съкратени работници в икономическия сектор, класифициран в разделение 62 на NACE Rev. 2 (Дейности в областта на информационните технологии). Съкращенията са извършени в региони от ниво 2 по NUTS Länsi-Suomi (FI19), Helsinki-Uusimaa (FI1B), Etelä-Suomi (FI1C) и Pohjois- ja Itä-Suomi (FI1D), в 69 предприятия</w:t>
      </w:r>
      <w:r>
        <w:rPr>
          <w:rStyle w:val="FootnoteReference"/>
          <w:noProof/>
        </w:rPr>
        <w:footnoteReference w:id="6"/>
      </w:r>
      <w:r>
        <w:rPr>
          <w:noProof/>
        </w:rPr>
        <w:t>, като почти половината от тях (778) в Microsoft Mobile Oy.</w:t>
      </w:r>
    </w:p>
    <w:p>
      <w:pPr>
        <w:rPr>
          <w:i/>
          <w:noProof/>
        </w:rPr>
      </w:pPr>
      <w:r>
        <w:rPr>
          <w:i/>
          <w:noProof/>
        </w:rPr>
        <w:t>Критерии за намеса</w:t>
      </w:r>
    </w:p>
    <w:p>
      <w:pPr>
        <w:pStyle w:val="ManualNumPar1"/>
        <w:rPr>
          <w:noProof/>
        </w:rPr>
      </w:pPr>
      <w:r>
        <w:t>6.</w:t>
      </w:r>
      <w:r>
        <w:tab/>
      </w:r>
      <w:r>
        <w:rPr>
          <w:noProof/>
        </w:rPr>
        <w:t>Финландия подаде заявлението съгласно критерия за намеса, посочен в член 4, параграф 1, буква б) от Регламента за ЕФПГ. Съгласно този критерий са необходими най-малко 500 съкращения за референтния период от девет месеца в предприятия, извършващи дейност в един и същ икономически сектор на ниво разделение по NACE Rev. 2 и разположени в един или два съседни региона на ниво 2 по NUTS. Само в региона на  Helsinki-Uusimaa (FI1B) има 737 съкращения.</w:t>
      </w:r>
    </w:p>
    <w:p>
      <w:pPr>
        <w:pStyle w:val="ManualNumPar1"/>
        <w:rPr>
          <w:noProof/>
        </w:rPr>
      </w:pPr>
      <w:r>
        <w:t>7.</w:t>
      </w:r>
      <w:r>
        <w:tab/>
      </w:r>
      <w:r>
        <w:rPr>
          <w:noProof/>
        </w:rPr>
        <w:t>Деветмесечният референтен период за заявлението започва на 30 юли 2014 г. и приключва на 30 април 2015 г.</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Съкращенията по време на референтния период са изчислени, както следва:</w:t>
      </w:r>
    </w:p>
    <w:p>
      <w:pPr>
        <w:pStyle w:val="Tiret1"/>
        <w:numPr>
          <w:ilvl w:val="0"/>
          <w:numId w:val="1"/>
        </w:numPr>
        <w:rPr>
          <w:noProof/>
        </w:rPr>
      </w:pPr>
      <w:r>
        <w:rPr>
          <w:noProof/>
        </w:rPr>
        <w:t>1218, считано от датата на индивидуалното предизвестие от работодателя за съкращаване или за прекратяване на трудовия договор на работника.</w:t>
      </w:r>
    </w:p>
    <w:p>
      <w:pPr>
        <w:pStyle w:val="Tiret1"/>
        <w:numPr>
          <w:ilvl w:val="0"/>
          <w:numId w:val="1"/>
        </w:numPr>
        <w:rPr>
          <w:noProof/>
        </w:rPr>
      </w:pPr>
      <w:r>
        <w:rPr>
          <w:noProof/>
        </w:rPr>
        <w:t>385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1603.</w:t>
      </w:r>
    </w:p>
    <w:p>
      <w:pPr>
        <w:pStyle w:val="ManualHeading3"/>
        <w:rPr>
          <w:noProof/>
        </w:rPr>
      </w:pPr>
      <w:r>
        <w:rPr>
          <w:noProof/>
        </w:rPr>
        <w:t>Връзка между съкращенията и големите структурни промени в моделите на световната търговия, възникнали вследствие на глобализацията</w:t>
      </w:r>
    </w:p>
    <w:p>
      <w:pPr>
        <w:pStyle w:val="ManualNumPar1"/>
        <w:rPr>
          <w:noProof/>
        </w:rPr>
      </w:pPr>
      <w:r>
        <w:t>10.</w:t>
      </w:r>
      <w:r>
        <w:tab/>
      </w:r>
      <w:r>
        <w:rPr>
          <w:noProof/>
        </w:rPr>
        <w:t>С цел да се установи връзката между съкращенията и големите структурни промени в моделите на световната търговия вследствие на глобализацията, Финландия посочва, че през последните години, разпределението на заетостта  в сектора на ИКТ между ЕС и други икономики се развива в ущърб на ЕС. Докато обемът на тази област в световен мащаб се увеличава, в Европа той намалява, тъй като предприятията и услугите биват измествани към Китай, Индия, Тайван и други дестинации извън Европейския съюз. Само през 2014 г. персоналът на финландските дружества в областта на ИКТ е бил намален с 3 процента или 1500 души.</w:t>
      </w:r>
    </w:p>
    <w:p>
      <w:pPr>
        <w:jc w:val="center"/>
        <w:rPr>
          <w:b/>
          <w:i/>
          <w:iCs/>
          <w:noProof/>
          <w:sz w:val="20"/>
          <w:szCs w:val="20"/>
        </w:rPr>
      </w:pPr>
      <w:r>
        <w:rPr>
          <w:b/>
          <w:noProof/>
          <w:sz w:val="20"/>
        </w:rPr>
        <w:t>Разпределение на заетостта в сектора на ИКТ между Европейския съюз и други икономики (2009 &amp; 2011 г.)</w:t>
      </w:r>
    </w:p>
    <w:p>
      <w:pPr>
        <w:jc w:val="center"/>
        <w:rPr>
          <w:noProof/>
        </w:rPr>
      </w:pPr>
      <w:r>
        <w:rPr>
          <w:noProof/>
          <w:lang w:val="en-US" w:eastAsia="en-US" w:bidi="ar-SA"/>
        </w:rPr>
        <w:drawing>
          <wp:inline distT="0" distB="0" distL="0" distR="0">
            <wp:extent cx="57531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743200"/>
                    </a:xfrm>
                    <a:prstGeom prst="rect">
                      <a:avLst/>
                    </a:prstGeom>
                    <a:noFill/>
                    <a:ln>
                      <a:noFill/>
                    </a:ln>
                  </pic:spPr>
                </pic:pic>
              </a:graphicData>
            </a:graphic>
          </wp:inline>
        </w:drawing>
      </w:r>
    </w:p>
    <w:p>
      <w:pPr>
        <w:jc w:val="center"/>
        <w:rPr>
          <w:noProof/>
          <w:sz w:val="14"/>
          <w:szCs w:val="14"/>
        </w:rPr>
      </w:pPr>
      <w:r>
        <w:rPr>
          <w:noProof/>
          <w:sz w:val="14"/>
          <w:u w:val="single"/>
        </w:rPr>
        <w:t>Източник</w:t>
      </w:r>
      <w:r>
        <w:rPr>
          <w:noProof/>
          <w:sz w:val="14"/>
        </w:rPr>
        <w:t>: Европейската комисия. Доклад за  2013 &amp; 2014 г. за предвижданията  в сектора на ИКТ: анализ на НИРД в сектора на ИКТ  в ЕС и извън него</w:t>
      </w:r>
    </w:p>
    <w:p>
      <w:pPr>
        <w:pStyle w:val="ManualNumPar1"/>
        <w:rPr>
          <w:noProof/>
        </w:rPr>
      </w:pPr>
      <w:r>
        <w:t>11.</w:t>
      </w:r>
      <w:r>
        <w:tab/>
      </w:r>
      <w:r>
        <w:rPr>
          <w:noProof/>
        </w:rPr>
        <w:t>Последиците се чувстват особено силно във Финландия, където цялата електронна промишленост бе силно засегната, а кулминацията на този процес бе обявяването през 2011 г. на широкомащабни съкращения на Nokia. През 2012 г. Nokia първоначално съкрати 1000 души в завода си в Salo (EGF/2012/006 FI/Nokia Salo), последвани от други 3700 души в края на 2012 г. и началото на 2013 г. (EGF/2013/001 FI/Nokia). Последваха още 600 съкращения в сектора на разработването на набори от интегрални схеми през 2014 г. (EGF/2015/001 FI/Broadcom).</w:t>
      </w:r>
    </w:p>
    <w:p>
      <w:pPr>
        <w:pStyle w:val="ManualNumPar1"/>
        <w:rPr>
          <w:noProof/>
        </w:rPr>
      </w:pPr>
      <w:r>
        <w:t>12.</w:t>
      </w:r>
      <w:r>
        <w:tab/>
      </w:r>
      <w:r>
        <w:rPr>
          <w:noProof/>
        </w:rPr>
        <w:t>При тези обстоятелства секторът на компютърното програмиране, консултантската дейност и свързаните с тях дейности продължи усилията си за конкурентоспособност в световен мащаб въпреки изчезването на основния клиент на услуги, т.e. Nokia.</w:t>
      </w:r>
    </w:p>
    <w:p>
      <w:pPr>
        <w:pStyle w:val="ManualNumPar1"/>
        <w:rPr>
          <w:noProof/>
        </w:rPr>
      </w:pPr>
      <w:r>
        <w:t>13.</w:t>
      </w:r>
      <w:r>
        <w:tab/>
      </w:r>
      <w:r>
        <w:rPr>
          <w:noProof/>
        </w:rPr>
        <w:t>Финландската софтуерна промишленост понастоящем прави все повече инвестиции в промишления интернет и услугите „в облак“, насочени към по-добри услуги B-to-B („предприятие към предприятие“), като в същото време среща проблеми с услугите от предприятията към потребителите.  Тези проблеми се дължат на ценовия натиск на пазара в световен мащаб. За получаването на поръчки участниците на пазара трябва да се конкурират с дружества от държави с по-ниски разходи. Също така е налице тенденцията извършващи дейности във Финландия световни компании да прехвърлят някои от операциите си в страни с по-ниски разходи. Например CGI обяви през ноември 2014 г., че трябва да намали персонала си във Финландия с 270 души и да прехвърли дейността си извън ЕС</w:t>
      </w:r>
      <w:r>
        <w:rPr>
          <w:rStyle w:val="FootnoteReference"/>
          <w:noProof/>
        </w:rPr>
        <w:footnoteReference w:id="7"/>
      </w:r>
      <w:r>
        <w:rPr>
          <w:noProof/>
        </w:rPr>
        <w:t>.</w:t>
      </w:r>
    </w:p>
    <w:p>
      <w:pPr>
        <w:pStyle w:val="ManualNumPar1"/>
        <w:rPr>
          <w:noProof/>
        </w:rPr>
      </w:pPr>
      <w:r>
        <w:t>14.</w:t>
      </w:r>
      <w:r>
        <w:tab/>
      </w:r>
      <w:r>
        <w:rPr>
          <w:noProof/>
        </w:rPr>
        <w:t>Софтуерният бизнес е бизнес на световно равнище, а софтуерните продукти се закупуват в световен мащаб от най-рентабилните източници. И все пак софтуерните продукти могат да бъдат адаптирани, за да се постигнат специфични изисквания, свързани с дадени страна, регион или език.</w:t>
      </w:r>
    </w:p>
    <w:p>
      <w:pPr>
        <w:pStyle w:val="ManualNumPar1"/>
        <w:rPr>
          <w:noProof/>
        </w:rPr>
      </w:pPr>
      <w:r>
        <w:t>15.</w:t>
      </w:r>
      <w:r>
        <w:tab/>
      </w:r>
      <w:r>
        <w:rPr>
          <w:noProof/>
        </w:rPr>
        <w:t xml:space="preserve">Важна характеристика на глобалната софтуерна промишленост е, че тя непрекъснато изисква нова, образована работна сила, тъй като жизненият цикъл на продуктите и свързаните с тях софтуерни решения е твърде кратък в сравнение с жизнения цикъл на персонала, работещ в тази сфера. Конкуренцията между работниците от ЕС и тези от страните извън ЕС е силна. Работниците от ЕС, които са по-възрастни и с по-ниско образование, не могат лесно да се конкурират с младите и по-добре образовани работници извън ЕС. </w:t>
      </w:r>
    </w:p>
    <w:p>
      <w:pPr>
        <w:pStyle w:val="ManualNumPar1"/>
        <w:rPr>
          <w:noProof/>
        </w:rPr>
      </w:pPr>
      <w:r>
        <w:t>16.</w:t>
      </w:r>
      <w:r>
        <w:tab/>
      </w:r>
      <w:r>
        <w:rPr>
          <w:noProof/>
        </w:rPr>
        <w:t>Докато 2008 г. във Финландия в технологичната промишленост работеха общо 326 000 души, броят на заетите в такива дружества лица през 2014 г. е 276 000. Това съответства на средно годишно намаляване от около 3 % (10 000 работници).</w:t>
      </w:r>
    </w:p>
    <w:p>
      <w:pPr>
        <w:pStyle w:val="ManualNumPar1"/>
        <w:rPr>
          <w:noProof/>
        </w:rPr>
      </w:pPr>
      <w:r>
        <w:t>17.</w:t>
      </w:r>
      <w:r>
        <w:tab/>
      </w:r>
      <w:r>
        <w:rPr>
          <w:noProof/>
        </w:rPr>
        <w:t>Към днешна дата секторът на на компютърното програмиране, консултантската дейност и свързаните с тях дейности е бил предмет на две заявления по линия на ЕФПГ, едното от които е на основа на глобализацията, а другото — на световната финансова и икономическа криза</w:t>
      </w:r>
      <w:r>
        <w:rPr>
          <w:rStyle w:val="FootnoteReference"/>
          <w:noProof/>
        </w:rPr>
        <w:footnoteReference w:id="8"/>
      </w:r>
      <w:r>
        <w:rPr>
          <w:noProof/>
        </w:rPr>
        <w:t>.</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18.</w:t>
      </w:r>
      <w:r>
        <w:tab/>
      </w:r>
      <w:r>
        <w:rPr>
          <w:noProof/>
        </w:rPr>
        <w:t xml:space="preserve">Събитията, довели до тези съкращения, са същите, засегнали Nokia през последните години, които оказват силно въздействие върху сектора на информационните и комуникационните технологии във Финландия. Разработването и проектирането на мобилните телефони Nokia осигуряваше заетост за хиляди финландски граждани, особено в Oulu, докато понастоящем тези дейности са прехвърлени към страни извън Европа. </w:t>
      </w:r>
    </w:p>
    <w:p>
      <w:pPr>
        <w:pStyle w:val="ManualNumPar1"/>
        <w:rPr>
          <w:noProof/>
        </w:rPr>
      </w:pPr>
      <w:r>
        <w:t>19.</w:t>
      </w:r>
      <w:r>
        <w:tab/>
      </w:r>
      <w:r>
        <w:rPr>
          <w:noProof/>
        </w:rPr>
        <w:t>Решенията на Nokia и Microsoft (преместване, закриване на производството и спиране на развойната работа във Финландия) са засегнали редица софтуерни дружества, чиято дейност е била свързана с Nokia или Microsoft. В резултат на това проблемите на Nokia са оказали влияние върху състоянието на цялата софтуерна промишленост във Финландия. Например дружеството за услуги в областта на ИКТ Tieto оправдава съкращенията, за които бе съобщено през есента на 2014 г., с намаляване на поръчките от един от основните си клиенти, т.е. Nokia. Последваха го дружества като  Atos IT Solutions and Services,  дружеството за хазартни игри Rovio Entertainment и Samlink, по подобни причини.</w:t>
      </w:r>
    </w:p>
    <w:p>
      <w:pPr>
        <w:pStyle w:val="ManualNumPar1"/>
        <w:rPr>
          <w:noProof/>
        </w:rPr>
      </w:pPr>
      <w:r>
        <w:t>20.</w:t>
      </w:r>
      <w:r>
        <w:tab/>
      </w:r>
      <w:r>
        <w:rPr>
          <w:noProof/>
        </w:rPr>
        <w:t>Общо 69 дружества от софтуерната промишленост в крайна сметка уволниха служители през есента на 2014 г. и пролетта на 2015 г. Причините, довели до тези съкращения, са различни, но общото за всички случаи най-често е това, че дружествата се сблъскват с все по-голяма и интензивна международна конкуренция. Затварянето на Microsoft и на Nokia беше от решаващо значение, но повечето съкращения са част от по-широко явление в целия сектор.</w:t>
      </w:r>
    </w:p>
    <w:p>
      <w:pPr>
        <w:pStyle w:val="ManualHeading3"/>
        <w:rPr>
          <w:noProof/>
        </w:rPr>
      </w:pPr>
      <w:r>
        <w:rPr>
          <w:noProof/>
        </w:rPr>
        <w:t>Очаквано въздействие на съкращенията върху местната, регионалната или националната икономика и върху заетостта</w:t>
      </w:r>
    </w:p>
    <w:p>
      <w:pPr>
        <w:pStyle w:val="Text1"/>
        <w:rPr>
          <w:noProof/>
        </w:rPr>
      </w:pPr>
      <w:r>
        <w:rPr>
          <w:noProof/>
        </w:rPr>
        <w:t>Повече от 75 % от съкращенията бяха осъществени в регионите от ниво 2 по NUTS Helsinki-Uusimaa (FI1B) и Pohjois- ja Itä-Suomi (FI1D). По тази причина тези два региона са разгледани подробно в следващите параграфи.</w:t>
      </w:r>
    </w:p>
    <w:p>
      <w:pPr>
        <w:pStyle w:val="ManualNumPar1"/>
        <w:rPr>
          <w:noProof/>
        </w:rPr>
      </w:pPr>
      <w:r>
        <w:t>21.</w:t>
      </w:r>
      <w:r>
        <w:tab/>
      </w:r>
      <w:r>
        <w:rPr>
          <w:noProof/>
        </w:rPr>
        <w:t>Регионът Northern Ostrobothnia (част от региона Pohjois- ja Itä-Suomi (FI1D), в който се намира Oulu) е с висока безработица (по-висока от средната за страната). През февруари 2015 г., докато равнището на безработицата за страната е било 13,5 %, в Northern Ostrobothnia то е било 15,7 %, а в Oulu — 17,1 %.  Близо двама от всеки трима безработни, търсещи работа в региона, живеят в района на Oulu, както и по-голямата част от безработните специалисти в региона.</w:t>
      </w:r>
    </w:p>
    <w:p>
      <w:pPr>
        <w:pStyle w:val="ManualNumPar1"/>
        <w:rPr>
          <w:noProof/>
        </w:rPr>
      </w:pPr>
      <w:r>
        <w:t>22.</w:t>
      </w:r>
      <w:r>
        <w:tab/>
      </w:r>
      <w:r>
        <w:rPr>
          <w:noProof/>
        </w:rPr>
        <w:t>Понастоящем съществуват около 1250 работещи звена в сектора на ИКТ в Northern Ostrobothnia, като повечето от тях са разположени в Oulu. Данни относно икономическите тенденции показват, че оборотът на дружествата от сектора на ИКТ намалява от 2012 г. насам</w:t>
      </w:r>
      <w:r>
        <w:rPr>
          <w:rStyle w:val="FootnoteReference"/>
          <w:noProof/>
        </w:rPr>
        <w:footnoteReference w:id="9"/>
      </w:r>
      <w:r>
        <w:rPr>
          <w:noProof/>
        </w:rPr>
        <w:t>. Делът на работните места в целия информационен сектор е около 12 % от работните места в региона. Тези трудности доведоха до многобройни съкращения както в частния, така и в публичния сектор.  Въпреки че предприятията в сектора на ИКТ са осигурявали работа на около 13 000 души в региона през 2008 г., тази цифра напоследък е намаляла до около 10 000.</w:t>
      </w:r>
    </w:p>
    <w:p>
      <w:pPr>
        <w:pStyle w:val="ManualNumPar1"/>
        <w:rPr>
          <w:noProof/>
        </w:rPr>
      </w:pPr>
      <w:r>
        <w:t>23.</w:t>
      </w:r>
      <w:r>
        <w:tab/>
      </w:r>
      <w:r>
        <w:rPr>
          <w:noProof/>
        </w:rPr>
        <w:t>Регионът на Oulu е значително засегнат от съкращенията на работни места в сектора на ИКТ, тъй като още от 1980-те години е бил център за офисите на компаниите, за научни изследвания, развитие и иновации и за производство. През пролетта на 2015 г. в областта е имало близо 1500 безработни, търсещи работа в сектора на ИКТ. Около 80 % от тях живеят в региона на Oulu. В допълнение, една трета от безработните с диплома за висше образование в сектора на ИКТ са били без работа в продължение на повече от година. Съкращенията в Microsoft правят и без това сериозната ситуация още по-тежка.</w:t>
      </w:r>
    </w:p>
    <w:p>
      <w:pPr>
        <w:pStyle w:val="ManualNumPar1"/>
        <w:rPr>
          <w:noProof/>
        </w:rPr>
      </w:pPr>
      <w:r>
        <w:t>24.</w:t>
      </w:r>
      <w:r>
        <w:tab/>
      </w:r>
      <w:r>
        <w:rPr>
          <w:noProof/>
        </w:rPr>
        <w:t>Нови сектори на растеж, които ще осигурят заетост, като например цифровизация на промишлените процеси и увеличаване на предсказуемостта, активно се разработват в региона на Oulu и е необходимо в това разработване да се осигури включването на безработни експерти по ИКТ</w:t>
      </w:r>
      <w:r>
        <w:rPr>
          <w:rStyle w:val="FootnoteReference"/>
          <w:noProof/>
        </w:rPr>
        <w:footnoteReference w:id="10"/>
      </w:r>
      <w:r>
        <w:rPr>
          <w:noProof/>
        </w:rPr>
        <w:t>.</w:t>
      </w:r>
    </w:p>
    <w:p>
      <w:pPr>
        <w:pStyle w:val="ManualNumPar1"/>
        <w:rPr>
          <w:noProof/>
        </w:rPr>
      </w:pPr>
      <w:r>
        <w:t>25.</w:t>
      </w:r>
      <w:r>
        <w:tab/>
      </w:r>
      <w:r>
        <w:rPr>
          <w:noProof/>
        </w:rPr>
        <w:t>В Uusimaa в края на февруари 2015 г. търсещите работа безработни лица са представлявали 11 % от работната сила. Въпреки че тази цифра е под средните стойности на национално равнище, нарастването на безработицата е значително по-голямо в Uusimaa (15,0 %), отколкото  във Финландия като цяло (9,7 %). През февруари за едно свободно място е имало 5,1 безработни лица, търсещи работа. Безработицата се увеличава също и вследствие на нетната миграция в района. Броят на безработните лица, търсещи работа в Uusimaa, е надхвърлил 104 000 през август 2015 г. и е с най-високата си стойност от началото на 1990-те години.</w:t>
      </w:r>
    </w:p>
    <w:p>
      <w:pPr>
        <w:pStyle w:val="ManualNumPar1"/>
        <w:rPr>
          <w:noProof/>
        </w:rPr>
      </w:pPr>
      <w:r>
        <w:t>26.</w:t>
      </w:r>
      <w:r>
        <w:tab/>
      </w:r>
      <w:r>
        <w:rPr>
          <w:noProof/>
        </w:rPr>
        <w:t>БВП на Uusimaa съставлява 36 % от БВП на Финландия. Регионът представлява 71 % от оборота, 62 % от служителите и 52 % от предприятията в частния сектор на софтуерната индустрия от цялата територия на Финландия. Това означава, че може да се каже, че в софтуерната индустрия Uusimaa има по-голяма роля, отколкото във всички други сектори, взети заедно.</w:t>
      </w:r>
    </w:p>
    <w:p>
      <w:pPr>
        <w:pStyle w:val="ManualNumPar1"/>
        <w:rPr>
          <w:noProof/>
        </w:rPr>
      </w:pPr>
      <w:r>
        <w:t>27.</w:t>
      </w:r>
      <w:r>
        <w:tab/>
      </w:r>
      <w:r>
        <w:rPr>
          <w:noProof/>
        </w:rPr>
        <w:t>През 2013 г. софтуерната индустрия представлява 3 % от оборота, 5 % от служителите и 3 % от предприятията от частния сектор в Uusimaa.</w:t>
      </w:r>
    </w:p>
    <w:p>
      <w:pPr>
        <w:pStyle w:val="ManualNumPar1"/>
        <w:rPr>
          <w:noProof/>
        </w:rPr>
      </w:pPr>
      <w:r>
        <w:t>28.</w:t>
      </w:r>
      <w:r>
        <w:tab/>
      </w:r>
      <w:r>
        <w:rPr>
          <w:noProof/>
        </w:rPr>
        <w:t>По време на референтния период общо 49 софтуерни предприятия са прибегнали до преговори за сътрудничество в региона на Uusimaa. Прогнозната нужда от съкращаване на персонал в началото на преговорите за сътрудничество е била 1681 души.</w:t>
      </w:r>
    </w:p>
    <w:p>
      <w:pPr>
        <w:pStyle w:val="ManualNumPar1"/>
        <w:rPr>
          <w:noProof/>
        </w:rPr>
      </w:pPr>
      <w:r>
        <w:t>29.</w:t>
      </w:r>
      <w:r>
        <w:tab/>
      </w:r>
      <w:r>
        <w:rPr>
          <w:noProof/>
        </w:rPr>
        <w:t>Въз основа на предварителната оценка изглежда, че съкращенията (особено в случая на CGI) са засегнали заетите лица над 50-годишна възраст — група, за които е трудно да си намерят нова работа и е оправдано да се приеме, че до юни 2016 г. над 50 % от тези хора ще бъдат дългосрочно безработни.</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30.</w:t>
      </w:r>
      <w:r>
        <w:tab/>
      </w:r>
      <w:r>
        <w:rPr>
          <w:noProof/>
        </w:rPr>
        <w:t>Прогнозният брой на съкратените работници, които се очаква да вземат участие в мерките, е 1200. Разпределението им по пол, гражданство и възрастова група е следното:</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660</w:t>
            </w:r>
          </w:p>
        </w:tc>
        <w:tc>
          <w:tcPr>
            <w:tcW w:w="1176" w:type="dxa"/>
            <w:tcBorders>
              <w:top w:val="single" w:sz="4" w:space="0" w:color="auto"/>
              <w:left w:val="nil"/>
              <w:right w:val="nil"/>
            </w:tcBorders>
            <w:hideMark/>
          </w:tcPr>
          <w:p>
            <w:pPr>
              <w:spacing w:before="60" w:after="60"/>
              <w:jc w:val="right"/>
              <w:rPr>
                <w:noProof/>
              </w:rPr>
            </w:pPr>
            <w:r>
              <w:rPr>
                <w:noProof/>
              </w:rPr>
              <w:t>(55,0 %)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540</w:t>
            </w:r>
          </w:p>
        </w:tc>
        <w:tc>
          <w:tcPr>
            <w:tcW w:w="1176" w:type="dxa"/>
            <w:tcBorders>
              <w:bottom w:val="single" w:sz="4" w:space="0" w:color="auto"/>
            </w:tcBorders>
            <w:hideMark/>
          </w:tcPr>
          <w:p>
            <w:pPr>
              <w:spacing w:before="60" w:after="60"/>
              <w:jc w:val="right"/>
              <w:rPr>
                <w:noProof/>
              </w:rPr>
            </w:pPr>
            <w:r>
              <w:rPr>
                <w:noProof/>
              </w:rPr>
              <w:t>(45,0 %)</w:t>
            </w:r>
          </w:p>
        </w:tc>
      </w:tr>
      <w:tr>
        <w:trPr>
          <w:jc w:val="center"/>
        </w:trPr>
        <w:tc>
          <w:tcPr>
            <w:tcW w:w="1496" w:type="dxa"/>
            <w:tcBorders>
              <w:top w:val="single" w:sz="4" w:space="0" w:color="auto"/>
              <w:left w:val="nil"/>
              <w:right w:val="nil"/>
            </w:tcBorders>
            <w:hideMark/>
          </w:tcPr>
          <w:p>
            <w:pPr>
              <w:spacing w:before="60" w:after="60"/>
              <w:rPr>
                <w:noProof/>
              </w:rPr>
            </w:pPr>
            <w:r>
              <w:rPr>
                <w:noProof/>
              </w:rPr>
              <w:t>Гражданство:</w:t>
            </w:r>
          </w:p>
        </w:tc>
        <w:tc>
          <w:tcPr>
            <w:tcW w:w="2063" w:type="dxa"/>
            <w:tcBorders>
              <w:top w:val="single" w:sz="4" w:space="0" w:color="auto"/>
              <w:left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1160</w:t>
            </w:r>
          </w:p>
        </w:tc>
        <w:tc>
          <w:tcPr>
            <w:tcW w:w="1176" w:type="dxa"/>
            <w:tcBorders>
              <w:top w:val="single" w:sz="4" w:space="0" w:color="auto"/>
            </w:tcBorders>
            <w:hideMark/>
          </w:tcPr>
          <w:p>
            <w:pPr>
              <w:spacing w:before="60" w:after="60"/>
              <w:jc w:val="right"/>
              <w:rPr>
                <w:noProof/>
              </w:rPr>
            </w:pPr>
            <w:r>
              <w:rPr>
                <w:noProof/>
              </w:rPr>
              <w:t>(96,7 %)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40</w:t>
            </w:r>
          </w:p>
        </w:tc>
        <w:tc>
          <w:tcPr>
            <w:tcW w:w="1176" w:type="dxa"/>
            <w:tcBorders>
              <w:bottom w:val="single" w:sz="4" w:space="0" w:color="auto"/>
            </w:tcBorders>
            <w:hideMark/>
          </w:tcPr>
          <w:p>
            <w:pPr>
              <w:spacing w:before="60" w:after="60"/>
              <w:jc w:val="right"/>
              <w:rPr>
                <w:noProof/>
              </w:rPr>
            </w:pPr>
            <w:r>
              <w:rPr>
                <w:noProof/>
              </w:rPr>
              <w:t>(3,3 %)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24</w:t>
            </w:r>
          </w:p>
        </w:tc>
        <w:tc>
          <w:tcPr>
            <w:tcW w:w="1176" w:type="dxa"/>
            <w:tcBorders>
              <w:top w:val="single" w:sz="4" w:space="0" w:color="auto"/>
            </w:tcBorders>
            <w:hideMark/>
          </w:tcPr>
          <w:p>
            <w:pPr>
              <w:spacing w:before="60" w:after="60"/>
              <w:jc w:val="right"/>
              <w:rPr>
                <w:noProof/>
              </w:rPr>
            </w:pPr>
            <w:r>
              <w:rPr>
                <w:noProof/>
              </w:rPr>
              <w:t>(2,0 %)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72</w:t>
            </w:r>
          </w:p>
        </w:tc>
        <w:tc>
          <w:tcPr>
            <w:tcW w:w="1176" w:type="dxa"/>
            <w:hideMark/>
          </w:tcPr>
          <w:p>
            <w:pPr>
              <w:spacing w:before="60" w:after="60"/>
              <w:jc w:val="right"/>
              <w:rPr>
                <w:noProof/>
              </w:rPr>
            </w:pPr>
            <w:r>
              <w:rPr>
                <w:noProof/>
              </w:rPr>
              <w:t>(6,0 %)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936</w:t>
            </w:r>
          </w:p>
        </w:tc>
        <w:tc>
          <w:tcPr>
            <w:tcW w:w="1176" w:type="dxa"/>
            <w:hideMark/>
          </w:tcPr>
          <w:p>
            <w:pPr>
              <w:spacing w:before="60" w:after="60"/>
              <w:jc w:val="right"/>
              <w:rPr>
                <w:noProof/>
              </w:rPr>
            </w:pPr>
            <w:r>
              <w:rPr>
                <w:noProof/>
              </w:rPr>
              <w:t>(78,0 %)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156</w:t>
            </w:r>
          </w:p>
        </w:tc>
        <w:tc>
          <w:tcPr>
            <w:tcW w:w="1176" w:type="dxa"/>
            <w:hideMark/>
          </w:tcPr>
          <w:p>
            <w:pPr>
              <w:spacing w:before="60" w:after="60"/>
              <w:jc w:val="right"/>
              <w:rPr>
                <w:noProof/>
              </w:rPr>
            </w:pPr>
            <w:r>
              <w:rPr>
                <w:noProof/>
              </w:rPr>
              <w:t>(13,0 %)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noProof/>
              </w:rPr>
              <w:t>(1,0 %)</w:t>
            </w:r>
          </w:p>
        </w:tc>
      </w:tr>
    </w:tbl>
    <w:p>
      <w:pPr>
        <w:pStyle w:val="ManualHeading3"/>
        <w:rPr>
          <w:noProof/>
          <w:u w:val="single"/>
        </w:rPr>
      </w:pPr>
      <w:r>
        <w:rPr>
          <w:noProof/>
        </w:rPr>
        <w:t>Допустимост на предложените действия</w:t>
      </w:r>
    </w:p>
    <w:p>
      <w:pPr>
        <w:pStyle w:val="ManualNumPar1"/>
        <w:rPr>
          <w:noProof/>
        </w:rPr>
      </w:pPr>
      <w:r>
        <w:t>31.</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p>
    <w:p>
      <w:pPr>
        <w:pStyle w:val="Text1"/>
        <w:rPr>
          <w:noProof/>
          <w:u w:val="single"/>
        </w:rPr>
      </w:pPr>
      <w:r>
        <w:rPr>
          <w:noProof/>
          <w:u w:val="single"/>
        </w:rPr>
        <w:t>А. Предоставяне на съвети и други подготвителни мерки</w:t>
      </w:r>
    </w:p>
    <w:p>
      <w:pPr>
        <w:pStyle w:val="Tiret1"/>
        <w:rPr>
          <w:noProof/>
        </w:rPr>
      </w:pPr>
      <w:r>
        <w:rPr>
          <w:noProof/>
        </w:rPr>
        <w:t>Обучение за търсене на работа</w:t>
      </w:r>
    </w:p>
    <w:p>
      <w:pPr>
        <w:pStyle w:val="Text2"/>
        <w:rPr>
          <w:noProof/>
        </w:rPr>
      </w:pPr>
      <w:r>
        <w:rPr>
          <w:noProof/>
        </w:rPr>
        <w:t>Целта на обучението е да осигури на участниците информация за пазара на труда, да им помогне да видят съществуващите възможности и да подобри и актуализира техните умения за търсене на работа. Поради особеностите на търсенето на работа в сектора на ИКТ услугите за обучение, които ще бъдат закупени, ще бъдат приспособени към професионалните умения и нуждите на целевата група.</w:t>
      </w:r>
    </w:p>
    <w:p>
      <w:pPr>
        <w:pStyle w:val="Text2"/>
        <w:rPr>
          <w:noProof/>
        </w:rPr>
      </w:pPr>
      <w:r>
        <w:rPr>
          <w:noProof/>
        </w:rPr>
        <w:t>Заетостта може да бъде насърчавана чрез услуги за обучение, чрез подкрепа на трудовата мобилност в сътрудничество с услуги в рамките на EURES и например чрез създаване на специализирани в търсенето на работа групи, които се фокусират върху намирането на работни места в сектора на ИКТ в чужбина.</w:t>
      </w:r>
    </w:p>
    <w:p>
      <w:pPr>
        <w:pStyle w:val="Tiret1"/>
        <w:rPr>
          <w:noProof/>
        </w:rPr>
      </w:pPr>
      <w:r>
        <w:rPr>
          <w:noProof/>
        </w:rPr>
        <w:t>Професионални съвети (индивидуални насоки)</w:t>
      </w:r>
    </w:p>
    <w:p>
      <w:pPr>
        <w:pStyle w:val="Text2"/>
        <w:rPr>
          <w:noProof/>
        </w:rPr>
      </w:pPr>
      <w:r>
        <w:rPr>
          <w:noProof/>
        </w:rPr>
        <w:t>Целта на професионалните съвети е насочването на частен клиент в търсенето на работа или обучение на работното място. От една страна, професионалните съветници могат да насърчават повторното наемане на работа, като насочват търсещите работа в използването на различните възможности за намиране на работа (управление на отделни случаи), а от друга страна, те може да им съдействат за намиране на нова работа чрез предоставяне на консултации в периода на търсенето на работа.</w:t>
      </w:r>
    </w:p>
    <w:p>
      <w:pPr>
        <w:pStyle w:val="Tiret1"/>
        <w:rPr>
          <w:noProof/>
        </w:rPr>
      </w:pPr>
      <w:r>
        <w:rPr>
          <w:noProof/>
        </w:rPr>
        <w:t>Професионално обучение</w:t>
      </w:r>
    </w:p>
    <w:p>
      <w:pPr>
        <w:pStyle w:val="Text2"/>
        <w:rPr>
          <w:noProof/>
        </w:rPr>
      </w:pPr>
      <w:r>
        <w:rPr>
          <w:noProof/>
        </w:rPr>
        <w:t>Професионално обучение се предоставя, ако, според извършена от служител от службата по заетостта и икономическото развитие (служба TE) оценка, потребителите се нуждаят от повече функционална, интензивна и дългосрочна подкрепа в планирането на кариера.</w:t>
      </w:r>
    </w:p>
    <w:p>
      <w:pPr>
        <w:pStyle w:val="Tiret1"/>
        <w:rPr>
          <w:noProof/>
        </w:rPr>
      </w:pPr>
      <w:r>
        <w:rPr>
          <w:noProof/>
        </w:rPr>
        <w:t>Експертни оценки</w:t>
      </w:r>
    </w:p>
    <w:p>
      <w:pPr>
        <w:pStyle w:val="Text2"/>
        <w:rPr>
          <w:noProof/>
        </w:rPr>
      </w:pPr>
      <w:r>
        <w:rPr>
          <w:noProof/>
        </w:rPr>
        <w:t>Работещите в програмния сектор имат много различни компетентности. С цел да се направи оценка на лицето, търсещо работа, службата TE може да организира различни експертни оценки като например оценка на трудовите способности; установяване на компетентностите и професионалните умения; оценка на предприемаческите компетентности и на възможностите за предприемаческа дейност. Съдържанието и обхвата на експертната оценка ще зависи от индивидуалното положение на търсещото работа лице.</w:t>
      </w:r>
    </w:p>
    <w:p>
      <w:pPr>
        <w:pStyle w:val="Text1"/>
        <w:rPr>
          <w:noProof/>
          <w:u w:val="single"/>
        </w:rPr>
      </w:pPr>
      <w:r>
        <w:rPr>
          <w:noProof/>
          <w:u w:val="single"/>
        </w:rPr>
        <w:t>Б. Услуги по наемане на работа и стопански услуги</w:t>
      </w:r>
    </w:p>
    <w:p>
      <w:pPr>
        <w:pStyle w:val="Text2"/>
        <w:rPr>
          <w:noProof/>
        </w:rPr>
      </w:pPr>
      <w:r>
        <w:rPr>
          <w:noProof/>
        </w:rPr>
        <w:t>Услугите по наемане на работа и стопанските услуги, финансирани от ЕФПГ и предоставяни от службата ТЕ, включват подкрепа за индивидуално търсене на работа чрез онлайн услуги, предлагане на работни места и други услуги, свързани със заетостта, в т.ч. международни служби по заетостта, пътни разноски и обезщетение за разноски за преместване, установяване на компетентностите и професионалните умения, оценки на работоспособността, обучение, работа за пробен период (изпитателен период) и отпускане на субсидии. Службата TE отговаря за предлаганите услуги, а отговорността за тази работа ще се поеме от специалисти по услуги, финансирани от ЕФПГ.</w:t>
      </w:r>
    </w:p>
    <w:p>
      <w:pPr>
        <w:pStyle w:val="Text1"/>
        <w:rPr>
          <w:noProof/>
          <w:u w:val="single"/>
        </w:rPr>
      </w:pPr>
      <w:r>
        <w:rPr>
          <w:noProof/>
          <w:u w:val="single"/>
        </w:rPr>
        <w:t>В. Обучение</w:t>
      </w:r>
    </w:p>
    <w:p>
      <w:pPr>
        <w:pStyle w:val="Text2"/>
        <w:rPr>
          <w:noProof/>
        </w:rPr>
      </w:pPr>
      <w:r>
        <w:rPr>
          <w:noProof/>
        </w:rPr>
        <w:t>Обучението се представя като професионална преквалификация, като целта е придобиването на професионална или допълнителна професионална квалификация в сектор с висока заетост, или под формата на продължаващо обучение чрез подобряване на съществуващите умения.  Обучението се изготвя в зависимост от целевата група.</w:t>
      </w:r>
    </w:p>
    <w:p>
      <w:pPr>
        <w:pStyle w:val="Text2"/>
        <w:rPr>
          <w:noProof/>
        </w:rPr>
      </w:pPr>
      <w:r>
        <w:rPr>
          <w:noProof/>
        </w:rPr>
        <w:t>Целта на това обучение е също така участниците да разберат как на практика функционират предприятията и да натрупат нужните умения за работа в предприятие, както и компетентностите, необходими за развитието на предприятие. Друга негова цел е намирането на работа в партньорско дружества или стартирането на ново предприятие чрез разработване на проект.</w:t>
      </w:r>
    </w:p>
    <w:p>
      <w:pPr>
        <w:pStyle w:val="Text2"/>
        <w:rPr>
          <w:noProof/>
        </w:rPr>
      </w:pPr>
      <w:r>
        <w:rPr>
          <w:noProof/>
        </w:rPr>
        <w:t>За лицата с по-високо образование може да бъде предоставено специално обучение.</w:t>
      </w:r>
    </w:p>
    <w:p>
      <w:pPr>
        <w:pStyle w:val="Text1"/>
        <w:rPr>
          <w:noProof/>
          <w:u w:val="single"/>
        </w:rPr>
      </w:pPr>
      <w:r>
        <w:rPr>
          <w:noProof/>
          <w:u w:val="single"/>
        </w:rPr>
        <w:t>Г. Субсидии за изплащане на възнаграждения</w:t>
      </w:r>
    </w:p>
    <w:p>
      <w:pPr>
        <w:pStyle w:val="Text2"/>
        <w:rPr>
          <w:noProof/>
        </w:rPr>
      </w:pPr>
      <w:r>
        <w:rPr>
          <w:noProof/>
        </w:rPr>
        <w:t>В полза на съкратените работници ще се приложат субсидии за изплащане на възнаграждения в подкрепа на заетостта при започване на нова работа чрез намаляване на разходите за заплати на работодателя. Такива субсидии се използват най-вече като начин да се стимулира наемането на работници в частния сектор с помощта на субсидия. От 2015 г. субсидията за изплащане на възнаграждения ще бъде между 30 и 50 % от разходите за заплати, в зависимост от това колко време лицето, което ще бъде наето чрез субсидията, е било безработно.</w:t>
      </w:r>
    </w:p>
    <w:p>
      <w:pPr>
        <w:spacing w:before="0" w:after="200" w:line="276" w:lineRule="auto"/>
        <w:jc w:val="left"/>
        <w:rPr>
          <w:noProof/>
          <w:u w:val="single"/>
        </w:rPr>
      </w:pPr>
      <w:r>
        <w:rPr>
          <w:noProof/>
        </w:rPr>
        <w:br w:type="page"/>
      </w:r>
    </w:p>
    <w:p>
      <w:pPr>
        <w:pStyle w:val="Text1"/>
        <w:rPr>
          <w:noProof/>
          <w:u w:val="single"/>
        </w:rPr>
      </w:pPr>
      <w:r>
        <w:rPr>
          <w:noProof/>
          <w:u w:val="single"/>
        </w:rPr>
        <w:t>Д. Безвъзмездни средства за започване на стопанска дейност</w:t>
      </w:r>
    </w:p>
    <w:p>
      <w:pPr>
        <w:pStyle w:val="Text2"/>
        <w:rPr>
          <w:noProof/>
        </w:rPr>
      </w:pPr>
      <w:r>
        <w:rPr>
          <w:noProof/>
        </w:rPr>
        <w:t>Целта на безвъзмездните средства за започване на стопанска дейност е да се насърчи създаването на такава дейност и наемането на работа на отделни лица. Тези безвъзмездни средства осигуряват доход на начинаещия предприемач за периода, който се счита за необходим за започване и установяване на напълно функциониращо предприятие, а по-конкретно в рамките на не повече от 18 месеца.</w:t>
      </w:r>
    </w:p>
    <w:p>
      <w:pPr>
        <w:pStyle w:val="Text2"/>
        <w:rPr>
          <w:noProof/>
        </w:rPr>
      </w:pPr>
      <w:r>
        <w:rPr>
          <w:noProof/>
        </w:rPr>
        <w:t>Безвъзмездните средства за започване на стопанска дейност се състоят от две части — основна субсидия и допълнителна сума. През 2015 г. основната субсидия е възлизала на 32,80 EUR на ден. Стойността на допълнителната сума се решава за всеки отделен случай по преценка на  службите по заетостта и икономическото развитие. Допълнителната сума варира между 10 и 60 % от размера на основната субсидия.</w:t>
      </w:r>
    </w:p>
    <w:p>
      <w:pPr>
        <w:pStyle w:val="Text1"/>
        <w:rPr>
          <w:noProof/>
          <w:u w:val="single"/>
        </w:rPr>
      </w:pPr>
      <w:r>
        <w:rPr>
          <w:noProof/>
          <w:u w:val="single"/>
        </w:rPr>
        <w:t>Е. Насочване към предприемачество и услуги за нови предприемачи</w:t>
      </w:r>
    </w:p>
    <w:p>
      <w:pPr>
        <w:pStyle w:val="Text2"/>
        <w:rPr>
          <w:noProof/>
        </w:rPr>
      </w:pPr>
      <w:r>
        <w:rPr>
          <w:noProof/>
        </w:rPr>
        <w:t>Действията, свързани с насърчаването на предприемачеството, се прилагат под формата на обучения от типа бизнес инкубатор и обучения по предприемачество. Освен това на новите предприемачи се предоставят съвети, консултантски услуги и безвъзмездни средства за започване на стопанска дейност. Създаването на нови предприятия ще бъде подкрепено чрез подрегионални мрежи за стопански услуги и предлаганото от Министерството на заетостта и икономиката планиране за корпоративни клиенти.</w:t>
      </w:r>
    </w:p>
    <w:p>
      <w:pPr>
        <w:pStyle w:val="Text1"/>
        <w:rPr>
          <w:noProof/>
          <w:u w:val="single"/>
        </w:rPr>
      </w:pPr>
      <w:r>
        <w:rPr>
          <w:noProof/>
          <w:u w:val="single"/>
        </w:rPr>
        <w:t>Ж. Пътни и квартирни надбавки и надбавки за разходи по преместване</w:t>
      </w:r>
    </w:p>
    <w:p>
      <w:pPr>
        <w:pStyle w:val="Text2"/>
        <w:rPr>
          <w:noProof/>
        </w:rPr>
      </w:pPr>
      <w:r>
        <w:rPr>
          <w:noProof/>
        </w:rPr>
        <w:t>Лицата, търсещи работа, могат да получат надбавка за направените от тях пътни разходи и разходи за настаняване при търсенето на работа или при участието им в обучения, както и компенсация за разходите по преместването им, ако приемат предложение за работа извън обичайния район на придвижване до работното място.</w:t>
      </w:r>
    </w:p>
    <w:p>
      <w:pPr>
        <w:pStyle w:val="ManualNumPar1"/>
        <w:rPr>
          <w:noProof/>
        </w:rPr>
      </w:pPr>
      <w:r>
        <w:t>32.</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33.</w:t>
      </w:r>
      <w:r>
        <w:tab/>
      </w:r>
      <w:r>
        <w:rPr>
          <w:noProof/>
        </w:rPr>
        <w:t>Финландия предостави поисканата информация относно действията, които са задължителни за засегнатото предприятие по силата на националното право или на колективни споразумения. Тя потвърди, че финансовото участие от ЕФПГ няма да замени тези действия.</w:t>
      </w:r>
    </w:p>
    <w:p>
      <w:pPr>
        <w:pStyle w:val="ManualHeading3"/>
        <w:rPr>
          <w:noProof/>
        </w:rPr>
      </w:pPr>
      <w:r>
        <w:rPr>
          <w:noProof/>
        </w:rPr>
        <w:t>Прогнозен бюджет</w:t>
      </w:r>
    </w:p>
    <w:p>
      <w:pPr>
        <w:pStyle w:val="ManualNumPar1"/>
        <w:rPr>
          <w:noProof/>
        </w:rPr>
      </w:pPr>
      <w:r>
        <w:t>34.</w:t>
      </w:r>
      <w:r>
        <w:tab/>
      </w:r>
      <w:r>
        <w:rPr>
          <w:noProof/>
        </w:rPr>
        <w:t>Общите прогнозни разходи са в размер на 4 372 000 EUR, като в тях се включват разходи за персонализирани услуги на стойност 4 167 000 EUR, а разходите за дейности по подготовка, управление, информация, публичност, контрол и докладване са в размер на 205 000 EUR.</w:t>
      </w:r>
    </w:p>
    <w:p>
      <w:pPr>
        <w:pStyle w:val="ManualNumPar1"/>
        <w:rPr>
          <w:noProof/>
        </w:rPr>
      </w:pPr>
      <w:r>
        <w:t>35.</w:t>
      </w:r>
      <w:r>
        <w:tab/>
      </w:r>
      <w:r>
        <w:rPr>
          <w:noProof/>
        </w:rPr>
        <w:t>Общият размер на поисканото финансово участие от ЕФПГ възлиза на 2 623 200 EUR (60 % от общия размер на разходите).</w:t>
      </w:r>
    </w:p>
    <w:p>
      <w:pPr>
        <w:jc w:val="left"/>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rPr>
                <w:noProof/>
              </w:rPr>
            </w:pPr>
            <w:r>
              <w:rPr>
                <w:noProof/>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w:t>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Предоставяне на съвети и други подготвителни мерки</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710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284 000,00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 xml:space="preserve">Услуги по наемане на работа и стопански услуги </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1200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375,00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450 000,00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Обучение</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468</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2 340 000,00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Безвъзмездни средства за започване на стопанска дейност</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45</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6 000,00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Насочване към предприемачество и услуги за нови предприемачи</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60 000,00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3 404 000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(81,69 %)</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Субсидии за изплащане на възнаграждения</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92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8 000,00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736 000,00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Пътни и квартирни надбавки и надбавки за разходи по преместване</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180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150,00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27 000,00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763 000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(18,31 %)</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Подготовка</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10 000,00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165 000,00</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публичност</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25 000,00</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pStyle w:val="Text1"/>
              <w:spacing w:before="60" w:after="60"/>
              <w:ind w:left="0"/>
              <w:jc w:val="right"/>
              <w:rPr>
                <w:noProof/>
                <w:sz w:val="22"/>
              </w:rPr>
            </w:pPr>
            <w:r>
              <w:rPr>
                <w:noProof/>
                <w:sz w:val="22"/>
              </w:rPr>
              <w:t>5000,00</w:t>
            </w:r>
          </w:p>
        </w:tc>
      </w:tr>
      <w:tr>
        <w:trPr>
          <w:trHeight w:val="203"/>
        </w:trPr>
        <w:tc>
          <w:tcPr>
            <w:tcW w:w="4644" w:type="dxa"/>
            <w:vMerge w:val="restart"/>
            <w:shd w:val="clear" w:color="auto" w:fill="auto"/>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tcPr>
          <w:p>
            <w:pPr>
              <w:spacing w:before="0" w:after="0"/>
              <w:jc w:val="center"/>
              <w:rPr>
                <w:rFonts w:eastAsia="Times New Roman"/>
                <w:noProof/>
                <w:sz w:val="22"/>
              </w:rPr>
            </w:pPr>
            <w:r>
              <w:rPr>
                <w:noProof/>
                <w:sz w:val="22"/>
              </w:rPr>
              <w:t>—</w:t>
            </w:r>
          </w:p>
        </w:tc>
        <w:tc>
          <w:tcPr>
            <w:tcW w:w="1548" w:type="dxa"/>
            <w:tcBorders>
              <w:bottom w:val="nil"/>
            </w:tcBorders>
            <w:shd w:val="clear" w:color="auto" w:fill="auto"/>
          </w:tcPr>
          <w:p>
            <w:pPr>
              <w:pStyle w:val="Text1"/>
              <w:spacing w:before="60" w:after="60"/>
              <w:ind w:left="0"/>
              <w:jc w:val="right"/>
              <w:rPr>
                <w:noProof/>
                <w:sz w:val="22"/>
              </w:rPr>
            </w:pPr>
            <w:r>
              <w:rPr>
                <w:noProof/>
                <w:sz w:val="22"/>
              </w:rPr>
              <w:t>205 000,00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tcPr>
          <w:p>
            <w:pPr>
              <w:spacing w:before="0" w:after="0"/>
              <w:jc w:val="center"/>
              <w:rPr>
                <w:rFonts w:eastAsia="Times New Roman"/>
                <w:noProof/>
                <w:sz w:val="22"/>
              </w:rPr>
            </w:pPr>
          </w:p>
        </w:tc>
        <w:tc>
          <w:tcPr>
            <w:tcW w:w="1548" w:type="dxa"/>
            <w:tcBorders>
              <w:top w:val="nil"/>
            </w:tcBorders>
            <w:shd w:val="clear" w:color="auto" w:fill="auto"/>
          </w:tcPr>
          <w:p>
            <w:pPr>
              <w:pStyle w:val="Text1"/>
              <w:spacing w:before="60" w:after="60"/>
              <w:ind w:left="0"/>
              <w:jc w:val="right"/>
              <w:rPr>
                <w:noProof/>
                <w:sz w:val="22"/>
              </w:rPr>
            </w:pPr>
            <w:r>
              <w:rPr>
                <w:noProof/>
                <w:sz w:val="22"/>
              </w:rPr>
              <w:t>4,69 %</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4 372 000</w:t>
            </w:r>
          </w:p>
        </w:tc>
      </w:tr>
      <w:tr>
        <w:tc>
          <w:tcPr>
            <w:tcW w:w="4644" w:type="dxa"/>
            <w:shd w:val="clear" w:color="auto" w:fill="auto"/>
          </w:tcPr>
          <w:p>
            <w:pPr>
              <w:spacing w:before="60" w:after="60"/>
              <w:jc w:val="left"/>
              <w:rPr>
                <w:rFonts w:eastAsia="Times New Roman"/>
                <w:noProof/>
                <w:sz w:val="22"/>
              </w:rPr>
            </w:pPr>
            <w:r>
              <w:rPr>
                <w:noProof/>
                <w:sz w:val="22"/>
              </w:rPr>
              <w:t>Участие на ЕФПГ (60 % от общия размер на разходите)</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right"/>
              <w:rPr>
                <w:rFonts w:eastAsia="Times New Roman"/>
                <w:noProof/>
                <w:sz w:val="22"/>
              </w:rPr>
            </w:pPr>
            <w:r>
              <w:rPr>
                <w:noProof/>
                <w:sz w:val="22"/>
              </w:rPr>
              <w:t>2 623 200</w:t>
            </w:r>
          </w:p>
        </w:tc>
      </w:tr>
    </w:tbl>
    <w:p>
      <w:pPr>
        <w:rPr>
          <w:noProof/>
          <w:sz w:val="10"/>
          <w:szCs w:val="10"/>
        </w:rPr>
      </w:pPr>
    </w:p>
    <w:p>
      <w:pPr>
        <w:pStyle w:val="ManualNumPar1"/>
        <w:rPr>
          <w:noProof/>
          <w:szCs w:val="20"/>
        </w:rPr>
      </w:pPr>
      <w:r>
        <w:t>36.</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Финландия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37.</w:t>
      </w:r>
      <w:r>
        <w:tab/>
      </w:r>
      <w:r>
        <w:rPr>
          <w:noProof/>
        </w:rPr>
        <w:t>Финландия потвърди, че разходите за инвестиции за самостоятелна заетост, започване на бизнес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38.</w:t>
      </w:r>
      <w:r>
        <w:tab/>
      </w:r>
      <w:r>
        <w:rPr>
          <w:noProof/>
        </w:rPr>
        <w:t>На 1 август 2014 г. Финландия започна да предоставя персонализирани услуги на бенефициерите от целевата група. С оглед на това разходите за тези действия са допустими за предоставяне на финансово участие от ЕФПГ през периода от 1 август 2014 г. до 12 юни 2017 г.</w:t>
      </w:r>
    </w:p>
    <w:p>
      <w:pPr>
        <w:pStyle w:val="ManualNumPar1"/>
        <w:rPr>
          <w:noProof/>
        </w:rPr>
      </w:pPr>
      <w:r>
        <w:t>39.</w:t>
      </w:r>
      <w:r>
        <w:tab/>
      </w:r>
      <w:r>
        <w:rPr>
          <w:noProof/>
        </w:rPr>
        <w:t xml:space="preserve">На 1 август 2014 г. Финландия започна да покрива административните разходи, свързани с изпълнението на ЕФПГ. С оглед на това разходите за действията по подготовка, управление, информиране и публичност, контрол и докладване са допустими за предоставяне на финансово участие от ЕФПГ през периода от 1 август 2014 г. до 12 декември 2017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i/>
          <w:noProof/>
        </w:rPr>
      </w:pPr>
      <w:r>
        <w:t>40.</w:t>
      </w:r>
      <w:r>
        <w:tab/>
      </w:r>
      <w:r>
        <w:rPr>
          <w:noProof/>
        </w:rPr>
        <w:t xml:space="preserve">Източниците на национално предварително финансиране или съфинансиране идват основно от обществените ведомства по труда от административния клон на Министерството на заетостта и икономиката. Някои услуги ще бъдат финансирани и от оперативните разходи на центровете за икономическо развитие, транспорт и околна среда (центрове ELY) и на службите по заетостта и икономиката. Задачите по техническа помощ ще бъдат финансирани от оперативните разходи на Министерството на заетостта и икономиката и на центровете ELY. </w:t>
      </w:r>
    </w:p>
    <w:p>
      <w:pPr>
        <w:pStyle w:val="ManualNumPar1"/>
        <w:rPr>
          <w:noProof/>
        </w:rPr>
      </w:pPr>
      <w:r>
        <w:t>41.</w:t>
      </w:r>
      <w:r>
        <w:tab/>
      </w:r>
      <w:r>
        <w:rPr>
          <w:noProof/>
        </w:rPr>
        <w:t>Финландия е потвърдила, че няма да получи финансова подкрепа от други финансови инструменти на Съюза за описаните по-горе мерки, за които се предоставя финансово участие от ЕФПГ.</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42.</w:t>
      </w:r>
      <w:r>
        <w:tab/>
      </w:r>
      <w:r>
        <w:rPr>
          <w:noProof/>
        </w:rPr>
        <w:t xml:space="preserve">Финландия посочи, че координираният пакет от персонализирани услуги е бил изготвен в консултация със социалните партньори и   </w:t>
      </w:r>
      <w:r>
        <w:rPr>
          <w:noProof/>
        </w:rPr>
        <w:br/>
        <w:t xml:space="preserve">областната администрация. Центърът ELY и службата ТЕ за региона Northern Ostrobothnia организираха събитие (1 октомври 2014 г.) за планиране на мерките, включени в проектите по линия на ЕФПГ. Партньори от организациите, изпълняващи проекта (Business Oulu, град Oulu, Университета в Оулу, Yritystakomo (бизнес инкубатор), търговската камара на предприемачите на Northern Ostrobothnia) и представители на целевата група бяха поканени да участват в това събитие. </w:t>
      </w:r>
    </w:p>
    <w:p>
      <w:pPr>
        <w:pStyle w:val="ManualNumPar1"/>
        <w:rPr>
          <w:noProof/>
        </w:rPr>
      </w:pPr>
      <w:r>
        <w:t>43.</w:t>
      </w:r>
      <w:r>
        <w:tab/>
      </w:r>
      <w:r>
        <w:rPr>
          <w:noProof/>
        </w:rPr>
        <w:t>Министерството на заетостта и икономиката сформира група, работеща по съкращенията в сектора на компютърното програмиране, която взе участие в изготвянето на заявлението по ЕФПГ. Тази група включва представители от центровете ELY и службите ТЕ за съответните региони, Business Oulu, социални партньори.</w:t>
      </w:r>
    </w:p>
    <w:p>
      <w:pPr>
        <w:pStyle w:val="ManualHeading2"/>
        <w:rPr>
          <w:noProof/>
        </w:rPr>
      </w:pPr>
      <w:r>
        <w:rPr>
          <w:noProof/>
        </w:rPr>
        <w:t>Системи за управление и контрол</w:t>
      </w:r>
    </w:p>
    <w:p>
      <w:pPr>
        <w:pStyle w:val="ManualNumPar1"/>
        <w:rPr>
          <w:noProof/>
        </w:rPr>
      </w:pPr>
      <w:r>
        <w:t>44.</w:t>
      </w:r>
      <w:r>
        <w:tab/>
      </w:r>
      <w:r>
        <w:rPr>
          <w:noProof/>
        </w:rPr>
        <w:t>В заявлението е описана системата за управление и контрол и са посочени отговорностите на съответните органи. Финландия уведоми Комисията, че финансовото участие ще бъде управлявано от Министерството на заетостта и икономиката, което управлява също и средствата по линия на ЕСФ. Същото министерство изпълнява функцията на сертифициращ оран. Налице е строго разделение на правомощията и на свързаните с докладването отношения между изпълняващите тези две функции отдели. Функциите по управлението във връзка с ЕФПГ са възложени на департамента по заетостта и предприемачеството, а тези за ЕСФ — на регионалния департамент. Функциите по сертифицирането на двата фонда са възложени на отдела по човешки ресурси и администрация. Министерството е подготвило наръчник, в който са подробно уредени приложимите процедури.</w:t>
      </w:r>
    </w:p>
    <w:p>
      <w:pPr>
        <w:pStyle w:val="ManualNumPar1"/>
        <w:rPr>
          <w:noProof/>
        </w:rPr>
      </w:pPr>
      <w:r>
        <w:t>45.</w:t>
      </w:r>
      <w:r>
        <w:tab/>
      </w:r>
      <w:r>
        <w:rPr>
          <w:noProof/>
        </w:rPr>
        <w:t>По отношение на одитирането отговорният орган е независимият отдел за вътрешен одит, който работи под прякото ръководство на постоянния секретариат на същото министерство. Функциите, свързани с мониторинга и одитирането, са включени и в обхвата на функциите както на управляващия, така и на сертифициращия орган.</w:t>
      </w:r>
    </w:p>
    <w:p>
      <w:pPr>
        <w:pStyle w:val="ManualHeading2"/>
        <w:rPr>
          <w:noProof/>
        </w:rPr>
      </w:pPr>
      <w:r>
        <w:rPr>
          <w:noProof/>
        </w:rPr>
        <w:t>Ангажименти, поети от засегнатата държава членка</w:t>
      </w:r>
    </w:p>
    <w:p>
      <w:pPr>
        <w:pStyle w:val="ManualNumPar1"/>
        <w:rPr>
          <w:noProof/>
        </w:rPr>
      </w:pPr>
      <w:r>
        <w:t>46.</w:t>
      </w:r>
      <w:r>
        <w:tab/>
      </w:r>
      <w:r>
        <w:rPr>
          <w:noProof/>
        </w:rPr>
        <w:t xml:space="preserve">Финландия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други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47.</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11"/>
      </w:r>
      <w:r>
        <w:rPr>
          <w:noProof/>
        </w:rPr>
        <w:t>, ЕФПГ не може да надхвърля максимален годишен размер от 150 млн. евро (по цени от 2011 г.).</w:t>
      </w:r>
    </w:p>
    <w:p>
      <w:pPr>
        <w:pStyle w:val="ManualNumPar1"/>
        <w:rPr>
          <w:rFonts w:eastAsia="Calibri"/>
          <w:noProof/>
        </w:rPr>
      </w:pPr>
      <w:r>
        <w:t>48.</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2 623 200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49.</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2"/>
      </w:r>
      <w:r>
        <w:rPr>
          <w:noProof/>
        </w:rPr>
        <w:t>.</w:t>
      </w:r>
    </w:p>
    <w:p>
      <w:pPr>
        <w:pStyle w:val="ManualHeading2"/>
        <w:rPr>
          <w:noProof/>
        </w:rPr>
      </w:pPr>
      <w:r>
        <w:rPr>
          <w:noProof/>
        </w:rPr>
        <w:t>Свързани актове</w:t>
      </w:r>
    </w:p>
    <w:p>
      <w:pPr>
        <w:pStyle w:val="ManualNumPar1"/>
        <w:rPr>
          <w:noProof/>
        </w:rPr>
      </w:pPr>
      <w:r>
        <w:t>50.</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съответните бюджетни редове на сумата от 2 623 200 EUR.</w:t>
      </w:r>
    </w:p>
    <w:p>
      <w:pPr>
        <w:pStyle w:val="ManualNumPar1"/>
        <w:rPr>
          <w:noProof/>
        </w:rPr>
      </w:pPr>
      <w:r>
        <w:t>51.</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(заявление от Финландия — EGF/2015/005 FI/компютърно програмиране)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3"/>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4"/>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има за цел да осигурява подкрепа за съкратените работници и самостоятелно заетите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15"/>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12 юни 2015 г. Финландия подаде заявление EGF/2015/005 FI/компютърно програмиране за финансово участие от страна на ЕФПГ вследствие на съкращения в икономическия сектор, класифициран в разделение 62 на NACE Rev. 2 (Дейности в областта на информационните технологии) в регионите на ниво 2 по NUTS</w:t>
      </w:r>
      <w:r>
        <w:rPr>
          <w:rStyle w:val="FootnoteReference"/>
          <w:noProof/>
        </w:rPr>
        <w:footnoteReference w:id="16"/>
      </w:r>
      <w:r>
        <w:rPr>
          <w:noProof/>
        </w:rPr>
        <w:t xml:space="preserve"> Länsi-Suomi (FI19), Helsinki-Uusimaa (FI1B), Etelä-Suomi (FI1C) и Pohjois- ja Itä-Suomi (FI1D) във Финландия. То беше допълнено с още информация в съответствие с член 8, параграф 3 от Регламент (ЕС) № 1309/2013. Това заявление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Финландия заявление, следва да бъдат мобилизирани средства за предоставяне на финансово участие от ЕФПГ в размер на 2 623 200 EUR.</w:t>
      </w:r>
    </w:p>
    <w:p>
      <w:pPr>
        <w:pStyle w:val="ManualConsidrant"/>
        <w:rPr>
          <w:noProof/>
        </w:rPr>
      </w:pPr>
      <w:r>
        <w:t>(5)</w:t>
      </w:r>
      <w:r>
        <w:tab/>
      </w:r>
      <w:r>
        <w:rPr>
          <w:noProof/>
        </w:rPr>
        <w:t>За да се сведе до минимум времето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2015 година от Европейския фонд за приспособяване към глобализацията се мобилизират средства за предоставяне на сумата от 2 623 200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Той се прилага от </w:t>
      </w:r>
      <w:r>
        <w:rPr>
          <w:noProof/>
          <w:color w:val="FF0000"/>
        </w:rPr>
        <w:t>[датата на приемането му]</w:t>
      </w:r>
      <w:r>
        <w:rPr>
          <w:rStyle w:val="FootnoteReference"/>
          <w:noProof/>
        </w:rPr>
        <w:footnoteReference w:id="17"/>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ОВ L 393, 30.12.2006 г., стр. 1.</w:t>
      </w:r>
    </w:p>
  </w:footnote>
  <w:footnote w:id="5">
    <w:p>
      <w:pPr>
        <w:pStyle w:val="FootnoteText"/>
        <w:rPr>
          <w:lang w:val="ru-RU"/>
        </w:rPr>
      </w:pPr>
      <w:r>
        <w:rPr>
          <w:rStyle w:val="FootnoteReference"/>
        </w:rPr>
        <w:footnoteRef/>
      </w:r>
      <w:r>
        <w:tab/>
        <w:t>В съответствие с член 7, параграф 4 от Регламент (EС) № 1309/2013.</w:t>
      </w:r>
    </w:p>
  </w:footnote>
  <w:footnote w:id="6">
    <w:p>
      <w:pPr>
        <w:pStyle w:val="FootnoteText"/>
      </w:pPr>
      <w:r>
        <w:rPr>
          <w:rStyle w:val="FootnoteReference"/>
        </w:rPr>
        <w:footnoteRef/>
      </w:r>
      <w:r>
        <w:tab/>
        <w:t>В приложението е поместен списък на предприятията.</w:t>
      </w:r>
    </w:p>
  </w:footnote>
  <w:footnote w:id="7">
    <w:p>
      <w:pPr>
        <w:pStyle w:val="FootnoteText"/>
      </w:pPr>
      <w:r>
        <w:rPr>
          <w:rStyle w:val="FootnoteReference"/>
        </w:rPr>
        <w:footnoteRef/>
      </w:r>
      <w:r>
        <w:tab/>
        <w:t>http://yle.fi/uutiset/it_firm_cgi_decides_to_send_home_270_in_finland/7632870 http://www.itviikko.fi/ihmiset-ja-ura/2014/11/14/cgi-paatyi-irtisanomaan-270/201415871/7</w:t>
      </w:r>
    </w:p>
  </w:footnote>
  <w:footnote w:id="8">
    <w:p>
      <w:pPr>
        <w:pStyle w:val="FootnoteText"/>
      </w:pPr>
      <w:r>
        <w:rPr>
          <w:rStyle w:val="FootnoteReference"/>
        </w:rPr>
        <w:footnoteRef/>
      </w:r>
      <w:r>
        <w:tab/>
        <w:t>EGF/2011/016/Agile ; COM(2013) 120 final и настоящето заявление.</w:t>
      </w:r>
    </w:p>
  </w:footnote>
  <w:footnote w:id="9">
    <w:p>
      <w:pPr>
        <w:pStyle w:val="FootnoteText"/>
      </w:pPr>
      <w:r>
        <w:rPr>
          <w:rStyle w:val="FootnoteReference"/>
        </w:rPr>
        <w:footnoteRef/>
      </w:r>
      <w:r>
        <w:tab/>
        <w:t>http://www.pohjois-pohjanmaa.fi/file.php?3634 pp 3</w:t>
      </w:r>
    </w:p>
  </w:footnote>
  <w:footnote w:id="10">
    <w:p>
      <w:pPr>
        <w:pStyle w:val="FootnoteText"/>
      </w:pPr>
      <w:r>
        <w:rPr>
          <w:rStyle w:val="FootnoteReference"/>
        </w:rPr>
        <w:footnoteRef/>
      </w:r>
      <w:r>
        <w:tab/>
        <w:t>http://www.temtoimialapalvelu.fi/files/2285/Ohjelmistoala_joulukuu_2014.pdf pp 42</w:t>
      </w:r>
    </w:p>
  </w:footnote>
  <w:footnote w:id="11">
    <w:p>
      <w:pPr>
        <w:pStyle w:val="FootnoteText"/>
      </w:pPr>
      <w:r>
        <w:rPr>
          <w:rStyle w:val="FootnoteReference"/>
        </w:rPr>
        <w:footnoteRef/>
      </w:r>
      <w:r>
        <w:tab/>
        <w:t>ОВ L 347, 20.12.2013 г., стр. 884.</w:t>
      </w:r>
    </w:p>
  </w:footnote>
  <w:footnote w:id="12">
    <w:p>
      <w:pPr>
        <w:pStyle w:val="FootnoteText"/>
        <w:rPr>
          <w:lang w:val="ru-RU"/>
        </w:rPr>
      </w:pPr>
      <w:r>
        <w:rPr>
          <w:rStyle w:val="FootnoteReference"/>
        </w:rPr>
        <w:footnoteRef/>
      </w:r>
      <w:r>
        <w:tab/>
        <w:t>ОВ С 373, 20.12.2013 г., стр. 1.</w:t>
      </w:r>
    </w:p>
  </w:footnote>
  <w:footnote w:id="13">
    <w:p>
      <w:pPr>
        <w:pStyle w:val="FootnoteText"/>
        <w:rPr>
          <w:lang w:val="ru-RU"/>
        </w:rPr>
      </w:pPr>
      <w:r>
        <w:rPr>
          <w:rStyle w:val="FootnoteReference"/>
        </w:rPr>
        <w:footnoteRef/>
      </w:r>
      <w:r>
        <w:tab/>
        <w:t>ОВ L 347, 20.12.2013 г., стр. 855.</w:t>
      </w:r>
    </w:p>
  </w:footnote>
  <w:footnote w:id="14">
    <w:p>
      <w:pPr>
        <w:pStyle w:val="FootnoteText"/>
        <w:rPr>
          <w:lang w:val="ru-RU"/>
        </w:rPr>
      </w:pPr>
      <w:r>
        <w:rPr>
          <w:rStyle w:val="FootnoteReference"/>
        </w:rPr>
        <w:footnoteRef/>
      </w:r>
      <w:r>
        <w:tab/>
        <w:t>ОВ С 373, 20.12.2013 г., стр. 1.</w:t>
      </w:r>
    </w:p>
  </w:footnote>
  <w:footnote w:id="15">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 w:id="16">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17">
    <w:p>
      <w:pPr>
        <w:pStyle w:val="FootnoteText"/>
        <w:rPr>
          <w:color w:val="FF0000"/>
        </w:rPr>
      </w:pPr>
      <w:r>
        <w:rPr>
          <w:rStyle w:val="FootnoteReference"/>
        </w:rPr>
        <w:footnoteRef/>
      </w:r>
      <w:r>
        <w:tab/>
      </w:r>
      <w:r>
        <w:rPr>
          <w:color w:val="FF0000"/>
        </w:rPr>
        <w:t>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06 11:44:59"/>
    <w:docVar w:name="DQCNUMB_1" w:val="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EDD0738AEB744CD589E2E1060C9B4388"/>
    <w:docVar w:name="LW_CROSSREFERENCE" w:val="&lt;UNUSED&gt;"/>
    <w:docVar w:name="LW_DocType" w:val="COM"/>
    <w:docVar w:name="LW_EMISSION" w:val="6.11.2015"/>
    <w:docVar w:name="LW_EMISSION_ISODATE" w:val="2015-11-06"/>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53"/>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u1079?\u1072?\u1103?\u1074?\u1083?\u1077?\u1085?\u1080?\u1077? \u1086?\u1090? \u1060?\u1080?\u1085?\u1083?\u1072?\u1085?\u1076?\u1080?\u1103? \u8212? EGF/2015/005 FI/\u1082?\u1086?\u1084?\u1087?\u1102?\u1090?\u1098?\u1088?\u1085?\u1086? \u1087?\u1088?\u1086?\u1075?\u1088?\u1072?\u1084?\u1080?\u1088?\u1072?\u1085?\u1077?)"/>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104">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309286207">
      <w:bodyDiv w:val="1"/>
      <w:marLeft w:val="0"/>
      <w:marRight w:val="0"/>
      <w:marTop w:val="0"/>
      <w:marBottom w:val="0"/>
      <w:divBdr>
        <w:top w:val="none" w:sz="0" w:space="0" w:color="auto"/>
        <w:left w:val="none" w:sz="0" w:space="0" w:color="auto"/>
        <w:bottom w:val="none" w:sz="0" w:space="0" w:color="auto"/>
        <w:right w:val="none" w:sz="0" w:space="0" w:color="auto"/>
      </w:divBdr>
    </w:div>
    <w:div w:id="351273137">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58634589">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837890710">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213083387">
      <w:bodyDiv w:val="1"/>
      <w:marLeft w:val="0"/>
      <w:marRight w:val="0"/>
      <w:marTop w:val="0"/>
      <w:marBottom w:val="0"/>
      <w:divBdr>
        <w:top w:val="none" w:sz="0" w:space="0" w:color="auto"/>
        <w:left w:val="none" w:sz="0" w:space="0" w:color="auto"/>
        <w:bottom w:val="none" w:sz="0" w:space="0" w:color="auto"/>
        <w:right w:val="none" w:sz="0" w:space="0" w:color="auto"/>
      </w:divBdr>
    </w:div>
    <w:div w:id="1398168347">
      <w:bodyDiv w:val="1"/>
      <w:marLeft w:val="0"/>
      <w:marRight w:val="0"/>
      <w:marTop w:val="0"/>
      <w:marBottom w:val="0"/>
      <w:divBdr>
        <w:top w:val="none" w:sz="0" w:space="0" w:color="auto"/>
        <w:left w:val="none" w:sz="0" w:space="0" w:color="auto"/>
        <w:bottom w:val="none" w:sz="0" w:space="0" w:color="auto"/>
        <w:right w:val="none" w:sz="0" w:space="0" w:color="auto"/>
      </w:divBdr>
    </w:div>
    <w:div w:id="1402680381">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687294571">
      <w:bodyDiv w:val="1"/>
      <w:marLeft w:val="0"/>
      <w:marRight w:val="0"/>
      <w:marTop w:val="0"/>
      <w:marBottom w:val="0"/>
      <w:divBdr>
        <w:top w:val="none" w:sz="0" w:space="0" w:color="auto"/>
        <w:left w:val="none" w:sz="0" w:space="0" w:color="auto"/>
        <w:bottom w:val="none" w:sz="0" w:space="0" w:color="auto"/>
        <w:right w:val="none" w:sz="0" w:space="0" w:color="auto"/>
      </w:divBdr>
    </w:div>
    <w:div w:id="21043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510F-E9E6-4FC4-8E23-F100279F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5005</Words>
  <Characters>28032</Characters>
  <Application>Microsoft Office Word</Application>
  <DocSecurity>0</DocSecurity>
  <Lines>683</Lines>
  <Paragraphs>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2015-10-08T12:40:00Z</cp:lastPrinted>
  <dcterms:created xsi:type="dcterms:W3CDTF">2015-11-05T14:38:00Z</dcterms:created>
  <dcterms:modified xsi:type="dcterms:W3CDTF">2015-11-06T10:44:00Z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DocHome">
    <vt:i4>-401981324</vt:i4>
  </property>
  <property fmtid="{D5CDD505-2E9C-101B-9397-08002B2CF9AE}" pid="11" name="DQCStatus">
    <vt:lpwstr>Green (DQC version 03)</vt:lpwstr>
  </property>
</Properties>
</file>