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CF" w:rsidRDefault="00D27247" w:rsidP="00D2724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424C45FE94C4A9C8C66A1BB5BFE6CA3" style="width:450.75pt;height:334.5pt">
            <v:imagedata r:id="rId9" o:title=""/>
          </v:shape>
        </w:pict>
      </w:r>
    </w:p>
    <w:bookmarkEnd w:id="0"/>
    <w:p w:rsidR="001E4FCF" w:rsidRDefault="001E4FCF">
      <w:pPr>
        <w:rPr>
          <w:noProof/>
        </w:rPr>
        <w:sectPr w:rsidR="001E4FCF" w:rsidSect="00D2724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1E4FCF" w:rsidRDefault="00D27247">
      <w:pPr>
        <w:pStyle w:val="Heading1"/>
        <w:spacing w:before="0" w:after="240" w:line="240" w:lineRule="auto"/>
        <w:rPr>
          <w:rFonts w:ascii="Times New Roman" w:hAnsi="Times New Roman"/>
          <w:noProof/>
          <w:color w:val="auto"/>
          <w:sz w:val="24"/>
          <w:szCs w:val="24"/>
        </w:rPr>
      </w:pPr>
      <w:bookmarkStart w:id="1" w:name="_GoBack"/>
      <w:bookmarkEnd w:id="1"/>
      <w:r>
        <w:rPr>
          <w:rFonts w:ascii="Times New Roman" w:hAnsi="Times New Roman"/>
          <w:noProof/>
          <w:color w:val="auto"/>
          <w:sz w:val="24"/>
        </w:rPr>
        <w:lastRenderedPageBreak/>
        <w:t>I.</w:t>
      </w:r>
      <w:r>
        <w:rPr>
          <w:noProof/>
        </w:rPr>
        <w:tab/>
      </w:r>
      <w:r>
        <w:rPr>
          <w:rFonts w:ascii="Times New Roman" w:hAnsi="Times New Roman"/>
          <w:noProof/>
          <w:color w:val="auto"/>
          <w:sz w:val="24"/>
        </w:rPr>
        <w:t>Въведение</w:t>
      </w:r>
    </w:p>
    <w:p w:rsidR="001E4FCF" w:rsidRDefault="00D27247">
      <w:pPr>
        <w:spacing w:line="240" w:lineRule="auto"/>
        <w:rPr>
          <w:noProof/>
          <w:szCs w:val="24"/>
        </w:rPr>
      </w:pPr>
      <w:r>
        <w:rPr>
          <w:noProof/>
        </w:rPr>
        <w:t>В Регламент (ЕО) № 539/2001 на Съвета от 15 март 2001 г.</w:t>
      </w:r>
      <w:r>
        <w:rPr>
          <w:rStyle w:val="FootnoteReference"/>
          <w:noProof/>
        </w:rPr>
        <w:footnoteReference w:id="1"/>
      </w:r>
      <w:r>
        <w:rPr>
          <w:noProof/>
        </w:rPr>
        <w:t xml:space="preserve">, изменен с Регламент (ЕС) </w:t>
      </w:r>
      <w:r>
        <w:rPr>
          <w:noProof/>
        </w:rPr>
        <w:t>№ 1289/2013 на Европейския парламент и на Съвета от 11 декември 2013 г.</w:t>
      </w:r>
      <w:r>
        <w:rPr>
          <w:rStyle w:val="FootnoteReference"/>
          <w:noProof/>
        </w:rPr>
        <w:footnoteReference w:id="2"/>
      </w:r>
      <w:r>
        <w:rPr>
          <w:noProof/>
        </w:rPr>
        <w:t>, е предвиден преработен механизъм за реципрочност в случай че трета държава, от чиито граждани не се изисква да притежават виза за пътуване в ЕС, поддържа или въвежда изискване за виз</w:t>
      </w:r>
      <w:r>
        <w:rPr>
          <w:noProof/>
        </w:rPr>
        <w:t>а за гражданите на една или повече държави членки. Съгласно този механизъм, в рамките на шест месеца от датата на публикуване на нотификацията на дадена държава членка за липсата на реципрочност</w:t>
      </w:r>
      <w:r>
        <w:rPr>
          <w:rStyle w:val="FootnoteReference"/>
          <w:noProof/>
        </w:rPr>
        <w:footnoteReference w:id="3"/>
      </w:r>
      <w:r>
        <w:rPr>
          <w:noProof/>
        </w:rPr>
        <w:t>, а след това на редовни интервали от не повече от шест месец</w:t>
      </w:r>
      <w:r>
        <w:rPr>
          <w:noProof/>
        </w:rPr>
        <w:t>а, Комисията трябва или да приеме акт за изпълнение, с който временно се суспендира прилагането на освобождаването от изискването за виза за някои категории граждани на съответната трета държава за срок до шест месеца, или представя доклад с оценка на поло</w:t>
      </w:r>
      <w:r>
        <w:rPr>
          <w:noProof/>
        </w:rPr>
        <w:t>жението, в който посочва основанията за своето решение да не суспендира прилагането на това освобождаване. В съответствие с член 1, параграф 4, буква е) от Регламент (ЕО) № 539/2001 на Съвета, ако в рамките на 24 месеца от датата на публикуване на нотифика</w:t>
      </w:r>
      <w:r>
        <w:rPr>
          <w:noProof/>
        </w:rPr>
        <w:t>цията от съответната държава членка (или държави членки) тази трета държава не отмени изискването за виза, Комисията ще приеме делегиран акт за временно спиране за срок от 12 месеца на освобождаването от изискване за виза за гражданите на тази трета държав</w:t>
      </w:r>
      <w:r>
        <w:rPr>
          <w:noProof/>
        </w:rPr>
        <w:t>а.</w:t>
      </w:r>
    </w:p>
    <w:p w:rsidR="001E4FCF" w:rsidRDefault="00D27247">
      <w:pPr>
        <w:spacing w:line="240" w:lineRule="auto"/>
        <w:rPr>
          <w:noProof/>
          <w:szCs w:val="24"/>
        </w:rPr>
      </w:pPr>
      <w:r>
        <w:rPr>
          <w:noProof/>
        </w:rPr>
        <w:t>От въвеждането на този механизъм Комисията, съответните държави членки и засегнатите трети държави поддържат тристранни и двустранни контакти, за да определят практическите действия, които биха довели до постигането на пълна визова реципрочност възможно</w:t>
      </w:r>
      <w:r>
        <w:rPr>
          <w:noProof/>
        </w:rPr>
        <w:t xml:space="preserve"> най-скоро.</w:t>
      </w:r>
    </w:p>
    <w:p w:rsidR="001E4FCF" w:rsidRDefault="00D27247">
      <w:pPr>
        <w:spacing w:line="240" w:lineRule="auto"/>
        <w:rPr>
          <w:noProof/>
          <w:szCs w:val="24"/>
        </w:rPr>
      </w:pPr>
      <w:r>
        <w:rPr>
          <w:noProof/>
        </w:rPr>
        <w:t>В два предходни доклада на Комисията, приети съответно на 10 октомври 2014 г.</w:t>
      </w:r>
      <w:r>
        <w:rPr>
          <w:rStyle w:val="FootnoteReference"/>
          <w:noProof/>
        </w:rPr>
        <w:footnoteReference w:id="4"/>
      </w:r>
      <w:r>
        <w:rPr>
          <w:noProof/>
        </w:rPr>
        <w:t xml:space="preserve"> (наричан оттук нататък „първия доклад“) и на 22 април 2015 г.</w:t>
      </w:r>
      <w:r>
        <w:rPr>
          <w:rStyle w:val="FootnoteReference"/>
          <w:noProof/>
        </w:rPr>
        <w:footnoteReference w:id="5"/>
      </w:r>
      <w:r>
        <w:rPr>
          <w:noProof/>
        </w:rPr>
        <w:t xml:space="preserve"> ( „втория доклад“), се съдържа оценка на нотификациите, направени от държавите членки, описва се пости</w:t>
      </w:r>
      <w:r>
        <w:rPr>
          <w:noProof/>
        </w:rPr>
        <w:t>гнатият напредък в тристранната рамка и се изтъкват въпросите, които се нуждаят от допълнително внимание.</w:t>
      </w:r>
    </w:p>
    <w:p w:rsidR="001E4FCF" w:rsidRDefault="00D27247">
      <w:pPr>
        <w:spacing w:line="240" w:lineRule="auto"/>
        <w:rPr>
          <w:noProof/>
          <w:szCs w:val="24"/>
        </w:rPr>
      </w:pPr>
      <w:r>
        <w:rPr>
          <w:noProof/>
        </w:rPr>
        <w:t>Като се отчита продължаващото конструктивно участие и ангажираността на всички страни, конкретните стъпки, предприети по-специално в някои от съответн</w:t>
      </w:r>
      <w:r>
        <w:rPr>
          <w:noProof/>
        </w:rPr>
        <w:t>ите трети държави, както и фактът, че нито една от засегнатите държави членки не е поискала от Комисията да суспендира прилагането на освобождаването от изискване за виза, Комисията реши да представи трети доклад и да не приема мерки за суспендиране.</w:t>
      </w:r>
    </w:p>
    <w:p w:rsidR="001E4FCF" w:rsidRDefault="00D27247">
      <w:pPr>
        <w:pStyle w:val="Text1"/>
        <w:spacing w:after="240"/>
        <w:ind w:left="0"/>
        <w:rPr>
          <w:noProof/>
        </w:rPr>
      </w:pPr>
      <w:r>
        <w:rPr>
          <w:noProof/>
        </w:rPr>
        <w:t>В нас</w:t>
      </w:r>
      <w:r>
        <w:rPr>
          <w:noProof/>
        </w:rPr>
        <w:t>тоящия доклад се прави преглед на промените, настъпили след 22 април 2015 г.</w:t>
      </w:r>
      <w:r>
        <w:rPr>
          <w:rStyle w:val="FootnoteReference"/>
          <w:noProof/>
        </w:rPr>
        <w:footnoteReference w:id="6"/>
      </w:r>
    </w:p>
    <w:p w:rsidR="001E4FCF" w:rsidRDefault="00D27247">
      <w:pPr>
        <w:keepNext/>
        <w:spacing w:before="0" w:after="240" w:line="240" w:lineRule="auto"/>
        <w:outlineLvl w:val="0"/>
        <w:rPr>
          <w:rFonts w:eastAsia="Times New Roman"/>
          <w:b/>
          <w:bCs/>
          <w:noProof/>
          <w:kern w:val="32"/>
          <w:szCs w:val="24"/>
        </w:rPr>
      </w:pPr>
      <w:r>
        <w:rPr>
          <w:b/>
          <w:noProof/>
          <w:kern w:val="32"/>
        </w:rPr>
        <w:lastRenderedPageBreak/>
        <w:t>II.</w:t>
      </w:r>
      <w:r>
        <w:rPr>
          <w:noProof/>
        </w:rPr>
        <w:tab/>
      </w:r>
      <w:r>
        <w:rPr>
          <w:b/>
          <w:noProof/>
          <w:kern w:val="32"/>
        </w:rPr>
        <w:t>Стъпки, предприети след приемането на втория доклад</w:t>
      </w:r>
    </w:p>
    <w:p w:rsidR="001E4FCF" w:rsidRDefault="00D27247">
      <w:pPr>
        <w:keepNext/>
        <w:spacing w:before="0" w:after="240" w:line="240" w:lineRule="auto"/>
        <w:outlineLvl w:val="1"/>
        <w:rPr>
          <w:rFonts w:eastAsia="Times New Roman"/>
          <w:b/>
          <w:bCs/>
          <w:iCs/>
          <w:noProof/>
          <w:szCs w:val="24"/>
        </w:rPr>
      </w:pPr>
      <w:r>
        <w:rPr>
          <w:b/>
          <w:noProof/>
        </w:rPr>
        <w:t>а</w:t>
      </w:r>
      <w:r w:rsidRPr="00D27247">
        <w:rPr>
          <w:b/>
          <w:noProof/>
        </w:rPr>
        <w:t>.</w:t>
      </w:r>
      <w:r>
        <w:rPr>
          <w:noProof/>
        </w:rPr>
        <w:tab/>
      </w:r>
      <w:r>
        <w:rPr>
          <w:b/>
          <w:noProof/>
        </w:rPr>
        <w:t>Оценка на положението за всяка от третите държави, за които Комисията е получила нотификация</w:t>
      </w:r>
    </w:p>
    <w:p w:rsidR="001E4FCF" w:rsidRDefault="00D27247">
      <w:pPr>
        <w:keepNext/>
        <w:spacing w:before="0" w:line="240" w:lineRule="auto"/>
        <w:ind w:left="1440" w:hanging="720"/>
        <w:outlineLvl w:val="2"/>
        <w:rPr>
          <w:rFonts w:eastAsia="Times New Roman"/>
          <w:b/>
          <w:bCs/>
          <w:iCs/>
          <w:noProof/>
          <w:szCs w:val="24"/>
        </w:rPr>
      </w:pPr>
      <w:r>
        <w:rPr>
          <w:b/>
          <w:noProof/>
        </w:rPr>
        <w:t xml:space="preserve">i. Австралия (нотификация </w:t>
      </w:r>
      <w:r>
        <w:rPr>
          <w:b/>
          <w:noProof/>
        </w:rPr>
        <w:t>от  България, Румъния)</w:t>
      </w:r>
    </w:p>
    <w:p w:rsidR="001E4FCF" w:rsidRDefault="00D27247">
      <w:pPr>
        <w:spacing w:line="240" w:lineRule="auto"/>
        <w:rPr>
          <w:noProof/>
          <w:szCs w:val="24"/>
        </w:rPr>
      </w:pPr>
      <w:r>
        <w:rPr>
          <w:noProof/>
        </w:rPr>
        <w:t>България и Румъния подадоха нотификации относно системата „</w:t>
      </w:r>
      <w:r>
        <w:rPr>
          <w:noProof/>
          <w:u w:val="single"/>
        </w:rPr>
        <w:t>eVisitor</w:t>
      </w:r>
      <w:r>
        <w:rPr>
          <w:noProof/>
        </w:rPr>
        <w:t>“, в които посочиха, че голям брой заявления от страна на техни граждани се обработват ръчно, а не чрез механизма за автоматично одобряване („autogrant“)</w:t>
      </w:r>
      <w:r>
        <w:rPr>
          <w:rStyle w:val="FootnoteReference"/>
          <w:noProof/>
        </w:rPr>
        <w:footnoteReference w:id="7"/>
      </w:r>
      <w:r>
        <w:rPr>
          <w:noProof/>
        </w:rPr>
        <w:t>. Във втория</w:t>
      </w:r>
      <w:r>
        <w:rPr>
          <w:noProof/>
        </w:rPr>
        <w:t xml:space="preserve"> доклад Комисията заключи, че </w:t>
      </w:r>
      <w:r>
        <w:rPr>
          <w:i/>
          <w:noProof/>
        </w:rPr>
        <w:t>„ръчната обработка в рамките на австралийската система „eVisitor“ не следва да се счита за равносилна на шенгенските процедури за кандидатстване за визи и ето защо няма да бъде обхваната от механизма за реципрочност“</w:t>
      </w:r>
      <w:r>
        <w:rPr>
          <w:noProof/>
        </w:rPr>
        <w:t>. В същото</w:t>
      </w:r>
      <w:r>
        <w:rPr>
          <w:noProof/>
        </w:rPr>
        <w:t xml:space="preserve"> време Комисията се ангажира да следи прилагането на системата, и по-специално процедурата за „ръчна обработка“. По време на заседанието на Комитета по визова реципрочност и суспендиране на 21 май 2015 г., както и при други случаи, Румъния изрази несъгласи</w:t>
      </w:r>
      <w:r>
        <w:rPr>
          <w:noProof/>
        </w:rPr>
        <w:t>ето си с направената от Комисията оценка на системата „eVisitor“, но не предостави никакви нови, съществени аргументи, които биха накарали Комисията да промени становището си.</w:t>
      </w:r>
    </w:p>
    <w:p w:rsidR="001E4FCF" w:rsidRDefault="00D27247">
      <w:pPr>
        <w:spacing w:line="240" w:lineRule="auto"/>
        <w:rPr>
          <w:noProof/>
          <w:szCs w:val="20"/>
        </w:rPr>
      </w:pPr>
      <w:r>
        <w:rPr>
          <w:noProof/>
        </w:rPr>
        <w:t>Комисията ще продължи да наблюдава прилагането на системата чрез редовни контакт</w:t>
      </w:r>
      <w:r>
        <w:rPr>
          <w:noProof/>
        </w:rPr>
        <w:t>и с органите на Австралия. Ако системата бъде променена по начин, който би довел до по-големи трудности за гражданите на държавите членки, може да се наложи Комисията да преразгледа позицията си.</w:t>
      </w:r>
    </w:p>
    <w:p w:rsidR="001E4FCF" w:rsidRDefault="00D27247">
      <w:pPr>
        <w:spacing w:line="240" w:lineRule="auto"/>
        <w:rPr>
          <w:noProof/>
          <w:szCs w:val="20"/>
        </w:rPr>
      </w:pPr>
      <w:r>
        <w:rPr>
          <w:noProof/>
        </w:rPr>
        <w:t>Както бе отбелязано във втория доклад, през октомври 2014 г.</w:t>
      </w:r>
      <w:r>
        <w:rPr>
          <w:noProof/>
        </w:rPr>
        <w:t xml:space="preserve"> Австралия премахна </w:t>
      </w:r>
      <w:r>
        <w:rPr>
          <w:noProof/>
          <w:u w:val="single"/>
        </w:rPr>
        <w:t>изискването за виза за летищен транзит</w:t>
      </w:r>
      <w:r>
        <w:rPr>
          <w:noProof/>
        </w:rPr>
        <w:t xml:space="preserve"> за не повече от 8 часа за българските граждани. На 1 юли 2015 г. Австралия уведоми Комисията, че считано от 5 юни 2015 г. за гражданите на Румъния и Хърватия се прилага режим на безвизово транзитно</w:t>
      </w:r>
      <w:r>
        <w:rPr>
          <w:noProof/>
        </w:rPr>
        <w:t xml:space="preserve"> преминаване.  Уебсайтът на Министерството на имиграцията и граничната защита</w:t>
      </w:r>
      <w:r>
        <w:rPr>
          <w:rStyle w:val="FootnoteReference"/>
          <w:noProof/>
        </w:rPr>
        <w:footnoteReference w:id="8"/>
      </w:r>
      <w:r>
        <w:rPr>
          <w:noProof/>
        </w:rPr>
        <w:t xml:space="preserve"> и уебсайтът TimaticWeb</w:t>
      </w:r>
      <w:r>
        <w:rPr>
          <w:rStyle w:val="FootnoteReference"/>
          <w:noProof/>
        </w:rPr>
        <w:footnoteReference w:id="9"/>
      </w:r>
      <w:r>
        <w:rPr>
          <w:noProof/>
        </w:rPr>
        <w:t xml:space="preserve"> на Международната асоциация за въздушен транспорт (IATA) бяха актуализирани, така че да отразят това.</w:t>
      </w:r>
    </w:p>
    <w:p w:rsidR="001E4FCF" w:rsidRDefault="00D27247">
      <w:pPr>
        <w:spacing w:after="240" w:line="240" w:lineRule="auto"/>
        <w:rPr>
          <w:noProof/>
          <w:szCs w:val="20"/>
        </w:rPr>
      </w:pPr>
      <w:r>
        <w:rPr>
          <w:noProof/>
        </w:rPr>
        <w:t xml:space="preserve">Комисията изразява задоволство, че висящият въпрос </w:t>
      </w:r>
      <w:r>
        <w:rPr>
          <w:noProof/>
        </w:rPr>
        <w:t>за липсата на реципрочност с Австралия беше решен. Поради това, както и поради липсата на други съществени въпроси, които да бъдат разгледани на този етап, през периода, обхванат от настоящия доклад, Комисията не свика тристранна среща с Австралия.</w:t>
      </w:r>
    </w:p>
    <w:p w:rsidR="001E4FCF" w:rsidRDefault="00D27247">
      <w:pPr>
        <w:keepNext/>
        <w:spacing w:before="0" w:line="240" w:lineRule="auto"/>
        <w:ind w:left="1440"/>
        <w:outlineLvl w:val="2"/>
        <w:rPr>
          <w:rFonts w:eastAsia="Times New Roman"/>
          <w:b/>
          <w:bCs/>
          <w:iCs/>
          <w:noProof/>
          <w:szCs w:val="24"/>
        </w:rPr>
      </w:pPr>
      <w:r>
        <w:rPr>
          <w:b/>
          <w:noProof/>
        </w:rPr>
        <w:t>ii. Бру</w:t>
      </w:r>
      <w:r>
        <w:rPr>
          <w:b/>
          <w:noProof/>
        </w:rPr>
        <w:t>ней Даруссалам (нотификация от  Хърватия)</w:t>
      </w:r>
    </w:p>
    <w:p w:rsidR="001E4FCF" w:rsidRDefault="00D27247">
      <w:pPr>
        <w:spacing w:line="240" w:lineRule="auto"/>
        <w:rPr>
          <w:noProof/>
          <w:szCs w:val="24"/>
        </w:rPr>
      </w:pPr>
      <w:r>
        <w:rPr>
          <w:noProof/>
        </w:rPr>
        <w:t>Освен изискването за виза, наложено от Бруней за гражданите на Хърватия, в първия доклад Комисията отбеляза също така, че Бруней ограничава продължителността на безвизовия престой за гражданите на Лихтенщайн до мак</w:t>
      </w:r>
      <w:r>
        <w:rPr>
          <w:noProof/>
        </w:rPr>
        <w:t>симум 14 дни. На 11 февруари 2015 г. органите на Бруней уведомиха Комисията, че гражданите на Лихтенщайн могат да пребивават без виза за период до 90 дни.</w:t>
      </w:r>
    </w:p>
    <w:p w:rsidR="001E4FCF" w:rsidRDefault="00D27247">
      <w:pPr>
        <w:spacing w:line="240" w:lineRule="auto"/>
        <w:rPr>
          <w:noProof/>
          <w:szCs w:val="24"/>
        </w:rPr>
      </w:pPr>
      <w:r>
        <w:rPr>
          <w:noProof/>
        </w:rPr>
        <w:t>По отношение на Хърватия Мисията на Бруней към ЕС уведоми Комисията на 22 юни 2015 г., че хърватските</w:t>
      </w:r>
      <w:r>
        <w:rPr>
          <w:noProof/>
        </w:rPr>
        <w:t xml:space="preserve"> граждани могат да пребивават без виза за период до 90 дни, като посочи, че „</w:t>
      </w:r>
      <w:r>
        <w:rPr>
          <w:i/>
          <w:noProof/>
        </w:rPr>
        <w:t>датата на прилагане на освобождаването от изискване за виза [...] ще влезе в сила след постигането на споразумение между двете страни</w:t>
      </w:r>
      <w:r>
        <w:rPr>
          <w:noProof/>
        </w:rPr>
        <w:t>“. Според уебсайта на Министерството на външни</w:t>
      </w:r>
      <w:r>
        <w:rPr>
          <w:noProof/>
        </w:rPr>
        <w:t>те работи на Бруней, както и уебсайта TimaticWeb на IATA, за гражданите на Лихтенщайн все още не се изисква виза само период до 14 дни, а гражданите на Хърватия все още подлежат на изискване за виза.</w:t>
      </w:r>
    </w:p>
    <w:p w:rsidR="001E4FCF" w:rsidRDefault="00D27247">
      <w:pPr>
        <w:spacing w:line="240" w:lineRule="auto"/>
        <w:rPr>
          <w:rFonts w:eastAsia="Times New Roman"/>
          <w:b/>
          <w:bCs/>
          <w:iCs/>
          <w:noProof/>
          <w:szCs w:val="24"/>
        </w:rPr>
      </w:pPr>
      <w:r>
        <w:rPr>
          <w:noProof/>
        </w:rPr>
        <w:t>На 4 август 2015 г. Комисията отново се свърза с Мисията</w:t>
      </w:r>
      <w:r>
        <w:rPr>
          <w:noProof/>
        </w:rPr>
        <w:t xml:space="preserve"> на Бруней към ЕС, за да разясни, че сключването на споразумения за отмяна на визовия режим е от изключителната компетентност на ЕС. Отделните държави членки не са в състояние да договарят и подписват такива споразумения. Освен това държавите членки (включ</w:t>
      </w:r>
      <w:r>
        <w:rPr>
          <w:noProof/>
        </w:rPr>
        <w:t>ително Хърватия), по силата на Регламент (ЕО) № 539/2001, вече са премахнали изискването за виза за гражданите на Бруней. Следователно не се налага да бъде сключено споразумение за премахване на визите.</w:t>
      </w:r>
    </w:p>
    <w:p w:rsidR="001E4FCF" w:rsidRDefault="00D27247">
      <w:pPr>
        <w:spacing w:before="0" w:after="240" w:line="240" w:lineRule="auto"/>
        <w:outlineLvl w:val="4"/>
        <w:rPr>
          <w:rFonts w:eastAsia="Times New Roman"/>
          <w:b/>
          <w:bCs/>
          <w:iCs/>
          <w:noProof/>
          <w:szCs w:val="24"/>
        </w:rPr>
      </w:pPr>
      <w:r>
        <w:rPr>
          <w:noProof/>
        </w:rPr>
        <w:t>Комисията изразява задоволство, че Бруней взе решение</w:t>
      </w:r>
      <w:r>
        <w:rPr>
          <w:noProof/>
        </w:rPr>
        <w:t xml:space="preserve"> за пълно освобождаване от изискването за виза за гражданите на всички държави — членки на ЕС, и асоциираните към Шенген държави. Комисията ще продължи да следи, заедно с органите на Бруней, за пълното прилагане на това освобождаване.</w:t>
      </w:r>
    </w:p>
    <w:p w:rsidR="001E4FCF" w:rsidRDefault="00D27247">
      <w:pPr>
        <w:keepNext/>
        <w:spacing w:before="0" w:line="240" w:lineRule="auto"/>
        <w:ind w:left="1440"/>
        <w:outlineLvl w:val="2"/>
        <w:rPr>
          <w:rFonts w:eastAsia="Times New Roman"/>
          <w:b/>
          <w:bCs/>
          <w:iCs/>
          <w:noProof/>
          <w:szCs w:val="24"/>
        </w:rPr>
      </w:pPr>
      <w:r>
        <w:rPr>
          <w:b/>
          <w:noProof/>
        </w:rPr>
        <w:t>iii. Канада (нотифика</w:t>
      </w:r>
      <w:r>
        <w:rPr>
          <w:b/>
          <w:noProof/>
        </w:rPr>
        <w:t>ция от България, Румъния)</w:t>
      </w:r>
    </w:p>
    <w:p w:rsidR="001E4FCF" w:rsidRDefault="00D27247">
      <w:pPr>
        <w:spacing w:line="240" w:lineRule="auto"/>
        <w:rPr>
          <w:noProof/>
          <w:szCs w:val="24"/>
        </w:rPr>
      </w:pPr>
      <w:r>
        <w:rPr>
          <w:noProof/>
        </w:rPr>
        <w:t>На 22 юни 2015 г. се проведе третата тристранна среща, по време на която Канада изтъкна две важни мерки, предприети от нейното правителство.</w:t>
      </w:r>
    </w:p>
    <w:p w:rsidR="001E4FCF" w:rsidRDefault="00D27247">
      <w:pPr>
        <w:spacing w:line="240" w:lineRule="auto"/>
        <w:rPr>
          <w:noProof/>
        </w:rPr>
      </w:pPr>
      <w:r>
        <w:rPr>
          <w:noProof/>
        </w:rPr>
        <w:t>Първо, Канада реши да разшири прилагането на бъдещата система за електронно разрешение за</w:t>
      </w:r>
      <w:r>
        <w:rPr>
          <w:noProof/>
        </w:rPr>
        <w:t xml:space="preserve"> пътуване (Electronic Travel Authorization - eTA), за да включи и българските и румънските граждани, които са пътували с виза до Канада през последните 10 години или които притежават валидна виза с неимигрантска цел за САЩ („нискорискови пътници“). Система</w:t>
      </w:r>
      <w:r>
        <w:rPr>
          <w:noProof/>
        </w:rPr>
        <w:t>та ще се прилага за тези групи от пътници след 15 март 2016 г., когато тя бъде въведена като задължително изискване за пътниците, които са освободени от изискването на виза, въпреки че все още не е определена точна дата. Канада предвижда, че след прилагане</w:t>
      </w:r>
      <w:r>
        <w:rPr>
          <w:noProof/>
        </w:rPr>
        <w:t>то на тази мярка за „значителен брой“ български и румънски граждани вече няма да се изисква виза, въпреки че не бяха предоставени данни за очаквания брой.</w:t>
      </w:r>
    </w:p>
    <w:p w:rsidR="001E4FCF" w:rsidRDefault="00D27247">
      <w:pPr>
        <w:spacing w:line="240" w:lineRule="auto"/>
        <w:rPr>
          <w:noProof/>
        </w:rPr>
      </w:pPr>
      <w:r>
        <w:rPr>
          <w:noProof/>
        </w:rPr>
        <w:t xml:space="preserve">Второ, Канада обяви също така „временна“ мярка (‘CAN+’), която ще бъде въведена след парламентарните </w:t>
      </w:r>
      <w:r>
        <w:rPr>
          <w:noProof/>
        </w:rPr>
        <w:t>избори в Канада на 19 октомври 2015 г. и която цели улесняване на процедурите за същите категории граждани на България и Румъния. До задължителното въвеждане на посочената по-горе система eTA по заявленията за издаване на визи от български и румънски гражд</w:t>
      </w:r>
      <w:r>
        <w:rPr>
          <w:noProof/>
        </w:rPr>
        <w:t>ани ще бъде взимано решение в рамките на ускорена процедура (за по-малко от 5 дни) и кандидатите ще бъдат освободени от изискването да представят удостоверителни документи за финансови средства. България и Румъния смятат тези мерки за положителни стъпки, н</w:t>
      </w:r>
      <w:r>
        <w:rPr>
          <w:noProof/>
        </w:rPr>
        <w:t>о подчертаха, че основната цел продължава да бъде постигането на безусловно освобождаване от изискването за виза на всички граждани на ЕС.</w:t>
      </w:r>
    </w:p>
    <w:p w:rsidR="001E4FCF" w:rsidRDefault="00D27247">
      <w:pPr>
        <w:spacing w:line="240" w:lineRule="auto"/>
        <w:rPr>
          <w:noProof/>
        </w:rPr>
      </w:pPr>
      <w:r>
        <w:rPr>
          <w:noProof/>
        </w:rPr>
        <w:t>Все още представляват проблем процентът на нарушаване на имиграционните закони и процентът на отказите за издаване на</w:t>
      </w:r>
      <w:r>
        <w:rPr>
          <w:noProof/>
        </w:rPr>
        <w:t xml:space="preserve"> виза — два от основните критерии съгласно канадската визова политика. По-специално, процентът на отказите за издаване на виза далеч надхвърля прага от 4 % (в рамките на 3 години). Както за България, така и за Румъния средната стойност за периода 2012—2014</w:t>
      </w:r>
      <w:r>
        <w:rPr>
          <w:noProof/>
        </w:rPr>
        <w:t> г. е над 15 %. Що се отнася до прага, свързан с процента на нарушаване на имиграционните закони (средна стойност от по-малко от 3 % за 3 години), и двете държави са отбелязали напредък: за периода 2012—2014 г. за България средният процент е малко над 5 %,</w:t>
      </w:r>
      <w:r>
        <w:rPr>
          <w:noProof/>
        </w:rPr>
        <w:t xml:space="preserve"> а за Румъния е 3,9 %. Въпреки това, за нито една от двете страни е вероятно да достигне тези прагове в близко бъдеще. Броят на молбите за убежище е много малък. Това изглежда не е проблем, дори в случая на България — единствената държава членка, която все</w:t>
      </w:r>
      <w:r>
        <w:rPr>
          <w:noProof/>
        </w:rPr>
        <w:t xml:space="preserve"> още не е включена в списъка с „Определени държави на произход (Designated Countries of Origin)“</w:t>
      </w:r>
      <w:r>
        <w:rPr>
          <w:rStyle w:val="FootnoteReference"/>
          <w:noProof/>
        </w:rPr>
        <w:footnoteReference w:id="10"/>
      </w:r>
      <w:r>
        <w:rPr>
          <w:noProof/>
        </w:rPr>
        <w:t xml:space="preserve">. </w:t>
      </w:r>
    </w:p>
    <w:p w:rsidR="001E4FCF" w:rsidRDefault="00D27247">
      <w:pPr>
        <w:spacing w:line="240" w:lineRule="auto"/>
        <w:rPr>
          <w:noProof/>
        </w:rPr>
      </w:pPr>
      <w:r>
        <w:rPr>
          <w:noProof/>
        </w:rPr>
        <w:t>Продължиха да се провеждат двустранни срещи както в столиците на държавите членки, така и в Отава. Двете държави членки се ангажираха да продължат да работя</w:t>
      </w:r>
      <w:r>
        <w:rPr>
          <w:noProof/>
        </w:rPr>
        <w:t>т, за да се приближат в по-голяма степен към посочените прагове. Освен това Румъния докладва за стартираната на 7 май 2015 г. кампания за повишаване на осведомеността, която, наред с другото, включва изпращането на текстови съобщения, с които румънските гр</w:t>
      </w:r>
      <w:r>
        <w:rPr>
          <w:noProof/>
        </w:rPr>
        <w:t>аждани, които влизат на територията на Канада, се съветват да не надхвърлят разрешения им срок на престой, да не работят без разрешение и да спазват канадското законодателство</w:t>
      </w:r>
      <w:r>
        <w:rPr>
          <w:rStyle w:val="FootnoteReference"/>
          <w:noProof/>
        </w:rPr>
        <w:footnoteReference w:id="11"/>
      </w:r>
      <w:r>
        <w:rPr>
          <w:noProof/>
        </w:rPr>
        <w:t>. По време на тристранната среща Канада потвърди своя интерес да бъде редовно ос</w:t>
      </w:r>
      <w:r>
        <w:rPr>
          <w:noProof/>
        </w:rPr>
        <w:t>ведомявана от България и Румъния по теми, свързани с борбата с корупцията, реформата на съдебната система и интеграцията на ромите.</w:t>
      </w:r>
    </w:p>
    <w:p w:rsidR="001E4FCF" w:rsidRDefault="00D27247">
      <w:pPr>
        <w:spacing w:line="240" w:lineRule="auto"/>
        <w:ind w:right="-6"/>
        <w:rPr>
          <w:noProof/>
        </w:rPr>
      </w:pPr>
      <w:r>
        <w:rPr>
          <w:noProof/>
        </w:rPr>
        <w:t>Във връзка с въвеждането от страна на Канада на системата eTA</w:t>
      </w:r>
      <w:r>
        <w:rPr>
          <w:rStyle w:val="FootnoteReference"/>
          <w:noProof/>
        </w:rPr>
        <w:footnoteReference w:id="12"/>
      </w:r>
      <w:r>
        <w:rPr>
          <w:noProof/>
        </w:rPr>
        <w:t>, която ще се прилага за всички пътници, освободени от изисква</w:t>
      </w:r>
      <w:r>
        <w:rPr>
          <w:noProof/>
        </w:rPr>
        <w:t>нето на виза, Канада потвърди, че системата ще бъде задължителна от 15 март 2016 г. Пътниците ще трябва да се регистрират по електронен път, като разрешението по принцип ще бъде валидно за период от пет години и ще струва 7 канадски долара. Изчислено е, че</w:t>
      </w:r>
      <w:r>
        <w:rPr>
          <w:noProof/>
        </w:rPr>
        <w:t xml:space="preserve"> около 94 % от разрешенията ще бъдат обработвани в рамките на няколко минути след автоматизирани проверки в съответните бази данни. Останалите заявления ще бъдат проверявани ръчно (предимно за да се установи съответствие между името, пола и номера на паспо</w:t>
      </w:r>
      <w:r>
        <w:rPr>
          <w:noProof/>
        </w:rPr>
        <w:t>рта). На около 1 % от кандидатите могат да бъдат зададени допълнителни въпроси. В тези случаи досието ще бъде прехвърлено по електронен път към съответното консулство, което да покани кандидата на интервю и/или да изиска определени  удостоверителни докумен</w:t>
      </w:r>
      <w:r>
        <w:rPr>
          <w:noProof/>
        </w:rPr>
        <w:t xml:space="preserve">ти. Отказите никога няма да бъдат автоматично обработвани. Ако бъде отказано разрешение, кандидатстването за виза не би било алтернатива, тъй като отказът следва по принцип да се основава на критериите за недопустимост за влизане на територията на Канада. </w:t>
      </w:r>
      <w:r>
        <w:rPr>
          <w:noProof/>
        </w:rPr>
        <w:t>Дадено лице, което отговаря на критериите за недопустимост, може обаче да кандидатства за временно разрешение за пребиваване като алтернативен начин за влизане. д. По отношение на аспектите, свързани със защитата на данните, Канада се ангажира да предостав</w:t>
      </w:r>
      <w:r>
        <w:rPr>
          <w:noProof/>
        </w:rPr>
        <w:t>и допълнителна информация. От 1 август 2015 г. пътниците, освободени от изискването за виза, могат да кандидатстват на доброволна основа за електронно разрешение за пътуване в системата eTA.</w:t>
      </w:r>
    </w:p>
    <w:p w:rsidR="001E4FCF" w:rsidRDefault="00D27247">
      <w:pPr>
        <w:spacing w:line="240" w:lineRule="auto"/>
        <w:rPr>
          <w:noProof/>
        </w:rPr>
      </w:pPr>
      <w:r>
        <w:rPr>
          <w:noProof/>
        </w:rPr>
        <w:t xml:space="preserve">Комисията ще следи отблизо прилагането на системата и ще прикани </w:t>
      </w:r>
      <w:r>
        <w:rPr>
          <w:noProof/>
        </w:rPr>
        <w:t xml:space="preserve">канадските органи, при довършване на работата по eTA, да имат предвид, че системата следва да създава възможно най-малка допълнителна тежест за гражданите на ЕС в сравнение с настоящия безвизов режим на пътуване. В този контекст следва да се напомни, че в </w:t>
      </w:r>
      <w:r>
        <w:rPr>
          <w:noProof/>
        </w:rPr>
        <w:t>своята предварителна оценка от 2 декември 2008 г.</w:t>
      </w:r>
      <w:r>
        <w:rPr>
          <w:rStyle w:val="FootnoteReference"/>
          <w:noProof/>
        </w:rPr>
        <w:footnoteReference w:id="13"/>
      </w:r>
      <w:r>
        <w:rPr>
          <w:noProof/>
        </w:rPr>
        <w:t xml:space="preserve"> Комисията счете, че американската система ESTA (електронна система за разрешения за пътуване) не е еквивалентна на шенгенската процедура за кандидатстване за виза (т.е. не нарушава реципрочността в отмянат</w:t>
      </w:r>
      <w:r>
        <w:rPr>
          <w:noProof/>
        </w:rPr>
        <w:t>а на визовия режим).</w:t>
      </w:r>
      <w:r>
        <w:rPr>
          <w:rFonts w:ascii="TimesNewRoman" w:hAnsi="TimesNewRoman"/>
          <w:noProof/>
        </w:rPr>
        <w:t xml:space="preserve"> </w:t>
      </w:r>
      <w:r>
        <w:rPr>
          <w:noProof/>
        </w:rPr>
        <w:t xml:space="preserve">Въпреки че задължителното прилагане на eTA не може да се счита за улесняване на пътуването, следва да се отбележи, че според наличната информация канадската система eTA ще създава по-малка тежест от американската ESTA (разрешението ще </w:t>
      </w:r>
      <w:r>
        <w:rPr>
          <w:noProof/>
        </w:rPr>
        <w:t>бъде по-евтино, ще се издава с по-дълъг срок на валидност и въз основа на по-малко данни). Ето защо, без да предрешава окончателната си оценка след пълното прилагане на системата, на този етап Комисията счита, че eTA не следва да бъде обхваната от механизм</w:t>
      </w:r>
      <w:r>
        <w:rPr>
          <w:noProof/>
        </w:rPr>
        <w:t>а за реципрочност.</w:t>
      </w:r>
    </w:p>
    <w:p w:rsidR="001E4FCF" w:rsidRDefault="00D27247">
      <w:pPr>
        <w:keepNext/>
        <w:spacing w:before="0" w:line="240" w:lineRule="auto"/>
        <w:ind w:left="1440"/>
        <w:outlineLvl w:val="2"/>
        <w:rPr>
          <w:rFonts w:eastAsia="Times New Roman"/>
          <w:b/>
          <w:bCs/>
          <w:iCs/>
          <w:noProof/>
          <w:szCs w:val="24"/>
        </w:rPr>
      </w:pPr>
      <w:r>
        <w:rPr>
          <w:b/>
          <w:noProof/>
        </w:rPr>
        <w:t>iv. Япония (нотификация от Румъния)</w:t>
      </w:r>
    </w:p>
    <w:p w:rsidR="001E4FCF" w:rsidRDefault="00D27247">
      <w:pPr>
        <w:spacing w:line="240" w:lineRule="auto"/>
        <w:rPr>
          <w:noProof/>
          <w:szCs w:val="24"/>
        </w:rPr>
      </w:pPr>
      <w:r>
        <w:rPr>
          <w:noProof/>
        </w:rPr>
        <w:t xml:space="preserve">На 24 юли 2015 г. се проведе трета тристранна среща. Обсъжданията бяха насочени главно към възможното преобразуване на 31 декември 2015 г. на сегашното временно освобождаване от изискването за виза за </w:t>
      </w:r>
      <w:r>
        <w:rPr>
          <w:noProof/>
        </w:rPr>
        <w:t>румънски граждани в постоянно освобождаване, както и към въпроса относно продължаващото изискване за виза, което Япония налага за притежателите на временни румънски паспорти.</w:t>
      </w:r>
    </w:p>
    <w:p w:rsidR="001E4FCF" w:rsidRDefault="00D27247">
      <w:pPr>
        <w:spacing w:line="240" w:lineRule="auto"/>
        <w:rPr>
          <w:noProof/>
          <w:szCs w:val="24"/>
        </w:rPr>
      </w:pPr>
      <w:r>
        <w:rPr>
          <w:noProof/>
        </w:rPr>
        <w:t>Що се отнася до първата тема, всички страни разбраха, че тъй като вече се прилага</w:t>
      </w:r>
      <w:r>
        <w:rPr>
          <w:noProof/>
        </w:rPr>
        <w:t xml:space="preserve"> освобождаване от изискването за визи, макар и с временен характер, не следва да се счита, че въпросът попада в обхвата на механизма за реципрочност. Въпреки това, като се има предвид датата на изтичане на 31 декември 2015 г., беше счетено за подходящо да </w:t>
      </w:r>
      <w:r>
        <w:rPr>
          <w:noProof/>
        </w:rPr>
        <w:t>се проведе обмен на мнения по този въпрос. Румъния подчерта сериозните усилия, предприети в последните години, за да подобри съответните показатели (напр. намаляване на броя на отказите за влизане в Япония или надхвърляне на разрешения срок на престой), на</w:t>
      </w:r>
      <w:r>
        <w:rPr>
          <w:noProof/>
        </w:rPr>
        <w:t xml:space="preserve">пример чрез информационни кампании. Япония предостави актуализирана статистика (до февруари 2015 г.), която свидетелства за положителна тенденция. Въпреки това Япония не беше в състояние да каже дали временното премахване на визовия режим ще бъде удължено </w:t>
      </w:r>
      <w:r>
        <w:rPr>
          <w:noProof/>
        </w:rPr>
        <w:t>или превърнато в постоянно такова. Към момента на срещата не бяха започнали официални междуведомствени консултации.</w:t>
      </w:r>
    </w:p>
    <w:p w:rsidR="001E4FCF" w:rsidRDefault="00D27247">
      <w:pPr>
        <w:spacing w:line="240" w:lineRule="auto"/>
        <w:rPr>
          <w:noProof/>
          <w:szCs w:val="24"/>
        </w:rPr>
      </w:pPr>
      <w:r>
        <w:rPr>
          <w:noProof/>
        </w:rPr>
        <w:t>Въз основа на съответните статистически данни, предоставени от Япония, и усилията от страна на румънските органи да отговорят на японските и</w:t>
      </w:r>
      <w:r>
        <w:rPr>
          <w:noProof/>
        </w:rPr>
        <w:t>скания, Комисията очаква временното премахване на визовия режим за румънските граждани да бъде преобразувано в постоянно или най-малкото да бъде удължено за няколко години. ЕС отправи настойчиво искане към Япония да съобщи решението си достатъчно рано, так</w:t>
      </w:r>
      <w:r>
        <w:rPr>
          <w:noProof/>
        </w:rPr>
        <w:t>а че румънските граждани, пътуващи до Япония, да могат да планират пътуванията си в съответствие с това решение.</w:t>
      </w:r>
    </w:p>
    <w:p w:rsidR="001E4FCF" w:rsidRDefault="00D27247">
      <w:pPr>
        <w:spacing w:after="240" w:line="240" w:lineRule="auto"/>
        <w:rPr>
          <w:noProof/>
          <w:szCs w:val="24"/>
        </w:rPr>
      </w:pPr>
      <w:r>
        <w:rPr>
          <w:noProof/>
        </w:rPr>
        <w:t>Що се отнася до изискването за виза за притежателите на румънски временни паспорти, японската страна поиска допълнителна информация относно няк</w:t>
      </w:r>
      <w:r>
        <w:rPr>
          <w:noProof/>
        </w:rPr>
        <w:t>ои аспекти на издаването на такива паспорти. Стана ясно, че подходите на японските и на румънските органи за издаването на временни паспорти или паспорти за спешни случаи са доста различни. Комисията и Румъния зададоха въпроса защо този много малък брой ру</w:t>
      </w:r>
      <w:r>
        <w:rPr>
          <w:noProof/>
        </w:rPr>
        <w:t>мънски граждани (в сравнение с притежателите на обикновени паспорти или притежателите на временни паспорти, издадени от други държави членки) представлява проблем за Япония. От своя страна Япония по принцип и в съответствие със световната тенденция за сигу</w:t>
      </w:r>
      <w:r>
        <w:rPr>
          <w:noProof/>
        </w:rPr>
        <w:t>рност на документите за пътуване не е склонна да премахне визите за притежателите на небиометрични паспорти, независимо от държавата на издаване. Япония заяви, че тя се отклонява от този принцип единствено в случаите, когато временни, небиометрични паспорт</w:t>
      </w:r>
      <w:r>
        <w:rPr>
          <w:noProof/>
        </w:rPr>
        <w:t>и се издават за наистина извънредни ситуации (т.е. на пътници, които очевидно не са в състояние да получат редовен, биометричен паспорт). Въпреки че в Япония вече се провеждат междуведомствени консултации по този въпрос с оглед на евентуална промяна на пол</w:t>
      </w:r>
      <w:r>
        <w:rPr>
          <w:noProof/>
        </w:rPr>
        <w:t>итиката по отношение на Румъния, Япония би приветствала всички стъпки, предприети от румънското правителство, за да се намали броят (небиометрични) временни паспорти, издадени като цяло (не само за лицата, които желаят да пътуват до Япония). Комисията посо</w:t>
      </w:r>
      <w:r>
        <w:rPr>
          <w:noProof/>
        </w:rPr>
        <w:t>чи, че броят на временните паспорти, издадени от Румъния, всъщност е намалял значително между 2011 г. и 2013 г. Поради различните подходи по този въпрос, и като се има предвид много малкият брой на румънските граждани, пътуващи до Япония с такива паспорти,</w:t>
      </w:r>
      <w:r>
        <w:rPr>
          <w:noProof/>
        </w:rPr>
        <w:t xml:space="preserve"> Комисията поиска гъвкавост от двете страни, така че този въпрос да бъде решен в близко бъдеще. Следва да се отбележи, че държавите членки, които взеха думата по тази тема на заседанието на Комитета по визова реципрочност и суспендиране на 21 май 2015 г., </w:t>
      </w:r>
      <w:r>
        <w:rPr>
          <w:noProof/>
        </w:rPr>
        <w:t>с изключение на Румъния, считаха, че този случай не попада в обхвата на механизма за реципрочност.</w:t>
      </w:r>
    </w:p>
    <w:p w:rsidR="001E4FCF" w:rsidRDefault="00D27247">
      <w:pPr>
        <w:spacing w:before="0" w:line="240" w:lineRule="auto"/>
        <w:ind w:left="1440"/>
        <w:rPr>
          <w:rFonts w:eastAsia="Times New Roman"/>
          <w:b/>
          <w:bCs/>
          <w:iCs/>
          <w:noProof/>
          <w:szCs w:val="24"/>
        </w:rPr>
      </w:pPr>
      <w:r>
        <w:rPr>
          <w:b/>
          <w:noProof/>
        </w:rPr>
        <w:t>v. Съединени американски щати (нотификация от България, Кипър, Полша, Румъния и Хърватия)</w:t>
      </w:r>
    </w:p>
    <w:p w:rsidR="001E4FCF" w:rsidRDefault="00D27247">
      <w:pPr>
        <w:pStyle w:val="Default"/>
        <w:spacing w:before="120" w:after="120"/>
        <w:jc w:val="both"/>
        <w:rPr>
          <w:rFonts w:ascii="Times New Roman" w:hAnsi="Times New Roman" w:cs="Times New Roman"/>
          <w:noProof/>
        </w:rPr>
      </w:pPr>
      <w:r>
        <w:rPr>
          <w:rFonts w:ascii="Times New Roman" w:hAnsi="Times New Roman"/>
          <w:noProof/>
        </w:rPr>
        <w:t>По време на третата тристранна среща, състояла се на 23 юни 2015 г.</w:t>
      </w:r>
      <w:r>
        <w:rPr>
          <w:rFonts w:ascii="Times New Roman" w:hAnsi="Times New Roman"/>
          <w:noProof/>
        </w:rPr>
        <w:t>, Комисията обърна внимание на подновената декларация на ЕС и САЩ „Засилване на трансатлантическото сътрудничество в областта на правосъдието, свободата и сигурността“, подкрепена на срещата на министрите ЕС—САЩ по въпросите на ПВР на 3 юни 2015 г., в коят</w:t>
      </w:r>
      <w:r>
        <w:rPr>
          <w:rFonts w:ascii="Times New Roman" w:hAnsi="Times New Roman"/>
          <w:noProof/>
        </w:rPr>
        <w:t>о страните се призовават да продължат провеждането на тристранни срещи с цел да се постигне пълна реципрочност при отмяната на визовия режим възможно най-бързо, без да се засягат необходимите законодателни усилия на САЩ.</w:t>
      </w:r>
    </w:p>
    <w:p w:rsidR="001E4FCF" w:rsidRDefault="00D27247">
      <w:pPr>
        <w:tabs>
          <w:tab w:val="left" w:pos="9072"/>
        </w:tabs>
        <w:spacing w:line="240" w:lineRule="auto"/>
        <w:rPr>
          <w:noProof/>
        </w:rPr>
      </w:pPr>
      <w:r>
        <w:rPr>
          <w:noProof/>
        </w:rPr>
        <w:t xml:space="preserve">Американската страна потвърди своя </w:t>
      </w:r>
      <w:r>
        <w:rPr>
          <w:noProof/>
        </w:rPr>
        <w:t xml:space="preserve">ангажимент за постигането на тази цел, като се позова на продължаващото добро сътрудничество със съответните държави членки и на някои положителни промени, настъпили след последната тристранна среща. По-специално в Конгреса отново бе внесен законопроектът </w:t>
      </w:r>
      <w:r>
        <w:rPr>
          <w:noProof/>
        </w:rPr>
        <w:t>JOLT</w:t>
      </w:r>
      <w:r>
        <w:rPr>
          <w:rStyle w:val="FootnoteReference"/>
          <w:noProof/>
        </w:rPr>
        <w:footnoteReference w:id="14"/>
      </w:r>
      <w:r>
        <w:rPr>
          <w:noProof/>
        </w:rPr>
        <w:t>, с който ще се вдигне прагът за дял на отказаните визи от 3 % на 10 % , ако са изпълнени всички други изисквания на програмата за отмяна на визовия режим (Visa Waiver Program — VWP). Ако този или друг законопроект с подобен характер</w:t>
      </w:r>
      <w:r>
        <w:rPr>
          <w:rStyle w:val="FootnoteReference"/>
          <w:noProof/>
        </w:rPr>
        <w:footnoteReference w:id="15"/>
      </w:r>
      <w:r>
        <w:rPr>
          <w:noProof/>
        </w:rPr>
        <w:t xml:space="preserve"> бъде приет (коет</w:t>
      </w:r>
      <w:r>
        <w:rPr>
          <w:noProof/>
        </w:rPr>
        <w:t>о не изглежда вероятно при настоящите обстоятелства, въпреки подкрепата на някои членове на Конгреса за разширяването на програмата за отмяна на визовия режим), това би имало благоприятни последици за три или четири държави членки, за които процентът на от</w:t>
      </w:r>
      <w:r>
        <w:rPr>
          <w:noProof/>
        </w:rPr>
        <w:t>казите за издаване на визи е под 10 %. Администрацията на САЩ предприе стъпки да увери Конгреса, че VWP е надеждна, като същевременно подчерта, че евентуалните временни мерки, приети от ЕС, ще възпрепятстват нейните усилия за разширяване на програмата за о</w:t>
      </w:r>
      <w:r>
        <w:rPr>
          <w:noProof/>
        </w:rPr>
        <w:t>тмяна на визовия режим.</w:t>
      </w:r>
    </w:p>
    <w:p w:rsidR="001E4FCF" w:rsidRDefault="00D27247">
      <w:pPr>
        <w:tabs>
          <w:tab w:val="left" w:pos="9072"/>
        </w:tabs>
        <w:spacing w:line="240" w:lineRule="auto"/>
        <w:rPr>
          <w:noProof/>
        </w:rPr>
      </w:pPr>
      <w:r>
        <w:rPr>
          <w:noProof/>
        </w:rPr>
        <w:t>Беше постигнат известен напредък в диалозите по държави, главно във връзка с изискването по VWP за сътрудничество между правоприлагащите органи. До края на тази година могат да приключат обсъжданията по необходимите двустранни спора</w:t>
      </w:r>
      <w:r>
        <w:rPr>
          <w:noProof/>
        </w:rPr>
        <w:t>зумения (предотвратяване на престъпността и борба с нея) с две държави членки. Всички страни оцениха положително сътрудничеството между министерствата на държавите членки и посолствата на САЩ. САЩ не предостави актуализирани данни относно отказа за издаван</w:t>
      </w:r>
      <w:r>
        <w:rPr>
          <w:noProof/>
        </w:rPr>
        <w:t>е на визи. Данните за 2015 г. ще бъдат на разположение едва през януари 2016 г.</w:t>
      </w:r>
    </w:p>
    <w:p w:rsidR="001E4FCF" w:rsidRDefault="00D27247">
      <w:pPr>
        <w:spacing w:line="240" w:lineRule="auto"/>
        <w:outlineLvl w:val="4"/>
        <w:rPr>
          <w:noProof/>
        </w:rPr>
      </w:pPr>
      <w:r>
        <w:rPr>
          <w:noProof/>
        </w:rPr>
        <w:t>Според наличните данни само една държава членка (Кипър) е в състояние да постигне прага от 3 % дял на отказаните визи. Дори ако Конгресът увеличи този праг на 10 %, малко вероя</w:t>
      </w:r>
      <w:r>
        <w:rPr>
          <w:noProof/>
        </w:rPr>
        <w:t>тно е всичките пет държави членки да могат да се присъединят към VWP до април 2016 г.</w:t>
      </w:r>
    </w:p>
    <w:p w:rsidR="001E4FCF" w:rsidRDefault="00D27247">
      <w:pPr>
        <w:autoSpaceDE w:val="0"/>
        <w:autoSpaceDN w:val="0"/>
        <w:adjustRightInd w:val="0"/>
        <w:spacing w:before="0" w:line="240" w:lineRule="auto"/>
        <w:rPr>
          <w:noProof/>
          <w:szCs w:val="24"/>
        </w:rPr>
      </w:pPr>
      <w:r>
        <w:rPr>
          <w:noProof/>
        </w:rPr>
        <w:t>Окончателната наредба за електронната система за разрешения за пътуване (ESTA) беше публикувана във Федералния регистър на 8 юни 2015 г.</w:t>
      </w:r>
      <w:r>
        <w:rPr>
          <w:rStyle w:val="FootnoteReference"/>
          <w:noProof/>
        </w:rPr>
        <w:footnoteReference w:id="16"/>
      </w:r>
      <w:r>
        <w:rPr>
          <w:noProof/>
        </w:rPr>
        <w:t xml:space="preserve"> Според предварителната оценка на</w:t>
      </w:r>
      <w:r>
        <w:rPr>
          <w:noProof/>
        </w:rPr>
        <w:t xml:space="preserve"> Комисията единствената значителна промяна, въведена с окончателната наредба е, че секретарят по вътрешната сигурност може да увеличи или намали периода в рамките на ESTA, в който е разрешено пътуване (понастоящем по правило — две години) за отделните държ</w:t>
      </w:r>
      <w:r>
        <w:rPr>
          <w:noProof/>
        </w:rPr>
        <w:t>ави на максимум три години или на по-малко от две години. В своите писмени коментари по междинната окончателна наредба, изпратени на 7 октомври 2010 г., Комисията призовава администрацията на САЩ да удължи срока на валидност на издаваните в рамките на ESTA</w:t>
      </w:r>
      <w:r>
        <w:rPr>
          <w:noProof/>
        </w:rPr>
        <w:t xml:space="preserve"> разрешения за пътуване до три години за всички държави членки.</w:t>
      </w:r>
    </w:p>
    <w:p w:rsidR="001E4FCF" w:rsidRDefault="00D27247">
      <w:pPr>
        <w:autoSpaceDE w:val="0"/>
        <w:autoSpaceDN w:val="0"/>
        <w:adjustRightInd w:val="0"/>
        <w:spacing w:line="240" w:lineRule="auto"/>
        <w:rPr>
          <w:noProof/>
          <w:szCs w:val="24"/>
        </w:rPr>
      </w:pPr>
      <w:r>
        <w:rPr>
          <w:noProof/>
        </w:rPr>
        <w:t>На 6 август 2015 г. секретарят по вътрешната сигурност Джонсън</w:t>
      </w:r>
      <w:r>
        <w:rPr>
          <w:rStyle w:val="FootnoteReference"/>
          <w:noProof/>
        </w:rPr>
        <w:footnoteReference w:id="17"/>
      </w:r>
      <w:r>
        <w:rPr>
          <w:noProof/>
        </w:rPr>
        <w:t xml:space="preserve"> обяви  редица подобрения във VWP по отношение на сигурността, по-специално във връзка с изпълнението на Резолюция 2178 (2014) на</w:t>
      </w:r>
      <w:r>
        <w:rPr>
          <w:noProof/>
        </w:rPr>
        <w:t xml:space="preserve"> Съвета за сигурност на ООН. В съобщението на секретаря се подчертават три „нови изисквания за сигурност“:</w:t>
      </w:r>
    </w:p>
    <w:p w:rsidR="001E4FCF" w:rsidRDefault="00D27247">
      <w:pPr>
        <w:pStyle w:val="ListNumber"/>
        <w:rPr>
          <w:noProof/>
        </w:rPr>
      </w:pPr>
      <w:r>
        <w:rPr>
          <w:noProof/>
        </w:rPr>
        <w:t>„изискване за използване на електронни паспорти за всички пътници по програмата за отмяна на визовия режим, които идват в САЩ,</w:t>
      </w:r>
    </w:p>
    <w:p w:rsidR="001E4FCF" w:rsidRDefault="00D27247">
      <w:pPr>
        <w:pStyle w:val="ListNumber"/>
        <w:rPr>
          <w:noProof/>
        </w:rPr>
      </w:pPr>
      <w:r>
        <w:rPr>
          <w:noProof/>
        </w:rPr>
        <w:t>изискване за използван</w:t>
      </w:r>
      <w:r>
        <w:rPr>
          <w:noProof/>
        </w:rPr>
        <w:t>ето на базата данни на Интерпол за изгубени и откраднати паспорти за проверка на пътниците, които преминават границите на държава, за която се прилага отмяна на визовия режим,</w:t>
      </w:r>
    </w:p>
    <w:p w:rsidR="001E4FCF" w:rsidRDefault="00D27247">
      <w:pPr>
        <w:pStyle w:val="ListNumber"/>
        <w:rPr>
          <w:noProof/>
        </w:rPr>
      </w:pPr>
      <w:r>
        <w:rPr>
          <w:noProof/>
        </w:rPr>
        <w:t>разрешение за по-често присъствие на федерални служители по сигурността по време</w:t>
      </w:r>
      <w:r>
        <w:rPr>
          <w:noProof/>
        </w:rPr>
        <w:t xml:space="preserve"> на международни полети от държави, за които се прилага отмяна на визовия режим, към Съединените щати.“</w:t>
      </w:r>
    </w:p>
    <w:p w:rsidR="001E4FCF" w:rsidRDefault="00D27247">
      <w:pPr>
        <w:pStyle w:val="PlainText"/>
        <w:spacing w:after="120"/>
        <w:jc w:val="both"/>
        <w:rPr>
          <w:rFonts w:ascii="Times New Roman" w:hAnsi="Times New Roman"/>
          <w:noProof/>
          <w:sz w:val="24"/>
          <w:szCs w:val="24"/>
        </w:rPr>
      </w:pPr>
      <w:r>
        <w:rPr>
          <w:rFonts w:ascii="Times New Roman" w:hAnsi="Times New Roman"/>
          <w:noProof/>
          <w:sz w:val="24"/>
        </w:rPr>
        <w:t>Също така през август САЩ предоставиха допълнителна информация и се ангажираха да не предприемат едностранни мерки, а да започнат обсъждания с ЕС/държав</w:t>
      </w:r>
      <w:r>
        <w:rPr>
          <w:rFonts w:ascii="Times New Roman" w:hAnsi="Times New Roman"/>
          <w:noProof/>
          <w:sz w:val="24"/>
        </w:rPr>
        <w:t>ите по VWP, за да може изискванията да съответстват на действителното положение на място в държавите членки. Комисията е съгласна с този подход. Анализирането на предвижданите мерки и оценката на тяхното вероятно въздействие е извън обхвата на настоящия до</w:t>
      </w:r>
      <w:r>
        <w:rPr>
          <w:rFonts w:ascii="Times New Roman" w:hAnsi="Times New Roman"/>
          <w:noProof/>
          <w:sz w:val="24"/>
        </w:rPr>
        <w:t>клад. От гледна точка на настоящия доклад, който се съсредоточава върху разрешаването на случаите на липса на реципрочност, мерките са от значение само доколкото те биха оказали влияние върху постигането възможно най-скоро на пълна реципрочност при отмянат</w:t>
      </w:r>
      <w:r>
        <w:rPr>
          <w:rFonts w:ascii="Times New Roman" w:hAnsi="Times New Roman"/>
          <w:noProof/>
          <w:sz w:val="24"/>
        </w:rPr>
        <w:t>а на визовия режим за петте държави членки. На този етап такава оценка не е възможна. Като цяло може да се каже, че въвеждането на допълнителни изисквания не улеснява положението на държавите членки, били те кандидати или участници в програмата за отмяна н</w:t>
      </w:r>
      <w:r>
        <w:rPr>
          <w:rFonts w:ascii="Times New Roman" w:hAnsi="Times New Roman"/>
          <w:noProof/>
          <w:sz w:val="24"/>
        </w:rPr>
        <w:t>а визовия режим. От друга страна (и това е очакването на Комисията), като укрепват VWP, тези мерки могат в действителност да допринесат за създаването на по-добър политически климат за присъединяването на нови държави към програмата.</w:t>
      </w:r>
    </w:p>
    <w:p w:rsidR="001E4FCF" w:rsidRDefault="00D27247">
      <w:pPr>
        <w:autoSpaceDE w:val="0"/>
        <w:autoSpaceDN w:val="0"/>
        <w:adjustRightInd w:val="0"/>
        <w:spacing w:before="0" w:after="240" w:line="240" w:lineRule="auto"/>
        <w:rPr>
          <w:noProof/>
          <w:szCs w:val="24"/>
        </w:rPr>
      </w:pPr>
      <w:r>
        <w:rPr>
          <w:noProof/>
        </w:rPr>
        <w:t>В неотдавнашни дискуси</w:t>
      </w:r>
      <w:r>
        <w:rPr>
          <w:noProof/>
        </w:rPr>
        <w:t>и със САЩ Комисията подчерта значението на това да се гарантира, че прилагането на каквато и да е мярка не следва да затруднява пътуването на добросъвестните граждани на ЕС в САЩ. Като има предвид това, Комисията ще следи отблизо предприетите мерки за пови</w:t>
      </w:r>
      <w:r>
        <w:rPr>
          <w:noProof/>
        </w:rPr>
        <w:t xml:space="preserve">шаване на сигурността на програмата за отмяна на визовия режим и прилагането на новата разпоредба на окончателната наредба. </w:t>
      </w:r>
    </w:p>
    <w:p w:rsidR="001E4FCF" w:rsidRDefault="00D27247">
      <w:pPr>
        <w:keepNext/>
        <w:spacing w:after="240" w:line="240" w:lineRule="auto"/>
        <w:ind w:left="1440" w:hanging="720"/>
        <w:outlineLvl w:val="0"/>
        <w:rPr>
          <w:rFonts w:eastAsia="Times New Roman"/>
          <w:b/>
          <w:bCs/>
          <w:iCs/>
          <w:noProof/>
          <w:szCs w:val="24"/>
        </w:rPr>
      </w:pPr>
      <w:r>
        <w:rPr>
          <w:b/>
          <w:noProof/>
          <w:kern w:val="32"/>
        </w:rPr>
        <w:t>б.</w:t>
      </w:r>
      <w:r>
        <w:rPr>
          <w:noProof/>
        </w:rPr>
        <w:tab/>
      </w:r>
      <w:r>
        <w:rPr>
          <w:b/>
          <w:noProof/>
        </w:rPr>
        <w:t>Оценка на случаи на липса на реципрочност на визовия режим с трети държави, за които няма нотификация</w:t>
      </w:r>
    </w:p>
    <w:p w:rsidR="001E4FCF" w:rsidRDefault="00D27247">
      <w:pPr>
        <w:spacing w:line="240" w:lineRule="auto"/>
        <w:rPr>
          <w:noProof/>
          <w:szCs w:val="24"/>
        </w:rPr>
      </w:pPr>
      <w:r>
        <w:rPr>
          <w:noProof/>
        </w:rPr>
        <w:t xml:space="preserve">Единственият нерешен </w:t>
      </w:r>
      <w:r>
        <w:rPr>
          <w:noProof/>
        </w:rPr>
        <w:t>въпрос по тази точка се отнася до пътуването на хърватски граждани в Барбадос. Тъй като Хърватия стана член на ЕС на 1 юли 2013 г., в съответствие със споразумението за отмяна на визовия режим между ЕС и Барбадос, на нейните граждани следва да бъде разреше</w:t>
      </w:r>
      <w:r>
        <w:rPr>
          <w:noProof/>
        </w:rPr>
        <w:t>но да остават в Барбадос за срок до три месеца без виза. Въпреки това, Барбадос продължава да дава право на престой от само 28 дни. След писмото и обяснителната бележка, изпратени до Посолството на Барбадос в Брюксел през февруари 2015 г., през юли 2015 г.</w:t>
      </w:r>
      <w:r>
        <w:rPr>
          <w:noProof/>
        </w:rPr>
        <w:t xml:space="preserve"> Комисията отново поиска от Барбадос чрез делегацията на ЕС в Бриджтаун да предостави правото на безвизов престой до три месеца на гражданите на Хърватия.</w:t>
      </w:r>
    </w:p>
    <w:p w:rsidR="001E4FCF" w:rsidRDefault="00D27247">
      <w:pPr>
        <w:spacing w:after="240" w:line="240" w:lineRule="auto"/>
        <w:rPr>
          <w:noProof/>
          <w:szCs w:val="24"/>
        </w:rPr>
      </w:pPr>
      <w:r>
        <w:rPr>
          <w:noProof/>
        </w:rPr>
        <w:t>Комисията ще поддържа контакт с органите на Барбадос, за да гарантира правилното прилагане на споразу</w:t>
      </w:r>
      <w:r>
        <w:rPr>
          <w:noProof/>
        </w:rPr>
        <w:t>мението за отмяна на визовия режим възможно най-скоро.</w:t>
      </w:r>
    </w:p>
    <w:p w:rsidR="001E4FCF" w:rsidRDefault="00D27247">
      <w:pPr>
        <w:keepNext/>
        <w:spacing w:before="0" w:after="240" w:line="240" w:lineRule="auto"/>
        <w:outlineLvl w:val="0"/>
        <w:rPr>
          <w:rFonts w:eastAsia="Times New Roman"/>
          <w:b/>
          <w:bCs/>
          <w:noProof/>
          <w:kern w:val="32"/>
          <w:szCs w:val="24"/>
        </w:rPr>
      </w:pPr>
      <w:r>
        <w:rPr>
          <w:b/>
          <w:noProof/>
          <w:kern w:val="32"/>
        </w:rPr>
        <w:t>III.</w:t>
      </w:r>
      <w:r>
        <w:rPr>
          <w:noProof/>
        </w:rPr>
        <w:tab/>
      </w:r>
      <w:r>
        <w:rPr>
          <w:b/>
          <w:noProof/>
          <w:kern w:val="32"/>
        </w:rPr>
        <w:t>Заключение</w:t>
      </w:r>
    </w:p>
    <w:p w:rsidR="001E4FCF" w:rsidRDefault="00D27247">
      <w:pPr>
        <w:spacing w:before="0" w:line="240" w:lineRule="auto"/>
        <w:rPr>
          <w:noProof/>
          <w:szCs w:val="24"/>
        </w:rPr>
      </w:pPr>
      <w:r>
        <w:rPr>
          <w:noProof/>
        </w:rPr>
        <w:t>Сътрудничеството в рамките на преразгледания механизъм за реципрочност продължава. След приемането на втория доклад беше постигнат известен напредък в следните области:</w:t>
      </w:r>
    </w:p>
    <w:p w:rsidR="001E4FCF" w:rsidRDefault="00D27247">
      <w:pPr>
        <w:pStyle w:val="ListParagraph"/>
        <w:numPr>
          <w:ilvl w:val="0"/>
          <w:numId w:val="1"/>
        </w:numPr>
        <w:spacing w:line="240" w:lineRule="auto"/>
        <w:ind w:left="714" w:hanging="357"/>
        <w:rPr>
          <w:noProof/>
          <w:szCs w:val="24"/>
        </w:rPr>
      </w:pPr>
      <w:r>
        <w:rPr>
          <w:noProof/>
          <w:u w:val="single"/>
        </w:rPr>
        <w:t>Австралия</w:t>
      </w:r>
      <w:r>
        <w:rPr>
          <w:noProof/>
        </w:rPr>
        <w:t xml:space="preserve"> отмени изискването за транзитна виза за гражданите на Румъния и Хърватия. Комисията ще продължи да следи отблизо прилагането на системата „eVisitor “ и да насърчава сътрудничеството между засегнатите две държави членки и австралийските органи с цел да се </w:t>
      </w:r>
      <w:r>
        <w:rPr>
          <w:noProof/>
        </w:rPr>
        <w:t>увеличи делът на автоматично одобрените заявления.</w:t>
      </w:r>
    </w:p>
    <w:p w:rsidR="001E4FCF" w:rsidRDefault="00D27247">
      <w:pPr>
        <w:pStyle w:val="ListParagraph"/>
        <w:numPr>
          <w:ilvl w:val="0"/>
          <w:numId w:val="1"/>
        </w:numPr>
        <w:spacing w:before="0" w:line="240" w:lineRule="auto"/>
        <w:rPr>
          <w:noProof/>
          <w:szCs w:val="24"/>
        </w:rPr>
      </w:pPr>
      <w:r>
        <w:rPr>
          <w:noProof/>
        </w:rPr>
        <w:t xml:space="preserve">Комисията приветства решението на </w:t>
      </w:r>
      <w:r>
        <w:rPr>
          <w:noProof/>
          <w:u w:val="single"/>
        </w:rPr>
        <w:t>Бруней</w:t>
      </w:r>
      <w:r>
        <w:rPr>
          <w:noProof/>
        </w:rPr>
        <w:t xml:space="preserve"> за пълно освобождаване от изискването за виза за гражданите на всички държави — членки на ЕС, и асоциираните към Шенген държави. Комисията ще проследи прилагането н</w:t>
      </w:r>
      <w:r>
        <w:rPr>
          <w:noProof/>
        </w:rPr>
        <w:t>а безвизовия режим от страна на органите на Бруней.</w:t>
      </w:r>
    </w:p>
    <w:p w:rsidR="001E4FCF" w:rsidRDefault="00D27247">
      <w:pPr>
        <w:pStyle w:val="ListParagraph"/>
        <w:numPr>
          <w:ilvl w:val="0"/>
          <w:numId w:val="1"/>
        </w:numPr>
        <w:spacing w:before="0" w:line="240" w:lineRule="auto"/>
        <w:rPr>
          <w:noProof/>
          <w:szCs w:val="24"/>
        </w:rPr>
      </w:pPr>
      <w:r>
        <w:rPr>
          <w:noProof/>
        </w:rPr>
        <w:t xml:space="preserve">След март 2016 г. </w:t>
      </w:r>
      <w:r>
        <w:rPr>
          <w:noProof/>
          <w:u w:val="single"/>
        </w:rPr>
        <w:t>Канада</w:t>
      </w:r>
      <w:r>
        <w:rPr>
          <w:noProof/>
        </w:rPr>
        <w:t xml:space="preserve"> ще разшири прилагането на бъдещата система eTA, за да обхване някои категории граждани на България и Румъния, което на практика ще доведе до премахване на визите за тези пътници. </w:t>
      </w:r>
      <w:r>
        <w:rPr>
          <w:noProof/>
        </w:rPr>
        <w:t>Освен това, докато влезе в сила това разширено прилагане на системата eTA, Канада ще приложи допълнителни мерки за облекчаване на процедурите за тези категории български и румънски граждани чрез програмата CAN+. Комисията приветства тези мерки и изразява н</w:t>
      </w:r>
      <w:r>
        <w:rPr>
          <w:noProof/>
        </w:rPr>
        <w:t>адежда, че прилагането на системата eTA ще допринесе за премахване на изискването за виза за всички граждани на България и Румъния. Комисията също така ще следи отблизо прилагането на eTA по отношение на други граждани на ЕС, които вече могат да пътуват бе</w:t>
      </w:r>
      <w:r>
        <w:rPr>
          <w:noProof/>
        </w:rPr>
        <w:t>з виза до Канада.</w:t>
      </w:r>
    </w:p>
    <w:p w:rsidR="001E4FCF" w:rsidRDefault="00D27247">
      <w:pPr>
        <w:pStyle w:val="ListParagraph"/>
        <w:numPr>
          <w:ilvl w:val="0"/>
          <w:numId w:val="1"/>
        </w:numPr>
        <w:spacing w:before="0" w:line="240" w:lineRule="auto"/>
        <w:rPr>
          <w:noProof/>
          <w:szCs w:val="24"/>
        </w:rPr>
      </w:pPr>
      <w:r>
        <w:rPr>
          <w:noProof/>
        </w:rPr>
        <w:t xml:space="preserve">По отношение на </w:t>
      </w:r>
      <w:r>
        <w:rPr>
          <w:noProof/>
          <w:u w:val="single"/>
        </w:rPr>
        <w:t>Япония</w:t>
      </w:r>
      <w:r>
        <w:rPr>
          <w:noProof/>
        </w:rPr>
        <w:t>, Комисията вярва, че премахването на визите, което се предоставя временно за румънски граждани до 31 декември 2015 г., ще придобие постоянен характер или че поне ще бъде удължено за няколко години. По отношение на з</w:t>
      </w:r>
      <w:r>
        <w:rPr>
          <w:noProof/>
        </w:rPr>
        <w:t>адължението за виза за притежателите на румънски временни паспорти, стана ясно, че двете страни подхождат към този въпрос от различен ъгъл. Като се има предвид изключително малкият брой пътници и фактът, че те са в състояние да получат обикновен, биометрич</w:t>
      </w:r>
      <w:r>
        <w:rPr>
          <w:noProof/>
        </w:rPr>
        <w:t>ен паспорт, Комисията призовава за прагматичен подход и от двете страни, за да се избегне необходимостта от допълнително обсъждане на този въпрос, който на практика не би следвал да е основна грижа за Румъния или Япония.</w:t>
      </w:r>
    </w:p>
    <w:p w:rsidR="001E4FCF" w:rsidRDefault="00D27247">
      <w:pPr>
        <w:pStyle w:val="ListParagraph"/>
        <w:numPr>
          <w:ilvl w:val="0"/>
          <w:numId w:val="1"/>
        </w:numPr>
        <w:spacing w:before="0" w:line="240" w:lineRule="auto"/>
        <w:rPr>
          <w:noProof/>
          <w:szCs w:val="24"/>
        </w:rPr>
      </w:pPr>
      <w:r>
        <w:rPr>
          <w:noProof/>
        </w:rPr>
        <w:t xml:space="preserve">По отношение на </w:t>
      </w:r>
      <w:r>
        <w:rPr>
          <w:noProof/>
          <w:u w:val="single"/>
        </w:rPr>
        <w:t>САЩ</w:t>
      </w:r>
      <w:r>
        <w:rPr>
          <w:noProof/>
        </w:rPr>
        <w:t xml:space="preserve">, в Конгреса се </w:t>
      </w:r>
      <w:r>
        <w:rPr>
          <w:noProof/>
        </w:rPr>
        <w:t xml:space="preserve">обсъждат законодателни предложения, които целят да увеличат прага на дела на отказаните визи от 3 % на 10 %. Тяхното приемане би могло да увеличи шансовете на три или четири държави членки да бъдат допуснати до програмата за отмяна на визовия режим (VWP). </w:t>
      </w:r>
      <w:r>
        <w:rPr>
          <w:noProof/>
        </w:rPr>
        <w:t xml:space="preserve">Окончателната наредба за електронната система за разрешения за пътуване (ESTA) беше публикувана във Федералния регистър на 8 юни 2015 г. Комисията ще следи отблизо мерките за повишаване на сигурността на VWP, обявени на 6 август 2015 г., и изпълнението на </w:t>
      </w:r>
      <w:r>
        <w:rPr>
          <w:noProof/>
        </w:rPr>
        <w:t>новата разпоредба на окончателната наредба. Най-малкото Комисията очаква, че прилагането на нови или усъвършенствани мерки няма да затрудни пътуването на добросъвестните граждани на ЕС. Гъвкавостта, предвидена в окончателната наредба за издаването на елект</w:t>
      </w:r>
      <w:r>
        <w:rPr>
          <w:noProof/>
        </w:rPr>
        <w:t>ронно разрешение за пътуване за срок от три години, следва да се прилага за гражданите на държавите — членки на ЕС, и асоциираните към Шенген държави.</w:t>
      </w:r>
    </w:p>
    <w:p w:rsidR="001E4FCF" w:rsidRDefault="00D27247">
      <w:pPr>
        <w:spacing w:before="0" w:line="240" w:lineRule="auto"/>
        <w:rPr>
          <w:noProof/>
          <w:szCs w:val="24"/>
        </w:rPr>
      </w:pPr>
      <w:r>
        <w:rPr>
          <w:noProof/>
        </w:rPr>
        <w:t>Интензивното и структурирано сътрудничество, установено в рамките на преразгледания механизъм за реципроч</w:t>
      </w:r>
      <w:r>
        <w:rPr>
          <w:noProof/>
        </w:rPr>
        <w:t>ност, и по-специално на тристранните срещи, предоставя добри възможности за обмен на информация. Това също така допринася за по-доброто взаимно разбиране на политиките на другата страна и набелязването на мерки и нови форми на сътрудничество, които да дове</w:t>
      </w:r>
      <w:r>
        <w:rPr>
          <w:noProof/>
        </w:rPr>
        <w:t>дат до намаляване на броя на случаите на липса на реципрочност в по-кратък срок. Въпреки това Комисията отбелязва, че тези разисквания и размяна на мнения достигат своя предел. В най-важните неразрешени случаи третите държави считат, че някои държави членк</w:t>
      </w:r>
      <w:r>
        <w:rPr>
          <w:noProof/>
        </w:rPr>
        <w:t>и не отговарят на обективните критерии за отмяна на визовия режим, определени едностранно в законодателството (САЩ), или в политическа рамка (Канада).</w:t>
      </w:r>
    </w:p>
    <w:p w:rsidR="001E4FCF" w:rsidRDefault="00D27247">
      <w:pPr>
        <w:spacing w:before="0" w:line="240" w:lineRule="auto"/>
        <w:rPr>
          <w:bCs/>
          <w:iCs/>
          <w:noProof/>
          <w:szCs w:val="24"/>
        </w:rPr>
      </w:pPr>
      <w:r>
        <w:rPr>
          <w:noProof/>
        </w:rPr>
        <w:t>На този етап Комисията не счита, че ако бъде суспендирано прилагането на безвизовия режим за някои катего</w:t>
      </w:r>
      <w:r>
        <w:rPr>
          <w:noProof/>
        </w:rPr>
        <w:t>рии граждани на тези трети държави, това би довело до промяна в тяхното законодателство/политическа рамка, която да осигури пълна реципрочност в премахването на визовия режим. Освен това нито една от засегнатите държави членки не е поискала от Комисията да</w:t>
      </w:r>
      <w:r>
        <w:rPr>
          <w:noProof/>
        </w:rPr>
        <w:t xml:space="preserve"> суспендира прилагането на безвизов режим. През следващите месеци всички страни следва да увеличат усилията си за постигането на осезаем и действителен напредък. Според оценката на Комисията обаче е малко вероятно всички случаи на липса на реципрочност с К</w:t>
      </w:r>
      <w:r>
        <w:rPr>
          <w:noProof/>
        </w:rPr>
        <w:t>анада и САЩ да бъдат решени до април 2016 г.</w:t>
      </w:r>
    </w:p>
    <w:p w:rsidR="001E4FCF" w:rsidRDefault="00D27247">
      <w:pPr>
        <w:spacing w:before="0" w:line="240" w:lineRule="auto"/>
        <w:rPr>
          <w:noProof/>
          <w:szCs w:val="24"/>
        </w:rPr>
      </w:pPr>
      <w:r>
        <w:rPr>
          <w:noProof/>
        </w:rPr>
        <w:t>Комисията ще продължи да работи съвместно с държавите членки и третите държави, за да постигне възможно най-скоро пълна реципрочност по отношение на визите.</w:t>
      </w:r>
    </w:p>
    <w:p w:rsidR="001E4FCF" w:rsidRDefault="00D27247">
      <w:pPr>
        <w:spacing w:before="0" w:line="240" w:lineRule="auto"/>
        <w:jc w:val="center"/>
        <w:rPr>
          <w:noProof/>
          <w:szCs w:val="24"/>
        </w:rPr>
      </w:pPr>
      <w:r>
        <w:rPr>
          <w:noProof/>
        </w:rPr>
        <w:t>_________</w:t>
      </w:r>
    </w:p>
    <w:sectPr w:rsidR="001E4FC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FCF" w:rsidRDefault="00D27247">
      <w:pPr>
        <w:spacing w:before="0" w:after="0" w:line="240" w:lineRule="auto"/>
      </w:pPr>
      <w:r>
        <w:separator/>
      </w:r>
    </w:p>
  </w:endnote>
  <w:endnote w:type="continuationSeparator" w:id="0">
    <w:p w:rsidR="001E4FCF" w:rsidRDefault="00D272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47" w:rsidRPr="00D27247" w:rsidRDefault="00D27247" w:rsidP="00D272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47" w:rsidRPr="00D27247" w:rsidRDefault="00D27247" w:rsidP="00D27247">
    <w:pPr>
      <w:pStyle w:val="FooterCoverPage"/>
      <w:rPr>
        <w:rFonts w:ascii="Arial" w:hAnsi="Arial" w:cs="Arial"/>
        <w:b/>
        <w:sz w:val="48"/>
      </w:rPr>
    </w:pPr>
    <w:r w:rsidRPr="00D27247">
      <w:rPr>
        <w:rFonts w:ascii="Arial" w:hAnsi="Arial" w:cs="Arial"/>
        <w:b/>
        <w:sz w:val="48"/>
      </w:rPr>
      <w:t>BG</w:t>
    </w:r>
    <w:r w:rsidRPr="00D27247">
      <w:rPr>
        <w:rFonts w:ascii="Arial" w:hAnsi="Arial" w:cs="Arial"/>
        <w:b/>
        <w:sz w:val="48"/>
      </w:rPr>
      <w:tab/>
    </w:r>
    <w:r w:rsidRPr="00D27247">
      <w:rPr>
        <w:rFonts w:ascii="Arial" w:hAnsi="Arial" w:cs="Arial"/>
        <w:b/>
        <w:sz w:val="48"/>
      </w:rPr>
      <w:tab/>
    </w:r>
    <w:fldSimple w:instr=" DOCVARIABLE &quot;LW_Confidence&quot; \* MERGEFORMAT ">
      <w:r>
        <w:t xml:space="preserve"> </w:t>
      </w:r>
    </w:fldSimple>
    <w:r w:rsidRPr="00D27247">
      <w:tab/>
    </w:r>
    <w:r w:rsidRPr="00D27247">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47" w:rsidRPr="00D27247" w:rsidRDefault="00D27247" w:rsidP="00D2724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CF" w:rsidRDefault="001E4F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CF" w:rsidRDefault="00D27247">
    <w:pPr>
      <w:pStyle w:val="Footer"/>
      <w:jc w:val="center"/>
    </w:pPr>
    <w:r>
      <w:fldChar w:fldCharType="begin"/>
    </w:r>
    <w:r>
      <w:instrText xml:space="preserve"> PAGE   \* MERGEFORMAT </w:instrText>
    </w:r>
    <w:r>
      <w:fldChar w:fldCharType="separate"/>
    </w:r>
    <w:r>
      <w:rPr>
        <w:noProof/>
      </w:rPr>
      <w:t>2</w:t>
    </w:r>
    <w:r>
      <w:fldChar w:fldCharType="end"/>
    </w:r>
  </w:p>
  <w:p w:rsidR="001E4FCF" w:rsidRDefault="001E4F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CF" w:rsidRDefault="001E4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FCF" w:rsidRDefault="00D27247">
      <w:pPr>
        <w:spacing w:before="0" w:after="0" w:line="240" w:lineRule="auto"/>
      </w:pPr>
      <w:r>
        <w:separator/>
      </w:r>
    </w:p>
  </w:footnote>
  <w:footnote w:type="continuationSeparator" w:id="0">
    <w:p w:rsidR="001E4FCF" w:rsidRDefault="00D27247">
      <w:pPr>
        <w:spacing w:before="0" w:after="0" w:line="240" w:lineRule="auto"/>
      </w:pPr>
      <w:r>
        <w:continuationSeparator/>
      </w:r>
    </w:p>
  </w:footnote>
  <w:footnote w:id="1">
    <w:p w:rsidR="001E4FCF" w:rsidRDefault="00D27247">
      <w:pPr>
        <w:pStyle w:val="FootnoteText"/>
        <w:ind w:left="709" w:hanging="709"/>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ОВ </w:t>
      </w:r>
      <w:r>
        <w:rPr>
          <w:rFonts w:ascii="Times New Roman" w:hAnsi="Times New Roman"/>
        </w:rPr>
        <w:t>L 81, 21.3.2001 г., стр. 1.</w:t>
      </w:r>
    </w:p>
  </w:footnote>
  <w:footnote w:id="2">
    <w:p w:rsidR="001E4FCF" w:rsidRDefault="00D27247">
      <w:pPr>
        <w:pStyle w:val="FootnoteText"/>
        <w:rPr>
          <w:rFonts w:ascii="Times New Roman" w:hAnsi="Times New Roman"/>
        </w:rPr>
      </w:pPr>
      <w:r>
        <w:rPr>
          <w:rStyle w:val="FootnoteReference"/>
          <w:rFonts w:ascii="Times New Roman" w:hAnsi="Times New Roman"/>
        </w:rPr>
        <w:footnoteRef/>
      </w:r>
      <w:r>
        <w:rPr>
          <w:rFonts w:ascii="Times New Roman" w:hAnsi="Times New Roman"/>
        </w:rPr>
        <w:t>.</w:t>
      </w:r>
      <w:r>
        <w:tab/>
      </w:r>
      <w:r>
        <w:rPr>
          <w:rFonts w:ascii="Times New Roman" w:hAnsi="Times New Roman"/>
        </w:rPr>
        <w:t>ОВ L 347, 20.12.2013 г., стр. 74.</w:t>
      </w:r>
    </w:p>
  </w:footnote>
  <w:footnote w:id="3">
    <w:p w:rsidR="001E4FCF" w:rsidRDefault="00D27247">
      <w:pPr>
        <w:pStyle w:val="FootnoteText"/>
        <w:ind w:left="709" w:hanging="709"/>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Комисията публикува нотификациите за липса на реципрочност на 12 април 2014 г. (OВ C 111, 12.4.2014 г., стр. 1.)</w:t>
      </w:r>
    </w:p>
  </w:footnote>
  <w:footnote w:id="4">
    <w:p w:rsidR="001E4FCF" w:rsidRDefault="00D27247">
      <w:pPr>
        <w:pStyle w:val="FootnoteText"/>
        <w:ind w:left="709" w:hanging="709"/>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C(2014) 7218 final от 10.10.2014 г.</w:t>
      </w:r>
    </w:p>
  </w:footnote>
  <w:footnote w:id="5">
    <w:p w:rsidR="001E4FCF" w:rsidRDefault="00D27247">
      <w:pPr>
        <w:pStyle w:val="FootnoteText"/>
        <w:ind w:left="709" w:hanging="709"/>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C(2015) 2575 final от 22.4.2015 г</w:t>
      </w:r>
      <w:r>
        <w:rPr>
          <w:rFonts w:ascii="Times New Roman" w:hAnsi="Times New Roman"/>
        </w:rPr>
        <w:t>.</w:t>
      </w:r>
    </w:p>
  </w:footnote>
  <w:footnote w:id="6">
    <w:p w:rsidR="001E4FCF" w:rsidRDefault="00D27247">
      <w:pPr>
        <w:pStyle w:val="FootnoteText"/>
        <w:ind w:left="709" w:hanging="709"/>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На 16 юли 2015 г. Съдът постанови решението си по дело C-88/14, </w:t>
      </w:r>
      <w:r>
        <w:rPr>
          <w:rFonts w:ascii="Times New Roman" w:hAnsi="Times New Roman"/>
          <w:i/>
        </w:rPr>
        <w:t>Комисия/Парламент и Съвет</w:t>
      </w:r>
      <w:r>
        <w:rPr>
          <w:rFonts w:ascii="Times New Roman" w:hAnsi="Times New Roman"/>
        </w:rPr>
        <w:t>, свързано с подадената от Комисията жалба за отмяна на преразгледания механизъм за реципрочност. Съдът отхвърли жалбата на Комисията.</w:t>
      </w:r>
    </w:p>
  </w:footnote>
  <w:footnote w:id="7">
    <w:p w:rsidR="001E4FCF" w:rsidRDefault="00D2724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описание на системата</w:t>
      </w:r>
      <w:r>
        <w:rPr>
          <w:rFonts w:ascii="Times New Roman" w:hAnsi="Times New Roman"/>
        </w:rPr>
        <w:t xml:space="preserve"> „eVisitor “, вж. C(2014) 7218 final от 10.10.2014 г., стр. 7.</w:t>
      </w:r>
    </w:p>
  </w:footnote>
  <w:footnote w:id="8">
    <w:p w:rsidR="001E4FCF" w:rsidRDefault="00D2724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http://www.border.gov.au/Lega/Lega/Form/Immi-FAQs/do-i-need-a-visa-to-transit-through-australia</w:t>
      </w:r>
    </w:p>
  </w:footnote>
  <w:footnote w:id="9">
    <w:p w:rsidR="001E4FCF" w:rsidRDefault="00D2724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Това е база данни, която предоставя информация на авиокомпаниите относно режимите на </w:t>
      </w:r>
      <w:r>
        <w:rPr>
          <w:rFonts w:ascii="Times New Roman" w:hAnsi="Times New Roman"/>
        </w:rPr>
        <w:t>влизане и изискванията за визи.</w:t>
      </w:r>
    </w:p>
  </w:footnote>
  <w:footnote w:id="10">
    <w:p w:rsidR="001E4FCF" w:rsidRDefault="00D2724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След заседанието Канада разпространи сред участниците подробно представяне на своята политика за „Определени държави на произход“.</w:t>
      </w:r>
    </w:p>
  </w:footnote>
  <w:footnote w:id="11">
    <w:p w:rsidR="001E4FCF" w:rsidRDefault="00D2724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Румъния осъществява подобна кампания и по отношение на САЩ и Япония.</w:t>
      </w:r>
    </w:p>
  </w:footnote>
  <w:footnote w:id="12">
    <w:p w:rsidR="001E4FCF" w:rsidRDefault="00D27247">
      <w:pPr>
        <w:pStyle w:val="FootnoteText"/>
        <w:ind w:left="709" w:hanging="709"/>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http://www.cic.gc.ca/english/visit/eta.asp?utm_source=slash-eta&amp;utm_medium=short-</w:t>
        </w:r>
      </w:hyperlink>
      <w:r>
        <w:rPr>
          <w:rFonts w:ascii="Times New Roman" w:hAnsi="Times New Roman"/>
        </w:rPr>
        <w:t>url&amp;utm_campaign=eta</w:t>
      </w:r>
    </w:p>
  </w:footnote>
  <w:footnote w:id="13">
    <w:p w:rsidR="001E4FCF" w:rsidRDefault="00D2724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SEC(2008) 2991 final от 2.12.2008 г.</w:t>
      </w:r>
    </w:p>
  </w:footnote>
  <w:footnote w:id="14">
    <w:p w:rsidR="001E4FCF" w:rsidRDefault="00D2724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https://www.congress.gov/</w:t>
      </w:r>
      <w:r>
        <w:rPr>
          <w:rFonts w:ascii="Times New Roman" w:hAnsi="Times New Roman"/>
        </w:rPr>
        <w:t>bill/114th-congress/house-bill/1401/text</w:t>
      </w:r>
    </w:p>
  </w:footnote>
  <w:footnote w:id="15">
    <w:p w:rsidR="001E4FCF" w:rsidRDefault="00D27247">
      <w:pPr>
        <w:pStyle w:val="FootnoteText"/>
        <w:ind w:left="709" w:hanging="709"/>
        <w:jc w:val="both"/>
        <w:rPr>
          <w:rFonts w:ascii="Times New Roman" w:hAnsi="Times New Roman"/>
        </w:rPr>
      </w:pPr>
      <w:r>
        <w:rPr>
          <w:rStyle w:val="FootnoteReference"/>
        </w:rPr>
        <w:footnoteRef/>
      </w:r>
      <w:r>
        <w:t xml:space="preserve"> </w:t>
      </w:r>
      <w:r>
        <w:tab/>
      </w:r>
      <w:r>
        <w:rPr>
          <w:rFonts w:ascii="Times New Roman" w:hAnsi="Times New Roman"/>
        </w:rPr>
        <w:t xml:space="preserve">Освен законопроекта JOLT, вж. „Предложение за закон за изменение на раздел 217 от Закона за имиграцията и гражданството с цел да се измени програмата за отмяна на визовия режим, и за други цели“ (S. 1507), който </w:t>
      </w:r>
      <w:r>
        <w:rPr>
          <w:rFonts w:ascii="Times New Roman" w:hAnsi="Times New Roman"/>
        </w:rPr>
        <w:t>беше представен в Сената (</w:t>
      </w:r>
      <w:hyperlink r:id="rId2">
        <w:r>
          <w:rPr>
            <w:rStyle w:val="Hyperlink"/>
            <w:rFonts w:ascii="Times New Roman" w:hAnsi="Times New Roman"/>
          </w:rPr>
          <w:t>http://thomas.loc.gov/cgi-bin/query/z?c114:S.1507</w:t>
        </w:r>
      </w:hyperlink>
      <w:r>
        <w:rPr>
          <w:rStyle w:val="Hyperlink"/>
          <w:rFonts w:ascii="Times New Roman" w:hAnsi="Times New Roman"/>
        </w:rPr>
        <w:t>).</w:t>
      </w:r>
    </w:p>
  </w:footnote>
  <w:footnote w:id="16">
    <w:p w:rsidR="001E4FCF" w:rsidRDefault="00D2724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http://www.gpo.gov/fdsys/pkg/FR-2015-06-08/pdf/2015-13919.pdf.</w:t>
      </w:r>
    </w:p>
  </w:footnote>
  <w:footnote w:id="17">
    <w:p w:rsidR="001E4FCF" w:rsidRDefault="00D27247">
      <w:pPr>
        <w:pStyle w:val="FootnoteText"/>
        <w:ind w:left="709" w:hanging="709"/>
        <w:rPr>
          <w:rFonts w:ascii="Times New Roman" w:hAnsi="Times New Roman"/>
        </w:rPr>
      </w:pPr>
      <w:r>
        <w:rPr>
          <w:rStyle w:val="FootnoteReference"/>
        </w:rPr>
        <w:footnoteRef/>
      </w:r>
      <w:r>
        <w:t xml:space="preserve"> </w:t>
      </w:r>
      <w:r>
        <w:tab/>
      </w:r>
      <w:hyperlink r:id="rId3">
        <w:r>
          <w:rPr>
            <w:rStyle w:val="Hyperlink"/>
            <w:rFonts w:ascii="Times New Roman" w:hAnsi="Times New Roman"/>
          </w:rPr>
          <w:t>http://www.dhs.gov/news/2015/08/06/statement-secretary-jeh-c-johnson-intention-implement-security-enhancements-visa</w:t>
        </w:r>
      </w:hyperlink>
      <w:r>
        <w:rPr>
          <w:rStyle w:val="Hyperlink"/>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47" w:rsidRPr="00D27247" w:rsidRDefault="00D27247" w:rsidP="00D272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47" w:rsidRPr="00D27247" w:rsidRDefault="00D27247" w:rsidP="00D2724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47" w:rsidRPr="00D27247" w:rsidRDefault="00D27247" w:rsidP="00D2724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CF" w:rsidRDefault="001E4F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CF" w:rsidRDefault="001E4F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CF" w:rsidRDefault="001E4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2D303368"/>
    <w:multiLevelType w:val="hybridMultilevel"/>
    <w:tmpl w:val="CDCE0C6C"/>
    <w:lvl w:ilvl="0" w:tplc="530EAA7A">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5"/>
  </w:num>
  <w:num w:numId="2">
    <w:abstractNumId w:val="11"/>
  </w:num>
  <w:num w:numId="3">
    <w:abstractNumId w:val="6"/>
  </w:num>
  <w:num w:numId="4">
    <w:abstractNumId w:val="4"/>
  </w:num>
  <w:num w:numId="5">
    <w:abstractNumId w:val="2"/>
  </w:num>
  <w:num w:numId="6">
    <w:abstractNumId w:val="1"/>
  </w:num>
  <w:num w:numId="7">
    <w:abstractNumId w:val="12"/>
  </w:num>
  <w:num w:numId="8">
    <w:abstractNumId w:val="14"/>
  </w:num>
  <w:num w:numId="9">
    <w:abstractNumId w:val="13"/>
  </w:num>
  <w:num w:numId="10">
    <w:abstractNumId w:val="15"/>
  </w:num>
  <w:num w:numId="11">
    <w:abstractNumId w:val="3"/>
  </w:num>
  <w:num w:numId="12">
    <w:abstractNumId w:val="7"/>
  </w:num>
  <w:num w:numId="13">
    <w:abstractNumId w:val="9"/>
  </w:num>
  <w:num w:numId="14">
    <w:abstractNumId w:val="8"/>
  </w:num>
  <w:num w:numId="15">
    <w:abstractNumId w:val="0"/>
  </w:num>
  <w:num w:numId="16">
    <w:abstractNumId w:val="10"/>
  </w:num>
  <w:num w:numId="17">
    <w:abstractNumId w:val="11"/>
  </w:num>
  <w:num w:numId="18">
    <w:abstractNumId w:val="6"/>
  </w:num>
  <w:num w:numId="19">
    <w:abstractNumId w:val="4"/>
  </w:num>
  <w:num w:numId="20">
    <w:abstractNumId w:val="2"/>
  </w:num>
  <w:num w:numId="21">
    <w:abstractNumId w:val="1"/>
  </w:num>
  <w:num w:numId="22">
    <w:abstractNumId w:val="12"/>
  </w:num>
  <w:num w:numId="23">
    <w:abstractNumId w:val="14"/>
  </w:num>
  <w:num w:numId="24">
    <w:abstractNumId w:val="13"/>
  </w:num>
  <w:num w:numId="25">
    <w:abstractNumId w:val="15"/>
  </w:num>
  <w:num w:numId="26">
    <w:abstractNumId w:val="3"/>
  </w:num>
  <w:num w:numId="27">
    <w:abstractNumId w:val="7"/>
  </w:num>
  <w:num w:numId="28">
    <w:abstractNumId w:val="9"/>
  </w:num>
  <w:num w:numId="29">
    <w:abstractNumId w:val="8"/>
  </w:num>
  <w:num w:numId="30">
    <w:abstractNumId w:val="0"/>
  </w:num>
  <w:num w:numId="31">
    <w:abstractNumId w:val="10"/>
  </w:num>
  <w:num w:numId="32">
    <w:abstractNumId w:val="7"/>
  </w:num>
  <w:num w:numId="33">
    <w:abstractNumId w:val="9"/>
  </w:num>
  <w:num w:numId="34">
    <w:abstractNumId w:val="8"/>
  </w:num>
  <w:num w:numId="35">
    <w:abstractNumId w:val="0"/>
  </w:num>
  <w:num w:numId="36">
    <w:abstractNumId w:val="10"/>
  </w:num>
  <w:num w:numId="37">
    <w:abstractNumId w:val="7"/>
  </w:num>
  <w:num w:numId="38">
    <w:abstractNumId w:val="9"/>
  </w:num>
  <w:num w:numId="39">
    <w:abstractNumId w:val="8"/>
  </w:num>
  <w:num w:numId="40">
    <w:abstractNumId w:val="0"/>
  </w:num>
  <w:num w:numId="41">
    <w:abstractNumId w:val="10"/>
  </w:num>
  <w:num w:numId="42">
    <w:abstractNumId w:val="7"/>
  </w:num>
  <w:num w:numId="43">
    <w:abstractNumId w:val="9"/>
  </w:num>
  <w:num w:numId="44">
    <w:abstractNumId w:val="8"/>
  </w:num>
  <w:num w:numId="45">
    <w:abstractNumId w:val="0"/>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EU RESTRICTED"/>
    <w:docVar w:name="LW_CORRIGENDUM" w:val="&lt;UNUSED&gt;"/>
    <w:docVar w:name="LW_COVERPAGE_GUID" w:val="A424C45FE94C4A9C8C66A1BB5BFE6CA3"/>
    <w:docVar w:name="LW_CROSSREFERENCE" w:val="&lt;UNUSED&gt;"/>
    <w:docVar w:name="LW_DocType" w:val="NORMAL"/>
    <w:docVar w:name="LW_EMISSION" w:val="5.11.2015"/>
    <w:docVar w:name="LW_EMISSION_ISODATE" w:val="2015-11-05"/>
    <w:docVar w:name="LW_EMISSION_LOCATION" w:val="BRX"/>
    <w:docVar w:name="LW_EMISSION_PREFIX" w:val="\u1041?\u1088?\u1102?\u1082?\u1089?\u1077?\u1083?,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5) 7455"/>
    <w:docVar w:name="LW_REF.INTERNE" w:val="&lt;UNUSED&gt;"/>
    <w:docVar w:name="LW_SOUS.TITRE.OBJ.CP" w:val="&lt;UNUSED&gt;"/>
    <w:docVar w:name="LW_SUPERTITRE" w:val="&lt;UNUSED&gt;"/>
    <w:docVar w:name="LW_TITRE.OBJ.CP" w:val="_x000b__x000b_\u1079?\u1072? \u1086?\u1094?\u1077?\u1085?\u1082?\u1072? \u1085?\u1072? \u1087?\u1086?\u1083?\u1086?\u1078?\u1077?\u1085?\u1080?\u1077?\u1090?\u1086? \u1085?\u1072? \u1083?\u1080?\u1087?\u1089?\u1072? \u1085?\u1072? \u1088?\u1077?\u1094?\u1080?\u1087?\u1088?\u1086?\u1095?\u1085?\u1086?\u1089?\u1090? \u1089? \u1085?\u1103?\u1082?\u1086?\u1080? \u1090?\u1088?\u1077?\u1090?\u1080? \u1076?\u1098?\u1088?\u1078?\u1072?\u1074?\u1080? \u1074? \u1086?\u1073?\u1083?\u1072?\u1089?\u1090?\u1090?\u1072? \u1085?\u1072? \u1074?\u1080?\u1079?\u1086?\u1074?\u1072?\u1090?\u1072? \u1087?\u1086?\u1083?\u1080?\u1090?\u1080?\u1082?\u1072?"/>
    <w:docVar w:name="LW_TYPE.DOC.CP" w:val="\u1044?\u1054?\u1050?\u1051?\u1040?\u1044? \u1053?\u1040? \u1050?\u1054?\u1052?\u1048?\u1057?\u1048?\u1071?\u1058?\u1040?"/>
    <w:docVar w:name="Stamp" w:val="\\dossiers.dgt.cec.eu.int\dossiers\HOME\HOME-2015-00775\HOME-2015-00775-00-00-EN-REV-00.DOC"/>
  </w:docVars>
  <w:rsids>
    <w:rsidRoot w:val="001E4FCF"/>
    <w:rsid w:val="001E4FCF"/>
    <w:rsid w:val="00D2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76" w:lineRule="auto"/>
      <w:jc w:val="both"/>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line="240" w:lineRule="auto"/>
    </w:pPr>
    <w:rPr>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paragraph" w:styleId="FootnoteText">
    <w:name w:val="footnote text"/>
    <w:basedOn w:val="Normal"/>
    <w:uiPriority w:val="99"/>
    <w:semiHidden/>
    <w:unhideWhenUsed/>
    <w:pPr>
      <w:spacing w:before="0" w:after="0" w:line="240" w:lineRule="auto"/>
      <w:jc w:val="left"/>
    </w:pPr>
    <w:rPr>
      <w:rFonts w:ascii="Calibri" w:hAnsi="Calibri"/>
      <w:sz w:val="20"/>
      <w:szCs w:val="20"/>
    </w:rPr>
  </w:style>
  <w:style w:type="character" w:customStyle="1" w:styleId="FootnoteTextChar">
    <w:name w:val="Footnote Text Char"/>
    <w:uiPriority w:val="99"/>
    <w:semiHidden/>
    <w:rPr>
      <w:rFonts w:ascii="Calibri" w:eastAsia="Calibri" w:hAnsi="Calibri" w:cs="Times New Roman"/>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uiPriority w:val="99"/>
    <w:semiHidden/>
    <w:rPr>
      <w:shd w:val="clear" w:color="auto" w:fill="auto"/>
      <w:vertAlign w:val="superscript"/>
    </w:rPr>
  </w:style>
  <w:style w:type="character" w:styleId="Hyperlink">
    <w:name w:val="Hyperlink"/>
    <w:uiPriority w:val="99"/>
    <w:unhideWhenUsed/>
    <w:rPr>
      <w:color w:val="0000FF"/>
      <w:u w:val="single"/>
    </w:rPr>
  </w:style>
  <w:style w:type="paragraph" w:customStyle="1" w:styleId="Text1">
    <w:name w:val="Text 1"/>
    <w:basedOn w:val="Normal"/>
    <w:pPr>
      <w:spacing w:line="240" w:lineRule="auto"/>
      <w:ind w:left="850"/>
    </w:pPr>
    <w:rPr>
      <w:rFonts w:eastAsia="Times New Roman"/>
      <w:szCs w:val="24"/>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character" w:styleId="Strong">
    <w:name w:val="Strong"/>
    <w:uiPriority w:val="22"/>
    <w:qFormat/>
    <w:rPr>
      <w:b/>
      <w:bCs/>
    </w:rPr>
  </w:style>
  <w:style w:type="paragraph" w:styleId="PlainText">
    <w:name w:val="Plain Text"/>
    <w:basedOn w:val="Normal"/>
    <w:link w:val="PlainTextChar"/>
    <w:uiPriority w:val="99"/>
    <w:unhideWhenUsed/>
    <w:pPr>
      <w:spacing w:before="0" w:after="0" w:line="240" w:lineRule="auto"/>
      <w:jc w:val="left"/>
    </w:pPr>
    <w:rPr>
      <w:rFonts w:ascii="Calibri" w:hAnsi="Calibri"/>
      <w:sz w:val="22"/>
      <w:szCs w:val="21"/>
    </w:rPr>
  </w:style>
  <w:style w:type="character" w:customStyle="1" w:styleId="PlainTextChar">
    <w:name w:val="Plain Text Char"/>
    <w:link w:val="PlainText"/>
    <w:uiPriority w:val="99"/>
    <w:rPr>
      <w:rFonts w:ascii="Calibri" w:hAnsi="Calibri"/>
      <w:szCs w:val="21"/>
    </w:rPr>
  </w:style>
  <w:style w:type="paragraph" w:customStyle="1" w:styleId="Contact">
    <w:name w:val="Contact"/>
    <w:basedOn w:val="Normal"/>
    <w:next w:val="Normal"/>
    <w:rsid w:val="00D27247"/>
    <w:pPr>
      <w:spacing w:before="480" w:after="0" w:line="240" w:lineRule="auto"/>
      <w:ind w:left="567" w:hanging="567"/>
      <w:jc w:val="left"/>
    </w:pPr>
    <w:rPr>
      <w:rFonts w:eastAsia="Times New Roman"/>
      <w:szCs w:val="20"/>
      <w:lang w:eastAsia="en-US" w:bidi="ar-SA"/>
    </w:rPr>
  </w:style>
  <w:style w:type="paragraph" w:styleId="ListBullet">
    <w:name w:val="List Bullet"/>
    <w:basedOn w:val="Normal"/>
    <w:rsid w:val="00D27247"/>
    <w:pPr>
      <w:numPr>
        <w:numId w:val="17"/>
      </w:numPr>
      <w:spacing w:before="0" w:after="240" w:line="240" w:lineRule="auto"/>
    </w:pPr>
    <w:rPr>
      <w:rFonts w:eastAsia="Times New Roman"/>
      <w:szCs w:val="20"/>
      <w:lang w:eastAsia="en-US" w:bidi="ar-SA"/>
    </w:rPr>
  </w:style>
  <w:style w:type="paragraph" w:customStyle="1" w:styleId="ListBullet1">
    <w:name w:val="List Bullet 1"/>
    <w:basedOn w:val="Text1"/>
    <w:rsid w:val="00D27247"/>
    <w:pPr>
      <w:numPr>
        <w:numId w:val="18"/>
      </w:numPr>
      <w:spacing w:before="0" w:after="240"/>
    </w:pPr>
    <w:rPr>
      <w:szCs w:val="20"/>
      <w:lang w:eastAsia="en-US" w:bidi="ar-SA"/>
    </w:rPr>
  </w:style>
  <w:style w:type="paragraph" w:styleId="ListBullet2">
    <w:name w:val="List Bullet 2"/>
    <w:basedOn w:val="Normal"/>
    <w:rsid w:val="00D27247"/>
    <w:pPr>
      <w:numPr>
        <w:numId w:val="19"/>
      </w:numPr>
      <w:spacing w:before="0" w:after="240" w:line="240" w:lineRule="auto"/>
    </w:pPr>
    <w:rPr>
      <w:rFonts w:eastAsia="Times New Roman"/>
      <w:szCs w:val="20"/>
      <w:lang w:eastAsia="en-US" w:bidi="ar-SA"/>
    </w:rPr>
  </w:style>
  <w:style w:type="paragraph" w:styleId="ListBullet3">
    <w:name w:val="List Bullet 3"/>
    <w:basedOn w:val="Normal"/>
    <w:rsid w:val="00D27247"/>
    <w:pPr>
      <w:numPr>
        <w:numId w:val="20"/>
      </w:numPr>
      <w:spacing w:before="0" w:after="240" w:line="240" w:lineRule="auto"/>
    </w:pPr>
    <w:rPr>
      <w:rFonts w:eastAsia="Times New Roman"/>
      <w:szCs w:val="20"/>
      <w:lang w:eastAsia="en-US" w:bidi="ar-SA"/>
    </w:rPr>
  </w:style>
  <w:style w:type="paragraph" w:styleId="ListBullet4">
    <w:name w:val="List Bullet 4"/>
    <w:basedOn w:val="Normal"/>
    <w:rsid w:val="00D27247"/>
    <w:pPr>
      <w:numPr>
        <w:numId w:val="21"/>
      </w:numPr>
      <w:spacing w:before="0" w:after="240" w:line="240" w:lineRule="auto"/>
    </w:pPr>
    <w:rPr>
      <w:rFonts w:eastAsia="Times New Roman"/>
      <w:szCs w:val="20"/>
      <w:lang w:eastAsia="en-US" w:bidi="ar-SA"/>
    </w:rPr>
  </w:style>
  <w:style w:type="paragraph" w:customStyle="1" w:styleId="ListDash">
    <w:name w:val="List Dash"/>
    <w:basedOn w:val="Normal"/>
    <w:rsid w:val="00D27247"/>
    <w:pPr>
      <w:numPr>
        <w:numId w:val="22"/>
      </w:numPr>
      <w:spacing w:before="0" w:after="240" w:line="240" w:lineRule="auto"/>
    </w:pPr>
    <w:rPr>
      <w:rFonts w:eastAsia="Times New Roman"/>
      <w:szCs w:val="20"/>
      <w:lang w:eastAsia="en-US" w:bidi="ar-SA"/>
    </w:rPr>
  </w:style>
  <w:style w:type="paragraph" w:customStyle="1" w:styleId="ListDash1">
    <w:name w:val="List Dash 1"/>
    <w:basedOn w:val="Text1"/>
    <w:rsid w:val="00D27247"/>
    <w:pPr>
      <w:numPr>
        <w:numId w:val="23"/>
      </w:numPr>
      <w:spacing w:before="0" w:after="240"/>
    </w:pPr>
    <w:rPr>
      <w:szCs w:val="20"/>
      <w:lang w:eastAsia="en-US" w:bidi="ar-SA"/>
    </w:rPr>
  </w:style>
  <w:style w:type="paragraph" w:customStyle="1" w:styleId="ListDash2">
    <w:name w:val="List Dash 2"/>
    <w:basedOn w:val="Normal"/>
    <w:rsid w:val="00D27247"/>
    <w:pPr>
      <w:numPr>
        <w:numId w:val="24"/>
      </w:numPr>
      <w:spacing w:before="0" w:after="240" w:line="240" w:lineRule="auto"/>
    </w:pPr>
    <w:rPr>
      <w:rFonts w:eastAsia="Times New Roman"/>
      <w:szCs w:val="20"/>
      <w:lang w:eastAsia="en-US" w:bidi="ar-SA"/>
    </w:rPr>
  </w:style>
  <w:style w:type="paragraph" w:customStyle="1" w:styleId="ListDash3">
    <w:name w:val="List Dash 3"/>
    <w:basedOn w:val="Normal"/>
    <w:rsid w:val="00D27247"/>
    <w:pPr>
      <w:numPr>
        <w:numId w:val="25"/>
      </w:numPr>
      <w:spacing w:before="0" w:after="240" w:line="240" w:lineRule="auto"/>
    </w:pPr>
    <w:rPr>
      <w:rFonts w:eastAsia="Times New Roman"/>
      <w:szCs w:val="20"/>
      <w:lang w:eastAsia="en-US" w:bidi="ar-SA"/>
    </w:rPr>
  </w:style>
  <w:style w:type="paragraph" w:customStyle="1" w:styleId="ListDash4">
    <w:name w:val="List Dash 4"/>
    <w:basedOn w:val="Normal"/>
    <w:rsid w:val="00D27247"/>
    <w:pPr>
      <w:numPr>
        <w:numId w:val="26"/>
      </w:numPr>
      <w:spacing w:before="0" w:after="240" w:line="240" w:lineRule="auto"/>
    </w:pPr>
    <w:rPr>
      <w:rFonts w:eastAsia="Times New Roman"/>
      <w:szCs w:val="20"/>
      <w:lang w:eastAsia="en-US" w:bidi="ar-SA"/>
    </w:rPr>
  </w:style>
  <w:style w:type="paragraph" w:styleId="ListNumber">
    <w:name w:val="List Number"/>
    <w:basedOn w:val="Normal"/>
    <w:rsid w:val="00D27247"/>
    <w:pPr>
      <w:numPr>
        <w:numId w:val="42"/>
      </w:numPr>
      <w:spacing w:before="0" w:after="240" w:line="240" w:lineRule="auto"/>
    </w:pPr>
    <w:rPr>
      <w:rFonts w:eastAsia="Times New Roman"/>
      <w:szCs w:val="20"/>
      <w:lang w:eastAsia="en-US" w:bidi="ar-SA"/>
    </w:rPr>
  </w:style>
  <w:style w:type="paragraph" w:customStyle="1" w:styleId="ListNumber1">
    <w:name w:val="List Number 1"/>
    <w:basedOn w:val="Text1"/>
    <w:rsid w:val="00D27247"/>
    <w:pPr>
      <w:numPr>
        <w:numId w:val="43"/>
      </w:numPr>
      <w:spacing w:before="0" w:after="240"/>
    </w:pPr>
    <w:rPr>
      <w:szCs w:val="20"/>
      <w:lang w:eastAsia="en-US" w:bidi="ar-SA"/>
    </w:rPr>
  </w:style>
  <w:style w:type="paragraph" w:styleId="ListNumber2">
    <w:name w:val="List Number 2"/>
    <w:basedOn w:val="Normal"/>
    <w:rsid w:val="00D27247"/>
    <w:pPr>
      <w:numPr>
        <w:numId w:val="44"/>
      </w:numPr>
      <w:spacing w:before="0" w:after="240" w:line="240" w:lineRule="auto"/>
    </w:pPr>
    <w:rPr>
      <w:rFonts w:eastAsia="Times New Roman"/>
      <w:szCs w:val="20"/>
      <w:lang w:eastAsia="en-US" w:bidi="ar-SA"/>
    </w:rPr>
  </w:style>
  <w:style w:type="paragraph" w:styleId="ListNumber3">
    <w:name w:val="List Number 3"/>
    <w:basedOn w:val="Normal"/>
    <w:rsid w:val="00D27247"/>
    <w:pPr>
      <w:numPr>
        <w:numId w:val="45"/>
      </w:numPr>
      <w:spacing w:before="0" w:after="240" w:line="240" w:lineRule="auto"/>
    </w:pPr>
    <w:rPr>
      <w:rFonts w:eastAsia="Times New Roman"/>
      <w:szCs w:val="20"/>
      <w:lang w:eastAsia="en-US" w:bidi="ar-SA"/>
    </w:rPr>
  </w:style>
  <w:style w:type="paragraph" w:styleId="ListNumber4">
    <w:name w:val="List Number 4"/>
    <w:basedOn w:val="Normal"/>
    <w:rsid w:val="00D27247"/>
    <w:pPr>
      <w:numPr>
        <w:numId w:val="46"/>
      </w:numPr>
      <w:spacing w:before="0" w:after="240" w:line="240" w:lineRule="auto"/>
    </w:pPr>
    <w:rPr>
      <w:rFonts w:eastAsia="Times New Roman"/>
      <w:szCs w:val="20"/>
      <w:lang w:eastAsia="en-US" w:bidi="ar-SA"/>
    </w:rPr>
  </w:style>
  <w:style w:type="paragraph" w:customStyle="1" w:styleId="ListNumberLevel2">
    <w:name w:val="List Number (Level 2)"/>
    <w:basedOn w:val="Normal"/>
    <w:rsid w:val="00D27247"/>
    <w:pPr>
      <w:numPr>
        <w:ilvl w:val="1"/>
        <w:numId w:val="42"/>
      </w:numPr>
      <w:spacing w:before="0" w:after="240" w:line="240" w:lineRule="auto"/>
    </w:pPr>
    <w:rPr>
      <w:rFonts w:eastAsia="Times New Roman"/>
      <w:szCs w:val="20"/>
      <w:lang w:eastAsia="en-US" w:bidi="ar-SA"/>
    </w:rPr>
  </w:style>
  <w:style w:type="paragraph" w:customStyle="1" w:styleId="ListNumber1Level2">
    <w:name w:val="List Number 1 (Level 2)"/>
    <w:basedOn w:val="Text1"/>
    <w:rsid w:val="00D27247"/>
    <w:pPr>
      <w:numPr>
        <w:ilvl w:val="1"/>
        <w:numId w:val="43"/>
      </w:numPr>
      <w:spacing w:before="0" w:after="240"/>
    </w:pPr>
    <w:rPr>
      <w:szCs w:val="20"/>
      <w:lang w:eastAsia="en-US" w:bidi="ar-SA"/>
    </w:rPr>
  </w:style>
  <w:style w:type="paragraph" w:customStyle="1" w:styleId="ListNumber2Level2">
    <w:name w:val="List Number 2 (Level 2)"/>
    <w:basedOn w:val="Normal"/>
    <w:rsid w:val="00D27247"/>
    <w:pPr>
      <w:numPr>
        <w:ilvl w:val="1"/>
        <w:numId w:val="44"/>
      </w:numPr>
      <w:spacing w:before="0" w:after="240" w:line="240" w:lineRule="auto"/>
    </w:pPr>
    <w:rPr>
      <w:rFonts w:eastAsia="Times New Roman"/>
      <w:szCs w:val="20"/>
      <w:lang w:eastAsia="en-US" w:bidi="ar-SA"/>
    </w:rPr>
  </w:style>
  <w:style w:type="paragraph" w:customStyle="1" w:styleId="ListNumber3Level2">
    <w:name w:val="List Number 3 (Level 2)"/>
    <w:basedOn w:val="Normal"/>
    <w:rsid w:val="00D27247"/>
    <w:pPr>
      <w:numPr>
        <w:ilvl w:val="1"/>
        <w:numId w:val="45"/>
      </w:numPr>
      <w:spacing w:before="0" w:after="240" w:line="240" w:lineRule="auto"/>
    </w:pPr>
    <w:rPr>
      <w:rFonts w:eastAsia="Times New Roman"/>
      <w:szCs w:val="20"/>
      <w:lang w:eastAsia="en-US" w:bidi="ar-SA"/>
    </w:rPr>
  </w:style>
  <w:style w:type="paragraph" w:customStyle="1" w:styleId="ListNumber4Level2">
    <w:name w:val="List Number 4 (Level 2)"/>
    <w:basedOn w:val="Normal"/>
    <w:rsid w:val="00D27247"/>
    <w:pPr>
      <w:numPr>
        <w:ilvl w:val="1"/>
        <w:numId w:val="46"/>
      </w:numPr>
      <w:spacing w:before="0" w:after="240" w:line="240" w:lineRule="auto"/>
    </w:pPr>
    <w:rPr>
      <w:rFonts w:eastAsia="Times New Roman"/>
      <w:szCs w:val="20"/>
      <w:lang w:eastAsia="en-US" w:bidi="ar-SA"/>
    </w:rPr>
  </w:style>
  <w:style w:type="paragraph" w:customStyle="1" w:styleId="ListNumberLevel3">
    <w:name w:val="List Number (Level 3)"/>
    <w:basedOn w:val="Normal"/>
    <w:rsid w:val="00D27247"/>
    <w:pPr>
      <w:numPr>
        <w:ilvl w:val="2"/>
        <w:numId w:val="42"/>
      </w:numPr>
      <w:spacing w:before="0" w:after="240" w:line="240" w:lineRule="auto"/>
    </w:pPr>
    <w:rPr>
      <w:rFonts w:eastAsia="Times New Roman"/>
      <w:szCs w:val="20"/>
      <w:lang w:eastAsia="en-US" w:bidi="ar-SA"/>
    </w:rPr>
  </w:style>
  <w:style w:type="paragraph" w:customStyle="1" w:styleId="ListNumber1Level3">
    <w:name w:val="List Number 1 (Level 3)"/>
    <w:basedOn w:val="Text1"/>
    <w:rsid w:val="00D27247"/>
    <w:pPr>
      <w:numPr>
        <w:ilvl w:val="2"/>
        <w:numId w:val="43"/>
      </w:numPr>
      <w:spacing w:before="0" w:after="240"/>
    </w:pPr>
    <w:rPr>
      <w:szCs w:val="20"/>
      <w:lang w:eastAsia="en-US" w:bidi="ar-SA"/>
    </w:rPr>
  </w:style>
  <w:style w:type="paragraph" w:customStyle="1" w:styleId="ListNumber2Level3">
    <w:name w:val="List Number 2 (Level 3)"/>
    <w:basedOn w:val="Normal"/>
    <w:rsid w:val="00D27247"/>
    <w:pPr>
      <w:numPr>
        <w:ilvl w:val="2"/>
        <w:numId w:val="44"/>
      </w:numPr>
      <w:spacing w:before="0" w:after="240" w:line="240" w:lineRule="auto"/>
    </w:pPr>
    <w:rPr>
      <w:rFonts w:eastAsia="Times New Roman"/>
      <w:szCs w:val="20"/>
      <w:lang w:eastAsia="en-US" w:bidi="ar-SA"/>
    </w:rPr>
  </w:style>
  <w:style w:type="paragraph" w:customStyle="1" w:styleId="ListNumber3Level3">
    <w:name w:val="List Number 3 (Level 3)"/>
    <w:basedOn w:val="Normal"/>
    <w:rsid w:val="00D27247"/>
    <w:pPr>
      <w:numPr>
        <w:ilvl w:val="2"/>
        <w:numId w:val="45"/>
      </w:numPr>
      <w:spacing w:before="0" w:after="240" w:line="240" w:lineRule="auto"/>
    </w:pPr>
    <w:rPr>
      <w:rFonts w:eastAsia="Times New Roman"/>
      <w:szCs w:val="20"/>
      <w:lang w:eastAsia="en-US" w:bidi="ar-SA"/>
    </w:rPr>
  </w:style>
  <w:style w:type="paragraph" w:customStyle="1" w:styleId="ListNumber4Level3">
    <w:name w:val="List Number 4 (Level 3)"/>
    <w:basedOn w:val="Normal"/>
    <w:rsid w:val="00D27247"/>
    <w:pPr>
      <w:numPr>
        <w:ilvl w:val="2"/>
        <w:numId w:val="46"/>
      </w:numPr>
      <w:spacing w:before="0" w:after="240" w:line="240" w:lineRule="auto"/>
    </w:pPr>
    <w:rPr>
      <w:rFonts w:eastAsia="Times New Roman"/>
      <w:szCs w:val="20"/>
      <w:lang w:eastAsia="en-US" w:bidi="ar-SA"/>
    </w:rPr>
  </w:style>
  <w:style w:type="paragraph" w:customStyle="1" w:styleId="ListNumberLevel4">
    <w:name w:val="List Number (Level 4)"/>
    <w:basedOn w:val="Normal"/>
    <w:rsid w:val="00D27247"/>
    <w:pPr>
      <w:numPr>
        <w:ilvl w:val="3"/>
        <w:numId w:val="42"/>
      </w:numPr>
      <w:spacing w:before="0" w:after="240" w:line="240" w:lineRule="auto"/>
    </w:pPr>
    <w:rPr>
      <w:rFonts w:eastAsia="Times New Roman"/>
      <w:szCs w:val="20"/>
      <w:lang w:eastAsia="en-US" w:bidi="ar-SA"/>
    </w:rPr>
  </w:style>
  <w:style w:type="paragraph" w:customStyle="1" w:styleId="ListNumber1Level4">
    <w:name w:val="List Number 1 (Level 4)"/>
    <w:basedOn w:val="Text1"/>
    <w:rsid w:val="00D27247"/>
    <w:pPr>
      <w:numPr>
        <w:ilvl w:val="3"/>
        <w:numId w:val="43"/>
      </w:numPr>
      <w:spacing w:before="0" w:after="240"/>
    </w:pPr>
    <w:rPr>
      <w:szCs w:val="20"/>
      <w:lang w:eastAsia="en-US" w:bidi="ar-SA"/>
    </w:rPr>
  </w:style>
  <w:style w:type="paragraph" w:customStyle="1" w:styleId="ListNumber2Level4">
    <w:name w:val="List Number 2 (Level 4)"/>
    <w:basedOn w:val="Normal"/>
    <w:rsid w:val="00D27247"/>
    <w:pPr>
      <w:numPr>
        <w:ilvl w:val="3"/>
        <w:numId w:val="44"/>
      </w:numPr>
      <w:spacing w:before="0" w:after="240" w:line="240" w:lineRule="auto"/>
    </w:pPr>
    <w:rPr>
      <w:rFonts w:eastAsia="Times New Roman"/>
      <w:szCs w:val="20"/>
      <w:lang w:eastAsia="en-US" w:bidi="ar-SA"/>
    </w:rPr>
  </w:style>
  <w:style w:type="paragraph" w:customStyle="1" w:styleId="ListNumber3Level4">
    <w:name w:val="List Number 3 (Level 4)"/>
    <w:basedOn w:val="Normal"/>
    <w:rsid w:val="00D27247"/>
    <w:pPr>
      <w:numPr>
        <w:ilvl w:val="3"/>
        <w:numId w:val="45"/>
      </w:numPr>
      <w:spacing w:before="0" w:after="240" w:line="240" w:lineRule="auto"/>
    </w:pPr>
    <w:rPr>
      <w:rFonts w:eastAsia="Times New Roman"/>
      <w:szCs w:val="20"/>
      <w:lang w:eastAsia="en-US" w:bidi="ar-SA"/>
    </w:rPr>
  </w:style>
  <w:style w:type="paragraph" w:customStyle="1" w:styleId="ListNumber4Level4">
    <w:name w:val="List Number 4 (Level 4)"/>
    <w:basedOn w:val="Normal"/>
    <w:rsid w:val="00D27247"/>
    <w:pPr>
      <w:numPr>
        <w:ilvl w:val="3"/>
        <w:numId w:val="46"/>
      </w:numPr>
      <w:spacing w:before="0" w:after="240" w:line="240" w:lineRule="auto"/>
    </w:pPr>
    <w:rPr>
      <w:rFonts w:eastAsia="Times New Roman"/>
      <w:szCs w:val="20"/>
      <w:lang w:eastAsia="en-US" w:bidi="ar-SA"/>
    </w:rPr>
  </w:style>
  <w:style w:type="paragraph" w:styleId="TOC5">
    <w:name w:val="toc 5"/>
    <w:basedOn w:val="Normal"/>
    <w:next w:val="Normal"/>
    <w:semiHidden/>
    <w:rsid w:val="00D27247"/>
    <w:pPr>
      <w:tabs>
        <w:tab w:val="right" w:leader="dot" w:pos="8641"/>
      </w:tabs>
      <w:spacing w:before="240" w:line="240" w:lineRule="auto"/>
      <w:ind w:right="720"/>
    </w:pPr>
    <w:rPr>
      <w:rFonts w:eastAsia="Times New Roman"/>
      <w:caps/>
      <w:szCs w:val="20"/>
      <w:lang w:eastAsia="en-US" w:bidi="ar-SA"/>
    </w:rPr>
  </w:style>
  <w:style w:type="paragraph" w:styleId="TOCHeading">
    <w:name w:val="TOC Heading"/>
    <w:basedOn w:val="Normal"/>
    <w:next w:val="Normal"/>
    <w:qFormat/>
    <w:rsid w:val="00D27247"/>
    <w:pPr>
      <w:keepNext/>
      <w:spacing w:before="240" w:after="240" w:line="240" w:lineRule="auto"/>
      <w:jc w:val="center"/>
    </w:pPr>
    <w:rPr>
      <w:rFonts w:eastAsia="Times New Roman"/>
      <w:b/>
      <w:szCs w:val="20"/>
      <w:lang w:eastAsia="en-US" w:bidi="ar-SA"/>
    </w:rPr>
  </w:style>
  <w:style w:type="paragraph" w:styleId="TOC1">
    <w:name w:val="toc 1"/>
    <w:basedOn w:val="Normal"/>
    <w:next w:val="Normal"/>
    <w:semiHidden/>
    <w:pPr>
      <w:tabs>
        <w:tab w:val="right" w:leader="dot" w:pos="8640"/>
      </w:tabs>
      <w:spacing w:line="240" w:lineRule="auto"/>
      <w:ind w:left="482" w:right="720" w:hanging="482"/>
    </w:pPr>
    <w:rPr>
      <w:rFonts w:eastAsia="Times New Roman"/>
      <w:caps/>
      <w:szCs w:val="20"/>
    </w:rPr>
  </w:style>
  <w:style w:type="paragraph" w:styleId="TOC2">
    <w:name w:val="toc 2"/>
    <w:basedOn w:val="Normal"/>
    <w:next w:val="Normal"/>
    <w:semiHidden/>
    <w:pPr>
      <w:tabs>
        <w:tab w:val="right" w:leader="dot" w:pos="8640"/>
      </w:tabs>
      <w:spacing w:before="60" w:after="60" w:line="240" w:lineRule="auto"/>
      <w:ind w:left="1077" w:right="720" w:hanging="595"/>
    </w:pPr>
    <w:rPr>
      <w:rFonts w:eastAsia="Times New Roman"/>
      <w:szCs w:val="20"/>
    </w:rPr>
  </w:style>
  <w:style w:type="paragraph" w:styleId="TOC3">
    <w:name w:val="toc 3"/>
    <w:basedOn w:val="Normal"/>
    <w:next w:val="Normal"/>
    <w:semiHidden/>
    <w:pPr>
      <w:tabs>
        <w:tab w:val="right" w:leader="dot" w:pos="8640"/>
      </w:tabs>
      <w:spacing w:before="60" w:after="60" w:line="240" w:lineRule="auto"/>
      <w:ind w:left="1916" w:right="720" w:hanging="839"/>
    </w:pPr>
    <w:rPr>
      <w:rFonts w:eastAsia="Times New Roman"/>
      <w:szCs w:val="20"/>
    </w:rPr>
  </w:style>
  <w:style w:type="paragraph" w:styleId="TOC4">
    <w:name w:val="toc 4"/>
    <w:basedOn w:val="Normal"/>
    <w:next w:val="Normal"/>
    <w:semiHidden/>
    <w:pPr>
      <w:tabs>
        <w:tab w:val="right" w:leader="dot" w:pos="8641"/>
      </w:tabs>
      <w:spacing w:before="60" w:after="60" w:line="240" w:lineRule="auto"/>
      <w:ind w:left="2880" w:right="720" w:hanging="964"/>
    </w:pPr>
    <w:rPr>
      <w:rFonts w:eastAsia="Times New Roman"/>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60995">
      <w:bodyDiv w:val="1"/>
      <w:marLeft w:val="0"/>
      <w:marRight w:val="0"/>
      <w:marTop w:val="0"/>
      <w:marBottom w:val="0"/>
      <w:divBdr>
        <w:top w:val="none" w:sz="0" w:space="0" w:color="auto"/>
        <w:left w:val="none" w:sz="0" w:space="0" w:color="auto"/>
        <w:bottom w:val="none" w:sz="0" w:space="0" w:color="auto"/>
        <w:right w:val="none" w:sz="0" w:space="0" w:color="auto"/>
      </w:divBdr>
    </w:div>
    <w:div w:id="517238706">
      <w:bodyDiv w:val="1"/>
      <w:marLeft w:val="0"/>
      <w:marRight w:val="0"/>
      <w:marTop w:val="0"/>
      <w:marBottom w:val="0"/>
      <w:divBdr>
        <w:top w:val="none" w:sz="0" w:space="0" w:color="auto"/>
        <w:left w:val="none" w:sz="0" w:space="0" w:color="auto"/>
        <w:bottom w:val="none" w:sz="0" w:space="0" w:color="auto"/>
        <w:right w:val="none" w:sz="0" w:space="0" w:color="auto"/>
      </w:divBdr>
    </w:div>
    <w:div w:id="838425311">
      <w:bodyDiv w:val="1"/>
      <w:marLeft w:val="0"/>
      <w:marRight w:val="0"/>
      <w:marTop w:val="0"/>
      <w:marBottom w:val="0"/>
      <w:divBdr>
        <w:top w:val="none" w:sz="0" w:space="0" w:color="auto"/>
        <w:left w:val="none" w:sz="0" w:space="0" w:color="auto"/>
        <w:bottom w:val="none" w:sz="0" w:space="0" w:color="auto"/>
        <w:right w:val="none" w:sz="0" w:space="0" w:color="auto"/>
      </w:divBdr>
    </w:div>
    <w:div w:id="2042975236">
      <w:bodyDiv w:val="1"/>
      <w:marLeft w:val="0"/>
      <w:marRight w:val="0"/>
      <w:marTop w:val="0"/>
      <w:marBottom w:val="0"/>
      <w:divBdr>
        <w:top w:val="none" w:sz="0" w:space="0" w:color="auto"/>
        <w:left w:val="none" w:sz="0" w:space="0" w:color="auto"/>
        <w:bottom w:val="none" w:sz="0" w:space="0" w:color="auto"/>
        <w:right w:val="none" w:sz="0" w:space="0" w:color="auto"/>
      </w:divBdr>
      <w:divsChild>
        <w:div w:id="283583627">
          <w:marLeft w:val="0"/>
          <w:marRight w:val="0"/>
          <w:marTop w:val="0"/>
          <w:marBottom w:val="0"/>
          <w:divBdr>
            <w:top w:val="none" w:sz="0" w:space="0" w:color="auto"/>
            <w:left w:val="none" w:sz="0" w:space="0" w:color="auto"/>
            <w:bottom w:val="none" w:sz="0" w:space="0" w:color="auto"/>
            <w:right w:val="none" w:sz="0" w:space="0" w:color="auto"/>
          </w:divBdr>
          <w:divsChild>
            <w:div w:id="412943741">
              <w:marLeft w:val="0"/>
              <w:marRight w:val="0"/>
              <w:marTop w:val="0"/>
              <w:marBottom w:val="0"/>
              <w:divBdr>
                <w:top w:val="none" w:sz="0" w:space="0" w:color="auto"/>
                <w:left w:val="none" w:sz="0" w:space="0" w:color="auto"/>
                <w:bottom w:val="none" w:sz="0" w:space="0" w:color="auto"/>
                <w:right w:val="none" w:sz="0" w:space="0" w:color="auto"/>
              </w:divBdr>
            </w:div>
            <w:div w:id="1965236550">
              <w:marLeft w:val="0"/>
              <w:marRight w:val="0"/>
              <w:marTop w:val="0"/>
              <w:marBottom w:val="0"/>
              <w:divBdr>
                <w:top w:val="none" w:sz="0" w:space="0" w:color="auto"/>
                <w:left w:val="none" w:sz="0" w:space="0" w:color="auto"/>
                <w:bottom w:val="none" w:sz="0" w:space="0" w:color="auto"/>
                <w:right w:val="none" w:sz="0" w:space="0" w:color="auto"/>
              </w:divBdr>
            </w:div>
          </w:divsChild>
        </w:div>
        <w:div w:id="1598445907">
          <w:marLeft w:val="0"/>
          <w:marRight w:val="0"/>
          <w:marTop w:val="0"/>
          <w:marBottom w:val="0"/>
          <w:divBdr>
            <w:top w:val="none" w:sz="0" w:space="0" w:color="auto"/>
            <w:left w:val="none" w:sz="0" w:space="0" w:color="auto"/>
            <w:bottom w:val="none" w:sz="0" w:space="0" w:color="auto"/>
            <w:right w:val="none" w:sz="0" w:space="0" w:color="auto"/>
          </w:divBdr>
          <w:divsChild>
            <w:div w:id="5154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hs.gov/news/2015/08/06/statement-secretary-jeh-c-johnson-intention-implement-security-enhancements-visa" TargetMode="External"/><Relationship Id="rId2" Type="http://schemas.openxmlformats.org/officeDocument/2006/relationships/hyperlink" Target="http://thomas.loc.gov/cgi-bin/query/z?c114:S.1507" TargetMode="External"/><Relationship Id="rId1" Type="http://schemas.openxmlformats.org/officeDocument/2006/relationships/hyperlink" Target="http://www.cic.gc.ca/english/visit/eta.asp?utm_source=slash-eta&amp;utm_medium=sh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507C0-C940-4834-A8E9-519A73C7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15</TotalTime>
  <Pages>10</Pages>
  <Words>4286</Words>
  <Characters>23662</Characters>
  <Application>Microsoft Office Word</Application>
  <DocSecurity>0</DocSecurity>
  <Lines>387</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27881</CharactersWithSpaces>
  <SharedDoc>false</SharedDoc>
  <HLinks>
    <vt:vector size="18" baseType="variant">
      <vt:variant>
        <vt:i4>7929918</vt:i4>
      </vt:variant>
      <vt:variant>
        <vt:i4>6</vt:i4>
      </vt:variant>
      <vt:variant>
        <vt:i4>0</vt:i4>
      </vt:variant>
      <vt:variant>
        <vt:i4>5</vt:i4>
      </vt:variant>
      <vt:variant>
        <vt:lpwstr>http://www.dhs.gov/news/2015/08/06/statement-secretary-jeh-c-johnson-intention-implement-security-enhancements-visa</vt:lpwstr>
      </vt:variant>
      <vt:variant>
        <vt:lpwstr/>
      </vt:variant>
      <vt:variant>
        <vt:i4>1179651</vt:i4>
      </vt:variant>
      <vt:variant>
        <vt:i4>3</vt:i4>
      </vt:variant>
      <vt:variant>
        <vt:i4>0</vt:i4>
      </vt:variant>
      <vt:variant>
        <vt:i4>5</vt:i4>
      </vt:variant>
      <vt:variant>
        <vt:lpwstr>http://thomas.loc.gov/cgi-bin/query/z?c114:S.1507</vt:lpwstr>
      </vt:variant>
      <vt:variant>
        <vt:lpwstr/>
      </vt:variant>
      <vt:variant>
        <vt:i4>6684721</vt:i4>
      </vt:variant>
      <vt:variant>
        <vt:i4>0</vt:i4>
      </vt:variant>
      <vt:variant>
        <vt:i4>0</vt:i4>
      </vt:variant>
      <vt:variant>
        <vt:i4>5</vt:i4>
      </vt:variant>
      <vt:variant>
        <vt:lpwstr>http://www.cic.gc.ca/english/visit/eta.asp?utm_source=slash-eta&amp;utm_medium=short-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KUDRYK Katarzyna (SG)</cp:lastModifiedBy>
  <cp:revision>28</cp:revision>
  <cp:lastPrinted>2015-09-18T14:56:00Z</cp:lastPrinted>
  <dcterms:created xsi:type="dcterms:W3CDTF">2015-10-26T10:37:00Z</dcterms:created>
  <dcterms:modified xsi:type="dcterms:W3CDTF">2015-11-06T07:26:00Z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ELDocType">
    <vt:lpwstr>NOT.DOT</vt:lpwstr>
  </property>
  <property fmtid="{D5CDD505-2E9C-101B-9397-08002B2CF9AE}" pid="7" name="Created using">
    <vt:lpwstr>3.0</vt:lpwstr>
  </property>
  <property fmtid="{D5CDD505-2E9C-101B-9397-08002B2CF9AE}" pid="8" name="Last edited using">
    <vt:lpwstr>EL 4.6 Build 40001</vt:lpwstr>
  </property>
  <property fmtid="{D5CDD505-2E9C-101B-9397-08002B2CF9AE}" pid="9" name="Formatting">
    <vt:lpwstr>4.1</vt:lpwstr>
  </property>
  <property fmtid="{D5CDD505-2E9C-101B-9397-08002B2CF9AE}" pid="10" name="_NewReviewCycle">
    <vt:lpwstr/>
  </property>
</Properties>
</file>