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00F975482D442FA882F55C64571DB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произнасяйки се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определени форми на отклонение от данъчно облагане или избягване на данъци. </w:t>
      </w:r>
    </w:p>
    <w:p>
      <w:pPr>
        <w:pBdr>
          <w:top w:val="nil"/>
          <w:left w:val="nil"/>
          <w:bottom w:val="nil"/>
          <w:right w:val="nil"/>
          <w:between w:val="nil"/>
          <w:bar w:val="nil"/>
        </w:pBdr>
        <w:spacing w:before="0" w:after="240"/>
        <w:rPr>
          <w:rFonts w:eastAsia="Arial Unicode MS"/>
          <w:noProof/>
        </w:rPr>
      </w:pPr>
      <w:r>
        <w:rPr>
          <w:noProof/>
        </w:rPr>
        <w:t>С писмо, заведено в Комисията на 8 април 2015 г., Латвия поиска разрешение да продължи да прилага мярка за дерогация от общите принципи, уреждащи правото на приспадане на ДДС върху получени доставки във връзка с някои леки пътнически автомобили. Заедно с искането за удължаване, Латвия представи доклад за прилагането на Решение за изпълнение № 2013/191/ЕС на Съвета, който включва преглед на процента, предвиден за ограничаването на правото на приспадане. Искането и докладът бяха допълнени на 30 юли 2015 г.</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2 от Директивата за ДДС, с писма от 21 и 24 август 2015 г., Комисията информира останалите държави членки за отправеното от Латвия искане. С писмо от 24 август 2015 г. Комисията уведоми Латвия, че разполага с пълната информация, необходима според нея за оценка на искането.</w:t>
      </w:r>
    </w:p>
    <w:p>
      <w:pPr>
        <w:pBdr>
          <w:top w:val="nil"/>
          <w:left w:val="nil"/>
          <w:bottom w:val="nil"/>
          <w:right w:val="nil"/>
          <w:between w:val="nil"/>
          <w:bar w:val="nil"/>
        </w:pBdr>
        <w:spacing w:before="0" w:after="240"/>
        <w:rPr>
          <w:rFonts w:eastAsia="Arial Unicode MS"/>
          <w:b/>
          <w:noProof/>
        </w:rPr>
      </w:pPr>
      <w:r>
        <w:rPr>
          <w:b/>
          <w:noProof/>
        </w:rPr>
        <w:t>Общ контекст</w:t>
      </w:r>
    </w:p>
    <w:p>
      <w:pPr>
        <w:pBdr>
          <w:top w:val="nil"/>
          <w:left w:val="nil"/>
          <w:bottom w:val="nil"/>
          <w:right w:val="nil"/>
          <w:between w:val="nil"/>
          <w:bar w:val="nil"/>
        </w:pBdr>
        <w:spacing w:before="0" w:after="240"/>
        <w:rPr>
          <w:rFonts w:eastAsia="Arial Unicode MS"/>
          <w:noProof/>
        </w:rPr>
      </w:pPr>
      <w:r>
        <w:rPr>
          <w:noProof/>
        </w:rPr>
        <w:t xml:space="preserve">Член 168 от Директивата за ДДС предвижда данъчно задълженото лице да има правото да приспадне ДДС, начислен при покупки, извършени за целите на неговите облагаеми сделки. Член 26, параграф 1, буква а) от същата директива изисква използването за лични цели на стоки, които са част от стопанските активи, да се счита за възмездна доставка на услуги, ако дължимият за тези стоки ДДС подлежи на приспадане. Тази система позволява възстановяването на първоначално приспаднатия ДДС във връзка с използването за лични цели. </w:t>
      </w:r>
    </w:p>
    <w:p>
      <w:pPr>
        <w:pBdr>
          <w:top w:val="nil"/>
          <w:left w:val="nil"/>
          <w:bottom w:val="nil"/>
          <w:right w:val="nil"/>
          <w:between w:val="nil"/>
          <w:bar w:val="nil"/>
        </w:pBdr>
        <w:spacing w:before="0" w:after="240"/>
        <w:rPr>
          <w:rFonts w:eastAsia="Arial Unicode MS"/>
          <w:noProof/>
        </w:rPr>
      </w:pPr>
      <w:r>
        <w:rPr>
          <w:noProof/>
        </w:rPr>
        <w:t xml:space="preserve">Тя се прилага трудно по отношение на леките пътнически автомобили, най-вече поради факта, че е трудно да се определи границата между използването за лични цели и използването за целите на стопанската дейност. Когато се води специална документация, нейното поддържане и проверка представляват допълнителна тежест както за стопанските субекти, така и за администрацията, дори и Латвия да се възползва от разпоредбите на член 168а от Директивата за ДДС, предвиждащи възможност правото на приспадане за разходи, свързани със служебни автомобили, да се ограничи до частта от реалната употреба за целите на стопанската дейност на данъчно задълженото лице. </w:t>
      </w:r>
    </w:p>
    <w:p>
      <w:pPr>
        <w:pBdr>
          <w:top w:val="nil"/>
          <w:left w:val="nil"/>
          <w:bottom w:val="nil"/>
          <w:right w:val="nil"/>
          <w:between w:val="nil"/>
          <w:bar w:val="nil"/>
        </w:pBdr>
        <w:spacing w:before="0" w:after="240"/>
        <w:rPr>
          <w:rFonts w:eastAsia="Arial Unicode MS"/>
          <w:noProof/>
        </w:rPr>
      </w:pPr>
      <w:r>
        <w:rPr>
          <w:noProof/>
        </w:rPr>
        <w:t xml:space="preserve">За да се опрости събирането на ДДС и да се предотврати отклонението от данъчно облагане, през 2011 г. Латвия поиска индивидуална дерогация, позволяваща ѝ да ограничи до 80 % правото на приспадане на ДДС по отношение на някои леки </w:t>
      </w:r>
      <w:r>
        <w:rPr>
          <w:noProof/>
        </w:rPr>
        <w:lastRenderedPageBreak/>
        <w:t xml:space="preserve">пътнически автомобили. Молбата за дерогация бе одобрена от Съвета с Решение 2013/191/ЕС от 22 април 2013 г., като срокът на дерогацията изтича на 31 декември 2015 г. Някои категории превозни средства бяха изрично изключени от това ограничение, като например автомобили, закупени за препродажба, отдаване под наем или отдаване на лизинг; автомобили, използвани за превоз на пътници (като таксита) или стоки; автомобили, използвани за обучение на водачи на моторни превозни средства; автомобили, използвани за охранителни услуги или спешна помощ; автомобили, използвани като демонстрационно превозно средство при продажба на автомобили. Същевременно предприятията са освободени от декларирането на ДДС при използването за лични цели.  </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6, параграф б) от горепосоченото решение Латвия представи доклад за прилагането на решението, включващ и преглед на процентното ограничение. </w:t>
      </w:r>
    </w:p>
    <w:p>
      <w:pPr>
        <w:pBdr>
          <w:top w:val="nil"/>
          <w:left w:val="nil"/>
          <w:bottom w:val="nil"/>
          <w:right w:val="nil"/>
          <w:between w:val="nil"/>
          <w:bar w:val="nil"/>
        </w:pBdr>
        <w:spacing w:before="0" w:after="240"/>
        <w:rPr>
          <w:rFonts w:eastAsia="Arial Unicode MS"/>
          <w:noProof/>
        </w:rPr>
      </w:pPr>
      <w:r>
        <w:rPr>
          <w:noProof/>
        </w:rPr>
        <w:t xml:space="preserve">От информацията, предоставена от Латвия, е видно, че процент на приспадане 80 % вече не съответства на действителната ситуация и че трябва да се понижи до 50 %. Латвия подкрепя новото процентно ограничение със статистически данни, получени от специален данък за лекотоварни превозни средства, притежавани или държани от търговски оператори, и които се използват за лични нужди и за стопански дейности. Според информацията, предоставена от Латвия, специалният данък е бил платен за 79 % от всички технически изправни лекотоварни превозни средства, държани или притежавани от юридически лица. Освен това, според данните, предоставени от латвийските органи, процентът на юридическите лица, които притежават поне едно регистрирано лекотоварно превозно средство и са платили специалната такса за лекотоварни превозни средства, е бил съответно 87,6 % през 2012 г., 92,5 % през 2013 г. и 86,2 % през 2014 г. Наред с това 99,6 % от регистрираните предприятия в Латвия са малки и средни предприятия. Латвия счита, че въз основа на тази статистическа информация, която обхваща по-голямата част от данъчно задължените лица, може да се заключи, че общо ползването на леки пътнически автомобили за лични цели съответства на 50 %. Следователно новото ограничение следва да се определи на 50 %.   </w:t>
      </w:r>
    </w:p>
    <w:p>
      <w:pPr>
        <w:pBdr>
          <w:top w:val="nil"/>
          <w:left w:val="nil"/>
          <w:bottom w:val="nil"/>
          <w:right w:val="nil"/>
          <w:between w:val="nil"/>
          <w:bar w:val="nil"/>
        </w:pBdr>
        <w:spacing w:before="0" w:after="240"/>
        <w:rPr>
          <w:rFonts w:eastAsia="Arial Unicode MS"/>
          <w:noProof/>
        </w:rPr>
      </w:pPr>
      <w:r>
        <w:rPr>
          <w:noProof/>
        </w:rPr>
        <w:t>Всички други условия за дерогация ще продължат да се прилагат. Така новата система ще се прилага за всички леки пътнически автомобили с максимум осем места за сядане без мястото на водача и с тегло под определена граница, които не се използват изключително за целите на стопанската дейност. По същия начин леките пътнически автомобили, които се използват за някои специфични дейности, ще бъдат изключени от ограничението на правото на приспадане и ще бъдат третирани съгласно общите правила: автомобили, закупени с цел препродажба, отдаване под наем или отдаване на лизинг; автомобили, използвани за превоз на пътници (като таксита) или стоки; автомобили, използвани за обучение на водачи на моторни превозни средства; автомобили, използвани за охранителни услуги или спешна помощ; автомобили, използвани като демонстрационно превозно средство при продажба на автомобили.</w:t>
      </w:r>
    </w:p>
    <w:p>
      <w:pPr>
        <w:pBdr>
          <w:top w:val="nil"/>
          <w:left w:val="nil"/>
          <w:bottom w:val="nil"/>
          <w:right w:val="nil"/>
          <w:between w:val="nil"/>
          <w:bar w:val="nil"/>
        </w:pBdr>
        <w:spacing w:before="0" w:after="240"/>
        <w:rPr>
          <w:rFonts w:eastAsia="Arial Unicode MS"/>
          <w:noProof/>
        </w:rPr>
      </w:pPr>
      <w:r>
        <w:rPr>
          <w:noProof/>
        </w:rPr>
        <w:t>Като се има предвид промяната в процентите, приемането на нова мярка за дерогация е по-подходящо от удължаване на съществуващата. Новата дерогация обаче следва да е с ограничен срок до 31 декември 2018 г., за да се прецени дали условията, на които се основава дерогацията, не са претърпели изменение. Всяко искане за удължаване на срока следва да се придружава от доклад, който включва преглед на прилагания процент, и следва да бъде изпратено на Комисията до 31 март 2018 г.</w:t>
      </w:r>
    </w:p>
    <w:p>
      <w:pPr>
        <w:pStyle w:val="ManualHeading2"/>
        <w:rPr>
          <w:rFonts w:eastAsia="Arial Unicode MS"/>
          <w:noProof/>
          <w:color w:val="000000"/>
          <w:u w:color="000000"/>
          <w:bdr w:val="nil"/>
        </w:rPr>
      </w:pPr>
      <w:r>
        <w:rPr>
          <w:noProof/>
          <w:color w:val="000000"/>
          <w:u w:color="000000"/>
          <w:bdr w:val="nil"/>
        </w:rPr>
        <w:lastRenderedPageBreak/>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Подобни дерогации във връзка с правото на приспадане са били предоставяни на други държави членки, включително на Латвия с Решение за изпълнение 2013/191/ЕС от 22 април 2013 г. </w:t>
      </w:r>
    </w:p>
    <w:p>
      <w:pPr>
        <w:pBdr>
          <w:top w:val="nil"/>
          <w:left w:val="nil"/>
          <w:bottom w:val="nil"/>
          <w:right w:val="nil"/>
          <w:between w:val="nil"/>
          <w:bar w:val="nil"/>
        </w:pBdr>
        <w:spacing w:before="0" w:after="240"/>
        <w:rPr>
          <w:rFonts w:eastAsia="Arial Unicode MS"/>
          <w:noProof/>
        </w:rPr>
      </w:pPr>
      <w:r>
        <w:rPr>
          <w:noProof/>
        </w:rPr>
        <w:t>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изчакване, които ограничават правото на приспадане във връзка с леките пътнически автомобили.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е приложимо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която се основава предложението, 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в съответствие с принципа на пропорционалност поради следните причини: </w:t>
      </w:r>
    </w:p>
    <w:p>
      <w:pPr>
        <w:pBdr>
          <w:top w:val="nil"/>
          <w:left w:val="nil"/>
          <w:bottom w:val="nil"/>
          <w:right w:val="nil"/>
          <w:between w:val="nil"/>
          <w:bar w:val="nil"/>
        </w:pBdr>
        <w:spacing w:before="0" w:after="240"/>
        <w:rPr>
          <w:rFonts w:eastAsia="Arial Unicode MS"/>
          <w:noProof/>
        </w:rPr>
      </w:pPr>
      <w:r>
        <w:rPr>
          <w:noProof/>
        </w:rPr>
        <w:t xml:space="preserve">решението се отнася до даване на разрешение на държава членка по нейно искане и не представлява задължение. </w:t>
      </w:r>
    </w:p>
    <w:p>
      <w:pPr>
        <w:pBdr>
          <w:top w:val="nil"/>
          <w:left w:val="nil"/>
          <w:bottom w:val="nil"/>
          <w:right w:val="nil"/>
          <w:between w:val="nil"/>
          <w:bar w:val="nil"/>
        </w:pBdr>
        <w:spacing w:before="0" w:after="240"/>
        <w:rPr>
          <w:rFonts w:eastAsia="Arial Unicode MS"/>
          <w:noProof/>
        </w:rPr>
      </w:pPr>
      <w:r>
        <w:rPr>
          <w:noProof/>
        </w:rPr>
        <w:t>Предвид ограничения обхват на дерогацията специалната мярка е пропорционална на поставената цел, а именно борбата с отклонението от данъчно облагане и опростяването на събирането на ДДС.</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По силата на член 395 от Директивата за ДДС дерогация от общите правила за ДДС е възможна единствено с разрешение на Съвета, действащ с единодушие по предложение на Комисията. Освен това, решение на Съвета е най-подходящият инструмент, тъй като то може да бъде отправено към отделни държави членки.</w:t>
      </w:r>
    </w:p>
    <w:p>
      <w:pPr>
        <w:pStyle w:val="ManualHeading1"/>
        <w:rPr>
          <w:noProof/>
        </w:rPr>
      </w:pPr>
      <w:r>
        <w:rPr>
          <w:noProof/>
        </w:rPr>
        <w:lastRenderedPageBreak/>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отправено от Латвия, и засяга само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за решение има за цел, на първо място, да се опрости събирането на ДДС във връзка с леки пътнически автомобили, които частично се използват за нестопански цели, и следователно има потенциално положително въздействие. В същото време се предотвратява възможността за отклонение от данъчно облагане чрез неправилно водене на документацията. </w:t>
      </w:r>
    </w:p>
    <w:p>
      <w:pPr>
        <w:pBdr>
          <w:top w:val="nil"/>
          <w:left w:val="nil"/>
          <w:bottom w:val="nil"/>
          <w:right w:val="nil"/>
          <w:between w:val="nil"/>
          <w:bar w:val="nil"/>
        </w:pBdr>
        <w:spacing w:before="0" w:after="240"/>
        <w:rPr>
          <w:rFonts w:eastAsia="Arial Unicode MS"/>
          <w:noProof/>
        </w:rPr>
      </w:pPr>
      <w:r>
        <w:rPr>
          <w:noProof/>
        </w:rPr>
        <w:t>Въпреки това въздействието при всички случаи ще бъде ограничено поради тесния обхват на дерогацията и ограничения период на прилагане.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Предложението включва клауза за изтичане на срока на действие; автоматичен краен срок на действие, който е определен на 31 декември 2018 г. за настоящата дерогация.</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2015/0254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Латвия да въведе специална мярка за дерогация от член 26, параграф 1, буква а) и членове 168 и 168а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8 април 2015 г., Латвия поиска разрешение да продължи да прилага при определени условия мярка за дерогация от член 26, параграф 1), буква а) и членове 168 и 168a от Директива 2006/112/ЕО, за да ограничи правото на приспадане по отношение на разходите, свързани с някои леки пътнически автомобили, които не се използват изцяло за целите на стопанската дейност. Искането бе допълнено на 30 юли 2015 г.</w:t>
      </w:r>
    </w:p>
    <w:p>
      <w:pPr>
        <w:pStyle w:val="ManualConsidrant"/>
        <w:rPr>
          <w:noProof/>
        </w:rPr>
      </w:pPr>
      <w:r>
        <w:t>(2)</w:t>
      </w:r>
      <w:r>
        <w:tab/>
      </w:r>
      <w:r>
        <w:rPr>
          <w:noProof/>
        </w:rPr>
        <w:t>В съответствие с член 395, параграф 2, втора алинея от Директива 2006/112/ЕО, с писма от 21 и 24 август 2015 г. Комисията информира останалите държави членки за отправеното от Латвия искане. С писмо от 24 август 2015 г. Комисията съобщи на Латвия, че разполага с пълната информация, необходима за разглеждане на искането.</w:t>
      </w:r>
    </w:p>
    <w:p>
      <w:pPr>
        <w:pStyle w:val="ManualConsidrant"/>
        <w:rPr>
          <w:noProof/>
        </w:rPr>
      </w:pPr>
      <w:r>
        <w:t>(3)</w:t>
      </w:r>
      <w:r>
        <w:tab/>
      </w:r>
      <w:r>
        <w:rPr>
          <w:noProof/>
        </w:rPr>
        <w:t>С членове 168 и 168а от Директива 2006/112/ЕО се установява правото на данъчно задълженото лице да приспада данъка върху добавената стойност (ДДС), начислен върху получените от него доставки на стоки и услуги, предназначени за неговите облагаеми сделки. Член 26, параграф 1, буква а) от същата директива съдържа изискване ДДС да се отчита при използване на стопански актив за нестопански цели.</w:t>
      </w:r>
    </w:p>
    <w:p>
      <w:pPr>
        <w:pStyle w:val="ManualConsidrant"/>
        <w:rPr>
          <w:noProof/>
        </w:rPr>
      </w:pPr>
      <w:r>
        <w:t>(4)</w:t>
      </w:r>
      <w:r>
        <w:tab/>
      </w:r>
      <w:r>
        <w:rPr>
          <w:noProof/>
        </w:rPr>
        <w:t xml:space="preserve">С Решение за изпълнение 2013/191/ЕО на Съвета </w:t>
      </w:r>
      <w:r>
        <w:rPr>
          <w:rStyle w:val="FootnoteReference"/>
          <w:noProof/>
        </w:rPr>
        <w:footnoteReference w:id="2"/>
      </w:r>
      <w:r>
        <w:rPr>
          <w:noProof/>
        </w:rPr>
        <w:t xml:space="preserve"> на Латвия бе предоставено разрешение да въведе мярка за дерогация по силата на член 395, параграф 1 от Директива 2006/112/ЕО за ограничаване на правото на приспадане на платения върху получени доставки ДДС до 80 % по отношение на закупуването, вземането на лизинг, вътреобщностното придобиване и вноса на определени леки пътнически автомобили, както и на ДДС върху разходите, свързани с тях, </w:t>
      </w:r>
      <w:r>
        <w:rPr>
          <w:noProof/>
        </w:rPr>
        <w:lastRenderedPageBreak/>
        <w:t>включително за закупуването на гориво, когато превозните средства не се използват изключително за целите на стопанската дейност. Срокът на действие на Решение за изпълнение 2013/191/ЕС на Съвета изтича на 31 декември 2015 г.</w:t>
      </w:r>
    </w:p>
    <w:p>
      <w:pPr>
        <w:pStyle w:val="ManualConsidrant"/>
        <w:rPr>
          <w:noProof/>
        </w:rPr>
      </w:pPr>
      <w:r>
        <w:t>(5)</w:t>
      </w:r>
      <w:r>
        <w:tab/>
      </w:r>
      <w:r>
        <w:rPr>
          <w:noProof/>
        </w:rPr>
        <w:t xml:space="preserve">Заедно с искането за удължаване, Латвия представи доклад за прилагането на Решение за изпълнение 2013/191/ЕС на Съвета, който включва преглед на процента, предвиден за ограничаването на правото на приспадане. От информацията, предоставена от Латвия, е видно, че процент на приспадане 80 % вече не съответства на действителната ситуация и че трябва да се понижи до 50 %. Информацията се основава на статистически данни, получени от специален данък за лекотоварни превозни средства, притежавани или държани от търговски оператори, и които се използват за лични нужди и за стопански дейности. </w:t>
      </w:r>
    </w:p>
    <w:p>
      <w:pPr>
        <w:pStyle w:val="ManualConsidrant"/>
        <w:rPr>
          <w:noProof/>
        </w:rPr>
      </w:pPr>
      <w:r>
        <w:t>(6)</w:t>
      </w:r>
      <w:r>
        <w:tab/>
      </w:r>
      <w:r>
        <w:rPr>
          <w:noProof/>
        </w:rPr>
        <w:t>Ограничаването на правото на приспадане в съответствие с мярката следва да се прилага по отношение на ДДС, платен при покупката, вземането на лизинг, вътреобщностното придобиване и вноса на определени категории леки пътнически автомобили, и по отношение на разходите, свързани с тях, включително при закупуване на горива.</w:t>
      </w:r>
    </w:p>
    <w:p>
      <w:pPr>
        <w:pStyle w:val="ManualConsidrant"/>
        <w:rPr>
          <w:noProof/>
        </w:rPr>
      </w:pPr>
      <w:r>
        <w:t>(7)</w:t>
      </w:r>
      <w:r>
        <w:tab/>
      </w:r>
      <w:r>
        <w:rPr>
          <w:noProof/>
        </w:rPr>
        <w:t>Мярката следва да се прилага само по отношение на леките пътнически автомобили с максимално разрешено тегло до 3500 килограма и с не повече от осем места за сядане без мястото на водача. Използването за нестопански цели на леки пътнически автомобили над 3500 килограма или разполагащи с повече от осем места за сядане без мястото на водача е незначително поради естеството им или вида на икономическата дейност, за която се използват. Следва да се предвиди също така подробен списък на категориите леки пътнически автомобили, за които това разрешение не се прилага поради специфичната им употреба.</w:t>
      </w:r>
    </w:p>
    <w:p>
      <w:pPr>
        <w:pStyle w:val="ManualConsidrant"/>
        <w:rPr>
          <w:noProof/>
        </w:rPr>
      </w:pPr>
      <w:r>
        <w:t>(8)</w:t>
      </w:r>
      <w:r>
        <w:tab/>
      </w:r>
      <w:r>
        <w:rPr>
          <w:noProof/>
        </w:rPr>
        <w:t>Следователно на Латвия следва да се разреши да прилага мярката за ограничен срок — до 31 декември 2018 г.</w:t>
      </w:r>
    </w:p>
    <w:p>
      <w:pPr>
        <w:pStyle w:val="ManualConsidrant"/>
        <w:rPr>
          <w:noProof/>
        </w:rPr>
      </w:pPr>
      <w:r>
        <w:t>(9)</w:t>
      </w:r>
      <w:r>
        <w:tab/>
      </w:r>
      <w:r>
        <w:rPr>
          <w:noProof/>
        </w:rPr>
        <w:t>В случай че Латвия поиска ново удължаване на срока за действие на мярката за дерогация след 2018 г., тя следва да представи нов доклад до Комисията до 31 март 2018 г. заедно с искането за удължаване.</w:t>
      </w:r>
    </w:p>
    <w:p>
      <w:pPr>
        <w:pStyle w:val="ManualConsidrant"/>
        <w:rPr>
          <w:noProof/>
        </w:rPr>
      </w:pPr>
      <w:r>
        <w:t>(10)</w:t>
      </w:r>
      <w:r>
        <w:tab/>
      </w:r>
      <w:r>
        <w:rPr>
          <w:noProof/>
        </w:rPr>
        <w:t>Дерогацията ще има незначително въздействие върху общия размер на данъчните приходи, събирани на етапа на крайно потребление, и няма да окаже отрицателно въздействие върху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членове 168 и 168а от Директива 2006/112/ЕО на Латвия се дава разрешение да ограничи до 50 % правото на приспадане на данък върху добавената стойност (ДДС) за разходите за леки пътнически автомобили, които не се използват изцяло за целите на стопанската дейност.</w:t>
      </w:r>
    </w:p>
    <w:p>
      <w:pPr>
        <w:pStyle w:val="Titrearticle"/>
        <w:rPr>
          <w:noProof/>
        </w:rPr>
      </w:pPr>
      <w:r>
        <w:rPr>
          <w:noProof/>
        </w:rPr>
        <w:lastRenderedPageBreak/>
        <w:t>Член 2</w:t>
      </w:r>
    </w:p>
    <w:p>
      <w:pPr>
        <w:rPr>
          <w:noProof/>
        </w:rPr>
      </w:pPr>
      <w:r>
        <w:rPr>
          <w:noProof/>
        </w:rPr>
        <w:t>Чрез дерогация от член 26, параграф 1, буква а) от Директива 2006/112/EО Латвия не третира като възмездна доставка на услуги използването за лични цели на лек пътнически автомобил, който е част от стопанските активи на предприятието на данъчно задължено лице, когато за въпросния автомобил се е прилагало ограничение, разрешено по силата на член 1 от настоящото решение.</w:t>
      </w:r>
    </w:p>
    <w:p>
      <w:pPr>
        <w:pStyle w:val="Titrearticle"/>
        <w:rPr>
          <w:noProof/>
        </w:rPr>
      </w:pPr>
      <w:r>
        <w:rPr>
          <w:noProof/>
        </w:rPr>
        <w:t>Член 3</w:t>
      </w:r>
    </w:p>
    <w:p>
      <w:pPr>
        <w:rPr>
          <w:noProof/>
        </w:rPr>
      </w:pPr>
      <w:r>
        <w:rPr>
          <w:noProof/>
        </w:rPr>
        <w:t>Разходите, посочени в член 1, обхващат покупката, вземането на лизинг, вътреобщностното придобиване и вноса на такива автомобили, както и разходите, свързани с поддръжката, ремонта и горивото за автомобилите.</w:t>
      </w:r>
    </w:p>
    <w:p>
      <w:pPr>
        <w:pStyle w:val="Titrearticle"/>
        <w:rPr>
          <w:noProof/>
        </w:rPr>
      </w:pPr>
      <w:r>
        <w:rPr>
          <w:noProof/>
        </w:rPr>
        <w:t>Член 4</w:t>
      </w:r>
    </w:p>
    <w:p>
      <w:pPr>
        <w:rPr>
          <w:noProof/>
        </w:rPr>
      </w:pPr>
      <w:r>
        <w:rPr>
          <w:noProof/>
        </w:rPr>
        <w:t>Настоящото решение се прилага само по отношение на леките пътнически автомобили с допустима максимална маса до 3500 килограма и с не повече от осем места за сядане без мястото на водача.</w:t>
      </w:r>
    </w:p>
    <w:p>
      <w:pPr>
        <w:pStyle w:val="Titrearticle"/>
        <w:rPr>
          <w:noProof/>
        </w:rPr>
      </w:pPr>
      <w:r>
        <w:rPr>
          <w:noProof/>
        </w:rPr>
        <w:t>Член 5</w:t>
      </w:r>
    </w:p>
    <w:p>
      <w:pPr>
        <w:rPr>
          <w:noProof/>
        </w:rPr>
      </w:pPr>
      <w:r>
        <w:rPr>
          <w:noProof/>
        </w:rPr>
        <w:t>Членове 1 и 2 не се прилагат за следните категории леки пътнически автомобили:</w:t>
      </w:r>
    </w:p>
    <w:p>
      <w:pPr>
        <w:rPr>
          <w:noProof/>
        </w:rPr>
      </w:pPr>
      <w:r>
        <w:rPr>
          <w:noProof/>
        </w:rPr>
        <w:t>а) автомобили, закупени за препродажба, отдаване под наем или отдаване на лизинг;</w:t>
      </w:r>
    </w:p>
    <w:p>
      <w:pPr>
        <w:rPr>
          <w:noProof/>
        </w:rPr>
      </w:pPr>
      <w:r>
        <w:rPr>
          <w:noProof/>
        </w:rPr>
        <w:t>б) автомобили, използвани за превоз на пътници срещу възнаграждение, включително за таксиметрови услуги;</w:t>
      </w:r>
    </w:p>
    <w:p>
      <w:pPr>
        <w:rPr>
          <w:noProof/>
        </w:rPr>
      </w:pPr>
      <w:r>
        <w:rPr>
          <w:noProof/>
        </w:rPr>
        <w:t>в) автомобили, използвани за превоз на стоки;</w:t>
      </w:r>
    </w:p>
    <w:p>
      <w:pPr>
        <w:rPr>
          <w:noProof/>
        </w:rPr>
      </w:pPr>
      <w:r>
        <w:rPr>
          <w:noProof/>
        </w:rPr>
        <w:t>г) автомобили, използвани за обучение на водачи на моторни превозни средства.</w:t>
      </w:r>
    </w:p>
    <w:p>
      <w:pPr>
        <w:rPr>
          <w:noProof/>
        </w:rPr>
      </w:pPr>
      <w:r>
        <w:rPr>
          <w:noProof/>
        </w:rPr>
        <w:t>д) автомобили, използвани за охранителни услуги;</w:t>
      </w:r>
    </w:p>
    <w:p>
      <w:pPr>
        <w:rPr>
          <w:noProof/>
        </w:rPr>
      </w:pPr>
      <w:r>
        <w:rPr>
          <w:noProof/>
        </w:rPr>
        <w:t>е) автомобили, използвани като превозно средство за спешна помощ;</w:t>
      </w:r>
    </w:p>
    <w:p>
      <w:pPr>
        <w:rPr>
          <w:noProof/>
        </w:rPr>
      </w:pPr>
      <w:r>
        <w:rPr>
          <w:noProof/>
        </w:rPr>
        <w:t>ж) автомобили, използвани като демонстрационно превозно средство при продажба на автомобили.</w:t>
      </w:r>
    </w:p>
    <w:p>
      <w:pPr>
        <w:pStyle w:val="Titrearticle"/>
        <w:rPr>
          <w:noProof/>
        </w:rPr>
      </w:pPr>
      <w:r>
        <w:rPr>
          <w:noProof/>
        </w:rPr>
        <w:t>Член 6</w:t>
      </w:r>
    </w:p>
    <w:p>
      <w:pPr>
        <w:pStyle w:val="ManualNumPar1"/>
        <w:rPr>
          <w:noProof/>
        </w:rPr>
      </w:pPr>
      <w:r>
        <w:t>1.</w:t>
      </w:r>
      <w:r>
        <w:tab/>
      </w:r>
      <w:r>
        <w:rPr>
          <w:noProof/>
        </w:rPr>
        <w:t>Настоящото решение поражда действие в деня на нотифицирането му.</w:t>
      </w:r>
    </w:p>
    <w:p>
      <w:pPr>
        <w:ind w:left="130" w:firstLine="720"/>
        <w:rPr>
          <w:noProof/>
        </w:rPr>
      </w:pPr>
      <w:r>
        <w:rPr>
          <w:noProof/>
        </w:rPr>
        <w:t xml:space="preserve">Настоящото решение се прилага от 1 януари 2016 г. Срокът му на действие изтича на 31 декември 2018 г. </w:t>
      </w:r>
    </w:p>
    <w:p>
      <w:pPr>
        <w:pStyle w:val="ManualNumPar1"/>
        <w:rPr>
          <w:noProof/>
        </w:rPr>
      </w:pPr>
      <w:r>
        <w:t>2.</w:t>
      </w:r>
      <w:r>
        <w:tab/>
      </w:r>
      <w:r>
        <w:rPr>
          <w:noProof/>
        </w:rPr>
        <w:t>Всяко искане за удължаване на срока на разрешението, предвидено в настоящото решение, се представя на Комисията в срок до 31 март 2018 г. и се придружава от доклад, който включва преглед на процента, определен в член 1.</w:t>
      </w:r>
    </w:p>
    <w:p>
      <w:pPr>
        <w:pStyle w:val="Titrearticle"/>
        <w:rPr>
          <w:noProof/>
        </w:rPr>
      </w:pPr>
      <w:r>
        <w:rPr>
          <w:noProof/>
        </w:rPr>
        <w:lastRenderedPageBreak/>
        <w:t>Член 7</w:t>
      </w:r>
    </w:p>
    <w:p>
      <w:pPr>
        <w:keepNext/>
        <w:keepLines/>
        <w:rPr>
          <w:noProof/>
          <w:color w:val="000000"/>
        </w:rPr>
      </w:pPr>
      <w:r>
        <w:rPr>
          <w:noProof/>
          <w:color w:val="000000"/>
        </w:rPr>
        <w:t>Адресат на настоящото решение е Република Латвия.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rPr>
          <w:lang w:val="en-US"/>
        </w:rPr>
      </w:pPr>
      <w:r>
        <w:rPr>
          <w:rStyle w:val="FootnoteReference"/>
        </w:rPr>
        <w:footnoteRef/>
      </w:r>
      <w:r>
        <w:tab/>
        <w:t>OВ L 113, 25.4.2013 г., стр.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10DD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4C5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5248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5A43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A45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0052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145C44"/>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C1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8 14:46: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B00F975482D442FA882F55C64571DBD"/>
    <w:docVar w:name="LW_CROSSREFERENCE" w:val="&lt;UNUSED&gt;"/>
    <w:docVar w:name="LW_DocType" w:val="COM"/>
    <w:docVar w:name="LW_EMISSION" w:val="30.10.2015"/>
    <w:docVar w:name="LW_EMISSION_ISODATE" w:val="2015-10-3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4"/>
    <w:docVar w:name="LW_REF.II.NEW.CP_YEAR" w:val="2015"/>
    <w:docVar w:name="LW_REF.INST.NEW" w:val="COM"/>
    <w:docVar w:name="LW_REF.INST.NEW_ADOPTED" w:val="final"/>
    <w:docVar w:name="LW_REF.INST.NEW_TEXT" w:val="(2015) 546"/>
    <w:docVar w:name="LW_REF.INTERNE" w:val="&lt;UNUSED&gt;"/>
    <w:docVar w:name="LW_SOUS.TITRE.OBJ.CP" w:val="&lt;UNUSED&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51?\u1072?\u1090?\u1074?\u1080?\u1103? \u1076?\u1072? \u1074?\u1098?\u1074?\u1077?\u1076?\u1077? \u1089?\u1087?\u1077?\u1094?\u1080?\u1072?\u1083?\u1085?\u1072? \u1084?\u1103?\u1088?\u1082?\u1072? \u1079?\u1072? \u1076?\u1077?\u1088?\u1086?\u1075?\u1072?\u1094?\u1080?\u1103? \u1086?\u1090? \u1095?\u1083?\u1077?\u1085? 26, \u1087?\u1072?\u1088?\u1072?\u1075?\u1088?\u1072?\u1092? 1, \u1073?\u1091?\u1082?\u1074?\u1072? \u1072?) \u108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22A3-2445-41F1-BA36-665A8005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2447</Words>
  <Characters>13730</Characters>
  <Application>Microsoft Office Word</Application>
  <DocSecurity>0</DocSecurity>
  <Lines>264</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2015-08-27T13:17:00Z</cp:lastPrinted>
  <dcterms:created xsi:type="dcterms:W3CDTF">2015-10-23T08:23:00Z</dcterms:created>
  <dcterms:modified xsi:type="dcterms:W3CDTF">2015-10-28T13:46:00Z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