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A504A1FBBB1E4F1DBA5F8D84E4DF84BF" style="width:450.75pt;height:434.2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>
      <w:pPr>
        <w:spacing w:after="600"/>
        <w:jc w:val="center"/>
        <w:outlineLvl w:val="0"/>
        <w:rPr>
          <w:rFonts w:ascii="Times New Roman" w:hAnsi="Times New Roman"/>
          <w:b/>
          <w:i/>
          <w:noProof/>
          <w:sz w:val="20"/>
          <w:szCs w:val="20"/>
          <w:highlight w:val="yellow"/>
          <w:u w:val="single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8"/>
          <w:u w:val="single"/>
        </w:rPr>
        <w:lastRenderedPageBreak/>
        <w:t>Приложение I: Нови инициативи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71"/>
        <w:gridCol w:w="2449"/>
        <w:gridCol w:w="2912"/>
        <w:gridCol w:w="8572"/>
      </w:tblGrid>
      <w:tr>
        <w:trPr>
          <w:cantSplit/>
          <w:tblHeader/>
        </w:trPr>
        <w:tc>
          <w:tcPr>
            <w:tcW w:w="133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№</w:t>
            </w:r>
          </w:p>
        </w:tc>
        <w:tc>
          <w:tcPr>
            <w:tcW w:w="1141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Наименование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Вид на инициативата</w:t>
            </w:r>
          </w:p>
        </w:tc>
        <w:tc>
          <w:tcPr>
            <w:tcW w:w="3140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Описание на обхвата и целите</w:t>
            </w:r>
          </w:p>
        </w:tc>
      </w:tr>
      <w:tr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Нови стимули за работните места, растежа и инвестициите</w:t>
            </w:r>
          </w:p>
        </w:tc>
      </w:tr>
      <w:tr>
        <w:trPr>
          <w:cantSplit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Европейска програма за нови умения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Законодателна/незаконодателна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Програмата има за цел да насърчи развитието на умения, включително взаимното признаване на квалификациите, подпомагане на професионалното обучение и висшето образование и пълноценно използване на потенциала за работни места в сферата на цифровите технологии. </w:t>
            </w:r>
          </w:p>
        </w:tc>
      </w:tr>
      <w:tr>
        <w:trPr>
          <w:cantSplit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Ново начало за работещите родители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Законодателна/незаконодателна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pacing w:val="-2"/>
                <w:sz w:val="20"/>
              </w:rPr>
              <w:t>Набор от законодателни и незаконодателни мерки с цел по-добро справяне с предизвикателствата, свързани с равновесието между професионалния и личния живот, пред които са изправени работещите родители, и за подкрепа на участието на жените на пазара на труда.</w:t>
            </w:r>
          </w:p>
        </w:tc>
      </w:tr>
      <w:tr>
        <w:trPr>
          <w:cantSplit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Пакет от мерки за кръговата икономика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Законодателна/незаконодателна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Целта е да се разгледат икономическите и екологичните проблеми чрез максимално увеличаване на ефективността при използването на ресурсите, като се обхване цялата верига за създаване на стойност (включваща устойчиво потребление, производство, управление на отпадъците) и по този начин се даде възможност за развитието на нови пазарни и бизнес модели. Пакетът ще се състои от широк план за действие, включващ действия за наблюдение на реалния напредък и предложение относно управлението на отпадъците с дългосрочни цели. </w:t>
            </w:r>
          </w:p>
        </w:tc>
      </w:tr>
      <w:tr>
        <w:trPr>
          <w:cantSplit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Преглед на многогодишната финансова рамка (МФФ) за 2014—2020 г.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Законодателна/незаконодателна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По време на средносрочния преглед на МФР ще бъдат разгледани начини за по-добро насочване на финансирането към приоритетите, пред които е изправен ЕС. Освен това ще бъдат потърсени начини за допълнително ориентиране на бюджета на ЕС към постигането на резултати и за опростяване на приложимите правила (REFIT), например за европейските структурни и инвестиционни фондове (ЕСИФ) и за общата селскостопанска политика (ОСП), и ще бъдат проучени възможностите за по-нататъшно опростяване в рамките на финансирането по „Хоризонт 2020“.</w:t>
            </w:r>
            <w:r>
              <w:rPr>
                <w:rFonts w:ascii="Times New Roman" w:hAnsi="Times New Roman"/>
                <w:i/>
                <w:noProof/>
                <w:sz w:val="20"/>
              </w:rPr>
              <w:t xml:space="preserve"> </w:t>
            </w:r>
          </w:p>
        </w:tc>
      </w:tr>
      <w:tr>
        <w:trPr>
          <w:cantSplit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Следващи стъпки за устойчиво европейско бъдеще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Незаконодателна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pacing w:val="-2"/>
                <w:sz w:val="20"/>
              </w:rPr>
              <w:t>Тази инициатива ще установи нов подход за гарантиране на икономическия растеж и социалната и екологична устойчивост на Европа след 2020 г., като се вземат предвид прегледът на стратегията „Европа 2020“ и вътрешното и външно изпълнение на целите за устойчиво развитие на ООН.</w:t>
            </w:r>
          </w:p>
        </w:tc>
      </w:tr>
      <w:tr>
        <w:trPr>
          <w:cantSplit/>
        </w:trPr>
        <w:tc>
          <w:tcPr>
            <w:tcW w:w="5000" w:type="pct"/>
            <w:gridSpan w:val="4"/>
            <w:shd w:val="clear" w:color="auto" w:fill="F3F3F3"/>
          </w:tcPr>
          <w:p>
            <w:pPr>
              <w:keepNext/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Свързан цифров единен пазар</w:t>
            </w:r>
          </w:p>
        </w:tc>
      </w:tr>
      <w:tr>
        <w:trPr>
          <w:cantSplit/>
        </w:trPr>
        <w:tc>
          <w:tcPr>
            <w:tcW w:w="133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41" w:type="pct"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Изпълнение на стратегията за цифровия единен пазар</w:t>
            </w:r>
          </w:p>
        </w:tc>
        <w:tc>
          <w:tcPr>
            <w:tcW w:w="586" w:type="pct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Законодателна/незаконодателна</w:t>
            </w:r>
          </w:p>
        </w:tc>
        <w:tc>
          <w:tcPr>
            <w:tcW w:w="3140" w:type="pct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Стратегията за цифровия единен пазар, определена през май 2015 г., ще бъде доразвита с три набора от действия: 1) съобщение относно авторското право и законодателно предложение относно преносимостта, последвани от законодателни предложения в областта на авторското право и преразглеждане на Директивата относно спътниковото излъчване и кабелното препредаване (REFIT), законодателни предложения относно цифровите договорни права, блокиране на географски принцип, ДДС за електронната търговия (REFIT) и преразглеждане на Регламента за сътрудничество в областта на защита на потребителите (REFIT); 2) преглед на регулаторната рамка в областта на далекосъобщенията (REFIT) и на Директивата за аудиовизуалните медийни услуги (REFIT) и 3) законодателно предложение за свободното движение на данни.</w:t>
            </w:r>
          </w:p>
        </w:tc>
      </w:tr>
      <w:tr>
        <w:trPr>
          <w:cantSplit/>
        </w:trPr>
        <w:tc>
          <w:tcPr>
            <w:tcW w:w="5000" w:type="pct"/>
            <w:gridSpan w:val="4"/>
            <w:shd w:val="clear" w:color="auto" w:fill="F3F3F3"/>
          </w:tcPr>
          <w:p>
            <w:pPr>
              <w:keepNext/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Устойчив енергиен съюз с ориентирана към бъдещето политика по въпросите на изменението на климата</w:t>
            </w:r>
          </w:p>
        </w:tc>
      </w:tr>
      <w:tr>
        <w:trPr>
          <w:cantSplit/>
        </w:trPr>
        <w:tc>
          <w:tcPr>
            <w:tcW w:w="133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41" w:type="pct"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Пакет от мерки в областта на енергийния съюз</w:t>
            </w:r>
          </w:p>
        </w:tc>
        <w:tc>
          <w:tcPr>
            <w:tcW w:w="586" w:type="pct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Законодателна/незаконодателна</w:t>
            </w:r>
          </w:p>
        </w:tc>
        <w:tc>
          <w:tcPr>
            <w:tcW w:w="3140" w:type="pct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Като следствие на рамковата стратегия, пакетът се състои от: законодателни предложения относно структурата на пазара на електроенергия и регулаторната рамка, включително преглед на Агенцията за сътрудничество между регулаторите на енергия (ACER) и преразглеждане на Регламента относно сигурността на доставките на електроенергия; преразглеждане на Регламента относно сигурността на доставките на газ и преразглеждане на Решението за междуправителствените споразумения; решение за разпределяне на усилията и включване на земеползването, промените в земеползването и горското стопанство в рамката в областта на климата за 2030 г.; пакет за възобновяемата енергия (REFIT), включващ критерии за устойчивост за биомасата, и пакет за енергийната ефективност, включващ енергийната ефективност на сградите (REFIT). </w:t>
            </w:r>
          </w:p>
        </w:tc>
      </w:tr>
      <w:tr>
        <w:trPr>
          <w:cantSplit/>
        </w:trPr>
        <w:tc>
          <w:tcPr>
            <w:tcW w:w="5000" w:type="pct"/>
            <w:gridSpan w:val="4"/>
            <w:shd w:val="clear" w:color="auto" w:fill="F3F3F3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По-задълбочен и по-справедлив вътрешен пазар със засилена промишлена база</w:t>
            </w:r>
          </w:p>
        </w:tc>
      </w:tr>
      <w:tr>
        <w:trPr>
          <w:cantSplit/>
        </w:trPr>
        <w:tc>
          <w:tcPr>
            <w:tcW w:w="133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41" w:type="pct"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Пакет за мобилността на труда</w:t>
            </w:r>
          </w:p>
        </w:tc>
        <w:tc>
          <w:tcPr>
            <w:tcW w:w="586" w:type="pct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Законодателна/незаконодателна</w:t>
            </w:r>
          </w:p>
        </w:tc>
        <w:tc>
          <w:tcPr>
            <w:tcW w:w="3140" w:type="pct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Инициативата се състои от съобщение относно трудовата мобилност, целенасочено преразглеждане на Директивата относно командироването на работници и преразглеждане на регламентите относно координацията на системите за социална сигурност. </w:t>
            </w:r>
          </w:p>
        </w:tc>
      </w:tr>
      <w:tr>
        <w:trPr>
          <w:cantSplit/>
        </w:trPr>
        <w:tc>
          <w:tcPr>
            <w:tcW w:w="133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41" w:type="pct"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Последващи действия във връзка със стратегията за единния пазар</w:t>
            </w:r>
          </w:p>
        </w:tc>
        <w:tc>
          <w:tcPr>
            <w:tcW w:w="586" w:type="pct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Законодателна/незаконодателна</w:t>
            </w:r>
          </w:p>
        </w:tc>
        <w:tc>
          <w:tcPr>
            <w:tcW w:w="3140" w:type="pct"/>
          </w:tcPr>
          <w:p>
            <w:pPr>
              <w:spacing w:after="0"/>
              <w:jc w:val="both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Стратегията за единния пазар ще бъде осъществена чрез насоки относно това как правото на ЕС се прилага за бизнес модели в икономика на сътрудничеството; действие за подпомагане на растежа на МСП и стартиращи предприятия; инициативи в областта на регламентирането на професиите; законодателна инициатива за очертаване на нов подход към фалита и несъстоятелността; законодателни инициативи за улесняване на трансграничното предоставяне на услуги, преодоляване на регулаторните пречки в ключови бизнес услуги и строителни услуги, както и справяне с дискриминацията въз основа на националност или място на пребиваване; преглед на рамката на ЕС за прилагане на правата върху интелектуалната собственост (REFIT); действие за стандартизация, включващо стандартите за в сферата на услугите; предложения за инструменти за пазарна информация и подобрена процедура за уведомяване по Директивата за услугите; и план за действие за повишаване на осведомеността относно принципите на взаимно признаване в сектора на стоките.</w:t>
            </w:r>
          </w:p>
        </w:tc>
      </w:tr>
      <w:tr>
        <w:trPr>
          <w:cantSplit/>
        </w:trPr>
        <w:tc>
          <w:tcPr>
            <w:tcW w:w="133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41" w:type="pct"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Европейски план за действие в областта на отбраната</w:t>
            </w:r>
          </w:p>
        </w:tc>
        <w:tc>
          <w:tcPr>
            <w:tcW w:w="586" w:type="pct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Законодателна/незаконодателна</w:t>
            </w:r>
          </w:p>
        </w:tc>
        <w:tc>
          <w:tcPr>
            <w:tcW w:w="3140" w:type="pct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Целта е правна и политическа рамка, която да гарантира, че на европейския пазар индустриалната база и уменията ще могат да изпълнят приоритетите, свързани с военните способности, от които държавите членки може да се нуждаят, за да отговорят на бъдещите потребности в областта на сигурността. </w:t>
            </w:r>
          </w:p>
        </w:tc>
      </w:tr>
      <w:tr>
        <w:trPr>
          <w:cantSplit/>
        </w:trPr>
        <w:tc>
          <w:tcPr>
            <w:tcW w:w="133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41" w:type="pct"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План за действие относно ДДС</w:t>
            </w:r>
          </w:p>
        </w:tc>
        <w:tc>
          <w:tcPr>
            <w:tcW w:w="586" w:type="pct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Законодателна/незаконодателна</w:t>
            </w:r>
          </w:p>
        </w:tc>
        <w:tc>
          <w:tcPr>
            <w:tcW w:w="3140" w:type="pct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Планът за действие е насочен към прилагането на ефикасни и защитени срещу измами режими за ДДС и ще включва инициативи за ставките на ДДС (REFIT) и предложение относно ДДС за електронната търговия (REFIT) в контекста на стратегията за цифровия единен пазар, както и съобщение за установяване на окончателния режим на ДДС (REFIT).</w:t>
            </w:r>
            <w:r>
              <w:rPr>
                <w:noProof/>
                <w:sz w:val="20"/>
              </w:rPr>
              <w:t xml:space="preserve"> </w:t>
            </w:r>
          </w:p>
        </w:tc>
      </w:tr>
      <w:tr>
        <w:trPr>
          <w:cantSplit/>
        </w:trPr>
        <w:tc>
          <w:tcPr>
            <w:tcW w:w="133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41" w:type="pct"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Пакет за корпоративния данък</w:t>
            </w:r>
          </w:p>
        </w:tc>
        <w:tc>
          <w:tcPr>
            <w:tcW w:w="586" w:type="pct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Законодателна/незаконодателна</w:t>
            </w:r>
          </w:p>
        </w:tc>
        <w:tc>
          <w:tcPr>
            <w:tcW w:w="3140" w:type="pct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Последващи действия по Съобщението „Справедлива и ефикасна система за корпоративно данъчно облагане в Европейския съюз: пет ключови области за действие“; пакетът включва набор от мерки за повишаване на прозрачността на системата за корпоративно данъчно облагане и борба с избягването на данъци, включително чрез прилагане на международните стандарти за намаляването на данъчната основа и прехвърлянето на печалби, както и поетапен подход, като се започне със задължителна данъчна основа (REFIT) заедно с оттеглянето на съществуващото предложение за ОКООКД.</w:t>
            </w:r>
          </w:p>
        </w:tc>
      </w:tr>
      <w:tr>
        <w:trPr>
          <w:cantSplit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Космическа стратегия за Европа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Незаконодателна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Чрез стратегията ще бъдат координирани различните видове космически дейности, като бъде определена пътна карта за конкретни действия, позволяващи целеви секторни приложения и по-нататъшно разработване на космическите програми на ЕС, които са от полза за икономиката, публичните органи и обществото като цяло. </w:t>
            </w:r>
          </w:p>
        </w:tc>
      </w:tr>
      <w:tr>
        <w:trPr>
          <w:cantSplit/>
        </w:trPr>
        <w:tc>
          <w:tcPr>
            <w:tcW w:w="5000" w:type="pct"/>
            <w:gridSpan w:val="4"/>
            <w:shd w:val="clear" w:color="auto" w:fill="F2F2F2"/>
          </w:tcPr>
          <w:p>
            <w:pPr>
              <w:keepNext/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По-задълбочен и по-справедлив икономически и паричен съюз </w:t>
            </w:r>
          </w:p>
        </w:tc>
      </w:tr>
      <w:tr>
        <w:trPr>
          <w:cantSplit/>
        </w:trPr>
        <w:tc>
          <w:tcPr>
            <w:tcW w:w="133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41" w:type="pct"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Стълб на социалните права</w:t>
            </w:r>
          </w:p>
        </w:tc>
        <w:tc>
          <w:tcPr>
            <w:tcW w:w="586" w:type="pct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Законодателна/незаконодателна</w:t>
            </w:r>
          </w:p>
        </w:tc>
        <w:tc>
          <w:tcPr>
            <w:tcW w:w="3140" w:type="pct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Чрез инициативата ще се обърне внимание на пропуските в съществуващото законодателство и ще бъдат установени общи принципи и референтни показатели с оглед на по-голямо сближаване на резултатите в социалната сфера и в сферата на заетостта с течение на времето.</w:t>
            </w:r>
          </w:p>
        </w:tc>
      </w:tr>
      <w:tr>
        <w:trPr>
          <w:cantSplit/>
        </w:trPr>
        <w:tc>
          <w:tcPr>
            <w:tcW w:w="133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41" w:type="pct"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Европейска схема за гарантиране на банковите депозити/завършване на банковия съюз</w:t>
            </w:r>
          </w:p>
        </w:tc>
        <w:tc>
          <w:tcPr>
            <w:tcW w:w="586" w:type="pct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Законодателна/незаконодателна</w:t>
            </w:r>
          </w:p>
        </w:tc>
        <w:tc>
          <w:tcPr>
            <w:tcW w:w="3140" w:type="pct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В резултат на доклада на петимата председатели, предложението ще очертае стъпки към европейска схема за гарантиране на банковите депозити, основана на презастрахователен механизъм. В съобщение ще бъдат определени по-нататъшните мерки за завършване на банковия съюз.</w:t>
            </w:r>
          </w:p>
        </w:tc>
      </w:tr>
      <w:tr>
        <w:trPr>
          <w:cantSplit/>
        </w:trPr>
        <w:tc>
          <w:tcPr>
            <w:tcW w:w="5000" w:type="pct"/>
            <w:gridSpan w:val="4"/>
            <w:shd w:val="clear" w:color="auto" w:fill="F3F3F3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Търговия: Разумно и балансирано споразумение за свободна търговия със САЩ</w:t>
            </w:r>
          </w:p>
        </w:tc>
      </w:tr>
      <w:tr>
        <w:trPr>
          <w:cantSplit/>
        </w:trPr>
        <w:tc>
          <w:tcPr>
            <w:tcW w:w="133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41" w:type="pct"/>
            <w:tcBorders>
              <w:bottom w:val="single" w:sz="4" w:space="0" w:color="auto"/>
            </w:tcBorders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Последващи действия във връзка със стратегията за търговия и инвестиции 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Законодателна/незаконодателна</w:t>
            </w:r>
          </w:p>
        </w:tc>
        <w:tc>
          <w:tcPr>
            <w:tcW w:w="3140" w:type="pct"/>
            <w:tcBorders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На фона на стратегията „Търговията — за всички“ за по-ефективна и прозрачна търговска и инвестиционна политика, основана на ценности, Комисията ще продължи преговорите за ТПТИ със САЩ, както и ще постигне напредък в рамките на СТО, ще се ангажира стратегически с Азия и ще гарантира, че СИП се прилагат правилно. </w:t>
            </w:r>
          </w:p>
        </w:tc>
      </w:tr>
      <w:tr>
        <w:trPr>
          <w:cantSplit/>
        </w:trPr>
        <w:tc>
          <w:tcPr>
            <w:tcW w:w="5000" w:type="pct"/>
            <w:gridSpan w:val="4"/>
            <w:shd w:val="clear" w:color="auto" w:fill="F3F3F3"/>
          </w:tcPr>
          <w:p>
            <w:pPr>
              <w:keepNext/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Пространство на правосъдие и основни права, изградено върху взаимно доверие</w:t>
            </w:r>
          </w:p>
        </w:tc>
      </w:tr>
      <w:tr>
        <w:trPr>
          <w:cantSplit/>
        </w:trPr>
        <w:tc>
          <w:tcPr>
            <w:tcW w:w="133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41" w:type="pct"/>
            <w:tcBorders>
              <w:bottom w:val="single" w:sz="4" w:space="0" w:color="auto"/>
            </w:tcBorders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Изпълнение на европейската програма за сигурност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Законодателна/незаконодателна</w:t>
            </w:r>
          </w:p>
        </w:tc>
        <w:tc>
          <w:tcPr>
            <w:tcW w:w="3140" w:type="pct"/>
            <w:tcBorders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Действия за изпълнение на европейската програма за сигурност, включващи предложение за изменение на Рамковото решение за тероризма, подобрени правила относно огнестрелните оръжия и предложение относно борбата срещу измамите и фалшифицирането на непаричните платежни средства. </w:t>
            </w:r>
          </w:p>
        </w:tc>
      </w:tr>
      <w:tr>
        <w:trPr>
          <w:cantSplit/>
        </w:trPr>
        <w:tc>
          <w:tcPr>
            <w:tcW w:w="5000" w:type="pct"/>
            <w:gridSpan w:val="4"/>
            <w:shd w:val="clear" w:color="auto" w:fill="F2F2F2"/>
          </w:tcPr>
          <w:p>
            <w:pPr>
              <w:keepNext/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Към създаването на нова политика за миграцията</w:t>
            </w:r>
          </w:p>
        </w:tc>
      </w:tr>
      <w:tr>
        <w:trPr>
          <w:cantSplit/>
        </w:trPr>
        <w:tc>
          <w:tcPr>
            <w:tcW w:w="133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41" w:type="pct"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По-добро управление на миграцията </w:t>
            </w:r>
          </w:p>
        </w:tc>
        <w:tc>
          <w:tcPr>
            <w:tcW w:w="586" w:type="pct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Законодателна/незаконодателна</w:t>
            </w:r>
          </w:p>
        </w:tc>
        <w:tc>
          <w:tcPr>
            <w:tcW w:w="3140" w:type="pct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Инициативата има две измерения: 1) законна миграция: съобщение и допълнителни законодателни мерки, включително разширяване на подхода на синята карта; 2) предоставяне на убежище и бежанци: предложение за структурирана система за презаселване на бежанци и преразглеждане на дъблинската система в областта на убежището. </w:t>
            </w:r>
          </w:p>
        </w:tc>
      </w:tr>
      <w:tr>
        <w:trPr>
          <w:cantSplit/>
        </w:trPr>
        <w:tc>
          <w:tcPr>
            <w:tcW w:w="133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41" w:type="pct"/>
          </w:tcPr>
          <w:p>
            <w:pPr>
              <w:spacing w:after="0"/>
              <w:rPr>
                <w:rFonts w:ascii="Times New Roman" w:hAnsi="Times New Roman"/>
                <w:noProof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pacing w:val="-4"/>
                <w:sz w:val="20"/>
              </w:rPr>
              <w:t>Пакет в областта на управлението на границите</w:t>
            </w:r>
          </w:p>
        </w:tc>
        <w:tc>
          <w:tcPr>
            <w:tcW w:w="586" w:type="pct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Законодателна/незаконодателна</w:t>
            </w:r>
          </w:p>
        </w:tc>
        <w:tc>
          <w:tcPr>
            <w:tcW w:w="3140" w:type="pct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Целта е да се постигне напредък в създаването на европейска гранична и брегова охрана въз основа на укрепване на Frontex. </w:t>
            </w:r>
          </w:p>
        </w:tc>
      </w:tr>
      <w:tr>
        <w:trPr>
          <w:cantSplit/>
        </w:trPr>
        <w:tc>
          <w:tcPr>
            <w:tcW w:w="5000" w:type="pct"/>
            <w:gridSpan w:val="4"/>
            <w:shd w:val="clear" w:color="auto" w:fill="F3F3F3"/>
          </w:tcPr>
          <w:p>
            <w:pPr>
              <w:keepNext/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По-силен участник на световната сцена</w:t>
            </w:r>
          </w:p>
        </w:tc>
      </w:tr>
      <w:tr>
        <w:trPr>
          <w:cantSplit/>
        </w:trPr>
        <w:tc>
          <w:tcPr>
            <w:tcW w:w="133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41" w:type="pct"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Рамка за периода след изтичането на Споразумението от Котону </w:t>
            </w:r>
          </w:p>
        </w:tc>
        <w:tc>
          <w:tcPr>
            <w:tcW w:w="586" w:type="pct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Незаконодателна</w:t>
            </w:r>
          </w:p>
        </w:tc>
        <w:tc>
          <w:tcPr>
            <w:tcW w:w="3140" w:type="pct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Нова политическа рамка, която да урежда отношенията с държавите и регионите от АКТБ. </w:t>
            </w:r>
          </w:p>
        </w:tc>
      </w:tr>
      <w:tr>
        <w:trPr>
          <w:cantSplit/>
        </w:trPr>
        <w:tc>
          <w:tcPr>
            <w:tcW w:w="133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41" w:type="pct"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Изграждане на капацитет в сектора на сигурността </w:t>
            </w:r>
          </w:p>
        </w:tc>
        <w:tc>
          <w:tcPr>
            <w:tcW w:w="586" w:type="pct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Законодателна/незаконодателна</w:t>
            </w:r>
          </w:p>
        </w:tc>
        <w:tc>
          <w:tcPr>
            <w:tcW w:w="3140" w:type="pct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Пакетът обхваща реформата на сектора на сигурността и евентуалното създаване на нов специален инструмент за изграждане на капацитет в подкрепа на сигурността и развитието в трети държави. </w:t>
            </w:r>
          </w:p>
        </w:tc>
      </w:tr>
      <w:tr>
        <w:trPr>
          <w:cantSplit/>
        </w:trPr>
        <w:tc>
          <w:tcPr>
            <w:tcW w:w="133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41" w:type="pct"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Принос на Комисията към глобалната стратегия</w:t>
            </w:r>
          </w:p>
        </w:tc>
        <w:tc>
          <w:tcPr>
            <w:tcW w:w="586" w:type="pct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Незаконодателна</w:t>
            </w:r>
          </w:p>
        </w:tc>
        <w:tc>
          <w:tcPr>
            <w:tcW w:w="3140" w:type="pct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Комисията активно ще участва в глобалната стратегия в областта на външната политика и политиката на сигурност, под ръководството на върховния представител/заместник-председател, с оглед на по-доброто насочване на външните действия на ЕС.</w:t>
            </w:r>
          </w:p>
        </w:tc>
      </w:tr>
      <w:tr>
        <w:trPr>
          <w:cantSplit/>
        </w:trPr>
        <w:tc>
          <w:tcPr>
            <w:tcW w:w="5000" w:type="pct"/>
            <w:gridSpan w:val="4"/>
            <w:shd w:val="clear" w:color="auto" w:fill="F3F3F3"/>
          </w:tcPr>
          <w:p>
            <w:pPr>
              <w:keepNext/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noProof/>
              </w:rPr>
              <w:br w:type="page"/>
            </w:r>
            <w:r>
              <w:rPr>
                <w:rFonts w:ascii="Times New Roman" w:hAnsi="Times New Roman"/>
                <w:b/>
                <w:noProof/>
                <w:sz w:val="20"/>
              </w:rPr>
              <w:t>Съюз на демократична промяна</w:t>
            </w:r>
          </w:p>
        </w:tc>
      </w:tr>
      <w:tr>
        <w:trPr>
          <w:cantSplit/>
        </w:trPr>
        <w:tc>
          <w:tcPr>
            <w:tcW w:w="133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41" w:type="pct"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Предложение за междуинституционално споразумение относно задължителен регистър за прозрачност</w:t>
            </w:r>
          </w:p>
        </w:tc>
        <w:tc>
          <w:tcPr>
            <w:tcW w:w="586" w:type="pct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Незаконодателна</w:t>
            </w:r>
          </w:p>
        </w:tc>
        <w:tc>
          <w:tcPr>
            <w:tcW w:w="3140" w:type="pct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Предложението за междуинституционално споразумение с Европейския парламент и Съвета има за цел да подобри откритостта и отчетността, като регистърът за прозрачност ще стане задължителен за всички представители на интереси, които се стремят да влияят върху изготвянето на политики в някоя от трите институции.</w:t>
            </w:r>
          </w:p>
        </w:tc>
      </w:tr>
    </w:tbl>
    <w:p>
      <w:pPr>
        <w:rPr>
          <w:noProof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7A2"/>
    <w:multiLevelType w:val="hybridMultilevel"/>
    <w:tmpl w:val="DC52E516"/>
    <w:lvl w:ilvl="0" w:tplc="50041C60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D369E"/>
    <w:multiLevelType w:val="hybridMultilevel"/>
    <w:tmpl w:val="02CA5520"/>
    <w:lvl w:ilvl="0" w:tplc="FD7E75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E45813"/>
    <w:multiLevelType w:val="hybridMultilevel"/>
    <w:tmpl w:val="2C16C1E6"/>
    <w:lvl w:ilvl="0" w:tplc="50041C60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A504A1FBBB1E4F1DBA5F8D84E4DF84BF"/>
    <w:docVar w:name="LW_CROSSREFERENCE" w:val="&lt;UNUSED&gt;"/>
    <w:docVar w:name="LW_DocType" w:val="NORMAL"/>
    <w:docVar w:name="LW_EMISSION" w:val="27.10.2015"/>
    <w:docVar w:name="LW_EMISSION_ISODATE" w:val="2015-10-27"/>
    <w:docVar w:name="LW_EMISSION_LOCATION" w:val="STR"/>
    <w:docVar w:name="LW_EMISSION_PREFIX" w:val="Страсбург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_x000b_\u1056?\u1072?\u1073?\u1086?\u1090?\u1085?\u1072? \u1087?\u1088?\u1086?\u1075?\u1088?\u1072?\u1084?\u1072? \u1085?\u1072? \u1050?\u1086?\u1084?\u1080?\u1089?\u1080?\u1103?\u1090?\u1072? \u1079?\u1072? 2016 \u1075?._x000b__x000b_\u1042?\u1088?\u1077?\u1084?\u1077? \u1077? \u1079?\u1072? \u1087?\u1088?\u1086?\u1084?\u1103?\u1085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5) 610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57?\u1066?\u1042?\u1045?\u1058?\u1040?, \u1045?\u1042?\u1056?\u1054?\u1055?\u1045?\u1049?\u1057?\u1050?\u1048?\u1071? \u1048?\u1050?\u1054?\u1053?\u1054?\u1052?\u1048?\u1063?\u1045?\u1057?\u1050?\u1048? \u1048? \u1057?\u1054?\u1062?\u1048?\u1040?\u1051?\u1045?\u1053? \u1050?\u1054?\u1052?\u1048?\u1058?\u1045?\u1058? \u1048? \u1050?\u1054?\u1052?\u1048?\u1058?\u1045?\u1058?\u1040? \u1053?\u1040? \u1056?\u1045?\u1043?\u1048?\u1054?\u1053?\u1048?\u1058?\u1045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,Fußnote"/>
    <w:basedOn w:val="Normal"/>
    <w:link w:val="FootnoteTextChar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 Reference Superscript,Footnote symbol,Footnote reference number,note TESI,SUPERS,EN Footnote Reference,Voetnootverwijzing,Times 10 Point,Exposant 3 Point,Appel note de bas de p,BVI fnr,Ref,de nota al pie,EN Footnote text,num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  <w:outlineLvl w:val="0"/>
    </w:pPr>
    <w:rPr>
      <w:rFonts w:ascii="Times New Roman" w:hAnsi="Times New Roman"/>
      <w:noProof/>
      <w:sz w:val="24"/>
      <w:szCs w:val="28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Calibri" w:hAnsi="Times New Roman" w:cs="Times New Roman"/>
      <w:noProof/>
      <w:sz w:val="24"/>
      <w:szCs w:val="28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  <w:outlineLvl w:val="0"/>
    </w:pPr>
    <w:rPr>
      <w:rFonts w:ascii="Times New Roman" w:hAnsi="Times New Roman"/>
      <w:noProof/>
      <w:sz w:val="24"/>
      <w:szCs w:val="28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Calibri" w:hAnsi="Times New Roman" w:cs="Times New Roman"/>
      <w:noProof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,Fußnote"/>
    <w:basedOn w:val="Normal"/>
    <w:link w:val="FootnoteTextChar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 Reference Superscript,Footnote symbol,Footnote reference number,note TESI,SUPERS,EN Footnote Reference,Voetnootverwijzing,Times 10 Point,Exposant 3 Point,Appel note de bas de p,BVI fnr,Ref,de nota al pie,EN Footnote text,num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  <w:outlineLvl w:val="0"/>
    </w:pPr>
    <w:rPr>
      <w:rFonts w:ascii="Times New Roman" w:hAnsi="Times New Roman"/>
      <w:noProof/>
      <w:sz w:val="24"/>
      <w:szCs w:val="28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Calibri" w:hAnsi="Times New Roman" w:cs="Times New Roman"/>
      <w:noProof/>
      <w:sz w:val="24"/>
      <w:szCs w:val="28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  <w:outlineLvl w:val="0"/>
    </w:pPr>
    <w:rPr>
      <w:rFonts w:ascii="Times New Roman" w:hAnsi="Times New Roman"/>
      <w:noProof/>
      <w:sz w:val="24"/>
      <w:szCs w:val="28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Calibri" w:hAnsi="Times New Roman" w:cs="Times New Roman"/>
      <w:noProof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7EC13-6AB3-42EE-B3DF-BE530E1A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1474</Words>
  <Characters>9557</Characters>
  <Application>Microsoft Office Word</Application>
  <DocSecurity>0</DocSecurity>
  <Lines>233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David (SG)</dc:creator>
  <cp:lastModifiedBy>DIGIT/A3</cp:lastModifiedBy>
  <cp:revision>21</cp:revision>
  <cp:lastPrinted>2015-10-27T11:30:00Z</cp:lastPrinted>
  <dcterms:created xsi:type="dcterms:W3CDTF">2015-10-26T16:44:00Z</dcterms:created>
  <dcterms:modified xsi:type="dcterms:W3CDTF">2015-11-05T09:32:00Z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