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0BB3DA294C04DDBB573249097A730B3" style="width:450.4pt;height:434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600"/>
        <w:jc w:val="center"/>
        <w:outlineLvl w:val="0"/>
        <w:rPr>
          <w:rFonts w:ascii="Times New Roman" w:hAnsi="Times New Roman"/>
          <w:b/>
          <w:noProof/>
          <w:sz w:val="28"/>
          <w:szCs w:val="28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  <w:u w:val="single"/>
        </w:rPr>
        <w:lastRenderedPageBreak/>
        <w:t>Приложение II: Инициативи по REFIT</w:t>
      </w:r>
      <w:r>
        <w:rPr>
          <w:rStyle w:val="FootnoteReference"/>
          <w:rFonts w:ascii="Times New Roman" w:hAnsi="Times New Roman"/>
          <w:b/>
          <w:noProof/>
          <w:sz w:val="28"/>
          <w:u w:val="single"/>
        </w:rPr>
        <w:footnoteReference w:id="1"/>
      </w:r>
      <w:r>
        <w:rPr>
          <w:rFonts w:ascii="Times New Roman" w:hAnsi="Times New Roman"/>
          <w:b/>
          <w:noProof/>
          <w:sz w:val="28"/>
          <w:u w:val="single"/>
        </w:rPr>
        <w:t xml:space="preserve"> </w:t>
      </w:r>
    </w:p>
    <w:p>
      <w:pPr>
        <w:spacing w:after="240"/>
        <w:jc w:val="both"/>
        <w:outlineLvl w:val="0"/>
        <w:rPr>
          <w:rFonts w:ascii="Times New Roman" w:hAnsi="Times New Roman"/>
          <w:b/>
          <w:noProof/>
          <w:sz w:val="20"/>
          <w:szCs w:val="20"/>
          <w:u w:val="single"/>
        </w:rPr>
      </w:pPr>
      <w:r>
        <w:rPr>
          <w:rFonts w:ascii="Times New Roman" w:hAnsi="Times New Roman"/>
          <w:noProof/>
        </w:rPr>
        <w:t>REFIT е Програмата на Европейската комисия за пригодност на регулаторната рамка, имаща за цел да опрости правото на ЕС и да бъдат намалени регулаторните разходи, без да се излагат на риск целите на политиката. Така REFIT допринася за създаването на ясна, стабилна и предвидима регулаторна рамка в подкрепа на растежа и създаването на работни места.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71"/>
        <w:gridCol w:w="2619"/>
        <w:gridCol w:w="17"/>
        <w:gridCol w:w="2895"/>
        <w:gridCol w:w="8402"/>
      </w:tblGrid>
      <w:tr>
        <w:trPr>
          <w:cantSplit/>
          <w:tblHeader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№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Наименование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Вид на инициативата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2"/>
            </w:r>
          </w:p>
        </w:tc>
        <w:tc>
          <w:tcPr>
            <w:tcW w:w="3049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Описание на обхвата и целите</w:t>
            </w:r>
          </w:p>
        </w:tc>
      </w:tr>
      <w:tr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Нови стимули за работните места, растежа и инвестициите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REACH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Законодателна/оценка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Действията включват регламент за изпълнение на Комисията относно опростяването на процедурата за разрешаване по реда на Регламента REACH, регламент за изпълнение на Комисията относно прозрачността и поделянето на разходите за форумите за обмен на информация относно веществата (SIEF) съгласно REACH, както и стартирането на оценка, която следва да приключи през 2017 г. с оглед на задължението, произтичащо от член 117, параграф 4 от Регламент (ЕО) № 1907/2006, Комисията да докладва до 1 юни 2017 г. за прилагането на регламента REACH.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Стандартен документ за обществени поръчки и стандартни формуляри за обществените поръчки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Регламент за изпълнение на Комисията относно стандартен документ за обществени поръчки (въведен с новите директиви за обществените поръчки, за да се избегне многократното подаване на информация за всяка оферта). Регламент за изпълнение на Комисията — актуализиране на стандартните формуляри за обявления за търгове за обществени поръчки.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Асансьори (Директива 95/16/ЕО)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Оценка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Оценката ще включва обхвата, съществените изисквания за опазване на здравето и безопасност и техните връзки със съответната процедура за оценка на съответствието. 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Държавна помощ: Известие на Комисията относно опростена процедура за обработване на някои видове държавна помощ („Известие за опростена процедура“) (2009/C136/03)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Оценка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Целта на тази оценка ще бъде да се отчете развитието на правото в областта на държавните помощи, на практиката за вземане на решения и на опита, натрупан при прилагането на опростената процедура. Оценката също така ще набележи допълнителни възможности за административно/процедурно опростяване.</w:t>
            </w:r>
          </w:p>
        </w:tc>
      </w:tr>
      <w:tr>
        <w:trPr>
          <w:cantSplit/>
        </w:trPr>
        <w:tc>
          <w:tcPr>
            <w:tcW w:w="5000" w:type="pct"/>
            <w:gridSpan w:val="5"/>
            <w:shd w:val="clear" w:color="auto" w:fill="F3F3F3"/>
          </w:tcPr>
          <w:p>
            <w:pPr>
              <w:keepNext/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Устойчив енергиен съюз с ориентирана към бъдещето политика по въпросите на изменението на климата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Целенасочен преглед на Делегиран Регламент (ЕС) № 639/2014 (приоритетни екологични площи)</w:t>
            </w:r>
          </w:p>
        </w:tc>
        <w:tc>
          <w:tcPr>
            <w:tcW w:w="681" w:type="pct"/>
            <w:gridSpan w:val="2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Законодателна </w:t>
            </w:r>
          </w:p>
        </w:tc>
        <w:tc>
          <w:tcPr>
            <w:tcW w:w="3049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Преразгледан делегиран акт или акт за изпълнение след извършването от Комисията на оценка на опита от въвеждането на приоритетни екологични площи (EFA) в Делегиран Регламент (ЕС) № 639/2014 на Комисията след първата година на прилагане. Част от опростяването на ОСП.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Законодателство на ЕС за опазване на природата</w:t>
            </w:r>
          </w:p>
        </w:tc>
        <w:tc>
          <w:tcPr>
            <w:tcW w:w="681" w:type="pct"/>
            <w:gridSpan w:val="2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Последващи действия от оценката</w:t>
            </w:r>
          </w:p>
        </w:tc>
        <w:tc>
          <w:tcPr>
            <w:tcW w:w="3049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Последващи действия във връзка с проверката за пригодност на Директива 2009/147/ЕИО относно опазването на дивите птици и Директива 92/43/ЕИО за опазване на естествените местообитания и на дивата флора и фауна.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Регламент за европейски регистър за изпускането и преноса на замърсители (ЕРИПЗ)</w:t>
            </w:r>
          </w:p>
        </w:tc>
        <w:tc>
          <w:tcPr>
            <w:tcW w:w="681" w:type="pct"/>
            <w:gridSpan w:val="2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Последващи действия от оценката </w:t>
            </w:r>
          </w:p>
        </w:tc>
        <w:tc>
          <w:tcPr>
            <w:tcW w:w="3049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Тази инициатива ще бъде продължение на оценка по програмата REFIT на Комисията и доклад относно прилагането на Регламента за ЕРИПЗ за периода 2010—2013 г.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Директива за качеството на горивата</w:t>
            </w:r>
          </w:p>
        </w:tc>
        <w:tc>
          <w:tcPr>
            <w:tcW w:w="681" w:type="pct"/>
            <w:gridSpan w:val="2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Последващи действия от оценката </w:t>
            </w:r>
          </w:p>
        </w:tc>
        <w:tc>
          <w:tcPr>
            <w:tcW w:w="3049" w:type="pct"/>
          </w:tcPr>
          <w:p>
            <w:pPr>
              <w:jc w:val="both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</w:rPr>
              <w:t>Тази инициатива ще бъде продължение на резултатите от оценка по програмата REFIT.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Инициатива за докладване по въпросите на околната среда</w:t>
            </w:r>
          </w:p>
        </w:tc>
        <w:tc>
          <w:tcPr>
            <w:tcW w:w="681" w:type="pct"/>
            <w:gridSpan w:val="2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Оценка</w:t>
            </w:r>
          </w:p>
        </w:tc>
        <w:tc>
          <w:tcPr>
            <w:tcW w:w="3049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Проверка за пригодност за откриване на възможности за опростяване и облекчаване на задълженията за докладване, произтичащи от правото на ЕС в областта на околната среда, с оглед на разработване на по-модерна, ефикасна и ефективна система за регулаторен мониторинг.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Инициатива за докладването в областта на енергийния съюз </w:t>
            </w:r>
          </w:p>
        </w:tc>
        <w:tc>
          <w:tcPr>
            <w:tcW w:w="681" w:type="pct"/>
            <w:gridSpan w:val="2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Оценка </w:t>
            </w:r>
          </w:p>
        </w:tc>
        <w:tc>
          <w:tcPr>
            <w:tcW w:w="3049" w:type="pct"/>
          </w:tcPr>
          <w:p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Проверка за пригодност / оценки в сферата на енергийната политика и политиката в областта на климата с цел да оцени последователността и административната тежест на задълженията за докладване.</w:t>
            </w:r>
          </w:p>
        </w:tc>
      </w:tr>
      <w:tr>
        <w:trPr>
          <w:cantSplit/>
        </w:trPr>
        <w:tc>
          <w:tcPr>
            <w:tcW w:w="5000" w:type="pct"/>
            <w:gridSpan w:val="5"/>
            <w:shd w:val="clear" w:color="auto" w:fill="F3F3F3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По-задълбочен и по-справедлив вътрешен пазар със засилена промишлена база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Преразглеждане на Директивата за проспектите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Част от последващите действия за съюза на капиталовите пазари след оценка по програмата REFIT на Директивата за проспектите.</w:t>
            </w:r>
          </w:p>
        </w:tc>
      </w:tr>
      <w:tr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Преглед на регламентите за европейския фонд за рисков капитал (EuVECA) и европейския фонд за социално предприемачество (EuSEF)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Законодателна</w:t>
            </w:r>
          </w:p>
        </w:tc>
        <w:tc>
          <w:tcPr>
            <w:tcW w:w="3049" w:type="pct"/>
            <w:tcBorders>
              <w:bottom w:val="single" w:sz="4" w:space="0" w:color="auto"/>
            </w:tcBorders>
          </w:tcPr>
          <w:p>
            <w:pPr>
              <w:pStyle w:val="NormalWeb"/>
              <w:shd w:val="clear" w:color="auto" w:fill="FFFFFF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 xml:space="preserve">Законодателен преглед на </w:t>
            </w:r>
            <w:hyperlink r:id="rId16">
              <w:r>
                <w:rPr>
                  <w:rStyle w:val="Hyperlink"/>
                  <w:noProof/>
                  <w:color w:val="auto"/>
                  <w:sz w:val="20"/>
                  <w:u w:val="none"/>
                </w:rPr>
                <w:t>Регламента за европейския фонд за рисков капитал (EuVECA) (№ 345/2013)</w:t>
              </w:r>
            </w:hyperlink>
            <w:r>
              <w:rPr>
                <w:noProof/>
              </w:rPr>
              <w:t xml:space="preserve"> и </w:t>
            </w:r>
            <w:hyperlink r:id="rId17">
              <w:r>
                <w:rPr>
                  <w:rStyle w:val="Hyperlink"/>
                  <w:noProof/>
                  <w:color w:val="auto"/>
                  <w:sz w:val="20"/>
                  <w:u w:val="none"/>
                </w:rPr>
                <w:t>Регламента за европейския фонд за социално предприемачество (EuSEF) (№ 346/2013)</w:t>
              </w:r>
            </w:hyperlink>
            <w:r>
              <w:rPr>
                <w:noProof/>
              </w:rPr>
              <w:t xml:space="preserve"> с цел подобряване на усвояването на тези фондове като част от съюза на капиталовите пазари, без да се намалява нивото на защита на инвеститорите.</w:t>
            </w:r>
            <w:r>
              <w:rPr>
                <w:noProof/>
                <w:sz w:val="20"/>
              </w:rPr>
              <w:t xml:space="preserve"> Тези специализирани инвестиционни фондове за рисков капитал са на разположение от 2013 г. насам, но само малък брой фондове, създадени като EuVECA и EuSEF, до настоящия момент са стартирани.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Style w:val="st1"/>
                <w:rFonts w:ascii="Times New Roman" w:hAnsi="Times New Roman"/>
                <w:noProof/>
                <w:color w:val="000000" w:themeColor="text1"/>
                <w:sz w:val="20"/>
              </w:rPr>
              <w:t xml:space="preserve">Тарифна и статистическа номенклатура и Обща митническа тарифа (Регламент (ЕИО) № 2658/87 на Съвета от 23 юли 1987 г.  — преработване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Целта на преработването е да се приведе съществуващото законодателство в съответствие с Договора от Лисабон. Комисията също така ще опрости и намали регулаторната тежест чрез увеличаване на яснотата и подобряване на разбираемостта на регламента.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Style w:val="st1"/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Акциз върху тютюна (Директива 2011/64/ЕС на Съвета) — преразглеждане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Планира се в резултат на оценката по програмата REFIT на Директива 2011/64/ЕС на Съвета от 21 юни 2011 г. относно структурата и ставките на акциза върху обработен тютюн </w:t>
            </w:r>
          </w:p>
        </w:tc>
      </w:tr>
      <w:tr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Приемни пристанищни съоръжения (Директива 2000/59/ЕО) — преразглеждане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</w:t>
            </w:r>
          </w:p>
        </w:tc>
        <w:tc>
          <w:tcPr>
            <w:tcW w:w="3049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Инициатива за адаптиране на директивата към значителните промени в Конвенцията MARPOL. Освен това преразглеждането е следствие на резултатите от проведената през 2015 г. оценка на директивата по програмата REFIT.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Законодателство в областта на здравето и безопасността на работното място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Последващи действия от оценката / Законодателна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Последващи действия от оценката по REFIT на Директива 89/391/ЕИО на Съвета от 12 юни 1989 г. за въвеждане на мерки за насърчаване подобряването на безопасността и здравето на работниците на работното място и на 23 свързани с нея директиви с цел повишаване на нейната ефективност. </w:t>
            </w:r>
          </w:p>
        </w:tc>
      </w:tr>
      <w:tr>
        <w:trPr>
          <w:cantSplit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Законодателство в областта на храните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Последващи действия от оценката  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Последващи действия след проверката за пригодност на общото законодателство в областта на храните.</w:t>
            </w:r>
          </w:p>
        </w:tc>
      </w:tr>
      <w:tr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 xml:space="preserve">Последващи действия във връзка с доклада от прегледа на финансовото законодателство 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Последващи действия</w:t>
            </w:r>
          </w:p>
        </w:tc>
        <w:tc>
          <w:tcPr>
            <w:tcW w:w="3049" w:type="pct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Комисията се стреми да установи евентуални несъответствия, разминавания и пропуски във финансовите разпоредби, неоправдана регулаторна тежест и неблагоприятни фактори за дългосрочните инвестиции и икономическия растеж. След тази покана за представяне на доказателства службите на Комисията ще докладват за основните изводи и следващите стъпки до средата на 2016 г.</w:t>
            </w:r>
          </w:p>
        </w:tc>
      </w:tr>
      <w:tr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Директива за финансовите конгломерати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Оценка</w:t>
            </w:r>
          </w:p>
        </w:tc>
        <w:tc>
          <w:tcPr>
            <w:tcW w:w="3049" w:type="pct"/>
            <w:tcBorders>
              <w:bottom w:val="single" w:sz="4" w:space="0" w:color="auto"/>
            </w:tcBorders>
          </w:tcPr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bookmarkStart w:id="2" w:name="content"/>
            <w:bookmarkEnd w:id="2"/>
            <w:r>
              <w:rPr>
                <w:rFonts w:ascii="Times New Roman" w:hAnsi="Times New Roman"/>
                <w:noProof/>
                <w:sz w:val="20"/>
              </w:rPr>
              <w:t>Директивата за финансовите конгломерати (2011/89/ЕО за изменение на Директива 2002/87/ЕО) има за цел да осигури допълнителен контрол върху поднадзорните субекти, които са част от финансовия конгломерат, т.е. групи с лицензи в банковия и в застрахователния сектор, като насочва вниманието към потенциалните рискове от двойно отчитане (многократна употреба) на капитала и към „груповите рискове“ (рискове от разпространяване на проблемите, сложност на управлението, концентрация на риска и конфликти на интереси). В оценката ще се разгледа въпросът дали директивата може да се счита за „годна за целта“.</w:t>
            </w:r>
          </w:p>
        </w:tc>
      </w:tr>
      <w:tr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Хранителни и здравни претенции за храните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Оценка/законодателна</w:t>
            </w:r>
          </w:p>
        </w:tc>
        <w:tc>
          <w:tcPr>
            <w:tcW w:w="3049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Целта на тази оценка е да се прецени дали настоящите изисквания за хранителния състав и претенциите за растителните вещества са годни за целта.</w:t>
            </w:r>
          </w:p>
        </w:tc>
      </w:tr>
      <w:tr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Проверка за пригодност на морското законодателство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Оценка </w:t>
            </w:r>
          </w:p>
        </w:tc>
        <w:tc>
          <w:tcPr>
            <w:tcW w:w="3049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Проверката за пригодност ще обхване законодателството относно отговорностите на държавата на знамето, държавния пристанищен контрол, системата за контрол на движението на корабите и за информация и Директивата относно формалностите за даване на сведения. </w:t>
            </w:r>
          </w:p>
        </w:tc>
      </w:tr>
      <w:tr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Морски лица (Директива 2008/106/EО и Директива 2005/45/EО)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Оценка</w:t>
            </w:r>
          </w:p>
        </w:tc>
        <w:tc>
          <w:tcPr>
            <w:tcW w:w="3049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 xml:space="preserve">Директива 32008/106/ЕО определя минималните стандарти за обучение, освидетелстване и вахтена служба за морските лица, които служат на борда на кораби на Общността. Директива 2005/45/ЕО обхваща взаимното признаване на свидетелства на морски лица, издадени от държавите членки (за изменение на Директива 2001/25/ЕО). </w:t>
            </w:r>
          </w:p>
        </w:tc>
      </w:tr>
      <w:tr>
        <w:trPr>
          <w:cantSplit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Директива 91/533/ЕО относно писмената декларация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Оценка</w:t>
            </w:r>
          </w:p>
        </w:tc>
        <w:tc>
          <w:tcPr>
            <w:tcW w:w="3049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Директива 91/533/ЕИО на Съвета от 14 октомври 1991 г. относно задължението на работодателя да информира работниците или служителите за условията на трудовия договор или на трудовото правоотношение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2"/>
                <w:sz w:val="20"/>
              </w:rPr>
              <w:t>Пестициди: законодателство относно максимално допустимите граници на остатъчни вещества за определяне и пускане на пазара на продукти за растителна защита</w:t>
            </w:r>
          </w:p>
        </w:tc>
        <w:tc>
          <w:tcPr>
            <w:tcW w:w="681" w:type="pct"/>
            <w:gridSpan w:val="2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Оценка</w:t>
            </w:r>
          </w:p>
        </w:tc>
        <w:tc>
          <w:tcPr>
            <w:tcW w:w="3049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Целта е да се предприеме оценка на Регламент (ЕО) № 1107/2009 и Регламент (ЕО) № 396/2005, както и да се изпълни задължението на Комисията съгласно Регламент (ЕО) № 1107/2009 (член 82 и член 62, параграф 5) и Регламент (ЕО) № 396/2005 (член 47), включително изготвянето на доклади до Европейския парламент и Съвета.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Директива за автомобилното застраховане</w:t>
            </w:r>
          </w:p>
        </w:tc>
        <w:tc>
          <w:tcPr>
            <w:tcW w:w="681" w:type="pct"/>
            <w:gridSpan w:val="2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Оценка</w:t>
            </w:r>
          </w:p>
        </w:tc>
        <w:tc>
          <w:tcPr>
            <w:tcW w:w="3049" w:type="pct"/>
          </w:tcPr>
          <w:p>
            <w:pPr>
              <w:pStyle w:val="NormalWeb"/>
              <w:shd w:val="clear" w:color="auto" w:fill="FFFFFF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Оценка на Директива 2009/103/ЕО, чиято цел е да помогне на жителите на ЕС, които са претъпели пътнотранспортно произшествие в друга държава от ЕС. Съгласно директивата ползвателите на задължителни застрахователни полици за моторни превозни средства във всички страни от ЕС са покрити при шофиране в целия ЕС.</w:t>
            </w:r>
          </w:p>
        </w:tc>
      </w:tr>
      <w:tr>
        <w:trPr>
          <w:cantSplit/>
        </w:trPr>
        <w:tc>
          <w:tcPr>
            <w:tcW w:w="5000" w:type="pct"/>
            <w:gridSpan w:val="5"/>
            <w:shd w:val="clear" w:color="auto" w:fill="F2F2F2"/>
          </w:tcPr>
          <w:p>
            <w:pPr>
              <w:keepNext/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По-задълбочен и по-справедлив икономически и паричен съюз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Пакет относно статистиката</w:t>
            </w:r>
          </w:p>
        </w:tc>
        <w:tc>
          <w:tcPr>
            <w:tcW w:w="681" w:type="pct"/>
            <w:gridSpan w:val="2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</w:p>
        </w:tc>
        <w:tc>
          <w:tcPr>
            <w:tcW w:w="3049" w:type="pct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Пакетът включва интегриране на социалната статистика, интегриране на бизнес статистиката и рамковия регламент в областта на земеделската статистика.</w:t>
            </w:r>
          </w:p>
        </w:tc>
      </w:tr>
      <w:tr>
        <w:trPr>
          <w:cantSplit/>
        </w:trPr>
        <w:tc>
          <w:tcPr>
            <w:tcW w:w="5000" w:type="pct"/>
            <w:gridSpan w:val="5"/>
            <w:shd w:val="clear" w:color="auto" w:fill="EEECE1" w:themeFill="background2"/>
          </w:tcPr>
          <w:p>
            <w:pPr>
              <w:keepNext/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Пространство на правосъдие и основни права, изградено върху взаимно доверие </w:t>
            </w:r>
          </w:p>
        </w:tc>
      </w:tr>
      <w:tr>
        <w:trPr>
          <w:cantSplit/>
        </w:trPr>
        <w:tc>
          <w:tcPr>
            <w:tcW w:w="133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Съдебни решения по брачни дела и дела, свързани с родителската отговорност („Брюксел IIa“)</w:t>
            </w:r>
          </w:p>
        </w:tc>
        <w:tc>
          <w:tcPr>
            <w:tcW w:w="681" w:type="pct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Законодателна </w:t>
            </w:r>
          </w:p>
        </w:tc>
        <w:tc>
          <w:tcPr>
            <w:tcW w:w="3049" w:type="pc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Тази инициатива следва оценката на прилагането на Регламент (ЕО) № 2201/2003 относно компетентността, признаването и изпълнението на съдебни решения по брачни дела и делата, свързани с родителската отговорност.</w:t>
            </w:r>
          </w:p>
        </w:tc>
      </w:tr>
    </w:tbl>
    <w:p>
      <w:pPr>
        <w:rPr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Настоящото приложение съдържа списък с </w:t>
      </w:r>
      <w:r>
        <w:rPr>
          <w:u w:val="single"/>
        </w:rPr>
        <w:t>нови</w:t>
      </w:r>
      <w:r>
        <w:t xml:space="preserve"> инициативи, които да бъдат предприети през 2016 г. и които не са изброени в приложение I. Всички точки са в допълнение към тези, които са изброени в последната версия на анализа по програмата REFIT: </w:t>
      </w:r>
      <w:hyperlink r:id="rId1">
        <w:r>
          <w:rPr>
            <w:rStyle w:val="Hyperlink"/>
          </w:rPr>
          <w:t>http://ec.europa.eu/smart-regulation/better_regulation/key_docs_en.htm</w:t>
        </w:r>
      </w:hyperlink>
    </w:p>
  </w:footnote>
  <w:footnote w:id="2">
    <w:p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Видът на инициативата е само индикативен и може да се промени, по-специално с оглед на резултатите от процеса на оценка на въздействието. В таблицата се споменават „последващи действия от оценката“ за тези случаи, при които все още тече оценка по REFIT, и макар да са планирани някакъв вид последващи действия за 2016 г., техният обхват и характер все още са твърде неясни на този етап. През 2016 г. ще бъдат публикувани пътните карти /оценките на въздействието от етапа на създаване, за да се информира обществеността относно всяко подобно последващо действие, подлежащо на разглеждане, и да се даде възможност за обратна връзка на заинтересованите страни: </w:t>
      </w:r>
      <w:hyperlink r:id="rId2">
        <w:r>
          <w:rPr>
            <w:rStyle w:val="Hyperlink"/>
          </w:rPr>
          <w:t>http://ec.europa.eu/smart-regulation/roadmaps/index_bg.htm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69E"/>
    <w:multiLevelType w:val="hybridMultilevel"/>
    <w:tmpl w:val="02CA5520"/>
    <w:lvl w:ilvl="0" w:tplc="FD7E75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C16B5"/>
    <w:multiLevelType w:val="hybridMultilevel"/>
    <w:tmpl w:val="1F66E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06FF2"/>
    <w:multiLevelType w:val="hybridMultilevel"/>
    <w:tmpl w:val="F1D65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9558C"/>
    <w:multiLevelType w:val="multilevel"/>
    <w:tmpl w:val="4C04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07D1D"/>
    <w:multiLevelType w:val="hybridMultilevel"/>
    <w:tmpl w:val="2CA2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45813"/>
    <w:multiLevelType w:val="hybridMultilevel"/>
    <w:tmpl w:val="2C16C1E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E3EE8"/>
    <w:multiLevelType w:val="hybridMultilevel"/>
    <w:tmpl w:val="1690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D438D"/>
    <w:multiLevelType w:val="multilevel"/>
    <w:tmpl w:val="5D0A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71114"/>
    <w:multiLevelType w:val="hybridMultilevel"/>
    <w:tmpl w:val="D3002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60BB3DA294C04DDBB573249097A730B3"/>
    <w:docVar w:name="LW_CROSSREFERENCE" w:val="&lt;UNUSED&gt;"/>
    <w:docVar w:name="LW_DATE.ADOPT.CP_ISODATE" w:val="&lt;EMPTY&gt;"/>
    <w:docVar w:name="LW_DocType" w:val="NORMAL"/>
    <w:docVar w:name="LW_EMISSION" w:val="27.10.2015"/>
    <w:docVar w:name="LW_EMISSION_ISODATE" w:val="2015-10-27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INTERETEEE.CP" w:val="&lt;UNUSED&gt;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_x000b_\u1056?\u1072?\u1073?\u1086?\u1090?\u1085?\u1072? \u1087?\u1088?\u1086?\u1075?\u1088?\u1072?\u1084?\u1072? \u1085?\u1072? \u1050?\u1086?\u1084?\u1080?\u1089?\u1080?\u1103?\u1090?\u1072? \u1079?\u1072? 2016 \u1075?._x000b__x000b_\u1042?\u1088?\u1077?\u1084?\u1077? \u1077? \u1079?\u1072? \u1087?\u1088?\u1086?\u1084?\u1103?\u1085?\u1072?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5"/>
    <w:docVar w:name="LW_REF.INST.NEW" w:val="COM"/>
    <w:docVar w:name="LW_REF.INST.NEW_ADOPTED" w:val="final"/>
    <w:docVar w:name="LW_REF.INST.NEW_TEXT" w:val="(2015) 610"/>
    <w:docVar w:name="LW_REF.INTERNE" w:val="&lt;UNUSED&gt;"/>
    <w:docVar w:name="LW_SOUS.TITRE.OBJ.CP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ff-screen">
    <w:name w:val="off-screen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">
    <w:name w:val="s"/>
    <w:basedOn w:val="DefaultParagraphFont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ff-screen">
    <w:name w:val="off-screen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">
    <w:name w:val="s"/>
    <w:basedOn w:val="DefaultParagraphFont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1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4973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074A8B"/>
                                        <w:left w:val="dashed" w:sz="2" w:space="0" w:color="074A8B"/>
                                        <w:bottom w:val="dashed" w:sz="6" w:space="14" w:color="074A8B"/>
                                        <w:right w:val="dashed" w:sz="2" w:space="0" w:color="074A8B"/>
                                      </w:divBdr>
                                      <w:divsChild>
                                        <w:div w:id="9872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1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6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7326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1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0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074A8B"/>
                                    <w:left w:val="dashed" w:sz="2" w:space="0" w:color="074A8B"/>
                                    <w:bottom w:val="dashed" w:sz="6" w:space="9" w:color="074A8B"/>
                                    <w:right w:val="dashed" w:sz="2" w:space="0" w:color="074A8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939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1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074A8B"/>
                                        <w:left w:val="dashed" w:sz="2" w:space="0" w:color="074A8B"/>
                                        <w:bottom w:val="dashed" w:sz="6" w:space="14" w:color="074A8B"/>
                                        <w:right w:val="dashed" w:sz="2" w:space="0" w:color="074A8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eur-lex.europa.eu/legal-content/bg/TXT/?uri=CELEX:32013R034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BG/TXT/?uri=CELEX:32013R0345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smart-regulation/roadmaps/index_bg.htm" TargetMode="External"/><Relationship Id="rId1" Type="http://schemas.openxmlformats.org/officeDocument/2006/relationships/hyperlink" Target="http://ec.europa.eu/smart-regulation/better_regulation/key_docs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DB78-B142-4918-B55C-46DDA6ED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1454</Words>
  <Characters>8934</Characters>
  <Application>Microsoft Office Word</Application>
  <DocSecurity>0</DocSecurity>
  <Lines>262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David (SG)</dc:creator>
  <cp:lastModifiedBy>DIGIT/A3</cp:lastModifiedBy>
  <cp:revision>19</cp:revision>
  <cp:lastPrinted>2015-10-27T11:31:00Z</cp:lastPrinted>
  <dcterms:created xsi:type="dcterms:W3CDTF">2015-10-26T16:46:00Z</dcterms:created>
  <dcterms:modified xsi:type="dcterms:W3CDTF">2015-11-05T09:33:00Z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