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A6B51BF50E27497B936DA63340DDD0E4" style="width:451.25pt;height:434.5pt">
            <v:imagedata r:id="rId9" o:title=""/>
          </v:shape>
        </w:pict>
      </w:r>
    </w:p>
    <w:bookmarkEnd w:id="0"/>
    <w:p>
      <w:pPr>
        <w:rPr>
          <w:rFonts w:ascii="Times New Roman" w:hAnsi="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60"/>
        </w:sectPr>
      </w:pPr>
    </w:p>
    <w:p>
      <w:pPr>
        <w:spacing w:after="600" w:line="240" w:lineRule="auto"/>
        <w:jc w:val="center"/>
        <w:outlineLvl w:val="0"/>
        <w:rPr>
          <w:rFonts w:ascii="Times New Roman" w:eastAsia="Times New Roman" w:hAnsi="Times New Roman"/>
          <w:b/>
          <w:noProof/>
          <w:sz w:val="28"/>
          <w:szCs w:val="28"/>
          <w:u w:val="single"/>
        </w:rPr>
      </w:pPr>
      <w:bookmarkStart w:id="1" w:name="_GoBack"/>
      <w:bookmarkEnd w:id="1"/>
      <w:r>
        <w:rPr>
          <w:rFonts w:ascii="Times New Roman" w:hAnsi="Times New Roman"/>
          <w:b/>
          <w:noProof/>
          <w:sz w:val="28"/>
          <w:u w:val="single"/>
        </w:rPr>
        <w:lastRenderedPageBreak/>
        <w:t>Приложение V: Списък на актовете, които се предвижда да бъдат отменени</w:t>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501"/>
        <w:gridCol w:w="1273"/>
        <w:gridCol w:w="5539"/>
        <w:gridCol w:w="7088"/>
      </w:tblGrid>
      <w:tr>
        <w:trPr>
          <w:cantSplit/>
          <w:tblHeader/>
        </w:trPr>
        <w:tc>
          <w:tcPr>
            <w:tcW w:w="174" w:type="pct"/>
            <w:tcBorders>
              <w:bottom w:val="single" w:sz="4" w:space="0" w:color="auto"/>
            </w:tcBorders>
            <w:shd w:val="clear" w:color="auto" w:fill="99CCFF"/>
            <w:vAlign w:val="center"/>
          </w:tcPr>
          <w:p>
            <w:pPr>
              <w:tabs>
                <w:tab w:val="left" w:pos="176"/>
              </w:tabs>
              <w:ind w:left="142" w:hanging="108"/>
              <w:jc w:val="center"/>
              <w:rPr>
                <w:rFonts w:ascii="Times New Roman" w:hAnsi="Times New Roman"/>
                <w:b/>
                <w:noProof/>
                <w:sz w:val="20"/>
                <w:szCs w:val="20"/>
              </w:rPr>
            </w:pPr>
            <w:r>
              <w:rPr>
                <w:rFonts w:ascii="Times New Roman" w:hAnsi="Times New Roman"/>
                <w:b/>
                <w:noProof/>
                <w:sz w:val="20"/>
              </w:rPr>
              <w:t>№</w:t>
            </w:r>
          </w:p>
        </w:tc>
        <w:tc>
          <w:tcPr>
            <w:tcW w:w="442" w:type="pct"/>
            <w:tcBorders>
              <w:bottom w:val="single" w:sz="4" w:space="0" w:color="auto"/>
            </w:tcBorders>
            <w:shd w:val="clear" w:color="auto" w:fill="99CCFF"/>
          </w:tcPr>
          <w:p>
            <w:pPr>
              <w:jc w:val="center"/>
              <w:rPr>
                <w:rFonts w:ascii="Times New Roman" w:hAnsi="Times New Roman"/>
                <w:b/>
                <w:noProof/>
                <w:sz w:val="20"/>
                <w:szCs w:val="20"/>
              </w:rPr>
            </w:pPr>
            <w:r>
              <w:rPr>
                <w:rFonts w:ascii="Times New Roman" w:hAnsi="Times New Roman"/>
                <w:b/>
                <w:noProof/>
                <w:sz w:val="20"/>
              </w:rPr>
              <w:t>Област на политиката</w:t>
            </w:r>
          </w:p>
        </w:tc>
        <w:tc>
          <w:tcPr>
            <w:tcW w:w="1923" w:type="pct"/>
            <w:tcBorders>
              <w:bottom w:val="single" w:sz="4" w:space="0" w:color="auto"/>
            </w:tcBorders>
            <w:shd w:val="clear" w:color="auto" w:fill="99CCFF"/>
            <w:vAlign w:val="center"/>
          </w:tcPr>
          <w:p>
            <w:pPr>
              <w:jc w:val="center"/>
              <w:rPr>
                <w:rFonts w:ascii="Times New Roman" w:hAnsi="Times New Roman"/>
                <w:b/>
                <w:noProof/>
                <w:sz w:val="20"/>
                <w:szCs w:val="20"/>
              </w:rPr>
            </w:pPr>
            <w:r>
              <w:rPr>
                <w:rFonts w:ascii="Times New Roman" w:hAnsi="Times New Roman"/>
                <w:b/>
                <w:noProof/>
                <w:sz w:val="20"/>
              </w:rPr>
              <w:t>Наименование</w:t>
            </w:r>
          </w:p>
        </w:tc>
        <w:tc>
          <w:tcPr>
            <w:tcW w:w="2461" w:type="pct"/>
            <w:tcBorders>
              <w:bottom w:val="single" w:sz="4" w:space="0" w:color="auto"/>
            </w:tcBorders>
            <w:shd w:val="clear" w:color="auto" w:fill="99CCFF"/>
            <w:vAlign w:val="center"/>
          </w:tcPr>
          <w:p>
            <w:pPr>
              <w:jc w:val="center"/>
              <w:rPr>
                <w:rFonts w:ascii="Times New Roman" w:hAnsi="Times New Roman"/>
                <w:b/>
                <w:noProof/>
                <w:sz w:val="20"/>
                <w:szCs w:val="20"/>
              </w:rPr>
            </w:pPr>
            <w:r>
              <w:rPr>
                <w:rFonts w:ascii="Times New Roman" w:hAnsi="Times New Roman"/>
                <w:b/>
                <w:noProof/>
                <w:sz w:val="20"/>
              </w:rPr>
              <w:t>Мотиви за отмяната</w:t>
            </w:r>
          </w:p>
        </w:tc>
      </w:tr>
      <w:tr>
        <w:trPr>
          <w:cantSplit/>
        </w:trPr>
        <w:tc>
          <w:tcPr>
            <w:tcW w:w="174" w:type="pct"/>
            <w:tcBorders>
              <w:top w:val="single" w:sz="4" w:space="0" w:color="auto"/>
              <w:left w:val="single" w:sz="4" w:space="0" w:color="auto"/>
              <w:bottom w:val="single" w:sz="4" w:space="0" w:color="auto"/>
              <w:right w:val="single" w:sz="4" w:space="0" w:color="auto"/>
            </w:tcBorders>
          </w:tcPr>
          <w:p>
            <w:pPr>
              <w:numPr>
                <w:ilvl w:val="0"/>
                <w:numId w:val="4"/>
              </w:numPr>
              <w:spacing w:after="0" w:line="240" w:lineRule="auto"/>
              <w:ind w:left="357" w:hanging="357"/>
              <w:rPr>
                <w:rFonts w:ascii="Times New Roman" w:eastAsia="Times New Roman" w:hAnsi="Times New Roman"/>
                <w:noProof/>
                <w:sz w:val="20"/>
                <w:szCs w:val="20"/>
              </w:rPr>
            </w:pPr>
          </w:p>
        </w:tc>
        <w:tc>
          <w:tcPr>
            <w:tcW w:w="442" w:type="pct"/>
            <w:tcBorders>
              <w:top w:val="single" w:sz="4" w:space="0" w:color="auto"/>
              <w:left w:val="single" w:sz="4" w:space="0" w:color="auto"/>
              <w:bottom w:val="single" w:sz="4" w:space="0" w:color="auto"/>
              <w:right w:val="single" w:sz="4" w:space="0" w:color="auto"/>
            </w:tcBorders>
          </w:tcPr>
          <w:p>
            <w:pPr>
              <w:jc w:val="both"/>
              <w:rPr>
                <w:rFonts w:ascii="Times New Roman" w:hAnsi="Times New Roman"/>
                <w:noProof/>
                <w:sz w:val="20"/>
                <w:szCs w:val="20"/>
              </w:rPr>
            </w:pPr>
            <w:r>
              <w:rPr>
                <w:rFonts w:ascii="Times New Roman" w:hAnsi="Times New Roman"/>
                <w:noProof/>
                <w:sz w:val="20"/>
              </w:rPr>
              <w:t>Селско стопанство</w:t>
            </w:r>
          </w:p>
        </w:tc>
        <w:tc>
          <w:tcPr>
            <w:tcW w:w="1923" w:type="pct"/>
            <w:tcBorders>
              <w:top w:val="single" w:sz="4" w:space="0" w:color="auto"/>
              <w:left w:val="single" w:sz="4" w:space="0" w:color="auto"/>
              <w:bottom w:val="single" w:sz="4" w:space="0" w:color="auto"/>
              <w:right w:val="single" w:sz="4" w:space="0" w:color="auto"/>
            </w:tcBorders>
            <w:shd w:val="clear" w:color="auto" w:fill="auto"/>
          </w:tcPr>
          <w:p>
            <w:pPr>
              <w:jc w:val="both"/>
              <w:rPr>
                <w:rFonts w:ascii="Times New Roman" w:hAnsi="Times New Roman"/>
                <w:noProof/>
                <w:sz w:val="20"/>
                <w:szCs w:val="20"/>
              </w:rPr>
            </w:pPr>
            <w:r>
              <w:rPr>
                <w:rFonts w:ascii="Times New Roman" w:hAnsi="Times New Roman"/>
                <w:noProof/>
                <w:sz w:val="20"/>
              </w:rPr>
              <w:t>Хоризонтално действие за обявяване на редица неприложими актове в областта на общата селскостопанска политика за неактуални</w:t>
            </w:r>
          </w:p>
        </w:tc>
        <w:tc>
          <w:tcPr>
            <w:tcW w:w="2461" w:type="pct"/>
            <w:tcBorders>
              <w:top w:val="single" w:sz="4" w:space="0" w:color="auto"/>
              <w:left w:val="single" w:sz="4" w:space="0" w:color="auto"/>
              <w:bottom w:val="single" w:sz="4" w:space="0" w:color="auto"/>
              <w:right w:val="single" w:sz="4" w:space="0" w:color="auto"/>
            </w:tcBorders>
            <w:shd w:val="clear" w:color="auto" w:fill="auto"/>
          </w:tcPr>
          <w:p>
            <w:pPr>
              <w:jc w:val="both"/>
              <w:rPr>
                <w:rFonts w:ascii="Times New Roman" w:eastAsia="Times New Roman" w:hAnsi="Times New Roman"/>
                <w:noProof/>
                <w:sz w:val="20"/>
                <w:szCs w:val="20"/>
              </w:rPr>
            </w:pPr>
            <w:r>
              <w:rPr>
                <w:rFonts w:ascii="Times New Roman" w:hAnsi="Times New Roman"/>
                <w:noProof/>
                <w:sz w:val="20"/>
              </w:rPr>
              <w:t>Целта на действието е да се обяви официално, че актовете, които са изчерпали своето действие, са неактуални, като същевременно те не могат да бъдат отменени поради липса на правно основание.</w:t>
            </w:r>
          </w:p>
        </w:tc>
      </w:tr>
      <w:tr>
        <w:trPr>
          <w:cantSplit/>
        </w:trPr>
        <w:tc>
          <w:tcPr>
            <w:tcW w:w="174" w:type="pct"/>
            <w:tcBorders>
              <w:top w:val="single" w:sz="4" w:space="0" w:color="auto"/>
              <w:left w:val="single" w:sz="4" w:space="0" w:color="auto"/>
              <w:bottom w:val="single" w:sz="4" w:space="0" w:color="auto"/>
              <w:right w:val="single" w:sz="4" w:space="0" w:color="auto"/>
            </w:tcBorders>
          </w:tcPr>
          <w:p>
            <w:pPr>
              <w:numPr>
                <w:ilvl w:val="0"/>
                <w:numId w:val="4"/>
              </w:numPr>
              <w:spacing w:after="0" w:line="240" w:lineRule="auto"/>
              <w:ind w:left="357" w:hanging="357"/>
              <w:rPr>
                <w:rFonts w:ascii="Times New Roman" w:eastAsia="Times New Roman" w:hAnsi="Times New Roman"/>
                <w:noProof/>
                <w:sz w:val="20"/>
                <w:szCs w:val="20"/>
              </w:rPr>
            </w:pPr>
          </w:p>
        </w:tc>
        <w:tc>
          <w:tcPr>
            <w:tcW w:w="442" w:type="pct"/>
            <w:tcBorders>
              <w:top w:val="single" w:sz="4" w:space="0" w:color="auto"/>
              <w:left w:val="single" w:sz="4" w:space="0" w:color="auto"/>
              <w:bottom w:val="single" w:sz="4" w:space="0" w:color="auto"/>
              <w:right w:val="single" w:sz="4" w:space="0" w:color="auto"/>
            </w:tcBorders>
          </w:tcPr>
          <w:p>
            <w:pPr>
              <w:jc w:val="both"/>
              <w:rPr>
                <w:rFonts w:ascii="Times New Roman" w:eastAsia="Times New Roman" w:hAnsi="Times New Roman"/>
                <w:noProof/>
                <w:sz w:val="20"/>
                <w:szCs w:val="20"/>
              </w:rPr>
            </w:pPr>
            <w:r>
              <w:rPr>
                <w:rFonts w:ascii="Times New Roman" w:hAnsi="Times New Roman"/>
                <w:noProof/>
                <w:sz w:val="20"/>
              </w:rPr>
              <w:t>Околна среда</w:t>
            </w:r>
          </w:p>
        </w:tc>
        <w:tc>
          <w:tcPr>
            <w:tcW w:w="1923" w:type="pct"/>
            <w:tcBorders>
              <w:top w:val="single" w:sz="4" w:space="0" w:color="auto"/>
              <w:left w:val="single" w:sz="4" w:space="0" w:color="auto"/>
              <w:bottom w:val="single" w:sz="4" w:space="0" w:color="auto"/>
              <w:right w:val="single" w:sz="4" w:space="0" w:color="auto"/>
            </w:tcBorders>
            <w:shd w:val="clear" w:color="auto" w:fill="auto"/>
          </w:tcPr>
          <w:p>
            <w:pPr>
              <w:jc w:val="both"/>
              <w:rPr>
                <w:rFonts w:ascii="Times New Roman" w:hAnsi="Times New Roman"/>
                <w:noProof/>
                <w:sz w:val="20"/>
                <w:szCs w:val="20"/>
              </w:rPr>
            </w:pPr>
            <w:r>
              <w:rPr>
                <w:rFonts w:ascii="Times New Roman" w:hAnsi="Times New Roman"/>
                <w:noProof/>
                <w:sz w:val="20"/>
              </w:rPr>
              <w:t>Директива на Съвета от 23 декември 1991 г. относно стандартизиране и рационализиране на докладите за прилагане на някои директиви, свързани с околната среда (91/692/ЕИО)</w:t>
            </w:r>
          </w:p>
        </w:tc>
        <w:tc>
          <w:tcPr>
            <w:tcW w:w="2461" w:type="pct"/>
            <w:tcBorders>
              <w:top w:val="single" w:sz="4" w:space="0" w:color="auto"/>
              <w:left w:val="single" w:sz="4" w:space="0" w:color="auto"/>
              <w:bottom w:val="single" w:sz="4" w:space="0" w:color="auto"/>
              <w:right w:val="single" w:sz="4" w:space="0" w:color="auto"/>
            </w:tcBorders>
            <w:shd w:val="clear" w:color="auto" w:fill="auto"/>
          </w:tcPr>
          <w:p>
            <w:pPr>
              <w:jc w:val="both"/>
              <w:rPr>
                <w:rFonts w:ascii="Times New Roman" w:hAnsi="Times New Roman"/>
                <w:noProof/>
                <w:sz w:val="20"/>
                <w:szCs w:val="20"/>
              </w:rPr>
            </w:pPr>
            <w:r>
              <w:rPr>
                <w:rFonts w:ascii="Times New Roman" w:hAnsi="Times New Roman"/>
                <w:noProof/>
                <w:sz w:val="20"/>
              </w:rPr>
              <w:t>През 2016 г. Комисията възнамерява да изготви съобщение, в което очертава стратегията и нивото на амбиция на проверката за пригодност на задълженията за мониторинг и докладване в политиката в областта на околната среда и документира някои ранни действия в тази област, наред с другото — актуалното състояние на Директивата за стандартизиране на докладите и свързаните с нея въпросници, включително евентуално предложение за нейната отмяна.</w:t>
            </w:r>
          </w:p>
        </w:tc>
      </w:tr>
      <w:tr>
        <w:trPr>
          <w:cantSplit/>
        </w:trPr>
        <w:tc>
          <w:tcPr>
            <w:tcW w:w="174" w:type="pct"/>
            <w:tcBorders>
              <w:top w:val="single" w:sz="4" w:space="0" w:color="auto"/>
              <w:left w:val="single" w:sz="4" w:space="0" w:color="auto"/>
              <w:bottom w:val="single" w:sz="4" w:space="0" w:color="auto"/>
              <w:right w:val="single" w:sz="4" w:space="0" w:color="auto"/>
            </w:tcBorders>
          </w:tcPr>
          <w:p>
            <w:pPr>
              <w:numPr>
                <w:ilvl w:val="0"/>
                <w:numId w:val="4"/>
              </w:numPr>
              <w:spacing w:after="0" w:line="240" w:lineRule="auto"/>
              <w:ind w:left="357" w:hanging="357"/>
              <w:rPr>
                <w:rFonts w:ascii="Times New Roman" w:eastAsia="Times New Roman" w:hAnsi="Times New Roman"/>
                <w:noProof/>
                <w:sz w:val="20"/>
                <w:szCs w:val="20"/>
              </w:rPr>
            </w:pPr>
          </w:p>
        </w:tc>
        <w:tc>
          <w:tcPr>
            <w:tcW w:w="442" w:type="pct"/>
            <w:tcBorders>
              <w:top w:val="single" w:sz="4" w:space="0" w:color="auto"/>
              <w:left w:val="single" w:sz="4" w:space="0" w:color="auto"/>
              <w:bottom w:val="single" w:sz="4" w:space="0" w:color="auto"/>
              <w:right w:val="single" w:sz="4" w:space="0" w:color="auto"/>
            </w:tcBorders>
          </w:tcPr>
          <w:p>
            <w:pPr>
              <w:jc w:val="both"/>
              <w:rPr>
                <w:rFonts w:ascii="Times New Roman" w:eastAsia="Times New Roman" w:hAnsi="Times New Roman"/>
                <w:noProof/>
                <w:sz w:val="20"/>
                <w:szCs w:val="20"/>
              </w:rPr>
            </w:pPr>
            <w:r>
              <w:rPr>
                <w:rFonts w:ascii="Times New Roman" w:hAnsi="Times New Roman"/>
                <w:noProof/>
                <w:sz w:val="20"/>
              </w:rPr>
              <w:t>Околна среда</w:t>
            </w:r>
          </w:p>
        </w:tc>
        <w:tc>
          <w:tcPr>
            <w:tcW w:w="1923" w:type="pct"/>
            <w:tcBorders>
              <w:top w:val="single" w:sz="4" w:space="0" w:color="auto"/>
              <w:left w:val="single" w:sz="4" w:space="0" w:color="auto"/>
              <w:bottom w:val="single" w:sz="4" w:space="0" w:color="auto"/>
              <w:right w:val="single" w:sz="4" w:space="0" w:color="auto"/>
            </w:tcBorders>
            <w:shd w:val="clear" w:color="auto" w:fill="auto"/>
          </w:tcPr>
          <w:p>
            <w:pPr>
              <w:jc w:val="both"/>
              <w:rPr>
                <w:rFonts w:ascii="Times New Roman" w:eastAsia="Times New Roman" w:hAnsi="Times New Roman"/>
                <w:noProof/>
                <w:sz w:val="20"/>
                <w:szCs w:val="20"/>
              </w:rPr>
            </w:pPr>
            <w:r>
              <w:rPr>
                <w:rFonts w:ascii="Times New Roman" w:hAnsi="Times New Roman"/>
                <w:noProof/>
                <w:sz w:val="20"/>
              </w:rPr>
              <w:t>„Въпросник за водния сектор“ (Решение 95/337/ЕИО на Комисията)</w:t>
            </w:r>
          </w:p>
        </w:tc>
        <w:tc>
          <w:tcPr>
            <w:tcW w:w="2461" w:type="pct"/>
            <w:tcBorders>
              <w:top w:val="single" w:sz="4" w:space="0" w:color="auto"/>
              <w:left w:val="single" w:sz="4" w:space="0" w:color="auto"/>
              <w:bottom w:val="single" w:sz="4" w:space="0" w:color="auto"/>
              <w:right w:val="single" w:sz="4" w:space="0" w:color="auto"/>
            </w:tcBorders>
            <w:shd w:val="clear" w:color="auto" w:fill="auto"/>
          </w:tcPr>
          <w:p>
            <w:pPr>
              <w:jc w:val="both"/>
              <w:rPr>
                <w:rFonts w:ascii="Times New Roman" w:eastAsia="Times New Roman" w:hAnsi="Times New Roman"/>
                <w:noProof/>
                <w:sz w:val="20"/>
                <w:szCs w:val="20"/>
              </w:rPr>
            </w:pPr>
            <w:r>
              <w:rPr>
                <w:rFonts w:ascii="Times New Roman" w:hAnsi="Times New Roman"/>
                <w:noProof/>
                <w:sz w:val="20"/>
              </w:rPr>
              <w:t>Това решение е решение за изпълнение, основано на Директивата за стандартизиране на докладите, които евентуално ще бъде отменена през 2016 г. През 2016 г. Комисията възнамерява да изготви съобщение, в което очертава стратегията и нивото на амбиция на проверката за пригодност на задълженията за мониторинг и докладване в политиката в областта на околната среда и документира някои ранни действия в тази област, наред с другото — актуалното състояние на Директивата за стандартизиране на докладите и свързаните с нея въпросници, включително евентуално предложение за нейната отмяна.</w:t>
            </w:r>
          </w:p>
        </w:tc>
      </w:tr>
      <w:tr>
        <w:trPr>
          <w:cantSplit/>
        </w:trPr>
        <w:tc>
          <w:tcPr>
            <w:tcW w:w="174" w:type="pct"/>
            <w:tcBorders>
              <w:top w:val="single" w:sz="4" w:space="0" w:color="auto"/>
              <w:left w:val="single" w:sz="4" w:space="0" w:color="auto"/>
              <w:bottom w:val="single" w:sz="4" w:space="0" w:color="auto"/>
              <w:right w:val="single" w:sz="4" w:space="0" w:color="auto"/>
            </w:tcBorders>
          </w:tcPr>
          <w:p>
            <w:pPr>
              <w:numPr>
                <w:ilvl w:val="0"/>
                <w:numId w:val="4"/>
              </w:numPr>
              <w:spacing w:after="0" w:line="240" w:lineRule="auto"/>
              <w:ind w:left="357" w:hanging="357"/>
              <w:rPr>
                <w:rFonts w:ascii="Times New Roman" w:eastAsia="Times New Roman" w:hAnsi="Times New Roman"/>
                <w:noProof/>
                <w:sz w:val="20"/>
                <w:szCs w:val="20"/>
              </w:rPr>
            </w:pPr>
          </w:p>
        </w:tc>
        <w:tc>
          <w:tcPr>
            <w:tcW w:w="442" w:type="pct"/>
            <w:tcBorders>
              <w:top w:val="single" w:sz="4" w:space="0" w:color="auto"/>
              <w:left w:val="single" w:sz="4" w:space="0" w:color="auto"/>
              <w:bottom w:val="single" w:sz="4" w:space="0" w:color="auto"/>
              <w:right w:val="single" w:sz="4" w:space="0" w:color="auto"/>
            </w:tcBorders>
          </w:tcPr>
          <w:p>
            <w:pPr>
              <w:jc w:val="both"/>
              <w:rPr>
                <w:rFonts w:ascii="Times New Roman" w:eastAsia="Times New Roman" w:hAnsi="Times New Roman"/>
                <w:noProof/>
                <w:sz w:val="20"/>
                <w:szCs w:val="20"/>
              </w:rPr>
            </w:pPr>
            <w:r>
              <w:rPr>
                <w:rFonts w:ascii="Times New Roman" w:hAnsi="Times New Roman"/>
                <w:noProof/>
                <w:sz w:val="20"/>
              </w:rPr>
              <w:t>Вътрешни работи</w:t>
            </w:r>
          </w:p>
        </w:tc>
        <w:tc>
          <w:tcPr>
            <w:tcW w:w="1923" w:type="pct"/>
            <w:tcBorders>
              <w:top w:val="single" w:sz="4" w:space="0" w:color="auto"/>
              <w:left w:val="single" w:sz="4" w:space="0" w:color="auto"/>
              <w:bottom w:val="single" w:sz="4" w:space="0" w:color="auto"/>
              <w:right w:val="single" w:sz="4" w:space="0" w:color="auto"/>
            </w:tcBorders>
            <w:shd w:val="clear" w:color="auto" w:fill="auto"/>
          </w:tcPr>
          <w:p>
            <w:pPr>
              <w:jc w:val="both"/>
              <w:rPr>
                <w:rFonts w:ascii="Times New Roman" w:hAnsi="Times New Roman"/>
                <w:noProof/>
                <w:sz w:val="20"/>
                <w:szCs w:val="20"/>
              </w:rPr>
            </w:pPr>
            <w:r>
              <w:rPr>
                <w:rFonts w:ascii="Times New Roman" w:hAnsi="Times New Roman"/>
                <w:noProof/>
                <w:sz w:val="20"/>
              </w:rPr>
              <w:t>Решение на Комисията (2008/602/ЕО) от 17 юни 2008 г. относно определяне на физическата архитектура и изискванията на националните интерфейси и на съобщителната инфраструктура между Централната ВИС и националните интерфейси за етапа на разработване (нотифицирано под номер C(2008) 2693) (ОВ L 194, 23.7.2008 г., стр. 3)</w:t>
            </w:r>
          </w:p>
        </w:tc>
        <w:tc>
          <w:tcPr>
            <w:tcW w:w="2461" w:type="pct"/>
            <w:tcBorders>
              <w:top w:val="single" w:sz="4" w:space="0" w:color="auto"/>
              <w:left w:val="single" w:sz="4" w:space="0" w:color="auto"/>
              <w:bottom w:val="single" w:sz="4" w:space="0" w:color="auto"/>
              <w:right w:val="single" w:sz="4" w:space="0" w:color="auto"/>
            </w:tcBorders>
            <w:shd w:val="clear" w:color="auto" w:fill="auto"/>
          </w:tcPr>
          <w:p>
            <w:pPr>
              <w:jc w:val="both"/>
              <w:rPr>
                <w:rFonts w:ascii="Times New Roman" w:hAnsi="Times New Roman"/>
                <w:noProof/>
                <w:sz w:val="20"/>
                <w:szCs w:val="20"/>
              </w:rPr>
            </w:pPr>
            <w:r>
              <w:rPr>
                <w:rFonts w:ascii="Times New Roman" w:hAnsi="Times New Roman"/>
                <w:noProof/>
                <w:sz w:val="20"/>
              </w:rPr>
              <w:t>Този акт е неактуален. ВИС беше разработена и функционира от октомври 2011 г.</w:t>
            </w:r>
          </w:p>
        </w:tc>
      </w:tr>
      <w:tr>
        <w:trPr>
          <w:cantSplit/>
        </w:trPr>
        <w:tc>
          <w:tcPr>
            <w:tcW w:w="174" w:type="pct"/>
            <w:tcBorders>
              <w:top w:val="single" w:sz="4" w:space="0" w:color="auto"/>
              <w:left w:val="single" w:sz="4" w:space="0" w:color="auto"/>
              <w:bottom w:val="single" w:sz="4" w:space="0" w:color="auto"/>
              <w:right w:val="single" w:sz="4" w:space="0" w:color="auto"/>
            </w:tcBorders>
          </w:tcPr>
          <w:p>
            <w:pPr>
              <w:numPr>
                <w:ilvl w:val="0"/>
                <w:numId w:val="4"/>
              </w:numPr>
              <w:spacing w:after="0" w:line="240" w:lineRule="auto"/>
              <w:ind w:left="357" w:hanging="357"/>
              <w:rPr>
                <w:rFonts w:ascii="Times New Roman" w:eastAsia="Times New Roman" w:hAnsi="Times New Roman"/>
                <w:noProof/>
                <w:sz w:val="20"/>
                <w:szCs w:val="20"/>
              </w:rPr>
            </w:pPr>
          </w:p>
        </w:tc>
        <w:tc>
          <w:tcPr>
            <w:tcW w:w="442" w:type="pct"/>
            <w:tcBorders>
              <w:top w:val="single" w:sz="4" w:space="0" w:color="auto"/>
              <w:left w:val="single" w:sz="4" w:space="0" w:color="auto"/>
              <w:bottom w:val="single" w:sz="4" w:space="0" w:color="auto"/>
              <w:right w:val="single" w:sz="4" w:space="0" w:color="auto"/>
            </w:tcBorders>
          </w:tcPr>
          <w:p>
            <w:pPr>
              <w:jc w:val="both"/>
              <w:rPr>
                <w:rFonts w:ascii="Times New Roman" w:eastAsia="Times New Roman" w:hAnsi="Times New Roman"/>
                <w:noProof/>
                <w:sz w:val="20"/>
                <w:szCs w:val="20"/>
              </w:rPr>
            </w:pPr>
            <w:r>
              <w:rPr>
                <w:rFonts w:ascii="Times New Roman" w:hAnsi="Times New Roman"/>
                <w:noProof/>
                <w:sz w:val="20"/>
              </w:rPr>
              <w:t>Вътрешни работи</w:t>
            </w:r>
          </w:p>
        </w:tc>
        <w:tc>
          <w:tcPr>
            <w:tcW w:w="1923" w:type="pct"/>
            <w:tcBorders>
              <w:top w:val="single" w:sz="4" w:space="0" w:color="auto"/>
              <w:left w:val="single" w:sz="4" w:space="0" w:color="auto"/>
              <w:bottom w:val="single" w:sz="4" w:space="0" w:color="auto"/>
              <w:right w:val="single" w:sz="4" w:space="0" w:color="auto"/>
            </w:tcBorders>
            <w:shd w:val="clear" w:color="auto" w:fill="auto"/>
          </w:tcPr>
          <w:p>
            <w:pPr>
              <w:jc w:val="both"/>
              <w:rPr>
                <w:rFonts w:ascii="Times New Roman" w:hAnsi="Times New Roman"/>
                <w:noProof/>
                <w:sz w:val="20"/>
                <w:szCs w:val="20"/>
              </w:rPr>
            </w:pPr>
            <w:r>
              <w:rPr>
                <w:rFonts w:ascii="Times New Roman" w:hAnsi="Times New Roman"/>
                <w:noProof/>
                <w:sz w:val="20"/>
              </w:rPr>
              <w:t>Решение на Комисията (2006/752/ЕО) от 3 ноември 2006 г. за установяване на местата за Визовата информационна система през фазата на разработване (ОВ L 305, 4.11.2006 г., стр. 13)</w:t>
            </w:r>
          </w:p>
        </w:tc>
        <w:tc>
          <w:tcPr>
            <w:tcW w:w="2461" w:type="pct"/>
            <w:tcBorders>
              <w:top w:val="single" w:sz="4" w:space="0" w:color="auto"/>
              <w:left w:val="single" w:sz="4" w:space="0" w:color="auto"/>
              <w:bottom w:val="single" w:sz="4" w:space="0" w:color="auto"/>
              <w:right w:val="single" w:sz="4" w:space="0" w:color="auto"/>
            </w:tcBorders>
            <w:shd w:val="clear" w:color="auto" w:fill="auto"/>
          </w:tcPr>
          <w:p>
            <w:pPr>
              <w:jc w:val="both"/>
              <w:rPr>
                <w:rFonts w:ascii="Times New Roman" w:hAnsi="Times New Roman"/>
                <w:noProof/>
                <w:sz w:val="20"/>
                <w:szCs w:val="20"/>
              </w:rPr>
            </w:pPr>
            <w:r>
              <w:rPr>
                <w:rFonts w:ascii="Times New Roman" w:hAnsi="Times New Roman"/>
                <w:noProof/>
                <w:sz w:val="20"/>
              </w:rPr>
              <w:t>Този акт е неактуален. ВИС беше разработена и функционира от октомври 2011 г.</w:t>
            </w:r>
          </w:p>
        </w:tc>
      </w:tr>
      <w:tr>
        <w:trPr>
          <w:cantSplit/>
        </w:trPr>
        <w:tc>
          <w:tcPr>
            <w:tcW w:w="174" w:type="pct"/>
            <w:tcBorders>
              <w:top w:val="single" w:sz="4" w:space="0" w:color="auto"/>
              <w:left w:val="single" w:sz="4" w:space="0" w:color="auto"/>
              <w:bottom w:val="single" w:sz="4" w:space="0" w:color="auto"/>
              <w:right w:val="single" w:sz="4" w:space="0" w:color="auto"/>
            </w:tcBorders>
          </w:tcPr>
          <w:p>
            <w:pPr>
              <w:numPr>
                <w:ilvl w:val="0"/>
                <w:numId w:val="4"/>
              </w:numPr>
              <w:spacing w:after="0" w:line="240" w:lineRule="auto"/>
              <w:ind w:left="357" w:hanging="357"/>
              <w:rPr>
                <w:rFonts w:ascii="Times New Roman" w:eastAsia="Times New Roman" w:hAnsi="Times New Roman"/>
                <w:noProof/>
                <w:sz w:val="20"/>
                <w:szCs w:val="20"/>
              </w:rPr>
            </w:pPr>
          </w:p>
        </w:tc>
        <w:tc>
          <w:tcPr>
            <w:tcW w:w="442" w:type="pct"/>
            <w:tcBorders>
              <w:top w:val="single" w:sz="4" w:space="0" w:color="auto"/>
              <w:left w:val="single" w:sz="4" w:space="0" w:color="auto"/>
              <w:bottom w:val="single" w:sz="4" w:space="0" w:color="auto"/>
              <w:right w:val="single" w:sz="4" w:space="0" w:color="auto"/>
            </w:tcBorders>
          </w:tcPr>
          <w:p>
            <w:pPr>
              <w:jc w:val="both"/>
              <w:rPr>
                <w:rFonts w:ascii="Times New Roman" w:eastAsia="Times New Roman" w:hAnsi="Times New Roman"/>
                <w:noProof/>
                <w:sz w:val="20"/>
                <w:szCs w:val="20"/>
              </w:rPr>
            </w:pPr>
            <w:r>
              <w:rPr>
                <w:rFonts w:ascii="Times New Roman" w:hAnsi="Times New Roman"/>
                <w:noProof/>
                <w:sz w:val="20"/>
              </w:rPr>
              <w:t>Вътрешни работи</w:t>
            </w:r>
          </w:p>
        </w:tc>
        <w:tc>
          <w:tcPr>
            <w:tcW w:w="1923" w:type="pct"/>
            <w:tcBorders>
              <w:top w:val="single" w:sz="4" w:space="0" w:color="auto"/>
              <w:left w:val="single" w:sz="4" w:space="0" w:color="auto"/>
              <w:bottom w:val="single" w:sz="4" w:space="0" w:color="auto"/>
              <w:right w:val="single" w:sz="4" w:space="0" w:color="auto"/>
            </w:tcBorders>
            <w:shd w:val="clear" w:color="auto" w:fill="auto"/>
          </w:tcPr>
          <w:p>
            <w:pPr>
              <w:jc w:val="both"/>
              <w:rPr>
                <w:rFonts w:ascii="Times New Roman" w:hAnsi="Times New Roman"/>
                <w:noProof/>
                <w:sz w:val="20"/>
                <w:szCs w:val="20"/>
              </w:rPr>
            </w:pPr>
            <w:r>
              <w:rPr>
                <w:rFonts w:ascii="Times New Roman" w:hAnsi="Times New Roman"/>
                <w:noProof/>
                <w:sz w:val="20"/>
              </w:rPr>
              <w:t>Регламент (ЕО) № 189/2008 на Съвета от 18 февруари 2008 г. относно изпитванията на Шенгенската информационна система от второ поколение (ШИС II) (ОВ L 57, 1.3.2008 г., стр. 1)</w:t>
            </w:r>
          </w:p>
        </w:tc>
        <w:tc>
          <w:tcPr>
            <w:tcW w:w="2461" w:type="pct"/>
            <w:tcBorders>
              <w:top w:val="single" w:sz="4" w:space="0" w:color="auto"/>
              <w:left w:val="single" w:sz="4" w:space="0" w:color="auto"/>
              <w:bottom w:val="single" w:sz="4" w:space="0" w:color="auto"/>
              <w:right w:val="single" w:sz="4" w:space="0" w:color="auto"/>
            </w:tcBorders>
            <w:shd w:val="clear" w:color="auto" w:fill="auto"/>
          </w:tcPr>
          <w:p>
            <w:pPr>
              <w:jc w:val="both"/>
              <w:rPr>
                <w:rFonts w:ascii="Times New Roman" w:hAnsi="Times New Roman"/>
                <w:noProof/>
                <w:sz w:val="20"/>
                <w:szCs w:val="20"/>
              </w:rPr>
            </w:pPr>
            <w:r>
              <w:rPr>
                <w:rFonts w:ascii="Times New Roman" w:hAnsi="Times New Roman"/>
                <w:noProof/>
                <w:sz w:val="20"/>
              </w:rPr>
              <w:t>Този регламент бе свързан с изпитването на централната система на ШИС II преди пускането на системата в експлоатация. Съдържанието му не е актуално по отношение на изпитването на системата, действаща в реално време.</w:t>
            </w:r>
          </w:p>
        </w:tc>
      </w:tr>
      <w:tr>
        <w:trPr>
          <w:cantSplit/>
        </w:trPr>
        <w:tc>
          <w:tcPr>
            <w:tcW w:w="174" w:type="pct"/>
            <w:tcBorders>
              <w:top w:val="single" w:sz="4" w:space="0" w:color="auto"/>
              <w:left w:val="single" w:sz="4" w:space="0" w:color="auto"/>
              <w:bottom w:val="single" w:sz="4" w:space="0" w:color="auto"/>
              <w:right w:val="single" w:sz="4" w:space="0" w:color="auto"/>
            </w:tcBorders>
          </w:tcPr>
          <w:p>
            <w:pPr>
              <w:numPr>
                <w:ilvl w:val="0"/>
                <w:numId w:val="4"/>
              </w:numPr>
              <w:spacing w:after="0" w:line="240" w:lineRule="auto"/>
              <w:ind w:left="357" w:hanging="357"/>
              <w:rPr>
                <w:rFonts w:ascii="Times New Roman" w:eastAsia="Times New Roman" w:hAnsi="Times New Roman"/>
                <w:noProof/>
                <w:sz w:val="20"/>
                <w:szCs w:val="20"/>
              </w:rPr>
            </w:pPr>
          </w:p>
        </w:tc>
        <w:tc>
          <w:tcPr>
            <w:tcW w:w="442" w:type="pct"/>
            <w:tcBorders>
              <w:top w:val="single" w:sz="4" w:space="0" w:color="auto"/>
              <w:left w:val="single" w:sz="4" w:space="0" w:color="auto"/>
              <w:bottom w:val="single" w:sz="4" w:space="0" w:color="auto"/>
              <w:right w:val="single" w:sz="4" w:space="0" w:color="auto"/>
            </w:tcBorders>
          </w:tcPr>
          <w:p>
            <w:pPr>
              <w:jc w:val="both"/>
              <w:rPr>
                <w:rFonts w:ascii="Times New Roman" w:eastAsia="Times New Roman" w:hAnsi="Times New Roman"/>
                <w:noProof/>
                <w:sz w:val="20"/>
                <w:szCs w:val="20"/>
              </w:rPr>
            </w:pPr>
            <w:r>
              <w:rPr>
                <w:rFonts w:ascii="Times New Roman" w:hAnsi="Times New Roman"/>
                <w:noProof/>
                <w:sz w:val="20"/>
              </w:rPr>
              <w:t>Вътрешни работи</w:t>
            </w:r>
          </w:p>
        </w:tc>
        <w:tc>
          <w:tcPr>
            <w:tcW w:w="1923" w:type="pct"/>
            <w:tcBorders>
              <w:top w:val="single" w:sz="4" w:space="0" w:color="auto"/>
              <w:left w:val="single" w:sz="4" w:space="0" w:color="auto"/>
              <w:bottom w:val="single" w:sz="4" w:space="0" w:color="auto"/>
              <w:right w:val="single" w:sz="4" w:space="0" w:color="auto"/>
            </w:tcBorders>
            <w:shd w:val="clear" w:color="auto" w:fill="auto"/>
          </w:tcPr>
          <w:p>
            <w:pPr>
              <w:jc w:val="both"/>
              <w:rPr>
                <w:rFonts w:ascii="Times New Roman" w:hAnsi="Times New Roman"/>
                <w:noProof/>
                <w:sz w:val="20"/>
                <w:szCs w:val="20"/>
              </w:rPr>
            </w:pPr>
            <w:r>
              <w:rPr>
                <w:rFonts w:ascii="Times New Roman" w:hAnsi="Times New Roman"/>
                <w:noProof/>
                <w:sz w:val="20"/>
              </w:rPr>
              <w:t>Решение 2008/173/ЕО на Съвета от 18 февруари 2008 г. относно изпитванията на Шенгенска информационна система от второ поколение (ШИС II) (ОВ L 57, 1.3.2008 г., стр. 14; поправка ОВ L 24, 28.1.2009 г., стр. 24)</w:t>
            </w:r>
          </w:p>
        </w:tc>
        <w:tc>
          <w:tcPr>
            <w:tcW w:w="2461" w:type="pct"/>
            <w:tcBorders>
              <w:top w:val="single" w:sz="4" w:space="0" w:color="auto"/>
              <w:left w:val="single" w:sz="4" w:space="0" w:color="auto"/>
              <w:bottom w:val="single" w:sz="4" w:space="0" w:color="auto"/>
              <w:right w:val="single" w:sz="4" w:space="0" w:color="auto"/>
            </w:tcBorders>
            <w:shd w:val="clear" w:color="auto" w:fill="auto"/>
          </w:tcPr>
          <w:p>
            <w:pPr>
              <w:jc w:val="both"/>
              <w:rPr>
                <w:rFonts w:ascii="Times New Roman" w:hAnsi="Times New Roman"/>
                <w:noProof/>
                <w:sz w:val="20"/>
                <w:szCs w:val="20"/>
              </w:rPr>
            </w:pPr>
            <w:r>
              <w:rPr>
                <w:rFonts w:ascii="Times New Roman" w:hAnsi="Times New Roman"/>
                <w:noProof/>
                <w:sz w:val="20"/>
              </w:rPr>
              <w:t>Този регламент бе свързан с изпитването на централната система на ШИС II преди пускането на системата в експлоатация. Съдържанието му не е актуално по отношение на изпитването на системата, действаща в реално време.</w:t>
            </w:r>
          </w:p>
        </w:tc>
      </w:tr>
      <w:tr>
        <w:trPr>
          <w:cantSplit/>
        </w:trPr>
        <w:tc>
          <w:tcPr>
            <w:tcW w:w="174" w:type="pct"/>
            <w:tcBorders>
              <w:top w:val="single" w:sz="4" w:space="0" w:color="auto"/>
              <w:left w:val="single" w:sz="4" w:space="0" w:color="auto"/>
              <w:bottom w:val="single" w:sz="4" w:space="0" w:color="auto"/>
              <w:right w:val="single" w:sz="4" w:space="0" w:color="auto"/>
            </w:tcBorders>
          </w:tcPr>
          <w:p>
            <w:pPr>
              <w:numPr>
                <w:ilvl w:val="0"/>
                <w:numId w:val="4"/>
              </w:numPr>
              <w:spacing w:after="0" w:line="240" w:lineRule="auto"/>
              <w:ind w:left="357" w:hanging="357"/>
              <w:rPr>
                <w:rFonts w:ascii="Times New Roman" w:eastAsia="Times New Roman" w:hAnsi="Times New Roman"/>
                <w:noProof/>
                <w:sz w:val="20"/>
                <w:szCs w:val="20"/>
              </w:rPr>
            </w:pPr>
          </w:p>
        </w:tc>
        <w:tc>
          <w:tcPr>
            <w:tcW w:w="442" w:type="pct"/>
            <w:tcBorders>
              <w:top w:val="single" w:sz="4" w:space="0" w:color="auto"/>
              <w:left w:val="single" w:sz="4" w:space="0" w:color="auto"/>
              <w:bottom w:val="single" w:sz="4" w:space="0" w:color="auto"/>
              <w:right w:val="single" w:sz="4" w:space="0" w:color="auto"/>
            </w:tcBorders>
          </w:tcPr>
          <w:p>
            <w:pPr>
              <w:jc w:val="both"/>
              <w:rPr>
                <w:rFonts w:ascii="Times New Roman" w:eastAsia="Times New Roman" w:hAnsi="Times New Roman"/>
                <w:noProof/>
                <w:sz w:val="20"/>
                <w:szCs w:val="20"/>
              </w:rPr>
            </w:pPr>
            <w:r>
              <w:rPr>
                <w:rFonts w:ascii="Times New Roman" w:hAnsi="Times New Roman"/>
                <w:noProof/>
                <w:sz w:val="20"/>
              </w:rPr>
              <w:t>Вътрешни работи</w:t>
            </w:r>
          </w:p>
        </w:tc>
        <w:tc>
          <w:tcPr>
            <w:tcW w:w="1923" w:type="pct"/>
            <w:tcBorders>
              <w:top w:val="single" w:sz="4" w:space="0" w:color="auto"/>
              <w:left w:val="single" w:sz="4" w:space="0" w:color="auto"/>
              <w:bottom w:val="single" w:sz="4" w:space="0" w:color="auto"/>
              <w:right w:val="single" w:sz="4" w:space="0" w:color="auto"/>
            </w:tcBorders>
            <w:shd w:val="clear" w:color="auto" w:fill="auto"/>
          </w:tcPr>
          <w:p>
            <w:pPr>
              <w:jc w:val="both"/>
              <w:rPr>
                <w:rFonts w:ascii="Times New Roman" w:hAnsi="Times New Roman"/>
                <w:noProof/>
                <w:sz w:val="20"/>
                <w:szCs w:val="20"/>
              </w:rPr>
            </w:pPr>
            <w:r>
              <w:rPr>
                <w:rFonts w:ascii="Times New Roman" w:hAnsi="Times New Roman"/>
                <w:noProof/>
                <w:sz w:val="20"/>
              </w:rPr>
              <w:t>Регламент (ЕО) № 1295/2003 на Съвета от 15 юли 2003 г. относно мерките, предвидени за улесняване на процедурите за кандидатстване за виза и издаване на визи за членовете на олимпийското семейство, които ще вземат участие в олимпийските или параолимпийските игри в Атина през 2004 г. (Шенген)</w:t>
            </w:r>
          </w:p>
        </w:tc>
        <w:tc>
          <w:tcPr>
            <w:tcW w:w="2461" w:type="pct"/>
            <w:tcBorders>
              <w:top w:val="single" w:sz="4" w:space="0" w:color="auto"/>
              <w:left w:val="single" w:sz="4" w:space="0" w:color="auto"/>
              <w:bottom w:val="single" w:sz="4" w:space="0" w:color="auto"/>
              <w:right w:val="single" w:sz="4" w:space="0" w:color="auto"/>
            </w:tcBorders>
            <w:shd w:val="clear" w:color="auto" w:fill="auto"/>
          </w:tcPr>
          <w:p>
            <w:pPr>
              <w:jc w:val="both"/>
              <w:rPr>
                <w:rFonts w:ascii="Times New Roman" w:hAnsi="Times New Roman"/>
                <w:noProof/>
                <w:sz w:val="20"/>
                <w:szCs w:val="20"/>
              </w:rPr>
            </w:pPr>
            <w:r>
              <w:rPr>
                <w:rFonts w:ascii="Times New Roman" w:hAnsi="Times New Roman"/>
                <w:noProof/>
                <w:sz w:val="20"/>
              </w:rPr>
              <w:t>Този акт е неактуален, тъй като прилагането му беше ограничено във времето (олимпийските игри в Атина).</w:t>
            </w:r>
          </w:p>
        </w:tc>
      </w:tr>
      <w:tr>
        <w:trPr>
          <w:cantSplit/>
        </w:trPr>
        <w:tc>
          <w:tcPr>
            <w:tcW w:w="174" w:type="pct"/>
            <w:tcBorders>
              <w:top w:val="single" w:sz="4" w:space="0" w:color="auto"/>
              <w:left w:val="single" w:sz="4" w:space="0" w:color="auto"/>
              <w:bottom w:val="single" w:sz="4" w:space="0" w:color="auto"/>
              <w:right w:val="single" w:sz="4" w:space="0" w:color="auto"/>
            </w:tcBorders>
          </w:tcPr>
          <w:p>
            <w:pPr>
              <w:numPr>
                <w:ilvl w:val="0"/>
                <w:numId w:val="4"/>
              </w:numPr>
              <w:spacing w:after="0" w:line="240" w:lineRule="auto"/>
              <w:ind w:left="357" w:hanging="357"/>
              <w:rPr>
                <w:rFonts w:ascii="Times New Roman" w:eastAsia="Times New Roman" w:hAnsi="Times New Roman"/>
                <w:noProof/>
                <w:sz w:val="20"/>
                <w:szCs w:val="20"/>
              </w:rPr>
            </w:pPr>
          </w:p>
        </w:tc>
        <w:tc>
          <w:tcPr>
            <w:tcW w:w="442" w:type="pct"/>
            <w:tcBorders>
              <w:top w:val="single" w:sz="4" w:space="0" w:color="auto"/>
              <w:left w:val="single" w:sz="4" w:space="0" w:color="auto"/>
              <w:bottom w:val="single" w:sz="4" w:space="0" w:color="auto"/>
              <w:right w:val="single" w:sz="4" w:space="0" w:color="auto"/>
            </w:tcBorders>
          </w:tcPr>
          <w:p>
            <w:pPr>
              <w:jc w:val="both"/>
              <w:rPr>
                <w:rFonts w:ascii="Times New Roman" w:eastAsia="Times New Roman" w:hAnsi="Times New Roman"/>
                <w:noProof/>
                <w:sz w:val="20"/>
                <w:szCs w:val="20"/>
              </w:rPr>
            </w:pPr>
            <w:r>
              <w:rPr>
                <w:rFonts w:ascii="Times New Roman" w:hAnsi="Times New Roman"/>
                <w:noProof/>
                <w:sz w:val="20"/>
              </w:rPr>
              <w:t>Вътрешни работи</w:t>
            </w:r>
          </w:p>
        </w:tc>
        <w:tc>
          <w:tcPr>
            <w:tcW w:w="1923" w:type="pct"/>
            <w:tcBorders>
              <w:top w:val="single" w:sz="4" w:space="0" w:color="auto"/>
              <w:left w:val="single" w:sz="4" w:space="0" w:color="auto"/>
              <w:bottom w:val="single" w:sz="4" w:space="0" w:color="auto"/>
              <w:right w:val="single" w:sz="4" w:space="0" w:color="auto"/>
            </w:tcBorders>
            <w:shd w:val="clear" w:color="auto" w:fill="auto"/>
          </w:tcPr>
          <w:p>
            <w:pPr>
              <w:jc w:val="both"/>
              <w:rPr>
                <w:rFonts w:ascii="Times New Roman" w:hAnsi="Times New Roman"/>
                <w:noProof/>
                <w:sz w:val="20"/>
                <w:szCs w:val="20"/>
              </w:rPr>
            </w:pPr>
            <w:r>
              <w:rPr>
                <w:rFonts w:ascii="Times New Roman" w:hAnsi="Times New Roman"/>
                <w:noProof/>
                <w:sz w:val="20"/>
              </w:rPr>
              <w:t>Регламент (ЕО) № 2046/2005 на Европейския парламент и на Съвета от 14 декември 2005 г. относно мерките, предвидени за улесняване на процедурите за кандидатстване за виза и издаване на визи за членовете на олимпийското семейство, които ще вземат участие в зимните олимпийски и/или параолимпийски игри в Торино през 2006 г. (Шенген)</w:t>
            </w:r>
          </w:p>
        </w:tc>
        <w:tc>
          <w:tcPr>
            <w:tcW w:w="2461" w:type="pct"/>
            <w:tcBorders>
              <w:top w:val="single" w:sz="4" w:space="0" w:color="auto"/>
              <w:left w:val="single" w:sz="4" w:space="0" w:color="auto"/>
              <w:bottom w:val="single" w:sz="4" w:space="0" w:color="auto"/>
              <w:right w:val="single" w:sz="4" w:space="0" w:color="auto"/>
            </w:tcBorders>
            <w:shd w:val="clear" w:color="auto" w:fill="auto"/>
          </w:tcPr>
          <w:p>
            <w:pPr>
              <w:jc w:val="both"/>
              <w:rPr>
                <w:rFonts w:ascii="Times New Roman" w:hAnsi="Times New Roman"/>
                <w:noProof/>
                <w:sz w:val="20"/>
                <w:szCs w:val="20"/>
              </w:rPr>
            </w:pPr>
            <w:r>
              <w:rPr>
                <w:rFonts w:ascii="Times New Roman" w:hAnsi="Times New Roman"/>
                <w:noProof/>
                <w:sz w:val="20"/>
              </w:rPr>
              <w:t>Този акт е неактуален, тъй като прилагането му беше ограничено във времето (олимпийските игри в Торино).</w:t>
            </w:r>
          </w:p>
        </w:tc>
      </w:tr>
      <w:tr>
        <w:trPr>
          <w:cantSplit/>
        </w:trPr>
        <w:tc>
          <w:tcPr>
            <w:tcW w:w="174" w:type="pct"/>
            <w:tcBorders>
              <w:top w:val="single" w:sz="4" w:space="0" w:color="auto"/>
              <w:left w:val="single" w:sz="4" w:space="0" w:color="auto"/>
              <w:bottom w:val="single" w:sz="4" w:space="0" w:color="auto"/>
              <w:right w:val="single" w:sz="4" w:space="0" w:color="auto"/>
            </w:tcBorders>
          </w:tcPr>
          <w:p>
            <w:pPr>
              <w:numPr>
                <w:ilvl w:val="0"/>
                <w:numId w:val="4"/>
              </w:numPr>
              <w:spacing w:after="0" w:line="240" w:lineRule="auto"/>
              <w:ind w:left="357" w:hanging="357"/>
              <w:rPr>
                <w:rFonts w:ascii="Times New Roman" w:eastAsia="Times New Roman" w:hAnsi="Times New Roman"/>
                <w:noProof/>
                <w:sz w:val="20"/>
                <w:szCs w:val="20"/>
              </w:rPr>
            </w:pPr>
          </w:p>
        </w:tc>
        <w:tc>
          <w:tcPr>
            <w:tcW w:w="442" w:type="pct"/>
            <w:tcBorders>
              <w:top w:val="single" w:sz="4" w:space="0" w:color="auto"/>
              <w:left w:val="single" w:sz="4" w:space="0" w:color="auto"/>
              <w:bottom w:val="single" w:sz="4" w:space="0" w:color="auto"/>
              <w:right w:val="single" w:sz="4" w:space="0" w:color="auto"/>
            </w:tcBorders>
          </w:tcPr>
          <w:p>
            <w:pPr>
              <w:jc w:val="both"/>
              <w:rPr>
                <w:rFonts w:ascii="Times New Roman" w:eastAsia="Times New Roman" w:hAnsi="Times New Roman"/>
                <w:noProof/>
                <w:sz w:val="20"/>
                <w:szCs w:val="20"/>
              </w:rPr>
            </w:pPr>
            <w:r>
              <w:rPr>
                <w:rFonts w:ascii="Times New Roman" w:hAnsi="Times New Roman"/>
                <w:noProof/>
                <w:sz w:val="20"/>
              </w:rPr>
              <w:t>Вътрешни работи</w:t>
            </w:r>
          </w:p>
        </w:tc>
        <w:tc>
          <w:tcPr>
            <w:tcW w:w="1923" w:type="pct"/>
            <w:tcBorders>
              <w:top w:val="single" w:sz="4" w:space="0" w:color="auto"/>
              <w:left w:val="single" w:sz="4" w:space="0" w:color="auto"/>
              <w:bottom w:val="single" w:sz="4" w:space="0" w:color="auto"/>
              <w:right w:val="single" w:sz="4" w:space="0" w:color="auto"/>
            </w:tcBorders>
            <w:shd w:val="clear" w:color="auto" w:fill="auto"/>
          </w:tcPr>
          <w:p>
            <w:pPr>
              <w:jc w:val="both"/>
              <w:rPr>
                <w:rFonts w:ascii="Times New Roman" w:hAnsi="Times New Roman"/>
                <w:noProof/>
                <w:sz w:val="20"/>
                <w:szCs w:val="20"/>
              </w:rPr>
            </w:pPr>
            <w:r>
              <w:rPr>
                <w:rFonts w:ascii="Times New Roman" w:hAnsi="Times New Roman"/>
                <w:noProof/>
                <w:sz w:val="20"/>
              </w:rPr>
              <w:t>Достиженията на правото от Шенген: решение на Изпълнителния комитет от 7 октомври 1997 г. относно приноса на Норвегия и Исландия към разходите за инсталирането и работата на Ц.ШИС (SCH/Com-ex (97) 18)</w:t>
            </w:r>
          </w:p>
        </w:tc>
        <w:tc>
          <w:tcPr>
            <w:tcW w:w="2461" w:type="pct"/>
            <w:tcBorders>
              <w:top w:val="single" w:sz="4" w:space="0" w:color="auto"/>
              <w:left w:val="single" w:sz="4" w:space="0" w:color="auto"/>
              <w:bottom w:val="single" w:sz="4" w:space="0" w:color="auto"/>
              <w:right w:val="single" w:sz="4" w:space="0" w:color="auto"/>
            </w:tcBorders>
            <w:shd w:val="clear" w:color="auto" w:fill="auto"/>
          </w:tcPr>
          <w:p>
            <w:pPr>
              <w:tabs>
                <w:tab w:val="left" w:pos="1859"/>
              </w:tabs>
              <w:jc w:val="both"/>
              <w:rPr>
                <w:rFonts w:ascii="Times New Roman" w:hAnsi="Times New Roman"/>
                <w:noProof/>
                <w:sz w:val="20"/>
                <w:szCs w:val="20"/>
              </w:rPr>
            </w:pPr>
            <w:r>
              <w:rPr>
                <w:rFonts w:ascii="Times New Roman" w:hAnsi="Times New Roman"/>
                <w:noProof/>
                <w:sz w:val="20"/>
              </w:rPr>
              <w:t>Финансирането на централната система на ШИС II и приносът към eu-LISA от асоциираните държави се основават на Споразумението за асоцииране и на регламента за създаването на eu-LISA.</w:t>
            </w:r>
          </w:p>
        </w:tc>
      </w:tr>
      <w:tr>
        <w:trPr>
          <w:cantSplit/>
        </w:trPr>
        <w:tc>
          <w:tcPr>
            <w:tcW w:w="174" w:type="pct"/>
            <w:tcBorders>
              <w:top w:val="single" w:sz="4" w:space="0" w:color="auto"/>
              <w:left w:val="single" w:sz="4" w:space="0" w:color="auto"/>
              <w:bottom w:val="single" w:sz="4" w:space="0" w:color="auto"/>
              <w:right w:val="single" w:sz="4" w:space="0" w:color="auto"/>
            </w:tcBorders>
          </w:tcPr>
          <w:p>
            <w:pPr>
              <w:numPr>
                <w:ilvl w:val="0"/>
                <w:numId w:val="4"/>
              </w:numPr>
              <w:spacing w:after="0" w:line="240" w:lineRule="auto"/>
              <w:ind w:left="357" w:hanging="357"/>
              <w:rPr>
                <w:rFonts w:ascii="Times New Roman" w:eastAsia="Times New Roman" w:hAnsi="Times New Roman"/>
                <w:noProof/>
                <w:sz w:val="20"/>
                <w:szCs w:val="20"/>
              </w:rPr>
            </w:pPr>
          </w:p>
        </w:tc>
        <w:tc>
          <w:tcPr>
            <w:tcW w:w="442" w:type="pct"/>
            <w:tcBorders>
              <w:top w:val="single" w:sz="4" w:space="0" w:color="auto"/>
              <w:left w:val="single" w:sz="4" w:space="0" w:color="auto"/>
              <w:bottom w:val="single" w:sz="4" w:space="0" w:color="auto"/>
              <w:right w:val="single" w:sz="4" w:space="0" w:color="auto"/>
            </w:tcBorders>
          </w:tcPr>
          <w:p>
            <w:pPr>
              <w:jc w:val="both"/>
              <w:rPr>
                <w:rFonts w:ascii="Times New Roman" w:eastAsia="Times New Roman" w:hAnsi="Times New Roman"/>
                <w:noProof/>
                <w:sz w:val="20"/>
                <w:szCs w:val="20"/>
              </w:rPr>
            </w:pPr>
            <w:r>
              <w:rPr>
                <w:rFonts w:ascii="Times New Roman" w:hAnsi="Times New Roman"/>
                <w:noProof/>
                <w:sz w:val="20"/>
              </w:rPr>
              <w:t>Вътрешни работи</w:t>
            </w:r>
          </w:p>
        </w:tc>
        <w:tc>
          <w:tcPr>
            <w:tcW w:w="1923" w:type="pct"/>
            <w:tcBorders>
              <w:top w:val="single" w:sz="4" w:space="0" w:color="auto"/>
              <w:left w:val="single" w:sz="4" w:space="0" w:color="auto"/>
              <w:bottom w:val="single" w:sz="4" w:space="0" w:color="auto"/>
              <w:right w:val="single" w:sz="4" w:space="0" w:color="auto"/>
            </w:tcBorders>
            <w:shd w:val="clear" w:color="auto" w:fill="auto"/>
          </w:tcPr>
          <w:p>
            <w:pPr>
              <w:jc w:val="both"/>
              <w:rPr>
                <w:rFonts w:ascii="Times New Roman" w:hAnsi="Times New Roman"/>
                <w:noProof/>
                <w:sz w:val="20"/>
                <w:szCs w:val="20"/>
              </w:rPr>
            </w:pPr>
            <w:r>
              <w:rPr>
                <w:rFonts w:ascii="Times New Roman" w:hAnsi="Times New Roman"/>
                <w:noProof/>
                <w:sz w:val="20"/>
              </w:rPr>
              <w:t>Достиженията на правото от Шенген: решение на Изпълнителния комитет от 7 октомври 1997 г. относно развитието на ШИС (SCH/Com-ex (97) 24)</w:t>
            </w:r>
          </w:p>
        </w:tc>
        <w:tc>
          <w:tcPr>
            <w:tcW w:w="2461" w:type="pct"/>
            <w:tcBorders>
              <w:top w:val="single" w:sz="4" w:space="0" w:color="auto"/>
              <w:left w:val="single" w:sz="4" w:space="0" w:color="auto"/>
              <w:bottom w:val="single" w:sz="4" w:space="0" w:color="auto"/>
              <w:right w:val="single" w:sz="4" w:space="0" w:color="auto"/>
            </w:tcBorders>
            <w:shd w:val="clear" w:color="auto" w:fill="auto"/>
          </w:tcPr>
          <w:p>
            <w:pPr>
              <w:jc w:val="both"/>
              <w:rPr>
                <w:rFonts w:ascii="Times New Roman" w:hAnsi="Times New Roman"/>
                <w:noProof/>
                <w:sz w:val="20"/>
                <w:szCs w:val="20"/>
              </w:rPr>
            </w:pPr>
            <w:r>
              <w:rPr>
                <w:rFonts w:ascii="Times New Roman" w:hAnsi="Times New Roman"/>
                <w:noProof/>
                <w:sz w:val="20"/>
              </w:rPr>
              <w:t>Този акт е неактуален, тъй като ШИС II бе разработена и бе пусната в експлоатация на 9 април 2013 г.</w:t>
            </w:r>
          </w:p>
        </w:tc>
      </w:tr>
      <w:tr>
        <w:trPr>
          <w:cantSplit/>
        </w:trPr>
        <w:tc>
          <w:tcPr>
            <w:tcW w:w="174" w:type="pct"/>
            <w:tcBorders>
              <w:top w:val="single" w:sz="4" w:space="0" w:color="auto"/>
              <w:left w:val="single" w:sz="4" w:space="0" w:color="auto"/>
              <w:bottom w:val="single" w:sz="4" w:space="0" w:color="auto"/>
              <w:right w:val="single" w:sz="4" w:space="0" w:color="auto"/>
            </w:tcBorders>
          </w:tcPr>
          <w:p>
            <w:pPr>
              <w:numPr>
                <w:ilvl w:val="0"/>
                <w:numId w:val="4"/>
              </w:numPr>
              <w:spacing w:after="0" w:line="240" w:lineRule="auto"/>
              <w:ind w:left="357" w:hanging="357"/>
              <w:rPr>
                <w:rFonts w:ascii="Times New Roman" w:eastAsia="Times New Roman" w:hAnsi="Times New Roman"/>
                <w:noProof/>
                <w:sz w:val="20"/>
                <w:szCs w:val="20"/>
              </w:rPr>
            </w:pPr>
          </w:p>
        </w:tc>
        <w:tc>
          <w:tcPr>
            <w:tcW w:w="442" w:type="pct"/>
            <w:tcBorders>
              <w:top w:val="single" w:sz="4" w:space="0" w:color="auto"/>
              <w:left w:val="single" w:sz="4" w:space="0" w:color="auto"/>
              <w:bottom w:val="single" w:sz="4" w:space="0" w:color="auto"/>
              <w:right w:val="single" w:sz="4" w:space="0" w:color="auto"/>
            </w:tcBorders>
          </w:tcPr>
          <w:p>
            <w:pPr>
              <w:jc w:val="both"/>
              <w:rPr>
                <w:rFonts w:ascii="Times New Roman" w:eastAsia="Times New Roman" w:hAnsi="Times New Roman"/>
                <w:noProof/>
                <w:sz w:val="20"/>
                <w:szCs w:val="20"/>
              </w:rPr>
            </w:pPr>
            <w:r>
              <w:rPr>
                <w:rFonts w:ascii="Times New Roman" w:hAnsi="Times New Roman"/>
                <w:noProof/>
                <w:sz w:val="20"/>
              </w:rPr>
              <w:t>Вътрешни работи</w:t>
            </w:r>
          </w:p>
        </w:tc>
        <w:tc>
          <w:tcPr>
            <w:tcW w:w="1923" w:type="pct"/>
            <w:tcBorders>
              <w:top w:val="single" w:sz="4" w:space="0" w:color="auto"/>
              <w:left w:val="single" w:sz="4" w:space="0" w:color="auto"/>
              <w:bottom w:val="single" w:sz="4" w:space="0" w:color="auto"/>
              <w:right w:val="single" w:sz="4" w:space="0" w:color="auto"/>
            </w:tcBorders>
            <w:shd w:val="clear" w:color="auto" w:fill="auto"/>
          </w:tcPr>
          <w:p>
            <w:pPr>
              <w:jc w:val="both"/>
              <w:rPr>
                <w:rFonts w:ascii="Times New Roman" w:hAnsi="Times New Roman"/>
                <w:noProof/>
                <w:sz w:val="20"/>
                <w:szCs w:val="20"/>
              </w:rPr>
            </w:pPr>
            <w:r>
              <w:rPr>
                <w:rFonts w:ascii="Times New Roman" w:hAnsi="Times New Roman"/>
                <w:noProof/>
                <w:sz w:val="20"/>
              </w:rPr>
              <w:t>Достиженията на правото от Шенген: решение на Изпълнителния комитет от 16 септември 1998 г. относно изпращането на Общия наръчник на държавите от ЕС, подали заявление (SCH/Com-ex (98) 35 rev. 2)</w:t>
            </w:r>
          </w:p>
        </w:tc>
        <w:tc>
          <w:tcPr>
            <w:tcW w:w="2461" w:type="pct"/>
            <w:tcBorders>
              <w:top w:val="single" w:sz="4" w:space="0" w:color="auto"/>
              <w:left w:val="single" w:sz="4" w:space="0" w:color="auto"/>
              <w:bottom w:val="single" w:sz="4" w:space="0" w:color="auto"/>
              <w:right w:val="single" w:sz="4" w:space="0" w:color="auto"/>
            </w:tcBorders>
            <w:shd w:val="clear" w:color="auto" w:fill="auto"/>
          </w:tcPr>
          <w:p>
            <w:pPr>
              <w:tabs>
                <w:tab w:val="left" w:pos="2076"/>
              </w:tabs>
              <w:jc w:val="both"/>
              <w:rPr>
                <w:rFonts w:ascii="Times New Roman" w:hAnsi="Times New Roman"/>
                <w:noProof/>
                <w:sz w:val="20"/>
                <w:szCs w:val="20"/>
              </w:rPr>
            </w:pPr>
            <w:r>
              <w:rPr>
                <w:rFonts w:ascii="Times New Roman" w:hAnsi="Times New Roman"/>
                <w:noProof/>
                <w:sz w:val="20"/>
              </w:rPr>
              <w:t>Този акт е неактуален, тъй като Общият наръчник (който бе „ограничен“) бе премахнат в момента на приемане на Кодекса на шенгенските граници, който представлява регламент, публикувани в ОВ.</w:t>
            </w:r>
          </w:p>
        </w:tc>
      </w:tr>
      <w:tr>
        <w:trPr>
          <w:cantSplit/>
        </w:trPr>
        <w:tc>
          <w:tcPr>
            <w:tcW w:w="174" w:type="pct"/>
            <w:tcBorders>
              <w:top w:val="single" w:sz="4" w:space="0" w:color="auto"/>
              <w:left w:val="single" w:sz="4" w:space="0" w:color="auto"/>
              <w:bottom w:val="single" w:sz="4" w:space="0" w:color="auto"/>
              <w:right w:val="single" w:sz="4" w:space="0" w:color="auto"/>
            </w:tcBorders>
          </w:tcPr>
          <w:p>
            <w:pPr>
              <w:numPr>
                <w:ilvl w:val="0"/>
                <w:numId w:val="4"/>
              </w:numPr>
              <w:spacing w:after="0" w:line="240" w:lineRule="auto"/>
              <w:ind w:left="357" w:hanging="357"/>
              <w:rPr>
                <w:rFonts w:ascii="Times New Roman" w:eastAsia="Times New Roman" w:hAnsi="Times New Roman"/>
                <w:noProof/>
                <w:sz w:val="20"/>
                <w:szCs w:val="20"/>
              </w:rPr>
            </w:pPr>
          </w:p>
        </w:tc>
        <w:tc>
          <w:tcPr>
            <w:tcW w:w="442" w:type="pct"/>
            <w:tcBorders>
              <w:top w:val="single" w:sz="4" w:space="0" w:color="auto"/>
              <w:left w:val="single" w:sz="4" w:space="0" w:color="auto"/>
              <w:bottom w:val="single" w:sz="4" w:space="0" w:color="auto"/>
              <w:right w:val="single" w:sz="4" w:space="0" w:color="auto"/>
            </w:tcBorders>
          </w:tcPr>
          <w:p>
            <w:pPr>
              <w:jc w:val="both"/>
              <w:rPr>
                <w:rFonts w:ascii="Times New Roman" w:eastAsia="Times New Roman" w:hAnsi="Times New Roman"/>
                <w:noProof/>
                <w:sz w:val="20"/>
                <w:szCs w:val="20"/>
              </w:rPr>
            </w:pPr>
            <w:r>
              <w:rPr>
                <w:rFonts w:ascii="Times New Roman" w:hAnsi="Times New Roman"/>
                <w:noProof/>
                <w:sz w:val="20"/>
              </w:rPr>
              <w:t>Вътрешни работи</w:t>
            </w:r>
          </w:p>
        </w:tc>
        <w:tc>
          <w:tcPr>
            <w:tcW w:w="1923" w:type="pct"/>
            <w:tcBorders>
              <w:top w:val="single" w:sz="4" w:space="0" w:color="auto"/>
              <w:left w:val="single" w:sz="4" w:space="0" w:color="auto"/>
              <w:bottom w:val="single" w:sz="4" w:space="0" w:color="auto"/>
              <w:right w:val="single" w:sz="4" w:space="0" w:color="auto"/>
            </w:tcBorders>
            <w:shd w:val="clear" w:color="auto" w:fill="auto"/>
          </w:tcPr>
          <w:p>
            <w:pPr>
              <w:jc w:val="both"/>
              <w:rPr>
                <w:rFonts w:ascii="Times New Roman" w:hAnsi="Times New Roman"/>
                <w:noProof/>
                <w:sz w:val="20"/>
                <w:szCs w:val="20"/>
              </w:rPr>
            </w:pPr>
            <w:r>
              <w:rPr>
                <w:rFonts w:ascii="Times New Roman" w:hAnsi="Times New Roman"/>
                <w:noProof/>
                <w:sz w:val="20"/>
              </w:rPr>
              <w:t xml:space="preserve">Достиженията на правото от Шенген: решение на Изпълнителния комитет от 16 септември 1998 г. за създаване на </w:t>
            </w:r>
            <w:r>
              <w:rPr>
                <w:rFonts w:ascii="Times New Roman" w:hAnsi="Times New Roman"/>
                <w:i/>
                <w:noProof/>
                <w:sz w:val="20"/>
              </w:rPr>
              <w:t>ad hoc</w:t>
            </w:r>
            <w:r>
              <w:rPr>
                <w:rFonts w:ascii="Times New Roman" w:hAnsi="Times New Roman"/>
                <w:noProof/>
                <w:sz w:val="20"/>
              </w:rPr>
              <w:t xml:space="preserve"> комитет за Гърция (SCH/Com-ex (98) 43 rev.).</w:t>
            </w:r>
          </w:p>
        </w:tc>
        <w:tc>
          <w:tcPr>
            <w:tcW w:w="2461" w:type="pct"/>
            <w:tcBorders>
              <w:top w:val="single" w:sz="4" w:space="0" w:color="auto"/>
              <w:left w:val="single" w:sz="4" w:space="0" w:color="auto"/>
              <w:bottom w:val="single" w:sz="4" w:space="0" w:color="auto"/>
              <w:right w:val="single" w:sz="4" w:space="0" w:color="auto"/>
            </w:tcBorders>
            <w:shd w:val="clear" w:color="auto" w:fill="auto"/>
          </w:tcPr>
          <w:p>
            <w:pPr>
              <w:tabs>
                <w:tab w:val="left" w:pos="2076"/>
              </w:tabs>
              <w:jc w:val="both"/>
              <w:rPr>
                <w:rFonts w:ascii="Times New Roman" w:hAnsi="Times New Roman"/>
                <w:noProof/>
                <w:sz w:val="20"/>
                <w:szCs w:val="20"/>
              </w:rPr>
            </w:pPr>
            <w:r>
              <w:rPr>
                <w:rFonts w:ascii="Times New Roman" w:hAnsi="Times New Roman"/>
                <w:noProof/>
                <w:sz w:val="20"/>
              </w:rPr>
              <w:t>Този акт е неактуален от момента, в който Гърция се присъедини към Шенгенското пространство.</w:t>
            </w:r>
          </w:p>
        </w:tc>
      </w:tr>
      <w:tr>
        <w:trPr>
          <w:cantSplit/>
        </w:trPr>
        <w:tc>
          <w:tcPr>
            <w:tcW w:w="174" w:type="pct"/>
            <w:tcBorders>
              <w:top w:val="single" w:sz="4" w:space="0" w:color="auto"/>
              <w:left w:val="single" w:sz="4" w:space="0" w:color="auto"/>
              <w:bottom w:val="single" w:sz="4" w:space="0" w:color="auto"/>
              <w:right w:val="single" w:sz="4" w:space="0" w:color="auto"/>
            </w:tcBorders>
          </w:tcPr>
          <w:p>
            <w:pPr>
              <w:numPr>
                <w:ilvl w:val="0"/>
                <w:numId w:val="4"/>
              </w:numPr>
              <w:spacing w:after="0" w:line="240" w:lineRule="auto"/>
              <w:ind w:left="357" w:hanging="357"/>
              <w:rPr>
                <w:rFonts w:ascii="Times New Roman" w:hAnsi="Times New Roman"/>
                <w:noProof/>
                <w:sz w:val="20"/>
                <w:szCs w:val="20"/>
              </w:rPr>
            </w:pPr>
          </w:p>
        </w:tc>
        <w:tc>
          <w:tcPr>
            <w:tcW w:w="442" w:type="pct"/>
            <w:tcBorders>
              <w:top w:val="single" w:sz="4" w:space="0" w:color="auto"/>
              <w:left w:val="single" w:sz="4" w:space="0" w:color="auto"/>
              <w:bottom w:val="single" w:sz="4" w:space="0" w:color="auto"/>
              <w:right w:val="single" w:sz="4" w:space="0" w:color="auto"/>
            </w:tcBorders>
          </w:tcPr>
          <w:p>
            <w:pPr>
              <w:jc w:val="both"/>
              <w:rPr>
                <w:rFonts w:ascii="Times New Roman" w:hAnsi="Times New Roman"/>
                <w:noProof/>
                <w:sz w:val="20"/>
                <w:szCs w:val="20"/>
              </w:rPr>
            </w:pPr>
            <w:r>
              <w:rPr>
                <w:rFonts w:ascii="Times New Roman" w:hAnsi="Times New Roman"/>
                <w:noProof/>
                <w:sz w:val="20"/>
              </w:rPr>
              <w:t>Морско дело и рибарство</w:t>
            </w:r>
          </w:p>
        </w:tc>
        <w:tc>
          <w:tcPr>
            <w:tcW w:w="1923" w:type="pct"/>
            <w:tcBorders>
              <w:top w:val="single" w:sz="4" w:space="0" w:color="auto"/>
              <w:left w:val="single" w:sz="4" w:space="0" w:color="auto"/>
              <w:bottom w:val="single" w:sz="4" w:space="0" w:color="auto"/>
              <w:right w:val="single" w:sz="4" w:space="0" w:color="auto"/>
            </w:tcBorders>
            <w:shd w:val="clear" w:color="auto" w:fill="auto"/>
          </w:tcPr>
          <w:p>
            <w:pPr>
              <w:jc w:val="both"/>
              <w:rPr>
                <w:rFonts w:ascii="Times New Roman" w:hAnsi="Times New Roman"/>
                <w:i/>
                <w:noProof/>
                <w:sz w:val="20"/>
                <w:szCs w:val="20"/>
              </w:rPr>
            </w:pPr>
            <w:r>
              <w:rPr>
                <w:rFonts w:ascii="Times New Roman" w:hAnsi="Times New Roman"/>
                <w:noProof/>
                <w:sz w:val="20"/>
              </w:rPr>
              <w:t>Регламент (ЕС) № 1242/2012 на Съвета от 18 декември 2012 г. за определяне за риболовната 2013 година на ориентировъчните цени и цените на производител на Съюза за някои рибни продукти съгласно Регламент (ЕО) № 104/2000</w:t>
            </w:r>
          </w:p>
        </w:tc>
        <w:tc>
          <w:tcPr>
            <w:tcW w:w="2461" w:type="pct"/>
            <w:tcBorders>
              <w:top w:val="single" w:sz="4" w:space="0" w:color="auto"/>
              <w:left w:val="single" w:sz="4" w:space="0" w:color="auto"/>
              <w:bottom w:val="single" w:sz="4" w:space="0" w:color="auto"/>
              <w:right w:val="single" w:sz="4" w:space="0" w:color="auto"/>
            </w:tcBorders>
            <w:shd w:val="clear" w:color="auto" w:fill="auto"/>
          </w:tcPr>
          <w:p>
            <w:pPr>
              <w:ind w:left="14" w:hanging="14"/>
              <w:jc w:val="both"/>
              <w:rPr>
                <w:rFonts w:ascii="Times New Roman" w:hAnsi="Times New Roman"/>
                <w:noProof/>
                <w:sz w:val="20"/>
                <w:szCs w:val="20"/>
              </w:rPr>
            </w:pPr>
            <w:r>
              <w:rPr>
                <w:rFonts w:ascii="Times New Roman" w:hAnsi="Times New Roman"/>
                <w:noProof/>
                <w:sz w:val="20"/>
              </w:rPr>
              <w:t>Актът не съдържа клауза за изтичане на срока на действие, но де факто вече не е в сила, тъй като се отнася до минали действия.</w:t>
            </w:r>
          </w:p>
        </w:tc>
      </w:tr>
      <w:tr>
        <w:trPr>
          <w:cantSplit/>
        </w:trPr>
        <w:tc>
          <w:tcPr>
            <w:tcW w:w="174" w:type="pct"/>
            <w:tcBorders>
              <w:top w:val="single" w:sz="4" w:space="0" w:color="auto"/>
              <w:left w:val="single" w:sz="4" w:space="0" w:color="auto"/>
              <w:bottom w:val="single" w:sz="4" w:space="0" w:color="auto"/>
              <w:right w:val="single" w:sz="4" w:space="0" w:color="auto"/>
            </w:tcBorders>
          </w:tcPr>
          <w:p>
            <w:pPr>
              <w:numPr>
                <w:ilvl w:val="0"/>
                <w:numId w:val="4"/>
              </w:numPr>
              <w:spacing w:after="0" w:line="240" w:lineRule="auto"/>
              <w:ind w:left="357" w:hanging="357"/>
              <w:rPr>
                <w:rFonts w:ascii="Times New Roman" w:hAnsi="Times New Roman"/>
                <w:noProof/>
                <w:sz w:val="20"/>
                <w:szCs w:val="20"/>
              </w:rPr>
            </w:pPr>
          </w:p>
        </w:tc>
        <w:tc>
          <w:tcPr>
            <w:tcW w:w="442" w:type="pct"/>
            <w:tcBorders>
              <w:top w:val="single" w:sz="4" w:space="0" w:color="auto"/>
              <w:left w:val="single" w:sz="4" w:space="0" w:color="auto"/>
              <w:bottom w:val="single" w:sz="4" w:space="0" w:color="auto"/>
              <w:right w:val="single" w:sz="4" w:space="0" w:color="auto"/>
            </w:tcBorders>
          </w:tcPr>
          <w:p>
            <w:pPr>
              <w:spacing w:after="0" w:line="240" w:lineRule="auto"/>
              <w:rPr>
                <w:rFonts w:ascii="Times New Roman" w:eastAsia="Times New Roman" w:hAnsi="Times New Roman"/>
                <w:noProof/>
                <w:sz w:val="20"/>
                <w:szCs w:val="20"/>
              </w:rPr>
            </w:pPr>
            <w:r>
              <w:rPr>
                <w:rFonts w:ascii="Times New Roman" w:hAnsi="Times New Roman"/>
                <w:noProof/>
                <w:sz w:val="20"/>
              </w:rPr>
              <w:t>Морско дело и рибарство</w:t>
            </w:r>
          </w:p>
        </w:tc>
        <w:tc>
          <w:tcPr>
            <w:tcW w:w="1923" w:type="pct"/>
            <w:tcBorders>
              <w:top w:val="single" w:sz="4" w:space="0" w:color="auto"/>
              <w:left w:val="single" w:sz="4" w:space="0" w:color="auto"/>
              <w:bottom w:val="single" w:sz="4" w:space="0" w:color="auto"/>
              <w:right w:val="single" w:sz="4" w:space="0" w:color="auto"/>
            </w:tcBorders>
            <w:shd w:val="clear" w:color="auto" w:fill="auto"/>
          </w:tcPr>
          <w:p>
            <w:pPr>
              <w:jc w:val="both"/>
              <w:rPr>
                <w:rFonts w:ascii="Times New Roman" w:hAnsi="Times New Roman"/>
                <w:i/>
                <w:noProof/>
                <w:sz w:val="20"/>
                <w:szCs w:val="20"/>
              </w:rPr>
            </w:pPr>
            <w:r>
              <w:rPr>
                <w:rFonts w:ascii="Times New Roman" w:hAnsi="Times New Roman"/>
                <w:noProof/>
                <w:sz w:val="20"/>
              </w:rPr>
              <w:t>Регламент (ЕО) № 645/2008 на Съвета от 8 юли 2008 г. за откриване и определяне на начина на администриране на автономни тарифни квоти на Общността при внос на някои рибни продукти в Канарските острови</w:t>
            </w:r>
          </w:p>
        </w:tc>
        <w:tc>
          <w:tcPr>
            <w:tcW w:w="2461" w:type="pct"/>
            <w:tcBorders>
              <w:top w:val="single" w:sz="4" w:space="0" w:color="auto"/>
              <w:left w:val="single" w:sz="4" w:space="0" w:color="auto"/>
              <w:bottom w:val="single" w:sz="4" w:space="0" w:color="auto"/>
              <w:right w:val="single" w:sz="4" w:space="0" w:color="auto"/>
            </w:tcBorders>
            <w:shd w:val="clear" w:color="auto" w:fill="auto"/>
          </w:tcPr>
          <w:p>
            <w:pPr>
              <w:jc w:val="both"/>
              <w:rPr>
                <w:rFonts w:ascii="Times New Roman" w:hAnsi="Times New Roman"/>
                <w:noProof/>
                <w:sz w:val="20"/>
                <w:szCs w:val="20"/>
              </w:rPr>
            </w:pPr>
            <w:r>
              <w:rPr>
                <w:rFonts w:ascii="Times New Roman" w:hAnsi="Times New Roman"/>
                <w:noProof/>
                <w:sz w:val="20"/>
              </w:rPr>
              <w:t>Актът не съдържа клауза за изтичане на срока на действие, но де факто вече не е в сила, тъй като се отнася до минали действия. Бе заменен с Регламент (ЕС) № 1412/2013 на Съвета от 17 декември 2013 г. за откриване и определяне на начина на администриране на автономни тарифни квоти на Съюза при внос на някои рибни продукти в Канарските острови от 2014 до 2020 г.</w:t>
            </w:r>
          </w:p>
        </w:tc>
      </w:tr>
      <w:tr>
        <w:trPr>
          <w:cantSplit/>
        </w:trPr>
        <w:tc>
          <w:tcPr>
            <w:tcW w:w="174" w:type="pct"/>
            <w:tcBorders>
              <w:top w:val="single" w:sz="4" w:space="0" w:color="auto"/>
              <w:left w:val="single" w:sz="4" w:space="0" w:color="auto"/>
              <w:bottom w:val="single" w:sz="4" w:space="0" w:color="auto"/>
              <w:right w:val="single" w:sz="4" w:space="0" w:color="auto"/>
            </w:tcBorders>
          </w:tcPr>
          <w:p>
            <w:pPr>
              <w:numPr>
                <w:ilvl w:val="0"/>
                <w:numId w:val="4"/>
              </w:numPr>
              <w:spacing w:after="0" w:line="240" w:lineRule="auto"/>
              <w:ind w:left="357" w:hanging="357"/>
              <w:rPr>
                <w:rFonts w:ascii="Times New Roman" w:hAnsi="Times New Roman"/>
                <w:noProof/>
                <w:sz w:val="20"/>
                <w:szCs w:val="20"/>
              </w:rPr>
            </w:pPr>
          </w:p>
        </w:tc>
        <w:tc>
          <w:tcPr>
            <w:tcW w:w="442" w:type="pct"/>
            <w:tcBorders>
              <w:top w:val="single" w:sz="4" w:space="0" w:color="auto"/>
              <w:left w:val="single" w:sz="4" w:space="0" w:color="auto"/>
              <w:bottom w:val="single" w:sz="4" w:space="0" w:color="auto"/>
              <w:right w:val="single" w:sz="4" w:space="0" w:color="auto"/>
            </w:tcBorders>
          </w:tcPr>
          <w:p>
            <w:pPr>
              <w:spacing w:after="0" w:line="240" w:lineRule="auto"/>
              <w:rPr>
                <w:rFonts w:ascii="Times New Roman" w:eastAsia="Times New Roman" w:hAnsi="Times New Roman"/>
                <w:noProof/>
                <w:sz w:val="20"/>
                <w:szCs w:val="20"/>
              </w:rPr>
            </w:pPr>
            <w:r>
              <w:rPr>
                <w:rFonts w:ascii="Times New Roman" w:hAnsi="Times New Roman"/>
                <w:noProof/>
                <w:sz w:val="20"/>
              </w:rPr>
              <w:t>Морско дело и рибарство</w:t>
            </w:r>
          </w:p>
        </w:tc>
        <w:tc>
          <w:tcPr>
            <w:tcW w:w="1923" w:type="pct"/>
            <w:tcBorders>
              <w:top w:val="single" w:sz="4" w:space="0" w:color="auto"/>
              <w:left w:val="single" w:sz="4" w:space="0" w:color="auto"/>
              <w:bottom w:val="single" w:sz="4" w:space="0" w:color="auto"/>
              <w:right w:val="single" w:sz="4" w:space="0" w:color="auto"/>
            </w:tcBorders>
            <w:shd w:val="clear" w:color="auto" w:fill="auto"/>
          </w:tcPr>
          <w:p>
            <w:pPr>
              <w:jc w:val="both"/>
              <w:rPr>
                <w:rFonts w:ascii="Times New Roman" w:hAnsi="Times New Roman"/>
                <w:noProof/>
                <w:sz w:val="20"/>
                <w:szCs w:val="20"/>
              </w:rPr>
            </w:pPr>
            <w:r>
              <w:rPr>
                <w:rFonts w:ascii="Times New Roman" w:hAnsi="Times New Roman"/>
                <w:noProof/>
                <w:sz w:val="20"/>
              </w:rPr>
              <w:t>Регламент (ЕС) № 1388/2011 на Съвета от 16 декември 2011 г. за определяне за риболовната 2012 година на ориентировъчните цени и цените на производител на Съюза за някои рибни продукти съгласно Регламент (ЕО) № 104/2000</w:t>
            </w:r>
          </w:p>
        </w:tc>
        <w:tc>
          <w:tcPr>
            <w:tcW w:w="2461" w:type="pct"/>
            <w:tcBorders>
              <w:top w:val="single" w:sz="4" w:space="0" w:color="auto"/>
              <w:left w:val="single" w:sz="4" w:space="0" w:color="auto"/>
              <w:bottom w:val="single" w:sz="4" w:space="0" w:color="auto"/>
              <w:right w:val="single" w:sz="4" w:space="0" w:color="auto"/>
            </w:tcBorders>
            <w:shd w:val="clear" w:color="auto" w:fill="auto"/>
          </w:tcPr>
          <w:p>
            <w:pPr>
              <w:rPr>
                <w:rFonts w:ascii="Times New Roman" w:hAnsi="Times New Roman"/>
                <w:noProof/>
                <w:sz w:val="20"/>
                <w:szCs w:val="20"/>
              </w:rPr>
            </w:pPr>
            <w:r>
              <w:rPr>
                <w:rFonts w:ascii="Times New Roman" w:hAnsi="Times New Roman"/>
                <w:noProof/>
                <w:sz w:val="20"/>
              </w:rPr>
              <w:t>Актът не съдържа клауза за изтичане на срока на действие, но де факто вече не е в сила, тъй като се отнася до минали действия.</w:t>
            </w:r>
          </w:p>
        </w:tc>
      </w:tr>
      <w:tr>
        <w:trPr>
          <w:cantSplit/>
        </w:trPr>
        <w:tc>
          <w:tcPr>
            <w:tcW w:w="174" w:type="pct"/>
            <w:tcBorders>
              <w:top w:val="single" w:sz="4" w:space="0" w:color="auto"/>
              <w:left w:val="single" w:sz="4" w:space="0" w:color="auto"/>
              <w:bottom w:val="single" w:sz="4" w:space="0" w:color="auto"/>
              <w:right w:val="single" w:sz="4" w:space="0" w:color="auto"/>
            </w:tcBorders>
          </w:tcPr>
          <w:p>
            <w:pPr>
              <w:numPr>
                <w:ilvl w:val="0"/>
                <w:numId w:val="4"/>
              </w:numPr>
              <w:spacing w:after="0" w:line="240" w:lineRule="auto"/>
              <w:ind w:left="357" w:hanging="357"/>
              <w:rPr>
                <w:rFonts w:ascii="Times New Roman" w:hAnsi="Times New Roman"/>
                <w:noProof/>
                <w:sz w:val="20"/>
                <w:szCs w:val="20"/>
              </w:rPr>
            </w:pPr>
          </w:p>
        </w:tc>
        <w:tc>
          <w:tcPr>
            <w:tcW w:w="442" w:type="pct"/>
            <w:tcBorders>
              <w:top w:val="single" w:sz="4" w:space="0" w:color="auto"/>
              <w:left w:val="single" w:sz="4" w:space="0" w:color="auto"/>
              <w:bottom w:val="single" w:sz="4" w:space="0" w:color="auto"/>
              <w:right w:val="single" w:sz="4" w:space="0" w:color="auto"/>
            </w:tcBorders>
          </w:tcPr>
          <w:p>
            <w:pPr>
              <w:spacing w:after="0" w:line="240" w:lineRule="auto"/>
              <w:rPr>
                <w:rFonts w:ascii="Times New Roman" w:eastAsia="Times New Roman" w:hAnsi="Times New Roman"/>
                <w:noProof/>
                <w:sz w:val="20"/>
                <w:szCs w:val="20"/>
              </w:rPr>
            </w:pPr>
            <w:r>
              <w:rPr>
                <w:rFonts w:ascii="Times New Roman" w:hAnsi="Times New Roman"/>
                <w:noProof/>
                <w:sz w:val="20"/>
              </w:rPr>
              <w:t>Морско дело и рибарство</w:t>
            </w:r>
          </w:p>
        </w:tc>
        <w:tc>
          <w:tcPr>
            <w:tcW w:w="1923" w:type="pct"/>
            <w:tcBorders>
              <w:top w:val="single" w:sz="4" w:space="0" w:color="auto"/>
              <w:left w:val="single" w:sz="4" w:space="0" w:color="auto"/>
              <w:bottom w:val="single" w:sz="4" w:space="0" w:color="auto"/>
              <w:right w:val="single" w:sz="4" w:space="0" w:color="auto"/>
            </w:tcBorders>
            <w:shd w:val="clear" w:color="auto" w:fill="auto"/>
          </w:tcPr>
          <w:p>
            <w:pPr>
              <w:jc w:val="both"/>
              <w:rPr>
                <w:rFonts w:ascii="Times New Roman" w:hAnsi="Times New Roman"/>
                <w:noProof/>
                <w:sz w:val="20"/>
                <w:szCs w:val="20"/>
              </w:rPr>
            </w:pPr>
            <w:r>
              <w:rPr>
                <w:rFonts w:ascii="Times New Roman" w:hAnsi="Times New Roman"/>
                <w:noProof/>
                <w:sz w:val="20"/>
              </w:rPr>
              <w:t>Регламент (ЕИО) № 110/76 на Съвета от 19 януари 1976 г. за установяване на общи правила за отпускане на възстановявания при износ в сектора на рибните продукти и критериите за определяне на сумите на тези възстановявания</w:t>
            </w:r>
          </w:p>
        </w:tc>
        <w:tc>
          <w:tcPr>
            <w:tcW w:w="2461" w:type="pct"/>
            <w:tcBorders>
              <w:top w:val="single" w:sz="4" w:space="0" w:color="auto"/>
              <w:left w:val="single" w:sz="4" w:space="0" w:color="auto"/>
              <w:bottom w:val="single" w:sz="4" w:space="0" w:color="auto"/>
              <w:right w:val="single" w:sz="4" w:space="0" w:color="auto"/>
            </w:tcBorders>
            <w:shd w:val="clear" w:color="auto" w:fill="auto"/>
          </w:tcPr>
          <w:p>
            <w:pPr>
              <w:rPr>
                <w:rFonts w:ascii="Times New Roman" w:hAnsi="Times New Roman"/>
                <w:noProof/>
                <w:sz w:val="20"/>
                <w:szCs w:val="20"/>
              </w:rPr>
            </w:pPr>
            <w:r>
              <w:rPr>
                <w:rFonts w:ascii="Times New Roman" w:hAnsi="Times New Roman"/>
                <w:noProof/>
                <w:sz w:val="20"/>
              </w:rPr>
              <w:t>Актът не съдържа клауза за изтичане на срока на действие, но де факто вече не е в сила, тъй като се отнася до минали действия.</w:t>
            </w:r>
          </w:p>
        </w:tc>
      </w:tr>
      <w:tr>
        <w:trPr>
          <w:cantSplit/>
        </w:trPr>
        <w:tc>
          <w:tcPr>
            <w:tcW w:w="174" w:type="pct"/>
            <w:tcBorders>
              <w:top w:val="single" w:sz="4" w:space="0" w:color="auto"/>
              <w:left w:val="single" w:sz="4" w:space="0" w:color="auto"/>
              <w:bottom w:val="single" w:sz="4" w:space="0" w:color="auto"/>
              <w:right w:val="single" w:sz="4" w:space="0" w:color="auto"/>
            </w:tcBorders>
          </w:tcPr>
          <w:p>
            <w:pPr>
              <w:numPr>
                <w:ilvl w:val="0"/>
                <w:numId w:val="4"/>
              </w:numPr>
              <w:spacing w:after="0" w:line="240" w:lineRule="auto"/>
              <w:ind w:left="357" w:hanging="357"/>
              <w:rPr>
                <w:rFonts w:ascii="Times New Roman" w:hAnsi="Times New Roman"/>
                <w:noProof/>
                <w:sz w:val="20"/>
                <w:szCs w:val="20"/>
              </w:rPr>
            </w:pPr>
          </w:p>
        </w:tc>
        <w:tc>
          <w:tcPr>
            <w:tcW w:w="442" w:type="pct"/>
            <w:tcBorders>
              <w:top w:val="single" w:sz="4" w:space="0" w:color="auto"/>
              <w:left w:val="single" w:sz="4" w:space="0" w:color="auto"/>
              <w:bottom w:val="single" w:sz="4" w:space="0" w:color="auto"/>
              <w:right w:val="single" w:sz="4" w:space="0" w:color="auto"/>
            </w:tcBorders>
          </w:tcPr>
          <w:p>
            <w:pPr>
              <w:spacing w:after="0" w:line="240" w:lineRule="auto"/>
              <w:rPr>
                <w:rFonts w:ascii="Times New Roman" w:eastAsia="Times New Roman" w:hAnsi="Times New Roman"/>
                <w:noProof/>
                <w:sz w:val="20"/>
                <w:szCs w:val="20"/>
              </w:rPr>
            </w:pPr>
            <w:r>
              <w:rPr>
                <w:rFonts w:ascii="Times New Roman" w:hAnsi="Times New Roman"/>
                <w:noProof/>
                <w:sz w:val="20"/>
              </w:rPr>
              <w:t>Морско дело и рибарство</w:t>
            </w:r>
          </w:p>
        </w:tc>
        <w:tc>
          <w:tcPr>
            <w:tcW w:w="1923" w:type="pct"/>
            <w:tcBorders>
              <w:top w:val="single" w:sz="4" w:space="0" w:color="auto"/>
              <w:left w:val="single" w:sz="4" w:space="0" w:color="auto"/>
              <w:bottom w:val="single" w:sz="4" w:space="0" w:color="auto"/>
              <w:right w:val="single" w:sz="4" w:space="0" w:color="auto"/>
            </w:tcBorders>
            <w:shd w:val="clear" w:color="auto" w:fill="auto"/>
          </w:tcPr>
          <w:p>
            <w:pPr>
              <w:jc w:val="both"/>
              <w:rPr>
                <w:rFonts w:ascii="Times New Roman" w:hAnsi="Times New Roman"/>
                <w:noProof/>
                <w:sz w:val="20"/>
                <w:szCs w:val="20"/>
              </w:rPr>
            </w:pPr>
            <w:r>
              <w:rPr>
                <w:rFonts w:ascii="Times New Roman" w:hAnsi="Times New Roman"/>
                <w:noProof/>
                <w:sz w:val="20"/>
              </w:rPr>
              <w:t>Регламент (ЕО) № 1299/2008 на Съвета от 9 декември 2008 г. за определяне за риболовната 2009 година на ориентировъчните цени и общностните цени на производител за определени рибни продукти съгласно Регламент (ЕО) № 104/2000</w:t>
            </w:r>
          </w:p>
        </w:tc>
        <w:tc>
          <w:tcPr>
            <w:tcW w:w="2461" w:type="pct"/>
            <w:tcBorders>
              <w:top w:val="single" w:sz="4" w:space="0" w:color="auto"/>
              <w:left w:val="single" w:sz="4" w:space="0" w:color="auto"/>
              <w:bottom w:val="single" w:sz="4" w:space="0" w:color="auto"/>
              <w:right w:val="single" w:sz="4" w:space="0" w:color="auto"/>
            </w:tcBorders>
            <w:shd w:val="clear" w:color="auto" w:fill="auto"/>
          </w:tcPr>
          <w:p>
            <w:pPr>
              <w:rPr>
                <w:rFonts w:ascii="Times New Roman" w:hAnsi="Times New Roman"/>
                <w:noProof/>
                <w:sz w:val="20"/>
                <w:szCs w:val="20"/>
              </w:rPr>
            </w:pPr>
            <w:r>
              <w:rPr>
                <w:rFonts w:ascii="Times New Roman" w:hAnsi="Times New Roman"/>
                <w:noProof/>
                <w:sz w:val="20"/>
              </w:rPr>
              <w:t>Актът не съдържа клауза за изтичане на срока на действие, но де факто вече не е в сила, тъй като се отнася до минали действия.</w:t>
            </w:r>
          </w:p>
        </w:tc>
      </w:tr>
      <w:tr>
        <w:trPr>
          <w:cantSplit/>
        </w:trPr>
        <w:tc>
          <w:tcPr>
            <w:tcW w:w="174" w:type="pct"/>
            <w:tcBorders>
              <w:top w:val="single" w:sz="4" w:space="0" w:color="auto"/>
              <w:left w:val="single" w:sz="4" w:space="0" w:color="auto"/>
              <w:bottom w:val="single" w:sz="4" w:space="0" w:color="auto"/>
              <w:right w:val="single" w:sz="4" w:space="0" w:color="auto"/>
            </w:tcBorders>
          </w:tcPr>
          <w:p>
            <w:pPr>
              <w:numPr>
                <w:ilvl w:val="0"/>
                <w:numId w:val="4"/>
              </w:numPr>
              <w:spacing w:after="0" w:line="240" w:lineRule="auto"/>
              <w:ind w:left="357" w:hanging="357"/>
              <w:rPr>
                <w:rFonts w:ascii="Times New Roman" w:hAnsi="Times New Roman"/>
                <w:noProof/>
                <w:sz w:val="20"/>
                <w:szCs w:val="20"/>
              </w:rPr>
            </w:pPr>
          </w:p>
        </w:tc>
        <w:tc>
          <w:tcPr>
            <w:tcW w:w="442" w:type="pct"/>
            <w:tcBorders>
              <w:top w:val="single" w:sz="4" w:space="0" w:color="auto"/>
              <w:left w:val="single" w:sz="4" w:space="0" w:color="auto"/>
              <w:bottom w:val="single" w:sz="4" w:space="0" w:color="auto"/>
              <w:right w:val="single" w:sz="4" w:space="0" w:color="auto"/>
            </w:tcBorders>
          </w:tcPr>
          <w:p>
            <w:pPr>
              <w:spacing w:after="0" w:line="240" w:lineRule="auto"/>
              <w:rPr>
                <w:rFonts w:ascii="Times New Roman" w:eastAsia="Times New Roman" w:hAnsi="Times New Roman"/>
                <w:noProof/>
                <w:sz w:val="20"/>
                <w:szCs w:val="20"/>
              </w:rPr>
            </w:pPr>
            <w:r>
              <w:rPr>
                <w:rFonts w:ascii="Times New Roman" w:hAnsi="Times New Roman"/>
                <w:noProof/>
                <w:sz w:val="20"/>
              </w:rPr>
              <w:t>Морско дело и рибарство</w:t>
            </w:r>
          </w:p>
        </w:tc>
        <w:tc>
          <w:tcPr>
            <w:tcW w:w="1923" w:type="pct"/>
            <w:tcBorders>
              <w:top w:val="single" w:sz="4" w:space="0" w:color="auto"/>
              <w:left w:val="single" w:sz="4" w:space="0" w:color="auto"/>
              <w:bottom w:val="single" w:sz="4" w:space="0" w:color="auto"/>
              <w:right w:val="single" w:sz="4" w:space="0" w:color="auto"/>
            </w:tcBorders>
            <w:shd w:val="clear" w:color="auto" w:fill="auto"/>
          </w:tcPr>
          <w:p>
            <w:pPr>
              <w:jc w:val="both"/>
              <w:rPr>
                <w:rFonts w:ascii="Times New Roman" w:hAnsi="Times New Roman"/>
                <w:noProof/>
                <w:sz w:val="20"/>
                <w:szCs w:val="20"/>
              </w:rPr>
            </w:pPr>
            <w:r>
              <w:rPr>
                <w:rFonts w:ascii="Times New Roman" w:hAnsi="Times New Roman"/>
                <w:noProof/>
                <w:sz w:val="20"/>
              </w:rPr>
              <w:t>Регламент (ЕО) № 2326/2003 на Съвета от 19 декември 2003 г. за определяне за риболовната 2004 година на ориентировъчните цени и общностните цени на производител за определени рибни продукти съгласно Регламент (ЕО) № 104/2000</w:t>
            </w:r>
          </w:p>
        </w:tc>
        <w:tc>
          <w:tcPr>
            <w:tcW w:w="2461" w:type="pct"/>
            <w:tcBorders>
              <w:top w:val="single" w:sz="4" w:space="0" w:color="auto"/>
              <w:left w:val="single" w:sz="4" w:space="0" w:color="auto"/>
              <w:bottom w:val="single" w:sz="4" w:space="0" w:color="auto"/>
              <w:right w:val="single" w:sz="4" w:space="0" w:color="auto"/>
            </w:tcBorders>
            <w:shd w:val="clear" w:color="auto" w:fill="auto"/>
          </w:tcPr>
          <w:p>
            <w:pPr>
              <w:rPr>
                <w:rFonts w:ascii="Times New Roman" w:hAnsi="Times New Roman"/>
                <w:noProof/>
                <w:sz w:val="20"/>
                <w:szCs w:val="20"/>
              </w:rPr>
            </w:pPr>
            <w:r>
              <w:rPr>
                <w:rFonts w:ascii="Times New Roman" w:hAnsi="Times New Roman"/>
                <w:noProof/>
                <w:sz w:val="20"/>
              </w:rPr>
              <w:t>Актът не съдържа клауза за изтичане на срока на действие, но де факто вече не е в сила, тъй като се отнася до минали действия.</w:t>
            </w:r>
          </w:p>
        </w:tc>
      </w:tr>
      <w:tr>
        <w:trPr>
          <w:cantSplit/>
        </w:trPr>
        <w:tc>
          <w:tcPr>
            <w:tcW w:w="174" w:type="pct"/>
            <w:tcBorders>
              <w:top w:val="single" w:sz="4" w:space="0" w:color="auto"/>
              <w:left w:val="single" w:sz="4" w:space="0" w:color="auto"/>
              <w:bottom w:val="single" w:sz="4" w:space="0" w:color="auto"/>
              <w:right w:val="single" w:sz="4" w:space="0" w:color="auto"/>
            </w:tcBorders>
          </w:tcPr>
          <w:p>
            <w:pPr>
              <w:numPr>
                <w:ilvl w:val="0"/>
                <w:numId w:val="4"/>
              </w:numPr>
              <w:spacing w:after="0" w:line="240" w:lineRule="auto"/>
              <w:ind w:left="357" w:hanging="357"/>
              <w:rPr>
                <w:rFonts w:ascii="Times New Roman" w:hAnsi="Times New Roman"/>
                <w:noProof/>
                <w:sz w:val="20"/>
                <w:szCs w:val="20"/>
              </w:rPr>
            </w:pPr>
          </w:p>
        </w:tc>
        <w:tc>
          <w:tcPr>
            <w:tcW w:w="442" w:type="pct"/>
            <w:tcBorders>
              <w:top w:val="single" w:sz="4" w:space="0" w:color="auto"/>
              <w:left w:val="single" w:sz="4" w:space="0" w:color="auto"/>
              <w:bottom w:val="single" w:sz="4" w:space="0" w:color="auto"/>
              <w:right w:val="single" w:sz="4" w:space="0" w:color="auto"/>
            </w:tcBorders>
          </w:tcPr>
          <w:p>
            <w:pPr>
              <w:spacing w:after="0" w:line="240" w:lineRule="auto"/>
              <w:rPr>
                <w:rFonts w:ascii="Times New Roman" w:hAnsi="Times New Roman"/>
                <w:noProof/>
                <w:sz w:val="20"/>
                <w:szCs w:val="20"/>
              </w:rPr>
            </w:pPr>
            <w:r>
              <w:rPr>
                <w:rFonts w:ascii="Times New Roman" w:hAnsi="Times New Roman"/>
                <w:noProof/>
                <w:sz w:val="20"/>
              </w:rPr>
              <w:t>Статистика</w:t>
            </w:r>
          </w:p>
        </w:tc>
        <w:tc>
          <w:tcPr>
            <w:tcW w:w="1923" w:type="pct"/>
            <w:tcBorders>
              <w:top w:val="single" w:sz="4" w:space="0" w:color="auto"/>
              <w:left w:val="single" w:sz="4" w:space="0" w:color="auto"/>
              <w:bottom w:val="single" w:sz="4" w:space="0" w:color="auto"/>
              <w:right w:val="single" w:sz="4" w:space="0" w:color="auto"/>
            </w:tcBorders>
            <w:shd w:val="clear" w:color="auto" w:fill="auto"/>
          </w:tcPr>
          <w:p>
            <w:pPr>
              <w:jc w:val="both"/>
              <w:rPr>
                <w:rFonts w:ascii="Times New Roman" w:hAnsi="Times New Roman"/>
                <w:noProof/>
                <w:sz w:val="20"/>
                <w:szCs w:val="20"/>
              </w:rPr>
            </w:pPr>
            <w:r>
              <w:rPr>
                <w:rFonts w:ascii="Times New Roman" w:hAnsi="Times New Roman"/>
                <w:noProof/>
                <w:sz w:val="20"/>
              </w:rPr>
              <w:t>Регламент (ЕО) № 48/2004 от 5 декември 2003 г. относно изготвянето на годишните статистически данни на Общността за стоманодобивната промишленост за референтните години 2003—2009 г.</w:t>
            </w:r>
          </w:p>
        </w:tc>
        <w:tc>
          <w:tcPr>
            <w:tcW w:w="2461" w:type="pct"/>
            <w:tcBorders>
              <w:top w:val="single" w:sz="4" w:space="0" w:color="auto"/>
              <w:left w:val="single" w:sz="4" w:space="0" w:color="auto"/>
              <w:bottom w:val="single" w:sz="4" w:space="0" w:color="auto"/>
              <w:right w:val="single" w:sz="4" w:space="0" w:color="auto"/>
            </w:tcBorders>
            <w:shd w:val="clear" w:color="auto" w:fill="auto"/>
          </w:tcPr>
          <w:p>
            <w:pPr>
              <w:rPr>
                <w:rFonts w:ascii="Times New Roman" w:hAnsi="Times New Roman"/>
                <w:noProof/>
                <w:sz w:val="20"/>
                <w:szCs w:val="20"/>
              </w:rPr>
            </w:pPr>
            <w:r>
              <w:rPr>
                <w:rFonts w:ascii="Times New Roman" w:hAnsi="Times New Roman"/>
                <w:noProof/>
                <w:sz w:val="20"/>
              </w:rPr>
              <w:t>Регламентът вече не е актуален, тъй като съответните данни вече не се събират. Регламентът за статистическите данни за стоманодобивната промишленост ще бъде официално предложен за отмяна като част от предложението за Регламент относно бизнес статистиката, чието приемане от Комисията е запланувано за 4-то тримесечие на 2016 г.</w:t>
            </w:r>
          </w:p>
        </w:tc>
      </w:tr>
      <w:tr>
        <w:trPr>
          <w:cantSplit/>
        </w:trPr>
        <w:tc>
          <w:tcPr>
            <w:tcW w:w="174" w:type="pct"/>
            <w:tcBorders>
              <w:top w:val="single" w:sz="4" w:space="0" w:color="auto"/>
              <w:left w:val="single" w:sz="4" w:space="0" w:color="auto"/>
              <w:bottom w:val="single" w:sz="4" w:space="0" w:color="auto"/>
              <w:right w:val="single" w:sz="4" w:space="0" w:color="auto"/>
            </w:tcBorders>
          </w:tcPr>
          <w:p>
            <w:pPr>
              <w:numPr>
                <w:ilvl w:val="0"/>
                <w:numId w:val="4"/>
              </w:numPr>
              <w:spacing w:after="0" w:line="240" w:lineRule="auto"/>
              <w:ind w:left="357" w:hanging="357"/>
              <w:rPr>
                <w:rFonts w:ascii="Times New Roman" w:eastAsia="Times New Roman" w:hAnsi="Times New Roman"/>
                <w:noProof/>
                <w:sz w:val="20"/>
                <w:szCs w:val="20"/>
              </w:rPr>
            </w:pPr>
          </w:p>
        </w:tc>
        <w:tc>
          <w:tcPr>
            <w:tcW w:w="442" w:type="pct"/>
            <w:tcBorders>
              <w:top w:val="single" w:sz="4" w:space="0" w:color="auto"/>
              <w:left w:val="single" w:sz="4" w:space="0" w:color="auto"/>
              <w:bottom w:val="single" w:sz="4" w:space="0" w:color="auto"/>
              <w:right w:val="single" w:sz="4" w:space="0" w:color="auto"/>
            </w:tcBorders>
          </w:tcPr>
          <w:p>
            <w:pPr>
              <w:jc w:val="both"/>
              <w:rPr>
                <w:rFonts w:ascii="Times New Roman" w:eastAsia="Times New Roman" w:hAnsi="Times New Roman"/>
                <w:noProof/>
                <w:sz w:val="20"/>
                <w:szCs w:val="20"/>
              </w:rPr>
            </w:pPr>
            <w:r>
              <w:rPr>
                <w:rFonts w:ascii="Times New Roman" w:hAnsi="Times New Roman"/>
                <w:noProof/>
                <w:sz w:val="20"/>
              </w:rPr>
              <w:t>Транспорт</w:t>
            </w:r>
          </w:p>
        </w:tc>
        <w:tc>
          <w:tcPr>
            <w:tcW w:w="1923" w:type="pct"/>
            <w:tcBorders>
              <w:top w:val="single" w:sz="4" w:space="0" w:color="auto"/>
              <w:left w:val="single" w:sz="4" w:space="0" w:color="auto"/>
              <w:bottom w:val="single" w:sz="4" w:space="0" w:color="auto"/>
              <w:right w:val="single" w:sz="4" w:space="0" w:color="auto"/>
            </w:tcBorders>
            <w:shd w:val="clear" w:color="auto" w:fill="auto"/>
          </w:tcPr>
          <w:p>
            <w:pPr>
              <w:jc w:val="both"/>
              <w:rPr>
                <w:rFonts w:ascii="Times New Roman" w:hAnsi="Times New Roman"/>
                <w:noProof/>
                <w:sz w:val="20"/>
                <w:szCs w:val="20"/>
              </w:rPr>
            </w:pPr>
            <w:r>
              <w:rPr>
                <w:rFonts w:ascii="Times New Roman" w:hAnsi="Times New Roman"/>
                <w:noProof/>
                <w:sz w:val="20"/>
              </w:rPr>
              <w:t>Регламент (ЕИО) № 1101/89 на Съвета относно структурните подобрения в транспорта по вътрешни водни пътища</w:t>
            </w:r>
          </w:p>
        </w:tc>
        <w:tc>
          <w:tcPr>
            <w:tcW w:w="2461" w:type="pct"/>
            <w:tcBorders>
              <w:top w:val="single" w:sz="4" w:space="0" w:color="auto"/>
              <w:left w:val="single" w:sz="4" w:space="0" w:color="auto"/>
              <w:bottom w:val="single" w:sz="4" w:space="0" w:color="auto"/>
              <w:right w:val="single" w:sz="4" w:space="0" w:color="auto"/>
            </w:tcBorders>
            <w:shd w:val="clear" w:color="auto" w:fill="auto"/>
          </w:tcPr>
          <w:p>
            <w:pPr>
              <w:jc w:val="both"/>
              <w:rPr>
                <w:rFonts w:ascii="Times New Roman" w:hAnsi="Times New Roman"/>
                <w:noProof/>
                <w:sz w:val="20"/>
                <w:szCs w:val="20"/>
              </w:rPr>
            </w:pPr>
            <w:r>
              <w:rPr>
                <w:rFonts w:ascii="Times New Roman" w:hAnsi="Times New Roman"/>
                <w:noProof/>
                <w:sz w:val="20"/>
              </w:rPr>
              <w:t>Действието на този Регламент на Съвета изтече на 28 април 1999 г. (вж. съображение 1 от Регламент (ЕО) № 718/1999 на Съвета).</w:t>
            </w:r>
          </w:p>
        </w:tc>
      </w:tr>
      <w:tr>
        <w:trPr>
          <w:cantSplit/>
        </w:trPr>
        <w:tc>
          <w:tcPr>
            <w:tcW w:w="174" w:type="pct"/>
            <w:tcBorders>
              <w:top w:val="single" w:sz="4" w:space="0" w:color="auto"/>
              <w:left w:val="single" w:sz="4" w:space="0" w:color="auto"/>
              <w:bottom w:val="single" w:sz="4" w:space="0" w:color="auto"/>
              <w:right w:val="single" w:sz="4" w:space="0" w:color="auto"/>
            </w:tcBorders>
          </w:tcPr>
          <w:p>
            <w:pPr>
              <w:numPr>
                <w:ilvl w:val="0"/>
                <w:numId w:val="4"/>
              </w:numPr>
              <w:spacing w:after="0" w:line="240" w:lineRule="auto"/>
              <w:ind w:left="357" w:hanging="357"/>
              <w:rPr>
                <w:rFonts w:ascii="Times New Roman" w:eastAsia="Times New Roman" w:hAnsi="Times New Roman"/>
                <w:noProof/>
                <w:sz w:val="20"/>
                <w:szCs w:val="20"/>
              </w:rPr>
            </w:pPr>
          </w:p>
        </w:tc>
        <w:tc>
          <w:tcPr>
            <w:tcW w:w="442" w:type="pct"/>
            <w:tcBorders>
              <w:top w:val="single" w:sz="4" w:space="0" w:color="auto"/>
              <w:left w:val="single" w:sz="4" w:space="0" w:color="auto"/>
              <w:bottom w:val="single" w:sz="4" w:space="0" w:color="auto"/>
              <w:right w:val="single" w:sz="4" w:space="0" w:color="auto"/>
            </w:tcBorders>
          </w:tcPr>
          <w:p>
            <w:pPr>
              <w:jc w:val="both"/>
              <w:rPr>
                <w:rFonts w:ascii="Times New Roman" w:hAnsi="Times New Roman"/>
                <w:noProof/>
                <w:sz w:val="20"/>
                <w:szCs w:val="20"/>
              </w:rPr>
            </w:pPr>
            <w:r>
              <w:rPr>
                <w:rFonts w:ascii="Times New Roman" w:hAnsi="Times New Roman"/>
                <w:noProof/>
                <w:sz w:val="20"/>
              </w:rPr>
              <w:t>Транспорт</w:t>
            </w:r>
          </w:p>
        </w:tc>
        <w:tc>
          <w:tcPr>
            <w:tcW w:w="1923" w:type="pct"/>
            <w:tcBorders>
              <w:top w:val="single" w:sz="4" w:space="0" w:color="auto"/>
              <w:left w:val="single" w:sz="4" w:space="0" w:color="auto"/>
              <w:bottom w:val="single" w:sz="4" w:space="0" w:color="auto"/>
              <w:right w:val="single" w:sz="4" w:space="0" w:color="auto"/>
            </w:tcBorders>
            <w:shd w:val="clear" w:color="auto" w:fill="auto"/>
          </w:tcPr>
          <w:p>
            <w:pPr>
              <w:jc w:val="both"/>
              <w:rPr>
                <w:rFonts w:ascii="Times New Roman" w:hAnsi="Times New Roman"/>
                <w:noProof/>
                <w:sz w:val="20"/>
                <w:szCs w:val="20"/>
              </w:rPr>
            </w:pPr>
            <w:r>
              <w:rPr>
                <w:rFonts w:ascii="Times New Roman" w:hAnsi="Times New Roman"/>
                <w:noProof/>
                <w:sz w:val="20"/>
              </w:rPr>
              <w:t>Регламент (ЕО) № 2812/94 на Комисията относно условията, които се прилагат към пускането в експлоатация на нови мощности във вътрешния воден транспорт</w:t>
            </w:r>
          </w:p>
        </w:tc>
        <w:tc>
          <w:tcPr>
            <w:tcW w:w="2461" w:type="pct"/>
            <w:tcBorders>
              <w:top w:val="single" w:sz="4" w:space="0" w:color="auto"/>
              <w:left w:val="single" w:sz="4" w:space="0" w:color="auto"/>
              <w:bottom w:val="single" w:sz="4" w:space="0" w:color="auto"/>
              <w:right w:val="single" w:sz="4" w:space="0" w:color="auto"/>
            </w:tcBorders>
            <w:shd w:val="clear" w:color="auto" w:fill="auto"/>
          </w:tcPr>
          <w:p>
            <w:pPr>
              <w:jc w:val="both"/>
              <w:rPr>
                <w:rFonts w:ascii="Times New Roman" w:hAnsi="Times New Roman"/>
                <w:noProof/>
                <w:sz w:val="20"/>
                <w:szCs w:val="20"/>
              </w:rPr>
            </w:pPr>
            <w:r>
              <w:rPr>
                <w:rFonts w:ascii="Times New Roman" w:hAnsi="Times New Roman"/>
                <w:noProof/>
                <w:sz w:val="20"/>
              </w:rPr>
              <w:t>Този регламент изменя Регламент (ЕИО) № 1101/89, чието действие изтече на 28 април 1999 г.</w:t>
            </w:r>
          </w:p>
        </w:tc>
      </w:tr>
      <w:tr>
        <w:trPr>
          <w:cantSplit/>
        </w:trPr>
        <w:tc>
          <w:tcPr>
            <w:tcW w:w="174" w:type="pct"/>
            <w:tcBorders>
              <w:top w:val="single" w:sz="4" w:space="0" w:color="auto"/>
              <w:left w:val="single" w:sz="4" w:space="0" w:color="auto"/>
              <w:bottom w:val="single" w:sz="4" w:space="0" w:color="auto"/>
              <w:right w:val="single" w:sz="4" w:space="0" w:color="auto"/>
            </w:tcBorders>
          </w:tcPr>
          <w:p>
            <w:pPr>
              <w:numPr>
                <w:ilvl w:val="0"/>
                <w:numId w:val="4"/>
              </w:numPr>
              <w:spacing w:after="0" w:line="240" w:lineRule="auto"/>
              <w:ind w:left="357" w:hanging="357"/>
              <w:rPr>
                <w:rFonts w:ascii="Times New Roman" w:eastAsia="Times New Roman" w:hAnsi="Times New Roman"/>
                <w:noProof/>
                <w:sz w:val="20"/>
                <w:szCs w:val="20"/>
              </w:rPr>
            </w:pPr>
          </w:p>
        </w:tc>
        <w:tc>
          <w:tcPr>
            <w:tcW w:w="442" w:type="pct"/>
            <w:tcBorders>
              <w:top w:val="single" w:sz="4" w:space="0" w:color="auto"/>
              <w:left w:val="single" w:sz="4" w:space="0" w:color="auto"/>
              <w:bottom w:val="single" w:sz="4" w:space="0" w:color="auto"/>
              <w:right w:val="single" w:sz="4" w:space="0" w:color="auto"/>
            </w:tcBorders>
          </w:tcPr>
          <w:p>
            <w:pPr>
              <w:jc w:val="both"/>
              <w:rPr>
                <w:rFonts w:ascii="Times New Roman" w:hAnsi="Times New Roman"/>
                <w:noProof/>
                <w:sz w:val="20"/>
                <w:szCs w:val="20"/>
              </w:rPr>
            </w:pPr>
            <w:r>
              <w:rPr>
                <w:rFonts w:ascii="Times New Roman" w:hAnsi="Times New Roman"/>
                <w:noProof/>
                <w:sz w:val="20"/>
              </w:rPr>
              <w:t>Транспорт</w:t>
            </w:r>
          </w:p>
        </w:tc>
        <w:tc>
          <w:tcPr>
            <w:tcW w:w="1923" w:type="pct"/>
            <w:tcBorders>
              <w:top w:val="single" w:sz="4" w:space="0" w:color="auto"/>
              <w:left w:val="single" w:sz="4" w:space="0" w:color="auto"/>
              <w:bottom w:val="single" w:sz="4" w:space="0" w:color="auto"/>
              <w:right w:val="single" w:sz="4" w:space="0" w:color="auto"/>
            </w:tcBorders>
            <w:shd w:val="clear" w:color="auto" w:fill="auto"/>
          </w:tcPr>
          <w:p>
            <w:pPr>
              <w:jc w:val="both"/>
              <w:rPr>
                <w:rFonts w:ascii="Times New Roman" w:hAnsi="Times New Roman"/>
                <w:noProof/>
                <w:sz w:val="20"/>
                <w:szCs w:val="20"/>
              </w:rPr>
            </w:pPr>
            <w:r>
              <w:rPr>
                <w:rFonts w:ascii="Times New Roman" w:hAnsi="Times New Roman"/>
                <w:noProof/>
                <w:sz w:val="20"/>
              </w:rPr>
              <w:t>Регламент (ЕО) № 685/2001 на Европейския парламент и на Съвета относно разпределянето на разрешителни между държавите членки, получени по силата на споразуменията за установяване на определени условия за автомобилен превоз на товари и за насърчаване на комбинирания транспорт между Европейската общност и Република България и между Европейската общност и Република Унгария</w:t>
            </w:r>
          </w:p>
        </w:tc>
        <w:tc>
          <w:tcPr>
            <w:tcW w:w="2461" w:type="pct"/>
            <w:tcBorders>
              <w:top w:val="single" w:sz="4" w:space="0" w:color="auto"/>
              <w:left w:val="single" w:sz="4" w:space="0" w:color="auto"/>
              <w:bottom w:val="single" w:sz="4" w:space="0" w:color="auto"/>
              <w:right w:val="single" w:sz="4" w:space="0" w:color="auto"/>
            </w:tcBorders>
            <w:shd w:val="clear" w:color="auto" w:fill="auto"/>
          </w:tcPr>
          <w:p>
            <w:pPr>
              <w:jc w:val="both"/>
              <w:rPr>
                <w:rFonts w:ascii="Times New Roman" w:hAnsi="Times New Roman"/>
                <w:noProof/>
                <w:sz w:val="20"/>
                <w:szCs w:val="20"/>
              </w:rPr>
            </w:pPr>
            <w:r>
              <w:rPr>
                <w:rFonts w:ascii="Times New Roman" w:hAnsi="Times New Roman"/>
                <w:noProof/>
                <w:sz w:val="20"/>
              </w:rPr>
              <w:t>Регламентът вече не е необходим, тъй като България и Унгария са държави — членки на ЕС (за тях вече не се прилага система от разрешения по отношение на достъпа до пазара на автомобилни превози на товари).</w:t>
            </w:r>
          </w:p>
        </w:tc>
      </w:tr>
      <w:tr>
        <w:trPr>
          <w:cantSplit/>
        </w:trPr>
        <w:tc>
          <w:tcPr>
            <w:tcW w:w="174" w:type="pct"/>
            <w:tcBorders>
              <w:top w:val="single" w:sz="4" w:space="0" w:color="auto"/>
              <w:left w:val="single" w:sz="4" w:space="0" w:color="auto"/>
              <w:bottom w:val="single" w:sz="4" w:space="0" w:color="auto"/>
              <w:right w:val="single" w:sz="4" w:space="0" w:color="auto"/>
            </w:tcBorders>
          </w:tcPr>
          <w:p>
            <w:pPr>
              <w:numPr>
                <w:ilvl w:val="0"/>
                <w:numId w:val="4"/>
              </w:numPr>
              <w:spacing w:after="0" w:line="240" w:lineRule="auto"/>
              <w:ind w:left="357" w:hanging="357"/>
              <w:rPr>
                <w:rFonts w:ascii="Times New Roman" w:eastAsia="Times New Roman" w:hAnsi="Times New Roman"/>
                <w:noProof/>
                <w:sz w:val="20"/>
                <w:szCs w:val="20"/>
              </w:rPr>
            </w:pPr>
          </w:p>
        </w:tc>
        <w:tc>
          <w:tcPr>
            <w:tcW w:w="442" w:type="pct"/>
            <w:tcBorders>
              <w:top w:val="single" w:sz="4" w:space="0" w:color="auto"/>
              <w:left w:val="single" w:sz="4" w:space="0" w:color="auto"/>
              <w:bottom w:val="single" w:sz="4" w:space="0" w:color="auto"/>
              <w:right w:val="single" w:sz="4" w:space="0" w:color="auto"/>
            </w:tcBorders>
          </w:tcPr>
          <w:p>
            <w:pPr>
              <w:jc w:val="both"/>
              <w:rPr>
                <w:rFonts w:ascii="Times New Roman" w:hAnsi="Times New Roman"/>
                <w:noProof/>
                <w:sz w:val="20"/>
                <w:szCs w:val="20"/>
              </w:rPr>
            </w:pPr>
            <w:r>
              <w:rPr>
                <w:rFonts w:ascii="Times New Roman" w:hAnsi="Times New Roman"/>
                <w:noProof/>
                <w:sz w:val="20"/>
              </w:rPr>
              <w:t>Транспорт</w:t>
            </w:r>
          </w:p>
        </w:tc>
        <w:tc>
          <w:tcPr>
            <w:tcW w:w="1923" w:type="pct"/>
            <w:tcBorders>
              <w:top w:val="single" w:sz="4" w:space="0" w:color="auto"/>
              <w:left w:val="single" w:sz="4" w:space="0" w:color="auto"/>
              <w:bottom w:val="single" w:sz="4" w:space="0" w:color="auto"/>
              <w:right w:val="single" w:sz="4" w:space="0" w:color="auto"/>
            </w:tcBorders>
            <w:shd w:val="clear" w:color="auto" w:fill="auto"/>
          </w:tcPr>
          <w:p>
            <w:pPr>
              <w:jc w:val="both"/>
              <w:rPr>
                <w:rFonts w:ascii="Times New Roman" w:hAnsi="Times New Roman"/>
                <w:noProof/>
                <w:sz w:val="20"/>
                <w:szCs w:val="20"/>
              </w:rPr>
            </w:pPr>
            <w:r>
              <w:rPr>
                <w:rFonts w:ascii="Times New Roman" w:hAnsi="Times New Roman"/>
                <w:noProof/>
                <w:sz w:val="20"/>
              </w:rPr>
              <w:t>Регламент (ЕИО) № 2158/93 на Комисията относно прилагането на измененията в Международната конвенция от 1974 година за безопасност на човешкия живот на море, както и на Международната конвенция от 1973 година за предотвратяване на замърсяването от кораби по смисъла на Регламент (ЕИО) № 613/91 на Съвета</w:t>
            </w:r>
          </w:p>
        </w:tc>
        <w:tc>
          <w:tcPr>
            <w:tcW w:w="2461" w:type="pct"/>
            <w:tcBorders>
              <w:top w:val="single" w:sz="4" w:space="0" w:color="auto"/>
              <w:left w:val="single" w:sz="4" w:space="0" w:color="auto"/>
              <w:bottom w:val="single" w:sz="4" w:space="0" w:color="auto"/>
              <w:right w:val="single" w:sz="4" w:space="0" w:color="auto"/>
            </w:tcBorders>
            <w:shd w:val="clear" w:color="auto" w:fill="auto"/>
          </w:tcPr>
          <w:p>
            <w:pPr>
              <w:jc w:val="both"/>
              <w:rPr>
                <w:rFonts w:ascii="Times New Roman" w:hAnsi="Times New Roman"/>
                <w:noProof/>
                <w:sz w:val="20"/>
                <w:szCs w:val="20"/>
              </w:rPr>
            </w:pPr>
            <w:r>
              <w:rPr>
                <w:rFonts w:ascii="Times New Roman" w:hAnsi="Times New Roman"/>
                <w:noProof/>
                <w:sz w:val="20"/>
              </w:rPr>
              <w:t>Регламентът на Комисията вече не се прилага, тъй като се отнася до инструмент (Регламент на Съвета № 613 от 1991 г.), който е отменен с Регламент (ЕО) № 789/2004 относно прехвърлянето на товарните и пътническите кораби от един регистър в друг).</w:t>
            </w:r>
          </w:p>
        </w:tc>
      </w:tr>
      <w:tr>
        <w:trPr>
          <w:cantSplit/>
        </w:trPr>
        <w:tc>
          <w:tcPr>
            <w:tcW w:w="174" w:type="pct"/>
            <w:tcBorders>
              <w:top w:val="single" w:sz="4" w:space="0" w:color="auto"/>
              <w:left w:val="single" w:sz="4" w:space="0" w:color="auto"/>
              <w:bottom w:val="single" w:sz="4" w:space="0" w:color="auto"/>
              <w:right w:val="single" w:sz="4" w:space="0" w:color="auto"/>
            </w:tcBorders>
          </w:tcPr>
          <w:p>
            <w:pPr>
              <w:numPr>
                <w:ilvl w:val="0"/>
                <w:numId w:val="4"/>
              </w:numPr>
              <w:spacing w:after="0" w:line="240" w:lineRule="auto"/>
              <w:ind w:left="357" w:hanging="357"/>
              <w:rPr>
                <w:rFonts w:ascii="Times New Roman" w:eastAsia="Times New Roman" w:hAnsi="Times New Roman"/>
                <w:noProof/>
                <w:sz w:val="20"/>
                <w:szCs w:val="20"/>
              </w:rPr>
            </w:pPr>
          </w:p>
        </w:tc>
        <w:tc>
          <w:tcPr>
            <w:tcW w:w="442" w:type="pct"/>
            <w:tcBorders>
              <w:top w:val="single" w:sz="4" w:space="0" w:color="auto"/>
              <w:left w:val="single" w:sz="4" w:space="0" w:color="auto"/>
              <w:bottom w:val="single" w:sz="4" w:space="0" w:color="auto"/>
              <w:right w:val="single" w:sz="4" w:space="0" w:color="auto"/>
            </w:tcBorders>
          </w:tcPr>
          <w:p>
            <w:pPr>
              <w:jc w:val="both"/>
              <w:rPr>
                <w:rFonts w:ascii="Times New Roman" w:hAnsi="Times New Roman"/>
                <w:noProof/>
                <w:sz w:val="20"/>
                <w:szCs w:val="20"/>
              </w:rPr>
            </w:pPr>
            <w:r>
              <w:rPr>
                <w:rFonts w:ascii="Times New Roman" w:hAnsi="Times New Roman"/>
                <w:noProof/>
                <w:sz w:val="20"/>
              </w:rPr>
              <w:t>Транспорт</w:t>
            </w:r>
          </w:p>
        </w:tc>
        <w:tc>
          <w:tcPr>
            <w:tcW w:w="1923" w:type="pct"/>
            <w:tcBorders>
              <w:top w:val="single" w:sz="4" w:space="0" w:color="auto"/>
              <w:left w:val="single" w:sz="4" w:space="0" w:color="auto"/>
              <w:bottom w:val="single" w:sz="4" w:space="0" w:color="auto"/>
              <w:right w:val="single" w:sz="4" w:space="0" w:color="auto"/>
            </w:tcBorders>
            <w:shd w:val="clear" w:color="auto" w:fill="auto"/>
          </w:tcPr>
          <w:p>
            <w:pPr>
              <w:jc w:val="both"/>
              <w:rPr>
                <w:rFonts w:ascii="Times New Roman" w:hAnsi="Times New Roman"/>
                <w:noProof/>
                <w:sz w:val="20"/>
                <w:szCs w:val="20"/>
              </w:rPr>
            </w:pPr>
            <w:r>
              <w:rPr>
                <w:rFonts w:ascii="Times New Roman" w:hAnsi="Times New Roman"/>
                <w:noProof/>
                <w:sz w:val="20"/>
              </w:rPr>
              <w:t>Регламент (ЕО) № 3298/94 на Комисията относно определяне на подробни мерки за системата от права за транзитно преминаване (екоточки) на тежкотоварни превозни средства, преминаващи през Австрия</w:t>
            </w:r>
          </w:p>
        </w:tc>
        <w:tc>
          <w:tcPr>
            <w:tcW w:w="2461" w:type="pct"/>
            <w:tcBorders>
              <w:top w:val="single" w:sz="4" w:space="0" w:color="auto"/>
              <w:left w:val="single" w:sz="4" w:space="0" w:color="auto"/>
              <w:bottom w:val="single" w:sz="4" w:space="0" w:color="auto"/>
              <w:right w:val="single" w:sz="4" w:space="0" w:color="auto"/>
            </w:tcBorders>
            <w:shd w:val="clear" w:color="auto" w:fill="auto"/>
          </w:tcPr>
          <w:p>
            <w:pPr>
              <w:jc w:val="both"/>
              <w:rPr>
                <w:rFonts w:ascii="Times New Roman" w:hAnsi="Times New Roman"/>
                <w:noProof/>
                <w:sz w:val="20"/>
                <w:szCs w:val="20"/>
              </w:rPr>
            </w:pPr>
            <w:r>
              <w:rPr>
                <w:rFonts w:ascii="Times New Roman" w:hAnsi="Times New Roman"/>
                <w:noProof/>
                <w:sz w:val="20"/>
              </w:rPr>
              <w:t>Системата от екоточки, чиято цел беше да се намали въздействието върху околната среда на транзитния трафик от тежкотоварни превозни средства, стана неактуална с въвеждането на таксата за тежкотоварни превозни средства („Maut“) по австрийските магистрали и скоростни пътища на 1 януари 2004 г. и Австрия вече не я прилага. Поради това правното основание за екоточките също вече не е актуално, вследствие на което може да бъде отменено.</w:t>
            </w:r>
          </w:p>
        </w:tc>
      </w:tr>
      <w:tr>
        <w:trPr>
          <w:cantSplit/>
        </w:trPr>
        <w:tc>
          <w:tcPr>
            <w:tcW w:w="174" w:type="pct"/>
            <w:tcBorders>
              <w:top w:val="single" w:sz="4" w:space="0" w:color="auto"/>
              <w:left w:val="single" w:sz="4" w:space="0" w:color="auto"/>
              <w:bottom w:val="single" w:sz="4" w:space="0" w:color="auto"/>
              <w:right w:val="single" w:sz="4" w:space="0" w:color="auto"/>
            </w:tcBorders>
          </w:tcPr>
          <w:p>
            <w:pPr>
              <w:numPr>
                <w:ilvl w:val="0"/>
                <w:numId w:val="4"/>
              </w:numPr>
              <w:spacing w:after="0" w:line="240" w:lineRule="auto"/>
              <w:ind w:left="357" w:hanging="357"/>
              <w:rPr>
                <w:rFonts w:ascii="Times New Roman" w:eastAsia="Times New Roman" w:hAnsi="Times New Roman"/>
                <w:noProof/>
                <w:sz w:val="20"/>
                <w:szCs w:val="20"/>
              </w:rPr>
            </w:pPr>
          </w:p>
        </w:tc>
        <w:tc>
          <w:tcPr>
            <w:tcW w:w="442" w:type="pct"/>
            <w:tcBorders>
              <w:top w:val="single" w:sz="4" w:space="0" w:color="auto"/>
              <w:left w:val="single" w:sz="4" w:space="0" w:color="auto"/>
              <w:bottom w:val="single" w:sz="4" w:space="0" w:color="auto"/>
              <w:right w:val="single" w:sz="4" w:space="0" w:color="auto"/>
            </w:tcBorders>
          </w:tcPr>
          <w:p>
            <w:pPr>
              <w:jc w:val="both"/>
              <w:rPr>
                <w:rFonts w:ascii="Times New Roman" w:hAnsi="Times New Roman"/>
                <w:noProof/>
                <w:sz w:val="20"/>
                <w:szCs w:val="20"/>
              </w:rPr>
            </w:pPr>
            <w:r>
              <w:rPr>
                <w:rFonts w:ascii="Times New Roman" w:hAnsi="Times New Roman"/>
                <w:noProof/>
                <w:sz w:val="20"/>
              </w:rPr>
              <w:t>Транспорт</w:t>
            </w:r>
          </w:p>
        </w:tc>
        <w:tc>
          <w:tcPr>
            <w:tcW w:w="1923" w:type="pct"/>
            <w:tcBorders>
              <w:top w:val="single" w:sz="4" w:space="0" w:color="auto"/>
              <w:left w:val="single" w:sz="4" w:space="0" w:color="auto"/>
              <w:bottom w:val="single" w:sz="4" w:space="0" w:color="auto"/>
              <w:right w:val="single" w:sz="4" w:space="0" w:color="auto"/>
            </w:tcBorders>
            <w:shd w:val="clear" w:color="auto" w:fill="auto"/>
          </w:tcPr>
          <w:p>
            <w:pPr>
              <w:jc w:val="both"/>
              <w:rPr>
                <w:rFonts w:ascii="Times New Roman" w:hAnsi="Times New Roman"/>
                <w:noProof/>
                <w:sz w:val="20"/>
                <w:szCs w:val="20"/>
              </w:rPr>
            </w:pPr>
            <w:r>
              <w:rPr>
                <w:rFonts w:ascii="Times New Roman" w:hAnsi="Times New Roman"/>
                <w:noProof/>
                <w:sz w:val="20"/>
              </w:rPr>
              <w:t>Регламент (ЕО) № 2888/2000 на Европейския парламент и на Съвета относно разпределението на разрешителни за тежкотоварни превозни средства, пътуващи в Швейцария</w:t>
            </w:r>
          </w:p>
        </w:tc>
        <w:tc>
          <w:tcPr>
            <w:tcW w:w="2461" w:type="pct"/>
            <w:tcBorders>
              <w:top w:val="single" w:sz="4" w:space="0" w:color="auto"/>
              <w:left w:val="single" w:sz="4" w:space="0" w:color="auto"/>
              <w:bottom w:val="single" w:sz="4" w:space="0" w:color="auto"/>
              <w:right w:val="single" w:sz="4" w:space="0" w:color="auto"/>
            </w:tcBorders>
            <w:shd w:val="clear" w:color="auto" w:fill="auto"/>
          </w:tcPr>
          <w:p>
            <w:pPr>
              <w:jc w:val="both"/>
              <w:rPr>
                <w:rFonts w:ascii="Times New Roman" w:hAnsi="Times New Roman"/>
                <w:noProof/>
                <w:sz w:val="20"/>
                <w:szCs w:val="20"/>
              </w:rPr>
            </w:pPr>
            <w:r>
              <w:rPr>
                <w:rFonts w:ascii="Times New Roman" w:hAnsi="Times New Roman"/>
                <w:noProof/>
                <w:sz w:val="20"/>
              </w:rPr>
              <w:t>Този регламент относно разрешителните, с който се разпределят квотите, които Общността е получила от Швейцария за периода 2001—2004 г., между държавите — членки на ЕС, вече не се прилага. Достъпът до пазара на автомобилни превози на товари понастоящем се урежда от Споразумението между ЕС и Швейцария.</w:t>
            </w:r>
          </w:p>
        </w:tc>
      </w:tr>
      <w:tr>
        <w:trPr>
          <w:cantSplit/>
        </w:trPr>
        <w:tc>
          <w:tcPr>
            <w:tcW w:w="174" w:type="pct"/>
            <w:tcBorders>
              <w:top w:val="single" w:sz="4" w:space="0" w:color="auto"/>
              <w:left w:val="single" w:sz="4" w:space="0" w:color="auto"/>
              <w:bottom w:val="single" w:sz="4" w:space="0" w:color="auto"/>
              <w:right w:val="single" w:sz="4" w:space="0" w:color="auto"/>
            </w:tcBorders>
          </w:tcPr>
          <w:p>
            <w:pPr>
              <w:numPr>
                <w:ilvl w:val="0"/>
                <w:numId w:val="4"/>
              </w:numPr>
              <w:spacing w:after="0" w:line="240" w:lineRule="auto"/>
              <w:ind w:left="357" w:hanging="357"/>
              <w:rPr>
                <w:rFonts w:ascii="Times New Roman" w:eastAsia="Times New Roman" w:hAnsi="Times New Roman"/>
                <w:noProof/>
                <w:sz w:val="20"/>
                <w:szCs w:val="20"/>
              </w:rPr>
            </w:pPr>
          </w:p>
        </w:tc>
        <w:tc>
          <w:tcPr>
            <w:tcW w:w="442" w:type="pct"/>
            <w:tcBorders>
              <w:top w:val="single" w:sz="4" w:space="0" w:color="auto"/>
              <w:left w:val="single" w:sz="4" w:space="0" w:color="auto"/>
              <w:bottom w:val="single" w:sz="4" w:space="0" w:color="auto"/>
              <w:right w:val="single" w:sz="4" w:space="0" w:color="auto"/>
            </w:tcBorders>
          </w:tcPr>
          <w:p>
            <w:pPr>
              <w:jc w:val="both"/>
              <w:rPr>
                <w:rFonts w:ascii="Times New Roman" w:hAnsi="Times New Roman"/>
                <w:noProof/>
                <w:sz w:val="20"/>
                <w:szCs w:val="20"/>
              </w:rPr>
            </w:pPr>
            <w:r>
              <w:rPr>
                <w:rFonts w:ascii="Times New Roman" w:hAnsi="Times New Roman"/>
                <w:noProof/>
                <w:sz w:val="20"/>
              </w:rPr>
              <w:t>Транспорт</w:t>
            </w:r>
          </w:p>
        </w:tc>
        <w:tc>
          <w:tcPr>
            <w:tcW w:w="1923" w:type="pct"/>
            <w:tcBorders>
              <w:top w:val="single" w:sz="4" w:space="0" w:color="auto"/>
              <w:left w:val="single" w:sz="4" w:space="0" w:color="auto"/>
              <w:bottom w:val="single" w:sz="4" w:space="0" w:color="auto"/>
              <w:right w:val="single" w:sz="4" w:space="0" w:color="auto"/>
            </w:tcBorders>
            <w:shd w:val="clear" w:color="auto" w:fill="auto"/>
          </w:tcPr>
          <w:p>
            <w:pPr>
              <w:jc w:val="both"/>
              <w:rPr>
                <w:rFonts w:ascii="Times New Roman" w:hAnsi="Times New Roman"/>
                <w:noProof/>
                <w:sz w:val="20"/>
                <w:szCs w:val="20"/>
              </w:rPr>
            </w:pPr>
            <w:r>
              <w:rPr>
                <w:rFonts w:ascii="Times New Roman" w:hAnsi="Times New Roman"/>
                <w:noProof/>
                <w:sz w:val="20"/>
              </w:rPr>
              <w:t>Регламент (ЕО) № 103/2007 на Комисията за удължаване на преходния период, споменат в член 53, параграф 4 от Регламент (ЕО) № 1592/2002</w:t>
            </w:r>
          </w:p>
        </w:tc>
        <w:tc>
          <w:tcPr>
            <w:tcW w:w="2461" w:type="pct"/>
            <w:tcBorders>
              <w:top w:val="single" w:sz="4" w:space="0" w:color="auto"/>
              <w:left w:val="single" w:sz="4" w:space="0" w:color="auto"/>
              <w:bottom w:val="single" w:sz="4" w:space="0" w:color="auto"/>
              <w:right w:val="single" w:sz="4" w:space="0" w:color="auto"/>
            </w:tcBorders>
            <w:shd w:val="clear" w:color="auto" w:fill="auto"/>
          </w:tcPr>
          <w:p>
            <w:pPr>
              <w:jc w:val="both"/>
              <w:rPr>
                <w:rFonts w:ascii="Times New Roman" w:hAnsi="Times New Roman"/>
                <w:noProof/>
                <w:sz w:val="20"/>
                <w:szCs w:val="20"/>
              </w:rPr>
            </w:pPr>
            <w:r>
              <w:rPr>
                <w:rFonts w:ascii="Times New Roman" w:hAnsi="Times New Roman"/>
                <w:noProof/>
                <w:sz w:val="20"/>
              </w:rPr>
              <w:t>Преходният период беше удължен до 31 декември 2007 г., вследствие на което този регламент не е актуален.</w:t>
            </w:r>
          </w:p>
        </w:tc>
      </w:tr>
      <w:tr>
        <w:trPr>
          <w:cantSplit/>
        </w:trPr>
        <w:tc>
          <w:tcPr>
            <w:tcW w:w="174" w:type="pct"/>
            <w:tcBorders>
              <w:top w:val="single" w:sz="4" w:space="0" w:color="auto"/>
              <w:left w:val="single" w:sz="4" w:space="0" w:color="auto"/>
              <w:bottom w:val="single" w:sz="4" w:space="0" w:color="auto"/>
              <w:right w:val="single" w:sz="4" w:space="0" w:color="auto"/>
            </w:tcBorders>
          </w:tcPr>
          <w:p>
            <w:pPr>
              <w:numPr>
                <w:ilvl w:val="0"/>
                <w:numId w:val="4"/>
              </w:numPr>
              <w:spacing w:after="0" w:line="240" w:lineRule="auto"/>
              <w:ind w:left="357" w:hanging="357"/>
              <w:rPr>
                <w:rFonts w:ascii="Times New Roman" w:eastAsia="Times New Roman" w:hAnsi="Times New Roman"/>
                <w:noProof/>
                <w:sz w:val="20"/>
                <w:szCs w:val="20"/>
              </w:rPr>
            </w:pPr>
          </w:p>
        </w:tc>
        <w:tc>
          <w:tcPr>
            <w:tcW w:w="442" w:type="pct"/>
            <w:tcBorders>
              <w:top w:val="single" w:sz="4" w:space="0" w:color="auto"/>
              <w:left w:val="single" w:sz="4" w:space="0" w:color="auto"/>
              <w:bottom w:val="single" w:sz="4" w:space="0" w:color="auto"/>
              <w:right w:val="single" w:sz="4" w:space="0" w:color="auto"/>
            </w:tcBorders>
          </w:tcPr>
          <w:p>
            <w:pPr>
              <w:spacing w:after="0" w:line="240" w:lineRule="auto"/>
              <w:rPr>
                <w:rFonts w:ascii="Times New Roman" w:eastAsia="Times New Roman" w:hAnsi="Times New Roman"/>
                <w:noProof/>
                <w:sz w:val="20"/>
                <w:szCs w:val="20"/>
              </w:rPr>
            </w:pPr>
            <w:r>
              <w:rPr>
                <w:rFonts w:ascii="Times New Roman" w:hAnsi="Times New Roman"/>
                <w:noProof/>
                <w:sz w:val="20"/>
              </w:rPr>
              <w:t>Данъчно облагане</w:t>
            </w:r>
          </w:p>
        </w:tc>
        <w:tc>
          <w:tcPr>
            <w:tcW w:w="1923" w:type="pct"/>
            <w:tcBorders>
              <w:top w:val="single" w:sz="4" w:space="0" w:color="auto"/>
              <w:left w:val="single" w:sz="4" w:space="0" w:color="auto"/>
              <w:bottom w:val="single" w:sz="4" w:space="0" w:color="auto"/>
              <w:right w:val="single" w:sz="4" w:space="0" w:color="auto"/>
            </w:tcBorders>
            <w:shd w:val="clear" w:color="auto" w:fill="auto"/>
          </w:tcPr>
          <w:p>
            <w:pPr>
              <w:jc w:val="both"/>
              <w:rPr>
                <w:rFonts w:ascii="Times New Roman" w:hAnsi="Times New Roman"/>
                <w:noProof/>
                <w:sz w:val="20"/>
                <w:szCs w:val="20"/>
              </w:rPr>
            </w:pPr>
            <w:r>
              <w:rPr>
                <w:rFonts w:ascii="Times New Roman" w:hAnsi="Times New Roman"/>
                <w:noProof/>
                <w:sz w:val="20"/>
              </w:rPr>
              <w:t>Регламент (ЕО) № 2579/98 на Комисията от 30 ноември 1998 г. за установяване на списъка на текстилните продукти, за които не се изисква доказателство за произход при пускането им в свободно обращение в Общността</w:t>
            </w:r>
          </w:p>
        </w:tc>
        <w:tc>
          <w:tcPr>
            <w:tcW w:w="2461" w:type="pct"/>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jc w:val="both"/>
              <w:rPr>
                <w:rFonts w:ascii="Times New Roman" w:hAnsi="Times New Roman"/>
                <w:noProof/>
                <w:sz w:val="20"/>
                <w:szCs w:val="20"/>
              </w:rPr>
            </w:pPr>
            <w:r>
              <w:rPr>
                <w:rFonts w:ascii="Times New Roman" w:hAnsi="Times New Roman"/>
                <w:noProof/>
                <w:sz w:val="20"/>
              </w:rPr>
              <w:t>Този регламент на Комисията бе акт за изпълнение на Регламент (ЕО) № 1541/98 на Съвета, който от своя страна бе отменен през 2011 г.</w:t>
            </w:r>
          </w:p>
        </w:tc>
      </w:tr>
    </w:tbl>
    <w:p>
      <w:pPr>
        <w:rPr>
          <w:rFonts w:ascii="Times New Roman" w:hAnsi="Times New Roman"/>
          <w:noProof/>
        </w:rPr>
      </w:pPr>
    </w:p>
    <w:sectPr>
      <w:headerReference w:type="even" r:id="rId16"/>
      <w:headerReference w:type="default" r:id="rId17"/>
      <w:footerReference w:type="even" r:id="rId18"/>
      <w:footerReference w:type="default" r:id="rId19"/>
      <w:headerReference w:type="first" r:id="rId20"/>
      <w:footerReference w:type="first" r:id="rId21"/>
      <w:pgSz w:w="16838" w:h="11906" w:orient="landscape"/>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045F6"/>
    <w:multiLevelType w:val="hybridMultilevel"/>
    <w:tmpl w:val="6F92D59C"/>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733065B"/>
    <w:multiLevelType w:val="singleLevel"/>
    <w:tmpl w:val="51A0C2B8"/>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
    <w:nsid w:val="341C4255"/>
    <w:multiLevelType w:val="hybridMultilevel"/>
    <w:tmpl w:val="F73C5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86C143F"/>
    <w:multiLevelType w:val="hybridMultilevel"/>
    <w:tmpl w:val="D1368392"/>
    <w:lvl w:ilvl="0" w:tplc="0809000F">
      <w:start w:val="1"/>
      <w:numFmt w:val="decimal"/>
      <w:lvlText w:val="%1."/>
      <w:lvlJc w:val="left"/>
      <w:pPr>
        <w:ind w:left="786"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nsid w:val="5C8A7180"/>
    <w:multiLevelType w:val="hybridMultilevel"/>
    <w:tmpl w:val="2B302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DDB160A"/>
    <w:multiLevelType w:val="hybridMultilevel"/>
    <w:tmpl w:val="5FAE0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u1082?\u1098?\u1084?"/>
    <w:docVar w:name="LW_ANNEX_NBR_FIRST" w:val="5"/>
    <w:docVar w:name="LW_ANNEX_NBR_LAST" w:val="5"/>
    <w:docVar w:name="LW_CONFIDENCE" w:val=" "/>
    <w:docVar w:name="LW_CONST_RESTREINT_UE" w:val="RESTREINT UE"/>
    <w:docVar w:name="LW_CORRIGENDUM" w:val="&lt;UNUSED&gt;"/>
    <w:docVar w:name="LW_COVERPAGE_GUID" w:val="A6B51BF50E27497B936DA63340DDD0E4"/>
    <w:docVar w:name="LW_CROSSREFERENCE" w:val="&lt;UNUSED&gt;"/>
    <w:docVar w:name="LW_DocType" w:val="NORMAL"/>
    <w:docVar w:name="LW_EMISSION" w:val="27.10.2015"/>
    <w:docVar w:name="LW_EMISSION_ISODATE" w:val="2015-10-27"/>
    <w:docVar w:name="LW_EMISSION_LOCATION" w:val="STR"/>
    <w:docVar w:name="LW_EMISSION_PREFIX" w:val="Страсбург, "/>
    <w:docVar w:name="LW_EMISSION_SUFFIX" w:val=" \u1075?."/>
    <w:docVar w:name="LW_ID_DOCTYPE_NONLW" w:val="CP-039"/>
    <w:docVar w:name="LW_LANGUE" w:val="BG"/>
    <w:docVar w:name="LW_MARKING" w:val="&lt;UNUSED&gt;"/>
    <w:docVar w:name="LW_NOM.INST" w:val="\u1045?\u1042?\u1056?\u1054?\u1055?\u1045?\u1049?\u1057?\u1050?\u1040? \u1050?\u1054?\u1052?\u1048?\u1057?\u1048?\u1071?"/>
    <w:docVar w:name="LW_NOM.INST_JOINTDOC" w:val="&lt;EMPTY&gt;"/>
    <w:docVar w:name="LW_OBJETACTEPRINCIPAL.CP" w:val="_x000b_\u1056?\u1072?\u1073?\u1086?\u1090?\u1085?\u1072? \u1087?\u1088?\u1086?\u1075?\u1088?\u1072?\u1084?\u1072? \u1085?\u1072? \u1050?\u1086?\u1084?\u1080?\u1089?\u1080?\u1103?\u1090?\u1072? \u1079?\u1072? 2016 \u1075?._x000b__x000b_\u1042?\u1088?\u1077?\u1084?\u1077? \u1077? \u1079?\u1072? \u1087?\u1088?\u1086?\u1084?\u1103?\u1085?\u1072?"/>
    <w:docVar w:name="LW_PART_NBR" w:val="1"/>
    <w:docVar w:name="LW_PART_NBR_TOTAL" w:val="1"/>
    <w:docVar w:name="LW_REF.INST.NEW" w:val="COM"/>
    <w:docVar w:name="LW_REF.INST.NEW_ADOPTED" w:val="final"/>
    <w:docVar w:name="LW_REF.INST.NEW_TEXT" w:val="(2015) 610"/>
    <w:docVar w:name="LW_REF.INTERNE" w:val="&lt;UNUSED&gt;"/>
    <w:docVar w:name="LW_SUPERTITRE" w:val="&lt;UNUSED&gt;"/>
    <w:docVar w:name="LW_TITRE.OBJ.CP" w:val="&lt;UNUSED&gt;"/>
    <w:docVar w:name="LW_TYPE.DOC.CP" w:val="\u1055?\u1056?\u1048?\u1051?\u1054?\u1046?\u1045?\u1053?\u1048?\u1045?_x000b_"/>
    <w:docVar w:name="LW_TYPEACTEPRINCIPAL.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
    <w:basedOn w:val="Normal"/>
    <w:link w:val="FootnoteTextChar"/>
    <w:uiPriority w:val="99"/>
    <w:qFormat/>
    <w:pPr>
      <w:spacing w:after="0" w:line="240" w:lineRule="auto"/>
    </w:pPr>
    <w:rPr>
      <w:rFonts w:ascii="Times New Roman" w:eastAsia="Times New Roman" w:hAnsi="Times New Roman"/>
      <w:sz w:val="20"/>
      <w:szCs w:val="20"/>
    </w:rPr>
  </w:style>
  <w:style w:type="character" w:customStyle="1" w:styleId="FootnoteTextChar">
    <w:name w:val="Footnote Text Char"/>
    <w:aliases w:val="Footnote Char,Fußnote Char"/>
    <w:basedOn w:val="DefaultParagraphFont"/>
    <w:link w:val="FootnoteText"/>
    <w:uiPriority w:val="99"/>
    <w:rPr>
      <w:rFonts w:ascii="Times New Roman" w:eastAsia="Times New Roman" w:hAnsi="Times New Roman" w:cs="Times New Roman"/>
      <w:sz w:val="20"/>
      <w:szCs w:val="20"/>
      <w:lang w:eastAsia="bg-BG"/>
    </w:rPr>
  </w:style>
  <w:style w:type="paragraph" w:styleId="ListParagraph">
    <w:name w:val="List Paragraph"/>
    <w:basedOn w:val="Normal"/>
    <w:uiPriority w:val="34"/>
    <w:qFormat/>
    <w:pPr>
      <w:spacing w:after="0" w:line="240" w:lineRule="auto"/>
      <w:ind w:left="720"/>
    </w:pPr>
    <w:rPr>
      <w:rFonts w:cs="Calibri"/>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FootnoteReference">
    <w:name w:val="footnote reference"/>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character" w:styleId="Strong">
    <w:name w:val="Strong"/>
    <w:basedOn w:val="DefaultParagraphFont"/>
    <w:qFormat/>
    <w:rPr>
      <w:b/>
      <w:bCs/>
    </w:rPr>
  </w:style>
  <w:style w:type="character" w:styleId="Hyperlink">
    <w:name w:val="Hyperlink"/>
    <w:basedOn w:val="DefaultParagraphFont"/>
    <w:uiPriority w:val="99"/>
    <w:unhideWhenUsed/>
    <w:rPr>
      <w:color w:val="0000FF" w:themeColor="hyperlink"/>
      <w:u w:val="single"/>
    </w:rPr>
  </w:style>
  <w:style w:type="paragraph" w:styleId="BodyText3">
    <w:name w:val="Body Text 3"/>
    <w:basedOn w:val="Normal"/>
    <w:link w:val="BodyText3Char"/>
    <w:pPr>
      <w:spacing w:after="120" w:line="240" w:lineRule="auto"/>
      <w:jc w:val="both"/>
    </w:pPr>
    <w:rPr>
      <w:rFonts w:ascii="Times New Roman" w:eastAsia="Times New Roman" w:hAnsi="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rPr>
  </w:style>
  <w:style w:type="paragraph" w:styleId="Revision">
    <w:name w:val="Revision"/>
    <w:hidden/>
    <w:uiPriority w:val="99"/>
    <w:semiHidden/>
    <w:pPr>
      <w:spacing w:after="0" w:line="240" w:lineRule="auto"/>
    </w:pPr>
    <w:rPr>
      <w:rFonts w:ascii="Calibri" w:eastAsia="Calibri" w:hAnsi="Calibri" w:cs="Times New Roman"/>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HAnsi" w:hAnsi="Times New Roman"/>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outlineLvl w:val="0"/>
    </w:pPr>
    <w:rPr>
      <w:rFonts w:ascii="Times New Roman" w:eastAsia="Times New Roman" w:hAnsi="Times New Roman"/>
      <w:noProof/>
      <w:sz w:val="24"/>
      <w:szCs w:val="28"/>
    </w:rPr>
  </w:style>
  <w:style w:type="character" w:customStyle="1" w:styleId="FooterCoverPageChar">
    <w:name w:val="Footer Cover Page Char"/>
    <w:basedOn w:val="DefaultParagraphFont"/>
    <w:link w:val="FooterCoverPage"/>
    <w:rPr>
      <w:rFonts w:ascii="Times New Roman" w:eastAsia="Times New Roman" w:hAnsi="Times New Roman" w:cs="Times New Roman"/>
      <w:noProof/>
      <w:sz w:val="24"/>
      <w:szCs w:val="28"/>
    </w:rPr>
  </w:style>
  <w:style w:type="paragraph" w:customStyle="1" w:styleId="HeaderCoverPage">
    <w:name w:val="Header Cover Page"/>
    <w:basedOn w:val="Normal"/>
    <w:link w:val="HeaderCoverPageChar"/>
    <w:pPr>
      <w:tabs>
        <w:tab w:val="center" w:pos="4535"/>
        <w:tab w:val="right" w:pos="9071"/>
      </w:tabs>
      <w:spacing w:after="120" w:line="240" w:lineRule="auto"/>
      <w:jc w:val="both"/>
      <w:outlineLvl w:val="0"/>
    </w:pPr>
    <w:rPr>
      <w:rFonts w:ascii="Times New Roman" w:eastAsia="Times New Roman" w:hAnsi="Times New Roman"/>
      <w:noProof/>
      <w:sz w:val="24"/>
      <w:szCs w:val="28"/>
    </w:rPr>
  </w:style>
  <w:style w:type="character" w:customStyle="1" w:styleId="HeaderCoverPageChar">
    <w:name w:val="Header Cover Page Char"/>
    <w:basedOn w:val="DefaultParagraphFont"/>
    <w:link w:val="HeaderCoverPage"/>
    <w:rPr>
      <w:rFonts w:ascii="Times New Roman" w:eastAsia="Times New Roman" w:hAnsi="Times New Roman" w:cs="Times New Roman"/>
      <w:noProof/>
      <w:sz w:val="24"/>
      <w:szCs w:val="28"/>
    </w:rPr>
  </w:style>
  <w:style w:type="paragraph" w:customStyle="1" w:styleId="ListDash">
    <w:name w:val="List Dash"/>
    <w:basedOn w:val="Normal"/>
    <w:pPr>
      <w:numPr>
        <w:numId w:val="5"/>
      </w:numPr>
      <w:spacing w:before="120" w:after="120" w:line="240" w:lineRule="auto"/>
      <w:jc w:val="both"/>
    </w:pPr>
    <w:rPr>
      <w:rFonts w:ascii="Times New Roman" w:eastAsia="Times New Roman" w:hAnsi="Times New Roman"/>
      <w:sz w:val="24"/>
      <w:szCs w:val="20"/>
    </w:rPr>
  </w:style>
  <w:style w:type="character" w:styleId="Emphasis">
    <w:name w:val="Emphasis"/>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
    <w:basedOn w:val="Normal"/>
    <w:link w:val="FootnoteTextChar"/>
    <w:uiPriority w:val="99"/>
    <w:qFormat/>
    <w:pPr>
      <w:spacing w:after="0" w:line="240" w:lineRule="auto"/>
    </w:pPr>
    <w:rPr>
      <w:rFonts w:ascii="Times New Roman" w:eastAsia="Times New Roman" w:hAnsi="Times New Roman"/>
      <w:sz w:val="20"/>
      <w:szCs w:val="20"/>
    </w:rPr>
  </w:style>
  <w:style w:type="character" w:customStyle="1" w:styleId="FootnoteTextChar">
    <w:name w:val="Footnote Text Char"/>
    <w:aliases w:val="Footnote Char,Fußnote Char"/>
    <w:basedOn w:val="DefaultParagraphFont"/>
    <w:link w:val="FootnoteText"/>
    <w:uiPriority w:val="99"/>
    <w:rPr>
      <w:rFonts w:ascii="Times New Roman" w:eastAsia="Times New Roman" w:hAnsi="Times New Roman" w:cs="Times New Roman"/>
      <w:sz w:val="20"/>
      <w:szCs w:val="20"/>
      <w:lang w:eastAsia="bg-BG"/>
    </w:rPr>
  </w:style>
  <w:style w:type="paragraph" w:styleId="ListParagraph">
    <w:name w:val="List Paragraph"/>
    <w:basedOn w:val="Normal"/>
    <w:uiPriority w:val="34"/>
    <w:qFormat/>
    <w:pPr>
      <w:spacing w:after="0" w:line="240" w:lineRule="auto"/>
      <w:ind w:left="720"/>
    </w:pPr>
    <w:rPr>
      <w:rFonts w:cs="Calibri"/>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FootnoteReference">
    <w:name w:val="footnote reference"/>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character" w:styleId="Strong">
    <w:name w:val="Strong"/>
    <w:basedOn w:val="DefaultParagraphFont"/>
    <w:qFormat/>
    <w:rPr>
      <w:b/>
      <w:bCs/>
    </w:rPr>
  </w:style>
  <w:style w:type="character" w:styleId="Hyperlink">
    <w:name w:val="Hyperlink"/>
    <w:basedOn w:val="DefaultParagraphFont"/>
    <w:uiPriority w:val="99"/>
    <w:unhideWhenUsed/>
    <w:rPr>
      <w:color w:val="0000FF" w:themeColor="hyperlink"/>
      <w:u w:val="single"/>
    </w:rPr>
  </w:style>
  <w:style w:type="paragraph" w:styleId="BodyText3">
    <w:name w:val="Body Text 3"/>
    <w:basedOn w:val="Normal"/>
    <w:link w:val="BodyText3Char"/>
    <w:pPr>
      <w:spacing w:after="120" w:line="240" w:lineRule="auto"/>
      <w:jc w:val="both"/>
    </w:pPr>
    <w:rPr>
      <w:rFonts w:ascii="Times New Roman" w:eastAsia="Times New Roman" w:hAnsi="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rPr>
  </w:style>
  <w:style w:type="paragraph" w:styleId="Revision">
    <w:name w:val="Revision"/>
    <w:hidden/>
    <w:uiPriority w:val="99"/>
    <w:semiHidden/>
    <w:pPr>
      <w:spacing w:after="0" w:line="240" w:lineRule="auto"/>
    </w:pPr>
    <w:rPr>
      <w:rFonts w:ascii="Calibri" w:eastAsia="Calibri" w:hAnsi="Calibri" w:cs="Times New Roman"/>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HAnsi" w:hAnsi="Times New Roman"/>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outlineLvl w:val="0"/>
    </w:pPr>
    <w:rPr>
      <w:rFonts w:ascii="Times New Roman" w:eastAsia="Times New Roman" w:hAnsi="Times New Roman"/>
      <w:noProof/>
      <w:sz w:val="24"/>
      <w:szCs w:val="28"/>
    </w:rPr>
  </w:style>
  <w:style w:type="character" w:customStyle="1" w:styleId="FooterCoverPageChar">
    <w:name w:val="Footer Cover Page Char"/>
    <w:basedOn w:val="DefaultParagraphFont"/>
    <w:link w:val="FooterCoverPage"/>
    <w:rPr>
      <w:rFonts w:ascii="Times New Roman" w:eastAsia="Times New Roman" w:hAnsi="Times New Roman" w:cs="Times New Roman"/>
      <w:noProof/>
      <w:sz w:val="24"/>
      <w:szCs w:val="28"/>
    </w:rPr>
  </w:style>
  <w:style w:type="paragraph" w:customStyle="1" w:styleId="HeaderCoverPage">
    <w:name w:val="Header Cover Page"/>
    <w:basedOn w:val="Normal"/>
    <w:link w:val="HeaderCoverPageChar"/>
    <w:pPr>
      <w:tabs>
        <w:tab w:val="center" w:pos="4535"/>
        <w:tab w:val="right" w:pos="9071"/>
      </w:tabs>
      <w:spacing w:after="120" w:line="240" w:lineRule="auto"/>
      <w:jc w:val="both"/>
      <w:outlineLvl w:val="0"/>
    </w:pPr>
    <w:rPr>
      <w:rFonts w:ascii="Times New Roman" w:eastAsia="Times New Roman" w:hAnsi="Times New Roman"/>
      <w:noProof/>
      <w:sz w:val="24"/>
      <w:szCs w:val="28"/>
    </w:rPr>
  </w:style>
  <w:style w:type="character" w:customStyle="1" w:styleId="HeaderCoverPageChar">
    <w:name w:val="Header Cover Page Char"/>
    <w:basedOn w:val="DefaultParagraphFont"/>
    <w:link w:val="HeaderCoverPage"/>
    <w:rPr>
      <w:rFonts w:ascii="Times New Roman" w:eastAsia="Times New Roman" w:hAnsi="Times New Roman" w:cs="Times New Roman"/>
      <w:noProof/>
      <w:sz w:val="24"/>
      <w:szCs w:val="28"/>
    </w:rPr>
  </w:style>
  <w:style w:type="paragraph" w:customStyle="1" w:styleId="ListDash">
    <w:name w:val="List Dash"/>
    <w:basedOn w:val="Normal"/>
    <w:pPr>
      <w:numPr>
        <w:numId w:val="5"/>
      </w:numPr>
      <w:spacing w:before="120" w:after="120" w:line="240" w:lineRule="auto"/>
      <w:jc w:val="both"/>
    </w:pPr>
    <w:rPr>
      <w:rFonts w:ascii="Times New Roman" w:eastAsia="Times New Roman" w:hAnsi="Times New Roman"/>
      <w:sz w:val="24"/>
      <w:szCs w:val="20"/>
    </w:rPr>
  </w:style>
  <w:style w:type="character" w:styleId="Emphasis">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656876">
      <w:bodyDiv w:val="1"/>
      <w:marLeft w:val="0"/>
      <w:marRight w:val="0"/>
      <w:marTop w:val="0"/>
      <w:marBottom w:val="0"/>
      <w:divBdr>
        <w:top w:val="none" w:sz="0" w:space="0" w:color="auto"/>
        <w:left w:val="none" w:sz="0" w:space="0" w:color="auto"/>
        <w:bottom w:val="none" w:sz="0" w:space="0" w:color="auto"/>
        <w:right w:val="none" w:sz="0" w:space="0" w:color="auto"/>
      </w:divBdr>
    </w:div>
    <w:div w:id="179629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B31C3-91ED-4FB6-9C24-CC220BA92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1858</Words>
  <Characters>9999</Characters>
  <Application>Microsoft Office Word</Application>
  <DocSecurity>0</DocSecurity>
  <Lines>294</Lines>
  <Paragraphs>137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HELLMANN Katharina (SG)</dc:creator>
  <cp:lastModifiedBy>DIGIT/A3</cp:lastModifiedBy>
  <cp:revision>20</cp:revision>
  <cp:lastPrinted>2015-10-27T11:34:00Z</cp:lastPrinted>
  <dcterms:created xsi:type="dcterms:W3CDTF">2015-10-26T16:08:00Z</dcterms:created>
  <dcterms:modified xsi:type="dcterms:W3CDTF">2015-11-05T09:35:00Z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5</vt:lpwstr>
  </property>
  <property fmtid="{D5CDD505-2E9C-101B-9397-08002B2CF9AE}" pid="3" name="Last annex">
    <vt:lpwstr>5</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