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6.xml" ContentType="application/vnd.openxmlformats-officedocument.wordprocessingml.header+xml"/>
  <Override PartName="/word/footer6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Pagedecouverture"/>
        <w:rPr>
          <w:noProof/>
        </w:rPr>
      </w:pPr>
      <w:bookmarkStart w:id="0" w:name="LW_BM_COVERPAGE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5" type="#_x0000_t75" alt="8445D7E7D3064423962CB818D424EEFF" style="width:450.4pt;height:461.3pt">
            <v:imagedata r:id="rId9" o:title=""/>
          </v:shape>
        </w:pict>
      </w:r>
    </w:p>
    <w:bookmarkEnd w:id="0"/>
    <w:p>
      <w:pPr>
        <w:rPr>
          <w:noProof/>
        </w:rPr>
        <w:sectPr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134" w:right="1417" w:bottom="1134" w:left="1417" w:header="709" w:footer="709" w:gutter="0"/>
          <w:pgNumType w:start="0"/>
          <w:cols w:space="720"/>
          <w:docGrid w:linePitch="360"/>
        </w:sectPr>
      </w:pPr>
    </w:p>
    <w:p>
      <w:pPr>
        <w:spacing w:after="600" w:line="240" w:lineRule="auto"/>
        <w:jc w:val="center"/>
        <w:outlineLvl w:val="0"/>
        <w:rPr>
          <w:rFonts w:ascii="Times New Roman" w:hAnsi="Times New Roman"/>
          <w:b/>
          <w:noProof/>
          <w:sz w:val="28"/>
          <w:szCs w:val="28"/>
          <w:u w:val="single"/>
        </w:rPr>
      </w:pPr>
      <w:bookmarkStart w:id="1" w:name="_GoBack"/>
      <w:bookmarkEnd w:id="1"/>
      <w:r>
        <w:rPr>
          <w:rFonts w:ascii="Times New Roman" w:hAnsi="Times New Roman"/>
          <w:b/>
          <w:noProof/>
          <w:sz w:val="28"/>
          <w:u w:val="single"/>
        </w:rPr>
        <w:lastRenderedPageBreak/>
        <w:t>Приложение VI: Законодателство, което ще влезе в сила през 2016 г.</w:t>
      </w:r>
    </w:p>
    <w:p>
      <w:pPr>
        <w:spacing w:after="120" w:line="240" w:lineRule="auto"/>
        <w:outlineLvl w:val="0"/>
        <w:rPr>
          <w:rFonts w:ascii="Times New Roman" w:hAnsi="Times New Roman"/>
          <w:noProof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</w:rPr>
        <w:t xml:space="preserve">Допълнителна информация относно делегираните актове и актовете за изпълнение, които стават приложими през 2016 г., може да бъде намерена на адрес: http://ec.europa.eu/atwork/key-documents/index_en.htm. </w:t>
      </w:r>
    </w:p>
    <w:p>
      <w:pPr>
        <w:spacing w:after="240" w:line="240" w:lineRule="auto"/>
        <w:outlineLvl w:val="0"/>
        <w:rPr>
          <w:rFonts w:ascii="Times New Roman" w:hAnsi="Times New Roman"/>
          <w:noProof/>
          <w:color w:val="000000"/>
          <w:sz w:val="20"/>
          <w:szCs w:val="20"/>
        </w:rPr>
      </w:pPr>
      <w:r>
        <w:rPr>
          <w:rFonts w:ascii="Times New Roman" w:hAnsi="Times New Roman"/>
          <w:noProof/>
          <w:color w:val="000000"/>
          <w:sz w:val="20"/>
        </w:rPr>
        <w:t xml:space="preserve">Що се отнася до датата(ите) на прилагане, звездичката (*) означава, че в допълнение към посочената дата, други дати могат да се прилагат за други части на законодателния акт.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left w:w="85" w:type="dxa"/>
          <w:bottom w:w="85" w:type="dxa"/>
          <w:right w:w="57" w:type="dxa"/>
        </w:tblCellMar>
        <w:tblLook w:val="0000" w:firstRow="0" w:lastRow="0" w:firstColumn="0" w:lastColumn="0" w:noHBand="0" w:noVBand="0"/>
      </w:tblPr>
      <w:tblGrid>
        <w:gridCol w:w="394"/>
        <w:gridCol w:w="10182"/>
        <w:gridCol w:w="1983"/>
        <w:gridCol w:w="1587"/>
      </w:tblGrid>
      <w:tr>
        <w:trPr>
          <w:cantSplit/>
          <w:tblHeader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№</w:t>
            </w:r>
          </w:p>
        </w:tc>
        <w:tc>
          <w:tcPr>
            <w:tcW w:w="3599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Наименование</w:t>
            </w:r>
          </w:p>
        </w:tc>
        <w:tc>
          <w:tcPr>
            <w:tcW w:w="701" w:type="pct"/>
            <w:tcBorders>
              <w:bottom w:val="single" w:sz="4" w:space="0" w:color="auto"/>
            </w:tcBorders>
            <w:shd w:val="clear" w:color="auto" w:fill="99CCFF"/>
          </w:tcPr>
          <w:p>
            <w:pPr>
              <w:spacing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Област на политиката</w:t>
            </w:r>
          </w:p>
        </w:tc>
        <w:tc>
          <w:tcPr>
            <w:tcW w:w="561" w:type="pct"/>
            <w:tcBorders>
              <w:bottom w:val="single" w:sz="4" w:space="0" w:color="auto"/>
            </w:tcBorders>
            <w:shd w:val="clear" w:color="auto" w:fill="99CCFF"/>
            <w:vAlign w:val="center"/>
          </w:tcPr>
          <w:p>
            <w:pPr>
              <w:spacing w:after="60" w:line="240" w:lineRule="auto"/>
              <w:jc w:val="center"/>
              <w:rPr>
                <w:rFonts w:ascii="Times New Roman" w:hAnsi="Times New Roman"/>
                <w:b/>
                <w:noProof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noProof/>
                <w:sz w:val="20"/>
              </w:rPr>
              <w:t>Дата на прилагане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tabs>
                <w:tab w:val="left" w:pos="5576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2014/48/ЕС на Съвета от 24 март 2014 г. за изменение на Директива 2003/48/ЕО относно данъчното облагане на доходи от спестявания под формата на лихвени плащания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tabs>
                <w:tab w:val="left" w:pos="5576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Данъчно облагане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 януари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2009/138/ЕО на Европейския парламент и на Съвета от 25 ноември 2009 г. относно започването и упражняването на застрахователна и презастрахователна дейност (Платежоспособност II) (текст от значение за ЕИП)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Финансови услуги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 януари 2016 г.</w:t>
            </w: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2014/61/ЕС на Европейския парламент и на Съвета от 15 май 2014 г. относно мерките за намаляване на разходите за разгръщане на високоскоростни електронни съобщителни мрежи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Цифрова икономика и общество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 януари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806/2014 на Европейския парламент и на Съвета от 15 юли 2014 г. за установяването на еднообразни правила и еднообразна процедура за преструктурирането на кредитни институции и някои инвестиционни посредници в рамките на Единния механизъм за преструктуриране и Единния фонд за преструктуриране и за изменение на Регламент (ЕС) № 1093/2010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Финансова стабилност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 януари 2016 г.</w:t>
            </w: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1308/2013 на Европейския парламент и на Съвета от 17 декември 2013 г. за установяване на обща организация на пазарите на селскостопански продукти и за отмяна на регламенти (ЕИО) № 922/72, (ЕИО) № 234/79, (ЕО) № 1037/2001 и (ЕО) № 1234/2007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Земеделие и развитие на селските райони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 януари 2016 г.</w:t>
            </w: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Регламент (ЕС) № 167/2013 на Европейския парламент и на Съвета от 5 февруари 2013 г. относно одобряването и надзора на пазара на земеделски и горски превозни средства 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 януари 2016 г.</w:t>
            </w: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Регламент (ЕС) № 168/2013 на Европейския парламент и на Съвета от 15 януари 2013 г. относно одобряването и надзора на пазара на дву-, три- и четириколесни превозни средства 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 януари 2016 г.</w:t>
            </w: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Регламент (ЕС) № 575/2013 на Европейския парламент и на Съвета от 26 юни 2013 г. относно пруденциалните изисквания за кредитните институции и инвестиционните посредници и за изменение на Регламент (ЕС) № 648/2012 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Финансови услуги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 януари 2016 г.</w:t>
            </w: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660/2014 на Европейския парламент и на Съвета от 15 май 2014 г. за изменение на Регламент (ЕО) № 1013/2006 относно превози на отпадъци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Околна среда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 януари 2016 г.</w:t>
            </w: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(ЕС, Евратом) № 1141/2014 на Европейския парламент и на Съвета от 22 октомври 2014 г. относно статута и финансирането на европейските политически партии и на европейските политически фондации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Институции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 януари 2016 г.</w:t>
            </w: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 1151/2012 на Европейския парламент и на Съвета от 21 ноември 2012 г. относно схемите за качество на селскостопанските продукти и храни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Земеделие и развитие на селските райони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4 януари 2016 г.</w:t>
            </w: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524/2013 на Европейския парламент и на Съвета от 21 май 2013 г. относно онлайн решаване на потребителски спорове и за изменение на Регламент (ЕО) № 2006/2004 и Директива 2009/22/ЕО (Регламент за ОРС за потребители)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Потребители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9 януари 2016 г.</w:t>
            </w:r>
            <w:r>
              <w:rPr>
                <w:rFonts w:ascii="Times New Roman" w:hAnsi="Times New Roman"/>
                <w:b/>
                <w:noProof/>
                <w:color w:val="000000"/>
                <w:spacing w:val="-2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2013/53/ЕС на Европейския парламент и на Съвета от 20 ноември 2013 г. относно плавателните съдове за отдих и плавателните съдове за лично ползване и за отмяна на Директива 94/25/ЕО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18 януари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2013/55/ЕС на Европейския парламент и на Съвета от 20 ноември 2013 г. за изменение на Директива 2005/36/ЕО относно признаването на професионалните квалификации и на Регламент (ЕС) № 1024/2012 относно административно сътрудничество посредством Информационната система за вътрешния пазар („Регламент за ИСВП“)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18 януари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2014/64/ЕС на Европейския парламент и на Съвета от 15 май 2014 г. за изменение на Директива 64/432/ЕИО на Съвета по отношение на компютърните бази данни, които са част от мрежите за надзор в държавите членки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Безопасност на храните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-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-2"/>
                <w:sz w:val="20"/>
              </w:rPr>
              <w:t>18 януари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(ЕС) 2015/254 на Европейския парламент и на Съвета от 11 февруари 2015 г. за отмяна на Директива 93/5/ЕИО на Съвета за подпомагане на Комисията и сътрудничество на държавите членки при научното проучване на въпроси, свързани с храните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Безопасност на храните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29 февруари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Решение (ЕС) 2015/137 на Съвета от 26 януари 2015 г. за подновяване на мандатите на заместник-председателя на Службата за хармонизация във вътрешния пазар (марки и дизайни) и на двама председатели на апелативните състави към Службата за хармонизация във вътрешния пазар (марки и дизайни)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 март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Регламент (ЕС) № 165/2014 на Европейския парламент и на Съвета от 4 февруари 2014 г. относно тахографите в автомобилния транспорт, за отмяна на Регламент (ЕИО) № 3821/85 на Съвета относно контролните уреди за регистриране на данните за движението при автомобилен транспорт и за изменение на Регламент (ЕО) № 561/2006 на Европейския парламент и на Съвета за хармонизиране на някои разпоредби от социалното законодателство, свързани с автомобилния транспорт 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Транспорт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 март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tabs>
                <w:tab w:val="left" w:pos="6413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2014/91/ЕС на Европейския парламент и на Съвета от 23 юли 2014 г. за изменение на Директива 2009/65/ЕО относно координирането на законовите, подзаконовите и административните разпоредби относно предприятията за колективно инвестиране в прехвърлими ценни книжа (ПКИПЦК) по отношение на депозитарните функции, политиката за възнагражденията и санкциите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tabs>
                <w:tab w:val="left" w:pos="6413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Финансови услуги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 март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2014/17/ЕС на Европейския парламент и на Съвета от 4 февруари 2014 г. относно договорите за кредити за жилищни недвижими имоти за потребители и за изменение на директиви 2008/48/ЕО и 2013/36/ЕС и Регламент (ЕС) № 1093/2010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Финансови услуги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 март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2014/26/ЕС на Европейския парламент и на Съвета от 26 февруари 2014 г. относно колективното управление на авторското право и сродните му права и многотериториалното лицензиране на правата върху музикални произведения за използване онлайн на вътрешния пазар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Цифрова икономика и общество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10 април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2014/23/ЕС на Европейския парламент и на Съвета от 26 февруари 2014 г. за възлагане на договори за концесия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 април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2014/24/ЕС на Европейския парламент и на Съвета от 26 февруари 2014 г. за обществените поръчки и за отмяна на Директива 2004/18/ЕО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 април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tabs>
                <w:tab w:val="left" w:pos="4923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2014/25/ЕС на Европейския парламент и на Съвета от 26 февруари 2014 г. относно възлагането на поръчки от възложители, извършващи дейност в секторите на водоснабдяването, енергетиката, транспорта и пощенските услуги и за отмяна на Директива 2004/17/ЕО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tabs>
                <w:tab w:val="left" w:pos="4923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 април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2014/33/ЕС на Европейския парламент и на Съвета от 26 февруари 2014 г. за хармонизиране на законодателствата на държавите членки по отношение на асансьори и предпазни устройства за асансьори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 април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2014/28/ЕС на Европейския парламент и на Съвета от 26 февруари 2014 г. за хармонизиране на законодателствата на държавите членки за предоставяне на пазара и надзор на взривните вещества за граждански цели (преработен текст)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 април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2014/29/ЕС на Европейския парламент и на Съвета от 26 февруари 2014 г. за хармонизиране на законодателствата на държавите членки за предоставяне на пазара на обикновените съдове под налягане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 април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2014/30/ЕС на Европейския парламент и на Съвета от 26 февруари 2014 г. за хармонизиране на законодателствата на държавите членки относно електромагнитната съвместимост (преработен текст)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 април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2014/31/ЕС на Европейския парламент и на Съвета от 26 февруари 2014 г. за хармонизиране на законодателствата на държавите членки за предоставянето на пазара на везни с неавтоматично действие 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 април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2014/32/ЕС на Европейския парламент и на Съвета от 26 февруари 2014 г. за хармонизиране на законодателствата на държавите членки за предоставяне на пазара на средства за измерване (преработен текст)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 април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2014/34/ЕС на Европейския парламент и на Съвета от 26 февруари 2014 г. за хармонизиране на законодателствата на държавите членки относно съоръженията и системите за защита, предназначени за използване в потенциално експлозивна атмосфера (преработен текст)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 април 2016 г.</w:t>
            </w:r>
          </w:p>
        </w:tc>
      </w:tr>
      <w:tr>
        <w:trPr>
          <w:cantSplit/>
        </w:trPr>
        <w:tc>
          <w:tcPr>
            <w:tcW w:w="139" w:type="pct"/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2014/35/ЕС на Европейския парламент и на Съвета от 26 февруари 2014 г. за хармонизиране на законодателствата на държавите членки за предоставяне на пазара на електрически съоръжения, предназначени за използване в определени граници на напрежението </w:t>
            </w:r>
          </w:p>
        </w:tc>
        <w:tc>
          <w:tcPr>
            <w:tcW w:w="701" w:type="pct"/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 април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952/2013 на Европейския парламент и на Съвета от 9 октомври 2013 г. за създаване на Митнически кодекс на Съюза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Данъчно облагане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 май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tabs>
                <w:tab w:val="left" w:pos="6865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2014/40/ЕС на Европейския парламент и на Съвета от 3 април 2014 г. за сближаване на законовите, подзаконовите и административните разпоредби на държавите членки относно производството, представянето и продажбата на тютюневи и свързани с тях изделия и за отмяна на Директива 2001/37/ЕО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tabs>
                <w:tab w:val="left" w:pos="6865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Здравеопазване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 май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2014/54/ЕС на Европейския парламент и на Съвета от 16 април 2014 г. относно мерки за улесняване на упражняването на правата, предоставени на работниците в контекста на свободното движение на работници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Заетост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21 май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2014/62/ЕС на Европейския парламент и на Съвета от 15 май 2014 г. относно защитата по наказателноправен ред на еврото и на другите парични знаци срещу подправяне и за замяна на Рамково решение 2000/383/ПВР на Съвета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Борба с измамите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23 май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2015/751 на Европейския парламент и на Съвета от 29 април 2015 г. относно обменните такси за платежни операции, свързани с карти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Финансови услуги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9 юни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2014/53/ЕС на Европейския парламент и на Съвета от 16 април 2014 г. за хармонизирането на законодателствата на държавите членки във връзка с предоставянето на пазара на радиосъоръжения и за отмяна на Директива 1999/5/ЕО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 юни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598/2014 на Европейския парламент и на Съвета от 16 април 2014 г. за определяне на правила и процедури за въвеждането на свързани с шума експлоатационни ограничения на летищата в Съюза в рамките на балансирания подход и за отмяна на Директива 2002/30/ЕО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Околна среда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 юни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2014/56/ЕС на Европейския парламент и на Съвета от 16 април 2014 г. за изменение на Директива 2006/43/ЕО относно задължителния одит на годишните счетоводни отчети и консолидираните счетоводни отчети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 юни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537/2014 на Eвропейския парламент и на Съвета от 16 април 2014 г. относно специфични изисквания по отношение на задължителния одит на предприятия от обществен интерес и за отмяна на Решение 2005/909/ЕО на Комисията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17 юни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2014/67/ЕС на Европейския парламент и на Съвета от 15 май 2014 г. за осигуряване на изпълнението на Директива 96/71/ЕО относно командироването на работници в рамките на предоставянето на услуги и за изменение на Регламент (ЕС) № 1024/2012 относно административно сътрудничество посредством Информационната система за вътрешния пазар („Регламент за ИСВП“)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Заетост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 юни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tabs>
                <w:tab w:val="left" w:pos="4822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2015/848 на Европейския парламент и на Съвета от 20 май 2015 г. относно производството по несъстоятелност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jc w:val="both"/>
              <w:rPr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Правосъдие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26 юни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2013/64/ЕС на Съвета от 17 декември 2013 г. за изменение на директиви 91/271/ЕИО и 1999/74/ЕО на Съвета и на директиви 2000/60/ЕО, 2006/7/ЕО, 2006/25/ЕО и 2011/24/ЕС на Европейския парламент и на Съвета във връзка с изменението на статуса на Майот по отношение на Европейския съюз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Регионална политика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 юни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2013/35/ЕС на Европейския парламент и на Съвета от 26 юни 2013 г. относно минималните изисквания за здраве и безопасност, свързани с експозицията на работниците на рискове, дължащи се на физически агенти (електромагнитни полета) (Двадесета специална директива по смисъла на член 16, параграф 1 от Директива 89/391/ЕИО) и за отмяна на Директива 2004/40/ЕО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Заетост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 юли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540/2014 на Европейския парламент и на Съвета от 16 април 2014 г. относно нивото на шума от моторни превозни средства и заменяемите шумозаглушителни уредби, за изменение на Директива 2007/46/ЕО и за отмяна на Директива 70/157/ЕИО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jc w:val="both"/>
              <w:rPr>
                <w:noProof/>
                <w:color w:val="00000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 юли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910/2014 на Европейския парламент и на Съвета от 23 юли 2014 г. относно електронната идентификация и удостоверителните услуги при електронни трансакции на вътрешния пазар и за отмяна на Директива 1999/93/ЕО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 юли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2014/57/ЕС на Европейския парламент и на Съвета от 16 април 2014 г. относно наказателноправните санкции за пазарна злоупотреба (Директива за пазарната злоупотреба)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 юли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 2014/65/EС на Европейския парламент и на Съвета от 15 май 2014 г. относно пазарите на финансови инструменти и за изменение на Директива 2002/92/EО и на Директива 2011/61/EС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Финансови услуги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 юли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Регламент (ЕС) № 596/2014 на Европейския парламент и на Съвета от 16 април 2014 г. относно пазарната злоупотреба (Регламент относно пазарната злоупотреба) и за отмяна на Директива 2003/6/ЕО на Европейския парламент и на Съвета и директиви 2003/124/ЕО, 2003/125/ЕО и 2004/72/ЕО на Комисията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 юли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655/2014 на Европейския парламент и на Съвета от 15 май 2014 г. за създаване на процедура за европейска заповед за запор на банкови сметки с цел улесняване на трансграничното събиране на вземания по граждански и търговски дела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Правосъдие 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 юли 2016 г. (само член 50, останалата част от регламента на 18 януари 2016 г.)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2014/68/ЕС на Европейския парламент и на Съвета от 15 май 2014 г. за хармонизиране на законодателствата на държавите членки за предоставяне на пазара на съоръжения под налягане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19 юли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Регламент (ЕС) № 609/2013 на Европейския парламент и на Съвета от 12 юни 2013 г. относно храните, предназначени за кърмачета и малки деца, храните за специални медицински цели и заместителите на целодневния хранителен прием за регулиране на телесното тегло и за отмяна на Директива 92/52/ЕИО на Съвета, директиви 96/8/ЕО, 1999/21/ЕО, 2006/125/ЕО и 2006/141/ЕО на Комисията, Директива 2009/39/ЕО на Европейския парламент и на Съвета и регламенти (ЕО) № 41/2009 и (ЕО) № 953/2009 на Комисията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Безопасност на храните </w:t>
            </w:r>
          </w:p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20 юли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2014/89/ЕС на Европейския парламент и на съвета от 23 юли 2014 г. за установяване на рамка за морско пространствено планиране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Морско дело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 септември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2014/90/ЕС на Европейския парламент и на Съвета от 23 юли 2014 г. относно морското оборудване и за отмяна на Директива 96/98/ЕО на Съвета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Транспорт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 септември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2014/92/ЕС на Европейския парламент и на Съвета от 23 юли 2014 г. относно съпоставимостта на таксите по платежните сметки, прехвърлянето на платежни сметки и достъпа до платежни сметки за основни операции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Финансови услуги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18 септември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tabs>
                <w:tab w:val="left" w:pos="2495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2014/36/ЕС на Европейския парламент и на Съвета от 26 февруари 2014 г. относно условията за влизане и престой на граждани на трети държави с цел заетост като сезонни работници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tabs>
                <w:tab w:val="left" w:pos="2495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Вътрешни работи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30 септември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tabs>
                <w:tab w:val="left" w:pos="2495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Решение (ОВППС) 2015/1763 на Съвета от 1 октомври 2015 г. относно ограничителни мерки с оглед на положението в Бурунди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tabs>
                <w:tab w:val="left" w:pos="2495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Външни работи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4"/>
                <w:sz w:val="20"/>
              </w:rPr>
              <w:t>3 октомври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tabs>
                <w:tab w:val="left" w:pos="2495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2014/42/ЕС на Европейския парламент и на Съвета от 3 април 2014 г. за обезпечаване и конфискация на средства и облаги от престъпна дейност в Европейския съюз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tabs>
                <w:tab w:val="left" w:pos="2495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Правосъдие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4"/>
                <w:sz w:val="20"/>
              </w:rPr>
              <w:t>4 октомври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2014/94/EC на Европейския парламент и на Съвета от 22 октомври 2014 г. за разгръщането на инфраструктура за алтернативни горива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Енергетика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0"/>
              </w:rPr>
              <w:t>18 ноември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(ЕС) 2015/720 на Европейския парламент и на Съвета от 29 април 2015 г. за изменение на Директива 94/62/ЕО по отношение на намаляване на потреблението на тънки пластмасови торбички за пазаруване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Околна среда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0"/>
              </w:rPr>
              <w:t>27 ноември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tabs>
                <w:tab w:val="left" w:pos="3349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 2013/48/ЕС на Европейския парламент и на Съвета от 22 октомври 2013 г. относно правото на достъп до адвокат в наказателното производство и в производството по европейска заповед за арест и относно правото на уведомяване на трето лице при задържане и на осъществяване на връзка с трети лица и консулски органи през периода на задържане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tabs>
                <w:tab w:val="left" w:pos="3349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Правосъдие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0"/>
              </w:rPr>
              <w:t>27 ноември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Директива 2014/66/ЕС на Европейския парламент и на Съвета от 15 май 2014 г. относно условията за влизане и пребиваване на граждани на трети държави в рамките на вътрешнокорпоративен трансфер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Вътрешни работи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2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2"/>
                <w:sz w:val="20"/>
              </w:rPr>
              <w:t>29 ноември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2014/95/ЕС на Европейския парламент и на Съвета от 22 октомври 2014 г. за изменение на Директива 2013/34/EС по отношение на оповестяването на нефинансова информация и на информация за многообразието от страна на някои големи предприятия и групи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Вътрешен пазар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pacing w:val="4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pacing w:val="4"/>
                <w:sz w:val="20"/>
              </w:rPr>
              <w:t>6 декември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 1169/2011 на Европейския парламент и на Съвета от 25 октомври 2011 г. за предоставянето на информация за храните на потребителите, за изменение на регламенти (ЕО) № 1924/2006 и (ЕО) № 1925/2006 на Европейския парламент и на Съвета и за отмяна на Директива 87/250/ЕИО на Комисията, Директива 90/496/ЕИО на Съвета, Директива 1999/10/ЕО на Комисията, Директива 2000/13/ЕО на Европейския парламент и на Съвета, директиви 2002/67/ЕО и 2008/5/ЕО на Комисията и на Регламент (ЕО) № 608/2004 на Комисията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Потребители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13 декември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2014/104/ЕС на Европейския парламент и на Съвета от 26 ноември 2014 г. относно някои правила за уреждане на искове за обезщетение за вреди по националното право за нарушения на разпоредбите на правото на държавите членки и на Европейския съюз в областта на конкуренцията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Конкуренция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27 декември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 xml:space="preserve">Директива 2014/112/ЕС на Съвета от 19 декември 2014 г. за прилагане на Европейското споразумение относно определени аспекти на организацията на работното време в сектора на вътрешния воден транспорт, сключено от Европейския съюз за речно корабоплаване (EBU), Европейската организация на речните превозвачи (ESO) и Европейската федерация на работниците от транспорта (ETF) 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Заетост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31 декември 2016 г.</w:t>
            </w:r>
          </w:p>
        </w:tc>
      </w:tr>
      <w:tr>
        <w:trPr>
          <w:cantSplit/>
        </w:trPr>
        <w:tc>
          <w:tcPr>
            <w:tcW w:w="139" w:type="pct"/>
            <w:tcBorders>
              <w:bottom w:val="single" w:sz="4" w:space="0" w:color="auto"/>
            </w:tcBorders>
            <w:shd w:val="clear" w:color="auto" w:fill="auto"/>
          </w:tcPr>
          <w:p>
            <w:pPr>
              <w:numPr>
                <w:ilvl w:val="0"/>
                <w:numId w:val="1"/>
              </w:num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</w:p>
        </w:tc>
        <w:tc>
          <w:tcPr>
            <w:tcW w:w="3599" w:type="pct"/>
            <w:tcBorders>
              <w:bottom w:val="single" w:sz="4" w:space="0" w:color="auto"/>
            </w:tcBorders>
          </w:tcPr>
          <w:p>
            <w:pPr>
              <w:tabs>
                <w:tab w:val="left" w:pos="7568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Регламент (ЕС) № 1286/2014 на Европейския парламент и на Съвета от 26 ноември 2014 г. относно основните информационни документи за пакети с инвестиционни продукти на дребно и основаващи се на застраховане инвестиционни продукти (ПИПДОЗИП)</w:t>
            </w:r>
          </w:p>
        </w:tc>
        <w:tc>
          <w:tcPr>
            <w:tcW w:w="701" w:type="pct"/>
            <w:tcBorders>
              <w:bottom w:val="single" w:sz="4" w:space="0" w:color="auto"/>
            </w:tcBorders>
          </w:tcPr>
          <w:p>
            <w:pPr>
              <w:tabs>
                <w:tab w:val="left" w:pos="7568"/>
              </w:tabs>
              <w:spacing w:after="60" w:line="240" w:lineRule="auto"/>
              <w:jc w:val="both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Финансови услуги</w:t>
            </w:r>
          </w:p>
        </w:tc>
        <w:tc>
          <w:tcPr>
            <w:tcW w:w="561" w:type="pct"/>
            <w:tcBorders>
              <w:bottom w:val="single" w:sz="4" w:space="0" w:color="auto"/>
            </w:tcBorders>
          </w:tcPr>
          <w:p>
            <w:pPr>
              <w:spacing w:after="60" w:line="240" w:lineRule="auto"/>
              <w:rPr>
                <w:rFonts w:ascii="Times New Roman" w:hAnsi="Times New Roman"/>
                <w:noProof/>
                <w:color w:val="000000"/>
                <w:sz w:val="20"/>
                <w:szCs w:val="20"/>
              </w:rPr>
            </w:pPr>
            <w:r>
              <w:rPr>
                <w:rFonts w:ascii="Times New Roman" w:hAnsi="Times New Roman"/>
                <w:noProof/>
                <w:color w:val="000000"/>
                <w:sz w:val="20"/>
              </w:rPr>
              <w:t>31 декември 2016 г.</w:t>
            </w:r>
            <w:r>
              <w:rPr>
                <w:rFonts w:ascii="Times New Roman" w:hAnsi="Times New Roman"/>
                <w:b/>
                <w:noProof/>
                <w:color w:val="000000"/>
                <w:sz w:val="20"/>
              </w:rPr>
              <w:t>*</w:t>
            </w:r>
          </w:p>
        </w:tc>
      </w:tr>
    </w:tbl>
    <w:p>
      <w:pPr>
        <w:rPr>
          <w:noProof/>
        </w:rPr>
      </w:pPr>
    </w:p>
    <w:sectPr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pgSz w:w="16838" w:h="11906" w:orient="landscape"/>
      <w:pgMar w:top="1417" w:right="1417" w:bottom="1417" w:left="1417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>
      <w:pPr>
        <w:spacing w:after="0" w:line="240" w:lineRule="auto"/>
      </w:pPr>
      <w:r>
        <w:separator/>
      </w:r>
    </w:p>
  </w:endnote>
  <w:endnote w:type="continuationSeparator" w:id="0">
    <w:p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  <w:rPr>
        <w:rFonts w:ascii="Arial" w:hAnsi="Arial" w:cs="Arial"/>
        <w:b/>
        <w:sz w:val="48"/>
      </w:rPr>
    </w:pPr>
    <w:r>
      <w:rPr>
        <w:rFonts w:ascii="Arial" w:hAnsi="Arial" w:cs="Arial"/>
        <w:b/>
        <w:sz w:val="48"/>
      </w:rPr>
      <w:t>BG</w:t>
    </w:r>
    <w:r>
      <w:rPr>
        <w:rFonts w:ascii="Arial" w:hAnsi="Arial" w:cs="Arial"/>
        <w:b/>
        <w:sz w:val="48"/>
      </w:rPr>
      <w:tab/>
    </w:r>
    <w:r>
      <w:rPr>
        <w:rFonts w:ascii="Arial" w:hAnsi="Arial" w:cs="Arial"/>
        <w:b/>
        <w:sz w:val="48"/>
      </w:rPr>
      <w:tab/>
    </w:r>
    <w:r>
      <w:fldChar w:fldCharType="begin"/>
    </w:r>
    <w:r>
      <w:instrText xml:space="preserve"> DOCVARIABLE "LW_Confidence" \* MERGEFORMAT </w:instrText>
    </w:r>
    <w:r>
      <w:fldChar w:fldCharType="separate"/>
    </w:r>
    <w:r>
      <w:t xml:space="preserve"> </w:t>
    </w:r>
    <w:r>
      <w:fldChar w:fldCharType="end"/>
    </w:r>
    <w:r>
      <w:tab/>
    </w:r>
    <w:r>
      <w:rPr>
        <w:rFonts w:ascii="Arial" w:hAnsi="Arial" w:cs="Arial"/>
        <w:b/>
        <w:sz w:val="48"/>
      </w:rPr>
      <w:t>BG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CoverPage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62425655"/>
      <w:docPartObj>
        <w:docPartGallery w:val="Page Numbers (Bottom of Page)"/>
        <w:docPartUnique/>
      </w:docPartObj>
    </w:sdtPr>
    <w:sdtEndPr>
      <w:rPr>
        <w:noProof/>
      </w:rPr>
    </w:sdtEndPr>
    <w:sdtContent>
      <w:p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>
    <w:pPr>
      <w:pStyle w:val="FooterCoverPage"/>
      <w:rPr>
        <w:rFonts w:ascii="Arial" w:hAnsi="Arial" w:cs="Arial"/>
        <w:b/>
        <w:sz w:val="48"/>
      </w:rPr>
    </w:pPr>
  </w:p>
</w:ftr>
</file>

<file path=word/footer6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>
      <w:pPr>
        <w:spacing w:after="0" w:line="240" w:lineRule="auto"/>
      </w:pPr>
      <w:r>
        <w:separator/>
      </w:r>
    </w:p>
  </w:footnote>
  <w:footnote w:type="continuationSeparator" w:id="0">
    <w:p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CoverPage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9D369E"/>
    <w:multiLevelType w:val="hybridMultilevel"/>
    <w:tmpl w:val="4E0E01E4"/>
    <w:lvl w:ilvl="0" w:tplc="FD7E75AC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hideSpellingErrors/>
  <w:hideGrammaticalErrors/>
  <w:revisionView w:markup="0"/>
  <w:defaultTabStop w:val="720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ocStatus" w:val="Green"/>
    <w:docVar w:name="LW_ACCOMPAGNANT.CP" w:val="\u1082?\u1098?\u1084?"/>
    <w:docVar w:name="LW_ANNEX_NBR_FIRST" w:val="6"/>
    <w:docVar w:name="LW_ANNEX_NBR_LAST" w:val="6"/>
    <w:docVar w:name="LW_CONFIDENCE" w:val=" "/>
    <w:docVar w:name="LW_CONST_RESTREINT_UE" w:val="RESTREINT UE"/>
    <w:docVar w:name="LW_CORRIGENDUM" w:val="&lt;UNUSED&gt;"/>
    <w:docVar w:name="LW_COVERPAGE_GUID" w:val="8445D7E7D3064423962CB818D424EEFF"/>
    <w:docVar w:name="LW_CROSSREFERENCE" w:val="&lt;UNUSED&gt;"/>
    <w:docVar w:name="LW_DocType" w:val="NORMAL"/>
    <w:docVar w:name="LW_EMISSION" w:val="27.10.2015"/>
    <w:docVar w:name="LW_EMISSION_ISODATE" w:val="2015-10-27"/>
    <w:docVar w:name="LW_EMISSION_LOCATION" w:val="STR"/>
    <w:docVar w:name="LW_EMISSION_PREFIX" w:val="Страсбург, "/>
    <w:docVar w:name="LW_EMISSION_SUFFIX" w:val=" \u1075?."/>
    <w:docVar w:name="LW_ID_DOCTYPE_NONLW" w:val="CP-039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OBJETACTEPRINCIPAL.CP" w:val="_x000b_\u1056?\u1072?\u1073?\u1086?\u1090?\u1085?\u1072? \u1087?\u1088?\u1086?\u1075?\u1088?\u1072?\u1084?\u1072? \u1085?\u1072? \u1050?\u1086?\u1084?\u1080?\u1089?\u1080?\u1103?\u1090?\u1072? \u1079?\u1072? 2016 \u1075?._x000b__x000b_\u1042?\u1088?\u1077?\u1084?\u1077? \u1077? \u1079?\u1072? \u1087?\u1088?\u1086?\u1084?\u1103?\u1085?\u1072?_x000b_"/>
    <w:docVar w:name="LW_PART_NBR" w:val="1"/>
    <w:docVar w:name="LW_PART_NBR_TOTAL" w:val="1"/>
    <w:docVar w:name="LW_REF.INST.NEW" w:val="COM"/>
    <w:docVar w:name="LW_REF.INST.NEW_ADOPTED" w:val="final"/>
    <w:docVar w:name="LW_REF.INST.NEW_TEXT" w:val="(2015) 610"/>
    <w:docVar w:name="LW_REF.INTERNE" w:val="&lt;UNUSED&gt;"/>
    <w:docVar w:name="LW_SUPERTITRE" w:val="&lt;UNUSED&gt;"/>
    <w:docVar w:name="LW_TITRE.OBJ.CP" w:val="&lt;UNUSED&gt;"/>
    <w:docVar w:name="LW_TYPE.DOC.CP" w:val="\u1055?\u1056?\u1048?\u1051?\u1054?\u1046?\u1045?\u1053?\u1048?\u1045?_x000b_"/>
    <w:docVar w:name="LW_TYPEACTEPRINCIPAL.CP" w:val="\u1057?\u1066?\u1054?\u1041?\u1065?\u1045?\u1053?\u1048?\u1045? \u1053?\u1040? \u1050?\u1054?\u1052?\u1048?\u1057?\u1048?\u1071?\u1058?\u1040? \u1044?\u1054? \u1045?\u1042?\u1056?\u1054?\u1055?\u1045?\u1049?\u1057?\u1050?\u1048?\u1071? \u1055?\u1040?\u1056?\u1051?\u1040?\u1052?\u1045?\u1053?\u1058?, \u1057?\u1066?\u1042?\u1045?\u1058?\u1040?, \u1045?\u1042?\u1056?\u1054?\u1055?\u1045?\u1049?\u1057?\u1050?\u1048?\u1071? \u1048?\u1050?\u1054?\u1053?\u1054?\u1052?\u1048?\u1063?\u1045?\u1057?\u1050?\u1048? \u1048? \u1057?\u1054?\u1062?\u1048?\u1040?\u1051?\u1045?\u1053? \u1050?\u1054?\u1052?\u1048?\u1058?\u1045?\u1058? \u1048? \u1050?\u1054?\u1052?\u1048?\u1058?\u1045?\u1058?\u1040? \u1053?\u1040? \u1056?\u1045?\u1043?\u1048?\u1054?\u1053?\u1048?\u1058?\u1045?_x000b_"/>
  </w:docVar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Pr>
      <w:rFonts w:ascii="Calibri" w:eastAsia="Calibri" w:hAnsi="Calibri" w:cs="Times New Roman"/>
    </w:rPr>
  </w:style>
  <w:style w:type="paragraph" w:customStyle="1" w:styleId="Pagedecouverture">
    <w:name w:val="Page de couverture"/>
    <w:basedOn w:val="Normal"/>
    <w:next w:val="Normal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customStyle="1" w:styleId="FooterCoverPage">
    <w:name w:val="Footer Cover Page"/>
    <w:basedOn w:val="Normal"/>
    <w:link w:val="FooterCoverPageChar"/>
    <w:pPr>
      <w:tabs>
        <w:tab w:val="center" w:pos="4535"/>
        <w:tab w:val="right" w:pos="9071"/>
        <w:tab w:val="right" w:pos="9921"/>
      </w:tabs>
      <w:spacing w:before="360" w:after="0" w:line="240" w:lineRule="auto"/>
      <w:ind w:left="-850" w:right="-850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FooterCoverPageChar">
    <w:name w:val="Footer Cover Page Char"/>
    <w:link w:val="FooterCoverPage"/>
    <w:rPr>
      <w:rFonts w:ascii="Times New Roman" w:eastAsia="Calibri" w:hAnsi="Times New Roman" w:cs="Times New Roman"/>
      <w:noProof/>
      <w:sz w:val="24"/>
      <w:szCs w:val="28"/>
    </w:rPr>
  </w:style>
  <w:style w:type="paragraph" w:customStyle="1" w:styleId="HeaderCoverPage">
    <w:name w:val="Header Cover Page"/>
    <w:basedOn w:val="Normal"/>
    <w:link w:val="HeaderCoverPageChar"/>
    <w:pPr>
      <w:tabs>
        <w:tab w:val="center" w:pos="4535"/>
        <w:tab w:val="right" w:pos="9071"/>
      </w:tabs>
      <w:spacing w:after="120" w:line="240" w:lineRule="auto"/>
      <w:jc w:val="both"/>
      <w:outlineLvl w:val="0"/>
    </w:pPr>
    <w:rPr>
      <w:rFonts w:ascii="Times New Roman" w:hAnsi="Times New Roman"/>
      <w:noProof/>
      <w:sz w:val="24"/>
      <w:szCs w:val="28"/>
    </w:rPr>
  </w:style>
  <w:style w:type="character" w:customStyle="1" w:styleId="HeaderCoverPageChar">
    <w:name w:val="Header Cover Page Char"/>
    <w:link w:val="HeaderCoverPage"/>
    <w:rPr>
      <w:rFonts w:ascii="Times New Roman" w:eastAsia="Calibri" w:hAnsi="Times New Roman" w:cs="Times New Roman"/>
      <w:noProof/>
      <w:sz w:val="24"/>
      <w:szCs w:val="28"/>
    </w:rPr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Calibri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Calibri" w:eastAsia="Calibri" w:hAnsi="Calibri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Calibri" w:eastAsia="Calibri" w:hAnsi="Calibri" w:cs="Times New Roman"/>
      <w:b/>
      <w:bCs/>
      <w:sz w:val="20"/>
      <w:szCs w:val="20"/>
    </w:rPr>
  </w:style>
  <w:style w:type="paragraph" w:customStyle="1" w:styleId="Default">
    <w:name w:val="Default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Revision">
    <w:name w:val="Revision"/>
    <w:hidden/>
    <w:uiPriority w:val="99"/>
    <w:semiHidden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96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6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46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89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4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5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1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21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9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7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6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3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17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1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69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31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5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4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69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7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7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9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0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5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8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7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4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5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0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0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7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2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303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13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2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65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03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footer" Target="footer4.xml"/><Relationship Id="rId3" Type="http://schemas.openxmlformats.org/officeDocument/2006/relationships/styles" Target="styles.xml"/><Relationship Id="rId21" Type="http://schemas.openxmlformats.org/officeDocument/2006/relationships/footer" Target="footer6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eader" Target="header5.xml"/><Relationship Id="rId2" Type="http://schemas.openxmlformats.org/officeDocument/2006/relationships/numbering" Target="numbering.xml"/><Relationship Id="rId16" Type="http://schemas.openxmlformats.org/officeDocument/2006/relationships/header" Target="header4.xml"/><Relationship Id="rId20" Type="http://schemas.openxmlformats.org/officeDocument/2006/relationships/header" Target="header6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23" Type="http://schemas.openxmlformats.org/officeDocument/2006/relationships/theme" Target="theme/theme1.xml"/><Relationship Id="rId10" Type="http://schemas.openxmlformats.org/officeDocument/2006/relationships/header" Target="header1.xml"/><Relationship Id="rId19" Type="http://schemas.openxmlformats.org/officeDocument/2006/relationships/footer" Target="footer5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19679-C61A-4C12-86E7-1EDCFA8B8A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10</Pages>
  <Words>2921</Words>
  <Characters>16039</Characters>
  <Application>Microsoft Office Word</Application>
  <DocSecurity>0</DocSecurity>
  <Lines>433</Lines>
  <Paragraphs>326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18634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HELLMANN Katharina (SG)</dc:creator>
  <cp:lastModifiedBy>DIGIT/A3</cp:lastModifiedBy>
  <cp:revision>22</cp:revision>
  <cp:lastPrinted>2015-10-27T11:35:00Z</cp:lastPrinted>
  <dcterms:created xsi:type="dcterms:W3CDTF">2015-10-26T16:49:00Z</dcterms:created>
  <dcterms:modified xsi:type="dcterms:W3CDTF">2015-11-05T09:36:00Z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irst annex">
    <vt:lpwstr>6</vt:lpwstr>
  </property>
  <property fmtid="{D5CDD505-2E9C-101B-9397-08002B2CF9AE}" pid="3" name="Last annex">
    <vt:lpwstr>6</vt:lpwstr>
  </property>
  <property fmtid="{D5CDD505-2E9C-101B-9397-08002B2CF9AE}" pid="4" name="Part">
    <vt:lpwstr>1</vt:lpwstr>
  </property>
  <property fmtid="{D5CDD505-2E9C-101B-9397-08002B2CF9AE}" pid="5" name="Total parts">
    <vt:lpwstr>1</vt:lpwstr>
  </property>
  <property fmtid="{D5CDD505-2E9C-101B-9397-08002B2CF9AE}" pid="6" name="DocStatus">
    <vt:lpwstr>Green</vt:lpwstr>
  </property>
  <property fmtid="{D5CDD505-2E9C-101B-9397-08002B2CF9AE}" pid="7" name="Classification">
    <vt:lpwstr> </vt:lpwstr>
  </property>
</Properties>
</file>