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464" w:rsidRDefault="000C00AC">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BAAF397A702447A84903210991CB79D" style="width:450.25pt;height:321.3pt">
            <v:imagedata r:id="rId9" o:title=""/>
          </v:shape>
        </w:pict>
      </w:r>
    </w:p>
    <w:bookmarkEnd w:id="0"/>
    <w:p w:rsidR="00131464" w:rsidRDefault="00131464">
      <w:pPr>
        <w:rPr>
          <w:noProof/>
        </w:rPr>
        <w:sectPr w:rsidR="00131464">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131464" w:rsidRDefault="000C00AC">
      <w:pPr>
        <w:rPr>
          <w:noProof/>
        </w:rPr>
      </w:pPr>
      <w:r>
        <w:rPr>
          <w:noProof/>
        </w:rPr>
        <w:lastRenderedPageBreak/>
        <w:t>Vu:</w:t>
      </w:r>
    </w:p>
    <w:p w:rsidR="00131464" w:rsidRDefault="000C00AC">
      <w:pPr>
        <w:pStyle w:val="Tiret0"/>
        <w:rPr>
          <w:noProof/>
        </w:rPr>
      </w:pPr>
      <w:r>
        <w:rPr>
          <w:noProof/>
        </w:rPr>
        <w:t xml:space="preserve">le traité sur le fonctionnement de l'Union européenne, et notamment son article 314, lu en </w:t>
      </w:r>
      <w:r>
        <w:rPr>
          <w:noProof/>
        </w:rPr>
        <w:t>combinaison avec le traité instituant la Communauté européenne de l'énergie atomique, et notamment son article 106 </w:t>
      </w:r>
      <w:r>
        <w:rPr>
          <w:i/>
          <w:noProof/>
        </w:rPr>
        <w:t>bis</w:t>
      </w:r>
      <w:r>
        <w:rPr>
          <w:noProof/>
        </w:rPr>
        <w:t>,</w:t>
      </w:r>
    </w:p>
    <w:p w:rsidR="00131464" w:rsidRDefault="000C00AC">
      <w:pPr>
        <w:pStyle w:val="Tiret0"/>
        <w:rPr>
          <w:rFonts w:cs="Arial"/>
          <w:noProof/>
          <w:szCs w:val="18"/>
        </w:rPr>
      </w:pPr>
      <w:r>
        <w:rPr>
          <w:noProof/>
        </w:rPr>
        <w:t>le règlement (UE, Euratom) nº 966/2012 du Parlement européen et du Conseil du 25 octobre 2012 relatif aux règles financières applicables</w:t>
      </w:r>
      <w:r>
        <w:rPr>
          <w:noProof/>
        </w:rPr>
        <w:t xml:space="preserve"> au budget général de l’Union</w:t>
      </w:r>
      <w:r>
        <w:rPr>
          <w:rStyle w:val="FootnoteReference"/>
          <w:noProof/>
        </w:rPr>
        <w:footnoteReference w:id="2"/>
      </w:r>
      <w:r>
        <w:rPr>
          <w:noProof/>
        </w:rPr>
        <w:t>, et notamment son article 41,</w:t>
      </w:r>
    </w:p>
    <w:p w:rsidR="00131464" w:rsidRDefault="000C00AC">
      <w:pPr>
        <w:pStyle w:val="Tiret0"/>
        <w:rPr>
          <w:noProof/>
        </w:rPr>
      </w:pPr>
      <w:r>
        <w:rPr>
          <w:noProof/>
        </w:rPr>
        <w:t>le budget général de l'Union européenne pour l'exercice 2015, adopté le 17 décembre 2014</w:t>
      </w:r>
      <w:r>
        <w:rPr>
          <w:rStyle w:val="FootnoteReference"/>
          <w:noProof/>
        </w:rPr>
        <w:footnoteReference w:id="3"/>
      </w:r>
      <w:r>
        <w:rPr>
          <w:noProof/>
        </w:rPr>
        <w:t>,</w:t>
      </w:r>
    </w:p>
    <w:p w:rsidR="00131464" w:rsidRDefault="000C00AC">
      <w:pPr>
        <w:pStyle w:val="Tiret0"/>
        <w:rPr>
          <w:noProof/>
        </w:rPr>
      </w:pPr>
      <w:r>
        <w:rPr>
          <w:noProof/>
        </w:rPr>
        <w:t>le budget rectificatif nº 1/2015</w:t>
      </w:r>
      <w:r>
        <w:rPr>
          <w:rStyle w:val="FootnoteReference"/>
          <w:noProof/>
        </w:rPr>
        <w:footnoteReference w:id="4"/>
      </w:r>
      <w:r>
        <w:rPr>
          <w:noProof/>
        </w:rPr>
        <w:t>, adopté le 28 avril 2015,</w:t>
      </w:r>
    </w:p>
    <w:p w:rsidR="00131464" w:rsidRDefault="000C00AC">
      <w:pPr>
        <w:pStyle w:val="Tiret0"/>
        <w:rPr>
          <w:noProof/>
        </w:rPr>
      </w:pPr>
      <w:r>
        <w:rPr>
          <w:noProof/>
        </w:rPr>
        <w:t>le budget rectificatif nº 2/2015</w:t>
      </w:r>
      <w:r>
        <w:rPr>
          <w:rStyle w:val="FootnoteReference"/>
          <w:noProof/>
        </w:rPr>
        <w:footnoteReference w:id="5"/>
      </w:r>
      <w:r>
        <w:rPr>
          <w:noProof/>
        </w:rPr>
        <w:t>, adopté le</w:t>
      </w:r>
      <w:r>
        <w:rPr>
          <w:noProof/>
        </w:rPr>
        <w:t xml:space="preserve"> 7 juillet 2015,</w:t>
      </w:r>
    </w:p>
    <w:p w:rsidR="00131464" w:rsidRDefault="000C00AC">
      <w:pPr>
        <w:pStyle w:val="Tiret0"/>
        <w:rPr>
          <w:noProof/>
        </w:rPr>
      </w:pPr>
      <w:r>
        <w:rPr>
          <w:noProof/>
        </w:rPr>
        <w:t>le budget rectificatif nº 3/2015</w:t>
      </w:r>
      <w:r>
        <w:rPr>
          <w:rStyle w:val="FootnoteReference"/>
          <w:noProof/>
        </w:rPr>
        <w:footnoteReference w:id="6"/>
      </w:r>
      <w:r>
        <w:rPr>
          <w:noProof/>
        </w:rPr>
        <w:t>, adopté le 7 juillet 2015,</w:t>
      </w:r>
    </w:p>
    <w:p w:rsidR="00131464" w:rsidRDefault="000C00AC">
      <w:pPr>
        <w:pStyle w:val="Tiret0"/>
        <w:rPr>
          <w:noProof/>
        </w:rPr>
      </w:pPr>
      <w:r>
        <w:rPr>
          <w:noProof/>
        </w:rPr>
        <w:t>le budget rectificatif nº 4/2015</w:t>
      </w:r>
      <w:r>
        <w:rPr>
          <w:rStyle w:val="FootnoteReference"/>
          <w:noProof/>
        </w:rPr>
        <w:footnoteReference w:id="7"/>
      </w:r>
      <w:r>
        <w:rPr>
          <w:noProof/>
        </w:rPr>
        <w:t>, adopté le 7 juillet 2015,</w:t>
      </w:r>
    </w:p>
    <w:p w:rsidR="00131464" w:rsidRDefault="000C00AC">
      <w:pPr>
        <w:pStyle w:val="Tiret0"/>
        <w:rPr>
          <w:noProof/>
        </w:rPr>
      </w:pPr>
      <w:r>
        <w:rPr>
          <w:noProof/>
        </w:rPr>
        <w:t>le budget rectificatif nº 5/2015</w:t>
      </w:r>
      <w:r>
        <w:rPr>
          <w:rStyle w:val="FootnoteReference"/>
          <w:noProof/>
        </w:rPr>
        <w:footnoteReference w:id="8"/>
      </w:r>
      <w:r>
        <w:rPr>
          <w:noProof/>
        </w:rPr>
        <w:t>, adopté le 7 juillet 2015,</w:t>
      </w:r>
    </w:p>
    <w:p w:rsidR="00131464" w:rsidRDefault="000C00AC">
      <w:pPr>
        <w:pStyle w:val="Tiret0"/>
        <w:rPr>
          <w:noProof/>
        </w:rPr>
      </w:pPr>
      <w:r>
        <w:rPr>
          <w:noProof/>
        </w:rPr>
        <w:t>le projet de budget rectificatif nº 6/2015</w:t>
      </w:r>
      <w:r>
        <w:rPr>
          <w:rStyle w:val="FootnoteReference"/>
          <w:noProof/>
        </w:rPr>
        <w:footnoteReference w:id="9"/>
      </w:r>
      <w:r>
        <w:rPr>
          <w:noProof/>
        </w:rPr>
        <w:t>, adopté le 1</w:t>
      </w:r>
      <w:r>
        <w:rPr>
          <w:noProof/>
        </w:rPr>
        <w:t>5 juillet 2015,</w:t>
      </w:r>
    </w:p>
    <w:p w:rsidR="00131464" w:rsidRDefault="000C00AC">
      <w:pPr>
        <w:spacing w:after="600"/>
        <w:jc w:val="both"/>
        <w:rPr>
          <w:noProof/>
        </w:rPr>
      </w:pPr>
      <w:r>
        <w:rPr>
          <w:noProof/>
        </w:rPr>
        <w:t>la Commission européenne présente ci-après au Parlement européen et au Conseil le projet de budget rectificatif nº 7 au budget 2015.</w:t>
      </w:r>
    </w:p>
    <w:p w:rsidR="00131464" w:rsidRDefault="000C00AC">
      <w:pPr>
        <w:spacing w:after="240"/>
        <w:jc w:val="both"/>
        <w:rPr>
          <w:b/>
          <w:noProof/>
          <w:u w:val="single"/>
        </w:rPr>
      </w:pPr>
      <w:r>
        <w:rPr>
          <w:b/>
          <w:noProof/>
          <w:u w:val="single"/>
        </w:rPr>
        <w:t>MODIFICATIONS À L’ÉTAT DES RECETTES ET DES DÉPENSES PAR SECTION</w:t>
      </w:r>
    </w:p>
    <w:p w:rsidR="00131464" w:rsidRDefault="000C00AC">
      <w:pPr>
        <w:jc w:val="both"/>
        <w:rPr>
          <w:noProof/>
        </w:rPr>
      </w:pPr>
      <w:r>
        <w:rPr>
          <w:noProof/>
        </w:rPr>
        <w:t xml:space="preserve">Les modifications apportées à l’état des </w:t>
      </w:r>
      <w:r>
        <w:rPr>
          <w:noProof/>
        </w:rPr>
        <w:t>recettes et des dépenses par section sont disponibles sur EUR-Lex (</w:t>
      </w:r>
      <w:hyperlink r:id="rId16">
        <w:r>
          <w:rPr>
            <w:rStyle w:val="Hyperlink"/>
            <w:noProof/>
            <w:color w:val="auto"/>
          </w:rPr>
          <w:t>http://eur-lex.europa.eu/budget/www/index-fr.htm</w:t>
        </w:r>
      </w:hyperlink>
      <w:r>
        <w:rPr>
          <w:noProof/>
        </w:rPr>
        <w:t xml:space="preserve">). Une version en anglais de ces modifications est jointe à titre </w:t>
      </w:r>
      <w:r>
        <w:rPr>
          <w:noProof/>
        </w:rPr>
        <w:t>indicatif en annexe budgétaire.</w:t>
      </w:r>
    </w:p>
    <w:p w:rsidR="00131464" w:rsidRDefault="00131464">
      <w:pPr>
        <w:rPr>
          <w:noProof/>
        </w:rPr>
        <w:sectPr w:rsidR="00131464">
          <w:headerReference w:type="even" r:id="rId17"/>
          <w:headerReference w:type="default" r:id="rId18"/>
          <w:footerReference w:type="even" r:id="rId19"/>
          <w:footerReference w:type="default" r:id="rId20"/>
          <w:headerReference w:type="first" r:id="rId21"/>
          <w:footerReference w:type="first" r:id="rId22"/>
          <w:pgSz w:w="11907" w:h="16839"/>
          <w:pgMar w:top="1418" w:right="1418" w:bottom="1418" w:left="1418" w:header="709" w:footer="709" w:gutter="0"/>
          <w:cols w:space="708"/>
          <w:docGrid w:linePitch="360"/>
        </w:sectPr>
      </w:pPr>
    </w:p>
    <w:p w:rsidR="00131464" w:rsidRDefault="000C00AC">
      <w:pPr>
        <w:pStyle w:val="TOCHeading"/>
        <w:rPr>
          <w:noProof/>
        </w:rPr>
      </w:pPr>
      <w:bookmarkStart w:id="1" w:name="_Toc294675429"/>
      <w:bookmarkStart w:id="2" w:name="_Toc272133653"/>
      <w:bookmarkStart w:id="3" w:name="_Toc294673202"/>
      <w:bookmarkStart w:id="4" w:name="_Toc318365572"/>
      <w:bookmarkStart w:id="5" w:name="_Toc361649893"/>
      <w:bookmarkStart w:id="6" w:name="_Toc387301589"/>
      <w:r>
        <w:rPr>
          <w:noProof/>
        </w:rPr>
        <w:lastRenderedPageBreak/>
        <w:t>TABLE DES MATIÈRES</w:t>
      </w:r>
    </w:p>
    <w:sdt>
      <w:sdtPr>
        <w:rPr>
          <w:b w:val="0"/>
          <w:noProof/>
          <w:sz w:val="24"/>
        </w:rPr>
        <w:id w:val="-1651433038"/>
        <w:docPartObj>
          <w:docPartGallery w:val="Table of Contents"/>
          <w:docPartUnique/>
        </w:docPartObj>
      </w:sdtPr>
      <w:sdtEndPr>
        <w:rPr>
          <w:bCs/>
        </w:rPr>
      </w:sdtEndPr>
      <w:sdtContent>
        <w:p w:rsidR="00131464" w:rsidRDefault="00131464">
          <w:pPr>
            <w:pStyle w:val="TOCHeading"/>
            <w:jc w:val="left"/>
            <w:rPr>
              <w:noProof/>
            </w:rPr>
          </w:pPr>
        </w:p>
        <w:p w:rsidR="000C00AC" w:rsidRDefault="000C00AC">
          <w:pPr>
            <w:pStyle w:val="TOC1"/>
            <w:tabs>
              <w:tab w:val="left" w:pos="480"/>
              <w:tab w:val="right" w:leader="dot" w:pos="9061"/>
            </w:tabs>
            <w:rPr>
              <w:rFonts w:asciiTheme="minorHAnsi" w:eastAsiaTheme="minorEastAsia" w:hAnsiTheme="minorHAnsi" w:cstheme="minorBidi"/>
              <w:b w:val="0"/>
              <w:bCs w:val="0"/>
              <w:caps w:val="0"/>
              <w:noProof/>
              <w:sz w:val="22"/>
              <w:szCs w:val="22"/>
              <w:lang w:val="en-GB" w:eastAsia="en-GB" w:bidi="ar-SA"/>
            </w:rPr>
          </w:pPr>
          <w:r>
            <w:rPr>
              <w:noProof/>
            </w:rPr>
            <w:fldChar w:fldCharType="begin"/>
          </w:r>
          <w:r>
            <w:rPr>
              <w:noProof/>
            </w:rPr>
            <w:instrText xml:space="preserve"> TOC \o "1-3" \h \z \u </w:instrText>
          </w:r>
          <w:r>
            <w:rPr>
              <w:noProof/>
            </w:rPr>
            <w:fldChar w:fldCharType="separate"/>
          </w:r>
          <w:hyperlink w:anchor="_Toc431553446" w:history="1">
            <w:r w:rsidRPr="00E25DC3">
              <w:rPr>
                <w:rStyle w:val="Hyperlink"/>
                <w:noProof/>
              </w:rPr>
              <w:t>1.</w:t>
            </w:r>
            <w:r>
              <w:rPr>
                <w:rFonts w:asciiTheme="minorHAnsi" w:eastAsiaTheme="minorEastAsia" w:hAnsiTheme="minorHAnsi" w:cstheme="minorBidi"/>
                <w:b w:val="0"/>
                <w:bCs w:val="0"/>
                <w:caps w:val="0"/>
                <w:noProof/>
                <w:sz w:val="22"/>
                <w:szCs w:val="22"/>
                <w:lang w:val="en-GB" w:eastAsia="en-GB" w:bidi="ar-SA"/>
              </w:rPr>
              <w:tab/>
            </w:r>
            <w:r w:rsidRPr="00E25DC3">
              <w:rPr>
                <w:rStyle w:val="Hyperlink"/>
                <w:noProof/>
              </w:rPr>
              <w:t>Introduction</w:t>
            </w:r>
            <w:r>
              <w:rPr>
                <w:noProof/>
                <w:webHidden/>
              </w:rPr>
              <w:tab/>
            </w:r>
            <w:r>
              <w:rPr>
                <w:noProof/>
                <w:webHidden/>
              </w:rPr>
              <w:fldChar w:fldCharType="begin"/>
            </w:r>
            <w:r>
              <w:rPr>
                <w:noProof/>
                <w:webHidden/>
              </w:rPr>
              <w:instrText xml:space="preserve"> PAGEREF _Toc431553446 \h </w:instrText>
            </w:r>
            <w:r>
              <w:rPr>
                <w:noProof/>
                <w:webHidden/>
              </w:rPr>
            </w:r>
            <w:r>
              <w:rPr>
                <w:noProof/>
                <w:webHidden/>
              </w:rPr>
              <w:fldChar w:fldCharType="separate"/>
            </w:r>
            <w:r>
              <w:rPr>
                <w:noProof/>
                <w:webHidden/>
              </w:rPr>
              <w:t>4</w:t>
            </w:r>
            <w:r>
              <w:rPr>
                <w:noProof/>
                <w:webHidden/>
              </w:rPr>
              <w:fldChar w:fldCharType="end"/>
            </w:r>
          </w:hyperlink>
        </w:p>
        <w:p w:rsidR="000C00AC" w:rsidRDefault="000C00AC">
          <w:pPr>
            <w:pStyle w:val="TOC1"/>
            <w:tabs>
              <w:tab w:val="left" w:pos="480"/>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31553447" w:history="1">
            <w:r w:rsidRPr="00E25DC3">
              <w:rPr>
                <w:rStyle w:val="Hyperlink"/>
                <w:smallCaps/>
                <w:noProof/>
              </w:rPr>
              <w:t>2.</w:t>
            </w:r>
            <w:r>
              <w:rPr>
                <w:rFonts w:asciiTheme="minorHAnsi" w:eastAsiaTheme="minorEastAsia" w:hAnsiTheme="minorHAnsi" w:cstheme="minorBidi"/>
                <w:b w:val="0"/>
                <w:bCs w:val="0"/>
                <w:caps w:val="0"/>
                <w:noProof/>
                <w:sz w:val="22"/>
                <w:szCs w:val="22"/>
                <w:lang w:val="en-GB" w:eastAsia="en-GB" w:bidi="ar-SA"/>
              </w:rPr>
              <w:tab/>
            </w:r>
            <w:r w:rsidRPr="00E25DC3">
              <w:rPr>
                <w:rStyle w:val="Hyperlink"/>
                <w:smallCaps/>
                <w:noProof/>
              </w:rPr>
              <w:t>Gestion de la crise des réfugiés au titre de l’agenda européen en matière de migration</w:t>
            </w:r>
            <w:r>
              <w:rPr>
                <w:noProof/>
                <w:webHidden/>
              </w:rPr>
              <w:tab/>
            </w:r>
            <w:r>
              <w:rPr>
                <w:noProof/>
                <w:webHidden/>
              </w:rPr>
              <w:fldChar w:fldCharType="begin"/>
            </w:r>
            <w:r>
              <w:rPr>
                <w:noProof/>
                <w:webHidden/>
              </w:rPr>
              <w:instrText xml:space="preserve"> PAGEREF _Toc431553447 \h </w:instrText>
            </w:r>
            <w:r>
              <w:rPr>
                <w:noProof/>
                <w:webHidden/>
              </w:rPr>
            </w:r>
            <w:r>
              <w:rPr>
                <w:noProof/>
                <w:webHidden/>
              </w:rPr>
              <w:fldChar w:fldCharType="separate"/>
            </w:r>
            <w:r>
              <w:rPr>
                <w:noProof/>
                <w:webHidden/>
              </w:rPr>
              <w:t>5</w:t>
            </w:r>
            <w:r>
              <w:rPr>
                <w:noProof/>
                <w:webHidden/>
              </w:rPr>
              <w:fldChar w:fldCharType="end"/>
            </w:r>
          </w:hyperlink>
        </w:p>
        <w:p w:rsidR="000C00AC" w:rsidRDefault="000C00AC">
          <w:pPr>
            <w:pStyle w:val="TOC1"/>
            <w:tabs>
              <w:tab w:val="left" w:pos="480"/>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31553448" w:history="1">
            <w:r w:rsidRPr="00E25DC3">
              <w:rPr>
                <w:rStyle w:val="Hyperlink"/>
                <w:smallCaps/>
                <w:noProof/>
              </w:rPr>
              <w:t>3.</w:t>
            </w:r>
            <w:r>
              <w:rPr>
                <w:rFonts w:asciiTheme="minorHAnsi" w:eastAsiaTheme="minorEastAsia" w:hAnsiTheme="minorHAnsi" w:cstheme="minorBidi"/>
                <w:b w:val="0"/>
                <w:bCs w:val="0"/>
                <w:caps w:val="0"/>
                <w:noProof/>
                <w:sz w:val="22"/>
                <w:szCs w:val="22"/>
                <w:lang w:val="en-GB" w:eastAsia="en-GB" w:bidi="ar-SA"/>
              </w:rPr>
              <w:tab/>
            </w:r>
            <w:r w:rsidRPr="00E25DC3">
              <w:rPr>
                <w:rStyle w:val="Hyperlink"/>
                <w:smallCaps/>
                <w:noProof/>
              </w:rPr>
              <w:t>Financement proposé en 2015</w:t>
            </w:r>
            <w:r>
              <w:rPr>
                <w:noProof/>
                <w:webHidden/>
              </w:rPr>
              <w:tab/>
            </w:r>
            <w:r>
              <w:rPr>
                <w:noProof/>
                <w:webHidden/>
              </w:rPr>
              <w:fldChar w:fldCharType="begin"/>
            </w:r>
            <w:r>
              <w:rPr>
                <w:noProof/>
                <w:webHidden/>
              </w:rPr>
              <w:instrText xml:space="preserve"> PAGEREF _Toc431553448 \h </w:instrText>
            </w:r>
            <w:r>
              <w:rPr>
                <w:noProof/>
                <w:webHidden/>
              </w:rPr>
            </w:r>
            <w:r>
              <w:rPr>
                <w:noProof/>
                <w:webHidden/>
              </w:rPr>
              <w:fldChar w:fldCharType="separate"/>
            </w:r>
            <w:r>
              <w:rPr>
                <w:noProof/>
                <w:webHidden/>
              </w:rPr>
              <w:t>8</w:t>
            </w:r>
            <w:r>
              <w:rPr>
                <w:noProof/>
                <w:webHidden/>
              </w:rPr>
              <w:fldChar w:fldCharType="end"/>
            </w:r>
          </w:hyperlink>
        </w:p>
        <w:p w:rsidR="000C00AC" w:rsidRDefault="000C00AC">
          <w:pPr>
            <w:pStyle w:val="TOC1"/>
            <w:tabs>
              <w:tab w:val="left" w:pos="480"/>
              <w:tab w:val="right" w:leader="dot" w:pos="9061"/>
            </w:tabs>
            <w:rPr>
              <w:rFonts w:asciiTheme="minorHAnsi" w:eastAsiaTheme="minorEastAsia" w:hAnsiTheme="minorHAnsi" w:cstheme="minorBidi"/>
              <w:b w:val="0"/>
              <w:bCs w:val="0"/>
              <w:caps w:val="0"/>
              <w:noProof/>
              <w:sz w:val="22"/>
              <w:szCs w:val="22"/>
              <w:lang w:val="en-GB" w:eastAsia="en-GB" w:bidi="ar-SA"/>
            </w:rPr>
          </w:pPr>
          <w:hyperlink w:anchor="_Toc431553449" w:history="1">
            <w:r w:rsidRPr="00E25DC3">
              <w:rPr>
                <w:rStyle w:val="Hyperlink"/>
                <w:noProof/>
              </w:rPr>
              <w:t>4.</w:t>
            </w:r>
            <w:r>
              <w:rPr>
                <w:rFonts w:asciiTheme="minorHAnsi" w:eastAsiaTheme="minorEastAsia" w:hAnsiTheme="minorHAnsi" w:cstheme="minorBidi"/>
                <w:b w:val="0"/>
                <w:bCs w:val="0"/>
                <w:caps w:val="0"/>
                <w:noProof/>
                <w:sz w:val="22"/>
                <w:szCs w:val="22"/>
                <w:lang w:val="en-GB" w:eastAsia="en-GB" w:bidi="ar-SA"/>
              </w:rPr>
              <w:tab/>
            </w:r>
            <w:r w:rsidRPr="00E25DC3">
              <w:rPr>
                <w:rStyle w:val="Hyperlink"/>
                <w:noProof/>
              </w:rPr>
              <w:t>Tableau récapitulatif par rubrique du CFP</w:t>
            </w:r>
            <w:r>
              <w:rPr>
                <w:noProof/>
                <w:webHidden/>
              </w:rPr>
              <w:tab/>
            </w:r>
            <w:r>
              <w:rPr>
                <w:noProof/>
                <w:webHidden/>
              </w:rPr>
              <w:fldChar w:fldCharType="begin"/>
            </w:r>
            <w:r>
              <w:rPr>
                <w:noProof/>
                <w:webHidden/>
              </w:rPr>
              <w:instrText xml:space="preserve"> PAGEREF _Toc431553449 \h </w:instrText>
            </w:r>
            <w:r>
              <w:rPr>
                <w:noProof/>
                <w:webHidden/>
              </w:rPr>
            </w:r>
            <w:r>
              <w:rPr>
                <w:noProof/>
                <w:webHidden/>
              </w:rPr>
              <w:fldChar w:fldCharType="separate"/>
            </w:r>
            <w:r>
              <w:rPr>
                <w:noProof/>
                <w:webHidden/>
              </w:rPr>
              <w:t>12</w:t>
            </w:r>
            <w:r>
              <w:rPr>
                <w:noProof/>
                <w:webHidden/>
              </w:rPr>
              <w:fldChar w:fldCharType="end"/>
            </w:r>
          </w:hyperlink>
        </w:p>
        <w:p w:rsidR="00131464" w:rsidRDefault="000C00AC">
          <w:pPr>
            <w:rPr>
              <w:noProof/>
            </w:rPr>
          </w:pPr>
          <w:r>
            <w:rPr>
              <w:b/>
              <w:bCs/>
              <w:noProof/>
            </w:rPr>
            <w:fldChar w:fldCharType="end"/>
          </w:r>
        </w:p>
      </w:sdtContent>
    </w:sdt>
    <w:p w:rsidR="00131464" w:rsidRDefault="00131464">
      <w:pPr>
        <w:rPr>
          <w:noProof/>
        </w:rPr>
      </w:pPr>
    </w:p>
    <w:p w:rsidR="00131464" w:rsidRDefault="00131464">
      <w:pPr>
        <w:rPr>
          <w:noProof/>
        </w:rPr>
        <w:sectPr w:rsidR="00131464">
          <w:headerReference w:type="even" r:id="rId23"/>
          <w:headerReference w:type="default" r:id="rId24"/>
          <w:footerReference w:type="even" r:id="rId25"/>
          <w:footerReference w:type="default" r:id="rId26"/>
          <w:headerReference w:type="first" r:id="rId27"/>
          <w:footerReference w:type="first" r:id="rId28"/>
          <w:pgSz w:w="11907" w:h="16839"/>
          <w:pgMar w:top="1418" w:right="1418" w:bottom="1418" w:left="1418" w:header="709" w:footer="709" w:gutter="0"/>
          <w:cols w:space="720"/>
        </w:sectPr>
      </w:pPr>
      <w:bookmarkStart w:id="7" w:name="_GoBack"/>
      <w:bookmarkEnd w:id="7"/>
    </w:p>
    <w:p w:rsidR="00131464" w:rsidRDefault="000C00AC">
      <w:pPr>
        <w:pStyle w:val="ManualHeading1"/>
        <w:spacing w:before="240"/>
        <w:ind w:left="851" w:hanging="851"/>
        <w:rPr>
          <w:noProof/>
        </w:rPr>
      </w:pPr>
      <w:bookmarkStart w:id="8" w:name="_Toc385506031"/>
      <w:bookmarkStart w:id="9" w:name="_Toc430865946"/>
      <w:bookmarkStart w:id="10" w:name="_Toc430867524"/>
      <w:bookmarkStart w:id="11" w:name="_Toc430951512"/>
      <w:bookmarkStart w:id="12" w:name="_Toc351469332"/>
      <w:bookmarkStart w:id="13" w:name="_Toc361649879"/>
      <w:bookmarkStart w:id="14" w:name="_Toc431553446"/>
      <w:r>
        <w:rPr>
          <w:noProof/>
        </w:rPr>
        <w:lastRenderedPageBreak/>
        <w:t>1.</w:t>
      </w:r>
      <w:r>
        <w:rPr>
          <w:noProof/>
        </w:rPr>
        <w:tab/>
        <w:t>Introduction</w:t>
      </w:r>
      <w:bookmarkEnd w:id="8"/>
      <w:bookmarkEnd w:id="9"/>
      <w:bookmarkEnd w:id="10"/>
      <w:bookmarkEnd w:id="11"/>
      <w:bookmarkEnd w:id="14"/>
    </w:p>
    <w:p w:rsidR="00131464" w:rsidRDefault="000C00AC">
      <w:pPr>
        <w:spacing w:before="120" w:after="120"/>
        <w:jc w:val="both"/>
        <w:rPr>
          <w:noProof/>
        </w:rPr>
      </w:pPr>
      <w:r>
        <w:rPr>
          <w:noProof/>
        </w:rPr>
        <w:t xml:space="preserve">Le 23 septembre 2015, la Commission a présenté la </w:t>
      </w:r>
      <w:r>
        <w:rPr>
          <w:i/>
          <w:noProof/>
        </w:rPr>
        <w:t>communication au Parlement européen, au Conseil européen et au Conseil - Gestion de la crise</w:t>
      </w:r>
      <w:r>
        <w:rPr>
          <w:i/>
          <w:noProof/>
        </w:rPr>
        <w:t xml:space="preserve"> des réfugiés: mesures opérationnelles, budgétaires et juridiques immédiates au titre de l’agenda européen en matière de migration</w:t>
      </w:r>
      <w:r>
        <w:rPr>
          <w:rStyle w:val="FootnoteReference"/>
          <w:noProof/>
        </w:rPr>
        <w:footnoteReference w:id="10"/>
      </w:r>
      <w:r>
        <w:rPr>
          <w:noProof/>
        </w:rPr>
        <w:t>. Cette communication détermine une série d’actions prioritaires à mener dans les six prochains mois, y compris les adaptatio</w:t>
      </w:r>
      <w:r>
        <w:rPr>
          <w:noProof/>
        </w:rPr>
        <w:t>ns devant être apportées au budget 2015, ainsi qu'au projet de budget proposé pour 2016.</w:t>
      </w:r>
    </w:p>
    <w:p w:rsidR="00131464" w:rsidRDefault="000C00AC">
      <w:pPr>
        <w:spacing w:before="120" w:after="120"/>
        <w:jc w:val="both"/>
        <w:rPr>
          <w:noProof/>
        </w:rPr>
      </w:pPr>
      <w:r>
        <w:rPr>
          <w:noProof/>
        </w:rPr>
        <w:t>Le projet de budget rectificatif (PBR) n° 7 pour l’exercice 2015 a pour objet d’introduire les changements nécessaires permettant de prendre des mesures immédiates dan</w:t>
      </w:r>
      <w:r>
        <w:rPr>
          <w:noProof/>
        </w:rPr>
        <w:t>s les derniers mois de 2015, en recourant à toutes les possibilités de redéploiement de crédits à ce stade de l’année, sans compromettre la mise en œuvre d’autres programmes de dépenses. Il prévoit ce qui suit:</w:t>
      </w:r>
    </w:p>
    <w:p w:rsidR="00131464" w:rsidRDefault="000C00AC">
      <w:pPr>
        <w:pStyle w:val="ListDash"/>
        <w:rPr>
          <w:noProof/>
        </w:rPr>
      </w:pPr>
      <w:r>
        <w:rPr>
          <w:noProof/>
        </w:rPr>
        <w:t>un renforcement de l’aide d’urgence fournie a</w:t>
      </w:r>
      <w:r>
        <w:rPr>
          <w:noProof/>
        </w:rPr>
        <w:t>u titre du Fonds «Asile, migration et intégration» (AMIF) et du Fonds pour la sécurité intérieure (FSI), pour un montant total de 100 millions d’EUR en crédits d’engagement;</w:t>
      </w:r>
    </w:p>
    <w:p w:rsidR="00131464" w:rsidRDefault="000C00AC">
      <w:pPr>
        <w:pStyle w:val="ListDash"/>
        <w:rPr>
          <w:noProof/>
        </w:rPr>
      </w:pPr>
      <w:r>
        <w:rPr>
          <w:noProof/>
        </w:rPr>
        <w:t>une augmentation du nombre d'emplois inscrits aux tableaux des effectifs de Fronte</w:t>
      </w:r>
      <w:r>
        <w:rPr>
          <w:noProof/>
        </w:rPr>
        <w:t>x (+ 60), de l'EASO (+ 30) et d'Europol (+ 30), afin d'accroître les capacités de ces organismes sur le terrain. L'augmentation correspondante des dépenses salariales s’élève à 1,3 million d’EUR en crédits d’engagement et de paiement pour l'ensemble des tr</w:t>
      </w:r>
      <w:r>
        <w:rPr>
          <w:noProof/>
        </w:rPr>
        <w:t>ois agences;</w:t>
      </w:r>
    </w:p>
    <w:p w:rsidR="00131464" w:rsidRDefault="000C00AC">
      <w:pPr>
        <w:pStyle w:val="ListDash"/>
        <w:rPr>
          <w:noProof/>
        </w:rPr>
      </w:pPr>
      <w:r>
        <w:rPr>
          <w:noProof/>
        </w:rPr>
        <w:t>un financement supplémentaire en faveur de l’instrument européen de voisinage (300 millions d’EUR en crédits d’engagement), afin que le Fonds régional d’affectation spéciale de l'UE en réponse à la crise syrienne («fonds Madad») puisse s'établ</w:t>
      </w:r>
      <w:r>
        <w:rPr>
          <w:noProof/>
        </w:rPr>
        <w:t>ir à au moins 500 millions d’EUR;</w:t>
      </w:r>
    </w:p>
    <w:p w:rsidR="00131464" w:rsidRDefault="000C00AC">
      <w:pPr>
        <w:pStyle w:val="ListDash"/>
        <w:rPr>
          <w:noProof/>
        </w:rPr>
      </w:pPr>
      <w:r>
        <w:rPr>
          <w:noProof/>
        </w:rPr>
        <w:t xml:space="preserve">une augmentation de 55,7 millions d’EUR, par voie de redéploiement, des crédits de paiement en faveur de l’aide humanitaire. Une demande visant à faire virer des crédits d’engagement pour l’aide humanitaire à partir de la </w:t>
      </w:r>
      <w:r>
        <w:rPr>
          <w:noProof/>
        </w:rPr>
        <w:t>réserve d’aide d’urgence sera présentée séparément, afin que l'aide humanitaire en faveur des réfugiés dans le besoin atteigne 200 millions d’EUR.</w:t>
      </w:r>
    </w:p>
    <w:p w:rsidR="00131464" w:rsidRDefault="000C00AC">
      <w:pPr>
        <w:pStyle w:val="ListDash"/>
        <w:numPr>
          <w:ilvl w:val="0"/>
          <w:numId w:val="0"/>
        </w:numPr>
        <w:rPr>
          <w:bCs/>
          <w:noProof/>
        </w:rPr>
      </w:pPr>
      <w:r>
        <w:rPr>
          <w:noProof/>
        </w:rPr>
        <w:t>Les renforcements demandés dans le présent PBR n° 7/2015 pour le Fonds «Asile, migration et intégration» (AMI</w:t>
      </w:r>
      <w:r>
        <w:rPr>
          <w:noProof/>
        </w:rPr>
        <w:t>F), le Fonds pour la sécurité intérieure (FSI) et l’aide humanitaire sont en partie compensés par le redéploiement de 70,5 millions d'EUR en crédits d’engagement et de 57,0 millions d’EUR en crédits de paiement actuellement disponibles dans le budget 2015.</w:t>
      </w:r>
      <w:r>
        <w:rPr>
          <w:noProof/>
        </w:rPr>
        <w:t xml:space="preserve"> Ces montants proviennent notamment du Fonds de solidarité de l’UE (33,7 millions d’EUR en crédits d’engagement et de paiement), de diverses lignes budgétaires relevant de la rubrique 2 (24,8 millions d’EUR en crédits d’engagement et 19,8 millions en crédi</w:t>
      </w:r>
      <w:r>
        <w:rPr>
          <w:noProof/>
        </w:rPr>
        <w:t>ts de paiement) et du programme «Alimentation humaine et animale», à raison de 12,0 millions d’EUR en crédits d’engagement et 3,5 millions en crédits de paiement.</w:t>
      </w:r>
    </w:p>
    <w:p w:rsidR="00131464" w:rsidRDefault="000C00AC">
      <w:pPr>
        <w:pStyle w:val="ListDash"/>
        <w:numPr>
          <w:ilvl w:val="0"/>
          <w:numId w:val="0"/>
        </w:numPr>
        <w:rPr>
          <w:bCs/>
          <w:noProof/>
        </w:rPr>
      </w:pPr>
      <w:r>
        <w:rPr>
          <w:noProof/>
        </w:rPr>
        <w:t>À ce redéploiement s'ajoutent les crédits d’engagement devant être renforcés grâce aux marges</w:t>
      </w:r>
      <w:r>
        <w:rPr>
          <w:noProof/>
        </w:rPr>
        <w:t xml:space="preserve"> existant sous les plafonds de dépenses de la rubrique 3 («Sécurité et citoyenneté», pour la totalité du montant disponible, soit 23,2 millions d’EUR) et de la rubrique 4 («L’Europe dans le monde», à hauteur de 300 millions d’EUR) et à la mobilisation de l</w:t>
      </w:r>
      <w:r>
        <w:rPr>
          <w:noProof/>
        </w:rPr>
        <w:t>’instrument de flexibilité, pour un montant de 66,1 millions d’EUR, afin de financer des mesures d’urgence au titre de l'AMIF sous la rubrique 3. Une proposition de mobilisation de l’instrument de flexibilité est présentée parallèlement au présent PBR.</w:t>
      </w:r>
    </w:p>
    <w:p w:rsidR="00131464" w:rsidRDefault="000C00AC">
      <w:pPr>
        <w:pStyle w:val="ListDash"/>
        <w:numPr>
          <w:ilvl w:val="0"/>
          <w:numId w:val="0"/>
        </w:numPr>
        <w:rPr>
          <w:bCs/>
          <w:noProof/>
        </w:rPr>
      </w:pPr>
      <w:r>
        <w:rPr>
          <w:noProof/>
        </w:rPr>
        <w:t>Glo</w:t>
      </w:r>
      <w:r>
        <w:rPr>
          <w:noProof/>
        </w:rPr>
        <w:t>balement, les mesures supplémentaires proposées dans le présent projet de budget rectificatif ont pour effet une augmentation nette, de 330,7 millions d’EUR, du niveau des crédits d’engagement dans le budget 2015. Le niveau des crédits de paiement reste qu</w:t>
      </w:r>
      <w:r>
        <w:rPr>
          <w:noProof/>
        </w:rPr>
        <w:t>ant à lui inchangé en 2015, étant donné qu’une grande partie des paiements sera effectuée en 2016.</w:t>
      </w:r>
    </w:p>
    <w:p w:rsidR="00131464" w:rsidRDefault="000C00AC">
      <w:pPr>
        <w:pStyle w:val="ListDash"/>
        <w:numPr>
          <w:ilvl w:val="0"/>
          <w:numId w:val="0"/>
        </w:numPr>
        <w:rPr>
          <w:bCs/>
          <w:noProof/>
        </w:rPr>
      </w:pPr>
      <w:r>
        <w:rPr>
          <w:noProof/>
        </w:rPr>
        <w:t xml:space="preserve">Les besoins supplémentaires mentionnés dans la </w:t>
      </w:r>
      <w:r>
        <w:rPr>
          <w:i/>
          <w:noProof/>
        </w:rPr>
        <w:t>communication sur la gestion de la crise des réfugiés</w:t>
      </w:r>
      <w:r>
        <w:rPr>
          <w:noProof/>
        </w:rPr>
        <w:t>, par rapport au projet de budget (PB) proposé par la Com</w:t>
      </w:r>
      <w:r>
        <w:rPr>
          <w:noProof/>
        </w:rPr>
        <w:t>mission pour 2016, seront intégrés dans une lettre rectificative au PB 2016, qui sera présentée à la mi-octobre. Cette lettre rectificative comprendra également une mise à jour des prévisions de dépenses agricoles.</w:t>
      </w:r>
    </w:p>
    <w:p w:rsidR="00131464" w:rsidRDefault="000C00AC">
      <w:pPr>
        <w:keepNext/>
        <w:tabs>
          <w:tab w:val="left" w:pos="850"/>
        </w:tabs>
        <w:spacing w:before="360" w:after="120"/>
        <w:ind w:left="851" w:hanging="851"/>
        <w:jc w:val="both"/>
        <w:outlineLvl w:val="0"/>
        <w:rPr>
          <w:b/>
          <w:smallCaps/>
          <w:noProof/>
        </w:rPr>
      </w:pPr>
      <w:bookmarkStart w:id="15" w:name="_Toc430865947"/>
      <w:bookmarkStart w:id="16" w:name="_Toc430867525"/>
      <w:bookmarkStart w:id="17" w:name="_Toc430951513"/>
      <w:bookmarkStart w:id="18" w:name="_Toc431553447"/>
      <w:r>
        <w:rPr>
          <w:b/>
          <w:smallCaps/>
          <w:noProof/>
        </w:rPr>
        <w:t>2.</w:t>
      </w:r>
      <w:r>
        <w:rPr>
          <w:noProof/>
        </w:rPr>
        <w:tab/>
      </w:r>
      <w:r>
        <w:rPr>
          <w:b/>
          <w:smallCaps/>
          <w:noProof/>
        </w:rPr>
        <w:t>Gestion de la crise des réfugiés au ti</w:t>
      </w:r>
      <w:r>
        <w:rPr>
          <w:b/>
          <w:smallCaps/>
          <w:noProof/>
        </w:rPr>
        <w:t>tre de l’agenda européen en matière de migration</w:t>
      </w:r>
      <w:bookmarkEnd w:id="15"/>
      <w:bookmarkEnd w:id="16"/>
      <w:bookmarkEnd w:id="17"/>
      <w:bookmarkEnd w:id="18"/>
    </w:p>
    <w:p w:rsidR="00131464" w:rsidRDefault="000C00AC">
      <w:pPr>
        <w:spacing w:before="120" w:after="120"/>
        <w:jc w:val="both"/>
        <w:rPr>
          <w:noProof/>
        </w:rPr>
      </w:pPr>
      <w:r>
        <w:rPr>
          <w:noProof/>
        </w:rPr>
        <w:t>La présente section rappelle les mesures supplémentaires proposées jusqu’ici dans le domaine de la migration, notamment au moyen du budget rectificatif n° 5/2015</w:t>
      </w:r>
      <w:r>
        <w:rPr>
          <w:noProof/>
          <w:vertAlign w:val="superscript"/>
        </w:rPr>
        <w:footnoteReference w:id="11"/>
      </w:r>
      <w:r>
        <w:rPr>
          <w:noProof/>
        </w:rPr>
        <w:t>, et fait état du nouveau renforcement qui es</w:t>
      </w:r>
      <w:r>
        <w:rPr>
          <w:noProof/>
        </w:rPr>
        <w:t>t requis, cette année encore, au moyen du présent projet de budget rectificatif et de la proposition de mobilisation de l’instrument de flexibilité qui l’accompagne.</w:t>
      </w:r>
    </w:p>
    <w:p w:rsidR="00131464" w:rsidRDefault="000C00AC">
      <w:pPr>
        <w:spacing w:before="120" w:after="120"/>
        <w:jc w:val="both"/>
        <w:rPr>
          <w:b/>
          <w:noProof/>
        </w:rPr>
      </w:pPr>
      <w:r>
        <w:rPr>
          <w:b/>
          <w:noProof/>
        </w:rPr>
        <w:t>2.1</w:t>
      </w:r>
      <w:r>
        <w:rPr>
          <w:noProof/>
        </w:rPr>
        <w:tab/>
      </w:r>
      <w:r>
        <w:rPr>
          <w:b/>
          <w:noProof/>
        </w:rPr>
        <w:t>Rubrique 3: Sécurité et citoyenneté</w:t>
      </w:r>
    </w:p>
    <w:p w:rsidR="00131464" w:rsidRDefault="000C00AC">
      <w:pPr>
        <w:spacing w:before="120" w:after="120"/>
        <w:jc w:val="both"/>
        <w:rPr>
          <w:i/>
          <w:noProof/>
        </w:rPr>
      </w:pPr>
      <w:r>
        <w:rPr>
          <w:i/>
          <w:noProof/>
        </w:rPr>
        <w:t>2.1.1</w:t>
      </w:r>
      <w:r>
        <w:rPr>
          <w:noProof/>
        </w:rPr>
        <w:tab/>
      </w:r>
      <w:r>
        <w:rPr>
          <w:i/>
          <w:noProof/>
        </w:rPr>
        <w:t>Mesures proposées dans le PBR n° 5/2015</w:t>
      </w:r>
    </w:p>
    <w:p w:rsidR="00131464" w:rsidRDefault="000C00AC">
      <w:pPr>
        <w:spacing w:before="120" w:after="120"/>
        <w:jc w:val="both"/>
        <w:rPr>
          <w:noProof/>
        </w:rPr>
      </w:pPr>
      <w:r>
        <w:rPr>
          <w:noProof/>
        </w:rPr>
        <w:t>Le 1</w:t>
      </w:r>
      <w:r>
        <w:rPr>
          <w:noProof/>
        </w:rPr>
        <w:t>3 mai dernier, la Commission a adopté l'agenda européen en matière de migration</w:t>
      </w:r>
      <w:r>
        <w:rPr>
          <w:noProof/>
          <w:vertAlign w:val="superscript"/>
        </w:rPr>
        <w:footnoteReference w:id="12"/>
      </w:r>
      <w:r>
        <w:rPr>
          <w:noProof/>
        </w:rPr>
        <w:t>, qui était accompagné du projet de budget rectificatif n° 5/2015. L’adoption définitive du budget rectificatif, le 7 juillet, a permis de:</w:t>
      </w:r>
    </w:p>
    <w:p w:rsidR="00131464" w:rsidRDefault="000C00AC">
      <w:pPr>
        <w:numPr>
          <w:ilvl w:val="0"/>
          <w:numId w:val="9"/>
        </w:numPr>
        <w:spacing w:before="120" w:after="120"/>
        <w:jc w:val="both"/>
        <w:rPr>
          <w:noProof/>
        </w:rPr>
      </w:pPr>
      <w:r>
        <w:rPr>
          <w:noProof/>
        </w:rPr>
        <w:t>tripler les opérations de Frontex en</w:t>
      </w:r>
      <w:r>
        <w:rPr>
          <w:noProof/>
        </w:rPr>
        <w:t xml:space="preserve"> Méditerranée (Triton et Poséidon, 26 millions d’EUR);</w:t>
      </w:r>
    </w:p>
    <w:p w:rsidR="00131464" w:rsidRDefault="000C00AC">
      <w:pPr>
        <w:numPr>
          <w:ilvl w:val="0"/>
          <w:numId w:val="9"/>
        </w:numPr>
        <w:spacing w:before="120" w:after="120"/>
        <w:jc w:val="both"/>
        <w:rPr>
          <w:noProof/>
        </w:rPr>
      </w:pPr>
      <w:r>
        <w:rPr>
          <w:noProof/>
        </w:rPr>
        <w:t>doubler l’aide d’urgence allouée aux États membres les plus touchés au titre du Fonds «Asile, migration et intégration» (AMIF, 25 millions d’EUR) et du Fonds pour la sécurité intérieure (FSI, 5 million</w:t>
      </w:r>
      <w:r>
        <w:rPr>
          <w:noProof/>
        </w:rPr>
        <w:t>s d’EUR);</w:t>
      </w:r>
    </w:p>
    <w:p w:rsidR="00131464" w:rsidRDefault="000C00AC">
      <w:pPr>
        <w:numPr>
          <w:ilvl w:val="0"/>
          <w:numId w:val="9"/>
        </w:numPr>
        <w:spacing w:before="120" w:after="120"/>
        <w:jc w:val="both"/>
        <w:rPr>
          <w:noProof/>
        </w:rPr>
      </w:pPr>
      <w:r>
        <w:rPr>
          <w:noProof/>
        </w:rPr>
        <w:t>mettre en œuvre un programme de réinstallation à l'échelle de l'UE (25 millions d'EUR);</w:t>
      </w:r>
    </w:p>
    <w:p w:rsidR="00131464" w:rsidRDefault="000C00AC">
      <w:pPr>
        <w:numPr>
          <w:ilvl w:val="0"/>
          <w:numId w:val="9"/>
        </w:numPr>
        <w:spacing w:before="120" w:after="120"/>
        <w:jc w:val="both"/>
        <w:rPr>
          <w:noProof/>
        </w:rPr>
      </w:pPr>
      <w:r>
        <w:rPr>
          <w:noProof/>
        </w:rPr>
        <w:t>renforcer les programmes régionaux de développement et de protection pour l'Afrique du Nord et la Corne de l'Afrique (7 millions d'EUR); et</w:t>
      </w:r>
    </w:p>
    <w:p w:rsidR="00131464" w:rsidRDefault="000C00AC">
      <w:pPr>
        <w:numPr>
          <w:ilvl w:val="0"/>
          <w:numId w:val="9"/>
        </w:numPr>
        <w:spacing w:before="120" w:after="120"/>
        <w:jc w:val="both"/>
        <w:rPr>
          <w:noProof/>
        </w:rPr>
      </w:pPr>
      <w:r>
        <w:rPr>
          <w:noProof/>
        </w:rPr>
        <w:t xml:space="preserve">augmenter le </w:t>
      </w:r>
      <w:r>
        <w:rPr>
          <w:noProof/>
        </w:rPr>
        <w:t>nombre de postes, et les dépenses de personnel correspondantes, des trois agences de l’UE les plus concernées (16 postes pour Frontex, 4 pour l'EASO et 3 pour Europol).</w:t>
      </w:r>
    </w:p>
    <w:p w:rsidR="00131464" w:rsidRDefault="000C00AC">
      <w:pPr>
        <w:spacing w:before="120" w:after="120"/>
        <w:jc w:val="both"/>
        <w:rPr>
          <w:i/>
          <w:noProof/>
        </w:rPr>
      </w:pPr>
      <w:r>
        <w:rPr>
          <w:i/>
          <w:noProof/>
        </w:rPr>
        <w:t>2.1.2</w:t>
      </w:r>
      <w:r>
        <w:rPr>
          <w:noProof/>
        </w:rPr>
        <w:tab/>
      </w:r>
      <w:r>
        <w:rPr>
          <w:i/>
          <w:noProof/>
        </w:rPr>
        <w:t>Nouveaux renforcements proposés dans le PBR n° 7/2015</w:t>
      </w:r>
    </w:p>
    <w:p w:rsidR="00131464" w:rsidRDefault="000C00AC">
      <w:pPr>
        <w:spacing w:before="120" w:after="120"/>
        <w:jc w:val="both"/>
        <w:rPr>
          <w:b/>
          <w:noProof/>
        </w:rPr>
      </w:pPr>
      <w:r>
        <w:rPr>
          <w:b/>
          <w:noProof/>
        </w:rPr>
        <w:t>Mesures d’urgence</w:t>
      </w:r>
    </w:p>
    <w:p w:rsidR="00131464" w:rsidRDefault="000C00AC">
      <w:pPr>
        <w:spacing w:before="120" w:after="120"/>
        <w:jc w:val="both"/>
        <w:rPr>
          <w:noProof/>
        </w:rPr>
      </w:pPr>
      <w:r>
        <w:rPr>
          <w:noProof/>
        </w:rPr>
        <w:t>Un nouvea</w:t>
      </w:r>
      <w:r>
        <w:rPr>
          <w:noProof/>
        </w:rPr>
        <w:t>u renforcement substantiel de l’aide d’urgence au titre de l’AMIF (80 millions d’EUR) et du FSI (20 millions d’EUR) est immédiatement requis pour aider les États membres les plus récemment touchés et soutenir la mise en œuvre de l’approche dite des «centre</w:t>
      </w:r>
      <w:r>
        <w:rPr>
          <w:noProof/>
        </w:rPr>
        <w:t>s de crise» (</w:t>
      </w:r>
      <w:r>
        <w:rPr>
          <w:i/>
          <w:noProof/>
        </w:rPr>
        <w:t>hotspots</w:t>
      </w:r>
      <w:r>
        <w:rPr>
          <w:noProof/>
        </w:rPr>
        <w:t>). Ce montant supplémentaire de 100 millions d’EUR servirait principalement à:</w:t>
      </w:r>
    </w:p>
    <w:p w:rsidR="00131464" w:rsidRDefault="000C00AC">
      <w:pPr>
        <w:pStyle w:val="ListParagraph"/>
        <w:numPr>
          <w:ilvl w:val="0"/>
          <w:numId w:val="11"/>
        </w:numPr>
        <w:spacing w:before="120" w:after="120" w:line="240" w:lineRule="auto"/>
        <w:jc w:val="both"/>
        <w:rPr>
          <w:rFonts w:ascii="Times New Roman" w:hAnsi="Times New Roman"/>
          <w:noProof/>
          <w:sz w:val="24"/>
          <w:szCs w:val="24"/>
        </w:rPr>
      </w:pPr>
      <w:r>
        <w:rPr>
          <w:rFonts w:ascii="Times New Roman" w:hAnsi="Times New Roman"/>
          <w:noProof/>
          <w:sz w:val="24"/>
        </w:rPr>
        <w:t xml:space="preserve">répondre aux demandes émanant actuellement de l’Allemagne, de la Grèce, de la Croatie et de l’Autriche, et à de nouvelles demandes attendues d'ici à la fin </w:t>
      </w:r>
      <w:r>
        <w:rPr>
          <w:rFonts w:ascii="Times New Roman" w:hAnsi="Times New Roman"/>
          <w:noProof/>
          <w:sz w:val="24"/>
        </w:rPr>
        <w:t>de l’année de la part d’autres États membres récemment touchés par l’afflux, en particulier la Grèce, la Hongrie et la Bulgarie;</w:t>
      </w:r>
    </w:p>
    <w:p w:rsidR="00131464" w:rsidRDefault="000C00AC">
      <w:pPr>
        <w:pStyle w:val="ListParagraph"/>
        <w:numPr>
          <w:ilvl w:val="0"/>
          <w:numId w:val="11"/>
        </w:numPr>
        <w:spacing w:before="120" w:after="120" w:line="240" w:lineRule="auto"/>
        <w:jc w:val="both"/>
        <w:rPr>
          <w:rFonts w:ascii="Times New Roman" w:hAnsi="Times New Roman"/>
          <w:noProof/>
          <w:sz w:val="24"/>
          <w:szCs w:val="24"/>
        </w:rPr>
      </w:pPr>
      <w:r>
        <w:rPr>
          <w:rFonts w:ascii="Times New Roman" w:hAnsi="Times New Roman"/>
          <w:noProof/>
          <w:sz w:val="24"/>
        </w:rPr>
        <w:t>permettre une approche coordonnée par la Commission avec les États membres, notamment avec l’Italie et la Grèce, aux fins de l'</w:t>
      </w:r>
      <w:r>
        <w:rPr>
          <w:rFonts w:ascii="Times New Roman" w:hAnsi="Times New Roman"/>
          <w:noProof/>
          <w:sz w:val="24"/>
        </w:rPr>
        <w:t>élaboration de demandes structurées d'intervention d’urgence visant à mettre en place les équipes d'appui aux migrants et les programmes de relocalisation, ainsi qu'à faire face à un afflux de migrants en croissance constante.</w:t>
      </w:r>
    </w:p>
    <w:p w:rsidR="00131464" w:rsidRDefault="000C00AC" w:rsidP="000C00AC">
      <w:pPr>
        <w:keepNext/>
        <w:spacing w:before="120" w:after="120"/>
        <w:jc w:val="both"/>
        <w:rPr>
          <w:b/>
          <w:noProof/>
        </w:rPr>
      </w:pPr>
      <w:r>
        <w:rPr>
          <w:b/>
          <w:noProof/>
        </w:rPr>
        <w:t>Agences</w:t>
      </w:r>
    </w:p>
    <w:p w:rsidR="00131464" w:rsidRDefault="000C00AC">
      <w:pPr>
        <w:spacing w:before="120" w:after="120"/>
        <w:jc w:val="both"/>
        <w:rPr>
          <w:noProof/>
        </w:rPr>
      </w:pPr>
      <w:r>
        <w:rPr>
          <w:noProof/>
        </w:rPr>
        <w:t>Les agences de l’UE o</w:t>
      </w:r>
      <w:r>
        <w:rPr>
          <w:noProof/>
        </w:rPr>
        <w:t>pérant dans des domaines liés à la migration doivent renforcer leurs capacités, étant donné qu’il leur est à présent demandé d'être beaucoup plus actives sur le terrain que prévu initialement. La Commission propose donc d'étoffer encore les ressources huma</w:t>
      </w:r>
      <w:r>
        <w:rPr>
          <w:noProof/>
        </w:rPr>
        <w:t>ines des trois grandes agences de l'UE compétentes en la matière en dotant leurs tableaux des effectifs de 120 emplois supplémentaires, à savoir:</w:t>
      </w:r>
    </w:p>
    <w:p w:rsidR="00131464" w:rsidRDefault="000C00AC">
      <w:pPr>
        <w:pStyle w:val="ListParagraph"/>
        <w:numPr>
          <w:ilvl w:val="0"/>
          <w:numId w:val="14"/>
        </w:numPr>
        <w:spacing w:before="120" w:after="120" w:line="240" w:lineRule="auto"/>
        <w:jc w:val="both"/>
        <w:rPr>
          <w:rFonts w:ascii="Times New Roman" w:hAnsi="Times New Roman"/>
          <w:noProof/>
          <w:sz w:val="24"/>
          <w:szCs w:val="24"/>
        </w:rPr>
      </w:pPr>
      <w:r>
        <w:rPr>
          <w:rFonts w:ascii="Times New Roman" w:hAnsi="Times New Roman"/>
          <w:noProof/>
          <w:sz w:val="24"/>
          <w:u w:val="single"/>
        </w:rPr>
        <w:t>Frontex</w:t>
      </w:r>
      <w:r>
        <w:rPr>
          <w:rFonts w:ascii="Times New Roman" w:hAnsi="Times New Roman"/>
          <w:noProof/>
          <w:sz w:val="24"/>
        </w:rPr>
        <w:t>: 60 emplois pour permettre à l'agence de faire face à l'accroissement des activités opérationnelles ai</w:t>
      </w:r>
      <w:r>
        <w:rPr>
          <w:rFonts w:ascii="Times New Roman" w:hAnsi="Times New Roman"/>
          <w:noProof/>
          <w:sz w:val="24"/>
        </w:rPr>
        <w:t>nsi qu'au renforcement de la coopération avec d’autres agences de l’UE en ce qui concerne le démantèlement des réseaux de passeurs et le déploiement de nouveaux agents de liaison auprès de pays tiers. Les mesures suivantes sont prévues:</w:t>
      </w:r>
    </w:p>
    <w:p w:rsidR="00131464" w:rsidRDefault="00131464">
      <w:pPr>
        <w:pStyle w:val="ListParagraph"/>
        <w:spacing w:before="120" w:after="120" w:line="240" w:lineRule="auto"/>
        <w:jc w:val="both"/>
        <w:rPr>
          <w:rFonts w:ascii="Times New Roman" w:hAnsi="Times New Roman"/>
          <w:noProof/>
          <w:sz w:val="24"/>
          <w:szCs w:val="24"/>
        </w:rPr>
      </w:pPr>
    </w:p>
    <w:p w:rsidR="00131464" w:rsidRDefault="000C00AC">
      <w:pPr>
        <w:pStyle w:val="ListParagraph"/>
        <w:numPr>
          <w:ilvl w:val="1"/>
          <w:numId w:val="14"/>
        </w:numPr>
        <w:spacing w:before="120" w:after="120" w:line="240" w:lineRule="auto"/>
        <w:jc w:val="both"/>
        <w:rPr>
          <w:rFonts w:ascii="Times New Roman" w:hAnsi="Times New Roman"/>
          <w:noProof/>
          <w:sz w:val="24"/>
          <w:szCs w:val="24"/>
        </w:rPr>
      </w:pPr>
      <w:r>
        <w:rPr>
          <w:rFonts w:ascii="Times New Roman" w:hAnsi="Times New Roman"/>
          <w:noProof/>
          <w:sz w:val="24"/>
        </w:rPr>
        <w:t>le renforcement de</w:t>
      </w:r>
      <w:r>
        <w:rPr>
          <w:rFonts w:ascii="Times New Roman" w:hAnsi="Times New Roman"/>
          <w:noProof/>
          <w:sz w:val="24"/>
        </w:rPr>
        <w:t>s opérations de retour conjointes et du traitement des aspects liés au retour, ainsi que le déploiement d’agents de coordination des groupes d’appui à la gestion des flux migratoires dans les zones de crise;</w:t>
      </w:r>
    </w:p>
    <w:p w:rsidR="00131464" w:rsidRDefault="000C00AC">
      <w:pPr>
        <w:pStyle w:val="ListParagraph"/>
        <w:numPr>
          <w:ilvl w:val="1"/>
          <w:numId w:val="14"/>
        </w:numPr>
        <w:spacing w:before="120" w:after="120"/>
        <w:jc w:val="both"/>
        <w:rPr>
          <w:rFonts w:ascii="Times New Roman" w:hAnsi="Times New Roman"/>
          <w:noProof/>
          <w:sz w:val="24"/>
          <w:szCs w:val="24"/>
        </w:rPr>
      </w:pPr>
      <w:r>
        <w:rPr>
          <w:rFonts w:ascii="Times New Roman" w:hAnsi="Times New Roman"/>
          <w:noProof/>
          <w:sz w:val="24"/>
        </w:rPr>
        <w:t>le développement de la capacité d’analyse du ris</w:t>
      </w:r>
      <w:r>
        <w:rPr>
          <w:rFonts w:ascii="Times New Roman" w:hAnsi="Times New Roman"/>
          <w:noProof/>
          <w:sz w:val="24"/>
        </w:rPr>
        <w:t xml:space="preserve">que de l’agence sur le terrain (analyse opérationnelle au centre de crise, gestion et débriefing, coordination) et dans les pays tiers; </w:t>
      </w:r>
    </w:p>
    <w:p w:rsidR="00131464" w:rsidRDefault="000C00AC">
      <w:pPr>
        <w:pStyle w:val="ListParagraph"/>
        <w:numPr>
          <w:ilvl w:val="1"/>
          <w:numId w:val="14"/>
        </w:numPr>
        <w:spacing w:before="120" w:after="120"/>
        <w:jc w:val="both"/>
        <w:rPr>
          <w:rFonts w:ascii="Times New Roman" w:hAnsi="Times New Roman"/>
          <w:noProof/>
          <w:sz w:val="24"/>
          <w:szCs w:val="24"/>
        </w:rPr>
      </w:pPr>
      <w:r>
        <w:rPr>
          <w:rFonts w:ascii="Times New Roman" w:hAnsi="Times New Roman"/>
          <w:noProof/>
          <w:sz w:val="24"/>
        </w:rPr>
        <w:t>le développement de la capacité de l'agence à entretenir et renforcer les réseaux de communication dans le contexte d’E</w:t>
      </w:r>
      <w:r>
        <w:rPr>
          <w:rFonts w:ascii="Times New Roman" w:hAnsi="Times New Roman"/>
          <w:noProof/>
          <w:sz w:val="24"/>
        </w:rPr>
        <w:t>urosur, y compris la coordination d'outils de surveillance communs;</w:t>
      </w:r>
    </w:p>
    <w:p w:rsidR="00131464" w:rsidRDefault="000C00AC">
      <w:pPr>
        <w:pStyle w:val="ListParagraph"/>
        <w:numPr>
          <w:ilvl w:val="1"/>
          <w:numId w:val="14"/>
        </w:numPr>
        <w:spacing w:before="120" w:after="120" w:line="240" w:lineRule="auto"/>
        <w:jc w:val="both"/>
        <w:rPr>
          <w:noProof/>
        </w:rPr>
      </w:pPr>
      <w:r>
        <w:rPr>
          <w:rFonts w:ascii="Times New Roman" w:hAnsi="Times New Roman"/>
          <w:noProof/>
          <w:sz w:val="24"/>
        </w:rPr>
        <w:t>le déploiement d’agents de liaison dans les pays tiers du voisinage européen.</w:t>
      </w:r>
    </w:p>
    <w:p w:rsidR="00131464" w:rsidRDefault="00131464">
      <w:pPr>
        <w:pStyle w:val="ListParagraph"/>
        <w:spacing w:before="120" w:after="120" w:line="240" w:lineRule="auto"/>
        <w:ind w:left="1440"/>
        <w:jc w:val="both"/>
        <w:rPr>
          <w:noProof/>
        </w:rPr>
      </w:pPr>
    </w:p>
    <w:p w:rsidR="00131464" w:rsidRDefault="000C00AC">
      <w:pPr>
        <w:pStyle w:val="ListParagraph"/>
        <w:numPr>
          <w:ilvl w:val="0"/>
          <w:numId w:val="14"/>
        </w:numPr>
        <w:spacing w:before="120" w:after="120" w:line="240" w:lineRule="auto"/>
        <w:jc w:val="both"/>
        <w:rPr>
          <w:noProof/>
        </w:rPr>
      </w:pPr>
      <w:r>
        <w:rPr>
          <w:rFonts w:ascii="Times New Roman" w:hAnsi="Times New Roman"/>
          <w:noProof/>
          <w:sz w:val="24"/>
          <w:u w:val="single"/>
        </w:rPr>
        <w:t>EASO</w:t>
      </w:r>
      <w:r>
        <w:rPr>
          <w:rFonts w:ascii="Times New Roman" w:hAnsi="Times New Roman"/>
          <w:noProof/>
          <w:sz w:val="24"/>
        </w:rPr>
        <w:t>: 30 emplois pour renforcer le déploiement d'équipes supplémentaires pour le traitement commun des demand</w:t>
      </w:r>
      <w:r>
        <w:rPr>
          <w:rFonts w:ascii="Times New Roman" w:hAnsi="Times New Roman"/>
          <w:noProof/>
          <w:sz w:val="24"/>
        </w:rPr>
        <w:t>es d’asile dans les États membres situés en première ligne. Les mesures suivantes sont prévues:</w:t>
      </w:r>
    </w:p>
    <w:p w:rsidR="00131464" w:rsidRDefault="000C00AC">
      <w:pPr>
        <w:numPr>
          <w:ilvl w:val="1"/>
          <w:numId w:val="16"/>
        </w:numPr>
        <w:spacing w:before="120" w:after="120"/>
        <w:jc w:val="both"/>
        <w:rPr>
          <w:noProof/>
        </w:rPr>
      </w:pPr>
      <w:r>
        <w:rPr>
          <w:noProof/>
        </w:rPr>
        <w:t xml:space="preserve">l'appui au traitement commun des demandes d’asile en Italie et en Grèce dans les zones de crise aux fins de l’enregistrement, de l'identification, du relevé des empreintes digitales et de la préparation des dossiers de demande d’asile; </w:t>
      </w:r>
    </w:p>
    <w:p w:rsidR="00131464" w:rsidRDefault="000C00AC">
      <w:pPr>
        <w:numPr>
          <w:ilvl w:val="1"/>
          <w:numId w:val="16"/>
        </w:numPr>
        <w:spacing w:before="120" w:after="120"/>
        <w:jc w:val="both"/>
        <w:rPr>
          <w:noProof/>
        </w:rPr>
      </w:pPr>
      <w:r>
        <w:rPr>
          <w:noProof/>
        </w:rPr>
        <w:t xml:space="preserve">la coordination et </w:t>
      </w:r>
      <w:r>
        <w:rPr>
          <w:noProof/>
        </w:rPr>
        <w:t xml:space="preserve">le soutien des mesures de relocalisation d’urgence concernant 160 000 personnes (c’est-à-dire identification, contrôle de vulnérabilité, informations préalables au départ); </w:t>
      </w:r>
    </w:p>
    <w:p w:rsidR="00131464" w:rsidRDefault="000C00AC">
      <w:pPr>
        <w:numPr>
          <w:ilvl w:val="1"/>
          <w:numId w:val="14"/>
        </w:numPr>
        <w:spacing w:before="120" w:after="120"/>
        <w:jc w:val="both"/>
        <w:rPr>
          <w:rFonts w:ascii="Calibri" w:hAnsi="Calibri"/>
          <w:noProof/>
          <w:sz w:val="22"/>
          <w:szCs w:val="22"/>
        </w:rPr>
      </w:pPr>
      <w:r>
        <w:rPr>
          <w:noProof/>
        </w:rPr>
        <w:t>le soutien au programme de réinstallation à l’échelle de l’UE (fonction de point d</w:t>
      </w:r>
      <w:r>
        <w:rPr>
          <w:noProof/>
        </w:rPr>
        <w:t>e référence et amélioration des échanges structurels d’informations);</w:t>
      </w:r>
    </w:p>
    <w:p w:rsidR="00131464" w:rsidRDefault="000C00AC">
      <w:pPr>
        <w:numPr>
          <w:ilvl w:val="1"/>
          <w:numId w:val="14"/>
        </w:numPr>
        <w:spacing w:before="120" w:after="120"/>
        <w:jc w:val="both"/>
        <w:rPr>
          <w:rFonts w:ascii="Calibri" w:hAnsi="Calibri"/>
          <w:noProof/>
          <w:sz w:val="22"/>
          <w:szCs w:val="22"/>
        </w:rPr>
      </w:pPr>
      <w:r>
        <w:rPr>
          <w:noProof/>
        </w:rPr>
        <w:t>l'exercice de la fonction de point de référence pour les activités d'information sur le pays d’origine, y compris l’échange d’informations et l'élaboration améliorée de rapports sur le p</w:t>
      </w:r>
      <w:r>
        <w:rPr>
          <w:noProof/>
        </w:rPr>
        <w:t>ays d’origine et de guides pratiques.</w:t>
      </w:r>
    </w:p>
    <w:p w:rsidR="00131464" w:rsidRDefault="000C00AC">
      <w:pPr>
        <w:pStyle w:val="ListParagraph"/>
        <w:numPr>
          <w:ilvl w:val="0"/>
          <w:numId w:val="14"/>
        </w:numPr>
        <w:spacing w:before="120" w:after="120" w:line="240" w:lineRule="auto"/>
        <w:jc w:val="both"/>
        <w:rPr>
          <w:noProof/>
        </w:rPr>
      </w:pPr>
      <w:r>
        <w:rPr>
          <w:rFonts w:ascii="Times New Roman" w:hAnsi="Times New Roman"/>
          <w:noProof/>
          <w:sz w:val="24"/>
          <w:u w:val="single"/>
        </w:rPr>
        <w:t>Europol</w:t>
      </w:r>
      <w:r>
        <w:rPr>
          <w:rFonts w:ascii="Times New Roman" w:hAnsi="Times New Roman"/>
          <w:noProof/>
          <w:sz w:val="24"/>
        </w:rPr>
        <w:t>: 30 emplois afin de renforcer encore le rôle de l'agence dans la mise en œuvre des conclusions du Conseil européen en ce qui concerne le démantèlement des réseaux de passeurs et de redoubler d'efforts pour déte</w:t>
      </w:r>
      <w:r>
        <w:rPr>
          <w:rFonts w:ascii="Times New Roman" w:hAnsi="Times New Roman"/>
          <w:noProof/>
          <w:sz w:val="24"/>
        </w:rPr>
        <w:t>cter sur internet des contenus utilisés par les trafiquants dans le but d'attirer des migrants et des réfugiés et pour en demander le retrait. Les mesures suivantes sont prévues:</w:t>
      </w:r>
    </w:p>
    <w:p w:rsidR="00131464" w:rsidRDefault="000C00AC">
      <w:pPr>
        <w:numPr>
          <w:ilvl w:val="1"/>
          <w:numId w:val="14"/>
        </w:numPr>
        <w:spacing w:before="120" w:after="120"/>
        <w:jc w:val="both"/>
        <w:rPr>
          <w:noProof/>
        </w:rPr>
      </w:pPr>
      <w:r>
        <w:rPr>
          <w:noProof/>
        </w:rPr>
        <w:t>l'apport de ressources pour renforcer et développer la réponse de l’UE à l’ap</w:t>
      </w:r>
      <w:r>
        <w:rPr>
          <w:noProof/>
        </w:rPr>
        <w:t>pui de l’action de la Commission dans les zones de crise. En Grèce, cela impliquera de recourir à une équipe mobile de l’UE (</w:t>
      </w:r>
      <w:r>
        <w:rPr>
          <w:i/>
          <w:noProof/>
        </w:rPr>
        <w:t>EU Mobile Investigation Support Team</w:t>
      </w:r>
      <w:r>
        <w:rPr>
          <w:noProof/>
        </w:rPr>
        <w:t xml:space="preserve"> - EMIST) chargée de mener des enquêtes visant à démanteler les réseaux de passeurs. Cette nouv</w:t>
      </w:r>
      <w:r>
        <w:rPr>
          <w:noProof/>
        </w:rPr>
        <w:t>elle équipe de spécialistes et d’analystes d’Europol recueillera des informations et entrera en action au moment où les migrants débarqueront sur les cinq îles grecques actuellement touchées, en exploitant les données fournies par les différentes autorités</w:t>
      </w:r>
      <w:r>
        <w:rPr>
          <w:noProof/>
        </w:rPr>
        <w:t xml:space="preserve"> administratives de la région ou tirées d'enquêtes nationales ou internationales; </w:t>
      </w:r>
    </w:p>
    <w:p w:rsidR="00131464" w:rsidRDefault="000C00AC">
      <w:pPr>
        <w:numPr>
          <w:ilvl w:val="1"/>
          <w:numId w:val="14"/>
        </w:numPr>
        <w:spacing w:before="120" w:after="120"/>
        <w:jc w:val="both"/>
        <w:rPr>
          <w:noProof/>
        </w:rPr>
      </w:pPr>
      <w:r>
        <w:rPr>
          <w:noProof/>
        </w:rPr>
        <w:t>la mise en place d’un centre européen chargé de lutter contre le trafic de migrants (</w:t>
      </w:r>
      <w:r>
        <w:rPr>
          <w:i/>
          <w:noProof/>
        </w:rPr>
        <w:t>European Migrant Smuggling Centre</w:t>
      </w:r>
      <w:r>
        <w:rPr>
          <w:noProof/>
        </w:rPr>
        <w:t xml:space="preserve"> - EMSC) au sein d’Europol, à l’appui des équipes EMIST</w:t>
      </w:r>
      <w:r>
        <w:rPr>
          <w:noProof/>
        </w:rPr>
        <w:t>. Ce centre apportera son soutien aux États membres placés en première ligne en formant le personnel EMIST et en mettant à disposition des effectifs, des équipements et des compétences; il consolidera les capacités d'appui régulières d’Europol en ce qui co</w:t>
      </w:r>
      <w:r>
        <w:rPr>
          <w:noProof/>
        </w:rPr>
        <w:t>ncerne les analyses, les réunions opérationnelles et les actions conjointes. En outre, l'EMSC procurera une vue d’ensemble, à l’échelle de l'UE, du trafic de migrants sous l’angle répressif, assurant ainsi la coordination avec les centres nationaux. Il app</w:t>
      </w:r>
      <w:r>
        <w:rPr>
          <w:noProof/>
        </w:rPr>
        <w:t>ortera aussi ses compétences au sujet de l’utilisation des réseaux sociaux par les trafiquants et dans le domaine des enquêtes financières;</w:t>
      </w:r>
    </w:p>
    <w:p w:rsidR="00131464" w:rsidRDefault="000C00AC">
      <w:pPr>
        <w:numPr>
          <w:ilvl w:val="1"/>
          <w:numId w:val="14"/>
        </w:numPr>
        <w:spacing w:before="120" w:after="120"/>
        <w:jc w:val="both"/>
        <w:rPr>
          <w:noProof/>
        </w:rPr>
      </w:pPr>
      <w:r>
        <w:rPr>
          <w:noProof/>
        </w:rPr>
        <w:t>l’interaction entre les équipes mobiles chargées des enquêtes et l'EMSC au sein d'Europol permettra de développer le</w:t>
      </w:r>
      <w:r>
        <w:rPr>
          <w:noProof/>
        </w:rPr>
        <w:t>s activités de renseignement et les connaissances opérationnelles, qui pourront être exploitées pour les opérations des services de police et des gardes-frontières sur place.</w:t>
      </w:r>
    </w:p>
    <w:p w:rsidR="00131464" w:rsidRDefault="000C00AC">
      <w:pPr>
        <w:spacing w:before="120" w:after="120"/>
        <w:jc w:val="both"/>
        <w:rPr>
          <w:noProof/>
        </w:rPr>
      </w:pPr>
      <w:r>
        <w:rPr>
          <w:noProof/>
        </w:rPr>
        <w:t>Les crédits supplémentaires correspondants pour la rémunération des effectifs nou</w:t>
      </w:r>
      <w:r>
        <w:rPr>
          <w:noProof/>
        </w:rPr>
        <w:t>veaux (1,3 million d’EUR) dans ces trois agences ont été calculés sur la base d’une moyenne d’un mois de présence en 2015.</w:t>
      </w:r>
    </w:p>
    <w:p w:rsidR="00131464" w:rsidRDefault="000C00AC">
      <w:pPr>
        <w:spacing w:before="120" w:after="120"/>
        <w:jc w:val="both"/>
        <w:rPr>
          <w:b/>
          <w:noProof/>
        </w:rPr>
      </w:pPr>
      <w:r>
        <w:rPr>
          <w:b/>
          <w:noProof/>
        </w:rPr>
        <w:t>2.2</w:t>
      </w:r>
      <w:r>
        <w:rPr>
          <w:noProof/>
        </w:rPr>
        <w:tab/>
      </w:r>
      <w:r>
        <w:rPr>
          <w:b/>
          <w:noProof/>
        </w:rPr>
        <w:t>Rubrique 4: L'Europe dans le monde</w:t>
      </w:r>
    </w:p>
    <w:p w:rsidR="00131464" w:rsidRDefault="000C00AC">
      <w:pPr>
        <w:spacing w:before="120" w:after="120"/>
        <w:jc w:val="both"/>
        <w:rPr>
          <w:noProof/>
        </w:rPr>
      </w:pPr>
      <w:r>
        <w:rPr>
          <w:noProof/>
        </w:rPr>
        <w:t xml:space="preserve">Le conflit en Syrie est dans sa cinquième année, avec pour bilan 7,6 millions de personnes </w:t>
      </w:r>
      <w:r>
        <w:rPr>
          <w:noProof/>
        </w:rPr>
        <w:t>déplacées à l'intérieur du pays, 12,2 millions de personnes nécessitant une aide humanitaire et 4 millions de réfugiés dans les pays voisins. L’afflux de réfugiés en provenance de Syrie a submergé les pays voisins, en particulier le Liban et la Jordanie, m</w:t>
      </w:r>
      <w:r>
        <w:rPr>
          <w:noProof/>
        </w:rPr>
        <w:t>ettant leurs infrastructures à rude épreuve et menaçant leur précaire stabilité. Parallèlement à l'accroissement des besoins humanitaires et à long terme des réfugiés et des personnes déplacées, le volume des financements internationaux connaît une tendanc</w:t>
      </w:r>
      <w:r>
        <w:rPr>
          <w:noProof/>
        </w:rPr>
        <w:t>e à la baisse. En septembre 2015, seuls 40 % des appels des Nations unies en faveur de la crise des réfugiés syriens étaient couverts, ce qui a imposé des restrictions à l'aide alimentaire et à d'autres services essentiels. À mesure que la durée du conflit</w:t>
      </w:r>
      <w:r>
        <w:rPr>
          <w:noProof/>
        </w:rPr>
        <w:t xml:space="preserve"> s'allonge et que l'espoir d'un retour au pays s'amenuise, cette situation a conduit des milliers de Syriens à entreprendre le voyage vers l’Europe en vue de s'y installer durablement. À ce jour, plus de 330 000 réfugiés syriens sont arrivés en Europe, et </w:t>
      </w:r>
      <w:r>
        <w:rPr>
          <w:noProof/>
        </w:rPr>
        <w:t>leur nombre devrait augmenter encore d'ici à la fin de 2015.</w:t>
      </w:r>
    </w:p>
    <w:p w:rsidR="00131464" w:rsidRDefault="000C00AC">
      <w:pPr>
        <w:spacing w:before="120" w:after="120"/>
        <w:jc w:val="both"/>
        <w:rPr>
          <w:noProof/>
        </w:rPr>
      </w:pPr>
      <w:r>
        <w:rPr>
          <w:noProof/>
        </w:rPr>
        <w:t>Face à cette situation dramatique, la Commission propose de relever le financement de l’instrument européen de voisinage (IEV) de 300 millions d’EUR en crédits d’engagement. Ces crédits supplémen</w:t>
      </w:r>
      <w:r>
        <w:rPr>
          <w:noProof/>
        </w:rPr>
        <w:t xml:space="preserve">taires en faveur de l’IEV permettront de renforcer le </w:t>
      </w:r>
      <w:r>
        <w:rPr>
          <w:i/>
          <w:noProof/>
          <w:sz w:val="23"/>
        </w:rPr>
        <w:t>Fonds régional d’affectation spéciale de l'UE en réponse à la crise syrienne</w:t>
      </w:r>
      <w:r>
        <w:rPr>
          <w:noProof/>
        </w:rPr>
        <w:t xml:space="preserve"> </w:t>
      </w:r>
      <w:r>
        <w:rPr>
          <w:noProof/>
          <w:sz w:val="23"/>
        </w:rPr>
        <w:t>(le «fonds Madad»).</w:t>
      </w:r>
      <w:r>
        <w:rPr>
          <w:noProof/>
        </w:rPr>
        <w:t xml:space="preserve"> Ce Fonds constitue un instrument souple et efficace pour aider les réfugiés de Syrie. Il financera des pr</w:t>
      </w:r>
      <w:r>
        <w:rPr>
          <w:noProof/>
        </w:rPr>
        <w:t>ojets dans divers secteurs, notamment dans les infrastructures de base, tels que l’eau, l’assainissement, l’hygiène, la gestion des déchets, l’accès aux services, la santé, l’éducation et le soutien aux moyens de subsistance. Les projets seront mis en œuvr</w:t>
      </w:r>
      <w:r>
        <w:rPr>
          <w:noProof/>
        </w:rPr>
        <w:t>e en coopération avec différents partenaires, comme des agences des Nations unies et des États membres, des organismes publics et des ONG. Compte tenu du décalage dans le temps qui affectera les premiers décaissements, les crédits de paiement correspondant</w:t>
      </w:r>
      <w:r>
        <w:rPr>
          <w:noProof/>
        </w:rPr>
        <w:t>s seront demandés au moyen d'une lettre rectificative au projet de budget 2016.</w:t>
      </w:r>
    </w:p>
    <w:p w:rsidR="00131464" w:rsidRDefault="000C00AC">
      <w:pPr>
        <w:spacing w:before="120" w:after="120"/>
        <w:jc w:val="both"/>
        <w:rPr>
          <w:noProof/>
        </w:rPr>
      </w:pPr>
      <w:r>
        <w:rPr>
          <w:noProof/>
        </w:rPr>
        <w:t>Outre la proposition de renforcement de l’IEV, et conformément à sa communication du 23 septembre, la Commission propose d’allouer 200 millions d’EUR à l’aide humanitaire encor</w:t>
      </w:r>
      <w:r>
        <w:rPr>
          <w:noProof/>
        </w:rPr>
        <w:t>e en 2015 afin de couvrir les besoins les plus urgents des populations déplacées qui fuient le conflit dans la région. À cette fin, la Commission présente une demande de virement (DEC 32/2015) distincte pour un montant de 175 millions d’EUR (en engagements</w:t>
      </w:r>
      <w:r>
        <w:rPr>
          <w:noProof/>
        </w:rPr>
        <w:t>) à prélever dans la réserve d’aide d’urgence. Ce virement, auquel s'ajoutent 10 millions d’EUR (en engagements) issus de la réserve opérationnelle de l’aide humanitaire, et le récent virement de 15 millions d’EUR provenant de la réserve d’aide d’urgence (</w:t>
      </w:r>
      <w:r>
        <w:rPr>
          <w:noProof/>
        </w:rPr>
        <w:t>DEC 28/2015) constituent un montant supplémentaire de 200 millions d’EUR en crédits d’engagement disponibles pour l’aide humanitaire. Un montant de 70 millions d’EUR en crédits de paiement doit être mis à disposition en 2015 pour l’aide humanitaire grâce a</w:t>
      </w:r>
      <w:r>
        <w:rPr>
          <w:noProof/>
        </w:rPr>
        <w:t>u redéploiement de 55,7 millions d’EUR issus des réserves et de lignes comportant des crédits non dissociés proposés dans le présent PBR (voir la section 3 ci-dessous), le restant (14,3 millions d’EUR) figurant dans la demande de virement distincte à parti</w:t>
      </w:r>
      <w:r>
        <w:rPr>
          <w:noProof/>
        </w:rPr>
        <w:t xml:space="preserve">r de la réserve d’aide d’urgence. Ces 70 millions d’EUR en crédits de paiement couvriront les préfinancements (soit 40 % des montants totaux) à verser aux agences partenaires en 2015, tandis que le paiement du solde interviendra en 2016. </w:t>
      </w:r>
    </w:p>
    <w:p w:rsidR="00131464" w:rsidRDefault="000C00AC">
      <w:pPr>
        <w:keepNext/>
        <w:tabs>
          <w:tab w:val="left" w:pos="850"/>
        </w:tabs>
        <w:spacing w:before="360" w:after="120"/>
        <w:ind w:left="851" w:hanging="851"/>
        <w:jc w:val="both"/>
        <w:outlineLvl w:val="0"/>
        <w:rPr>
          <w:b/>
          <w:smallCaps/>
          <w:noProof/>
        </w:rPr>
      </w:pPr>
      <w:bookmarkStart w:id="19" w:name="_Toc430865948"/>
      <w:bookmarkStart w:id="20" w:name="_Toc430867526"/>
      <w:bookmarkStart w:id="21" w:name="_Toc430951514"/>
      <w:bookmarkStart w:id="22" w:name="_Toc431553448"/>
      <w:r>
        <w:rPr>
          <w:b/>
          <w:smallCaps/>
          <w:noProof/>
        </w:rPr>
        <w:t>3.</w:t>
      </w:r>
      <w:r>
        <w:rPr>
          <w:noProof/>
        </w:rPr>
        <w:tab/>
      </w:r>
      <w:r>
        <w:rPr>
          <w:b/>
          <w:smallCaps/>
          <w:noProof/>
        </w:rPr>
        <w:t>Financement pr</w:t>
      </w:r>
      <w:r>
        <w:rPr>
          <w:b/>
          <w:smallCaps/>
          <w:noProof/>
        </w:rPr>
        <w:t>oposé en 2015</w:t>
      </w:r>
      <w:bookmarkEnd w:id="19"/>
      <w:bookmarkEnd w:id="20"/>
      <w:bookmarkEnd w:id="21"/>
      <w:bookmarkEnd w:id="22"/>
    </w:p>
    <w:p w:rsidR="00131464" w:rsidRDefault="000C00AC">
      <w:pPr>
        <w:spacing w:before="120" w:after="120"/>
        <w:jc w:val="both"/>
        <w:rPr>
          <w:noProof/>
        </w:rPr>
      </w:pPr>
      <w:r>
        <w:rPr>
          <w:noProof/>
        </w:rPr>
        <w:t>La présente section explique de quelle manière il est proposé de financer les nouvelles mesures pour 2015 exposées ci-dessus, en combinant des redéploiements, le recours aux marges existantes sous les rubriques 3 et 4 et la mobilisation de l’</w:t>
      </w:r>
      <w:r>
        <w:rPr>
          <w:noProof/>
        </w:rPr>
        <w:t>instrument de flexibilité.</w:t>
      </w:r>
    </w:p>
    <w:p w:rsidR="00131464" w:rsidRDefault="000C00AC">
      <w:pPr>
        <w:spacing w:before="120" w:after="120"/>
        <w:jc w:val="both"/>
        <w:rPr>
          <w:b/>
          <w:noProof/>
        </w:rPr>
      </w:pPr>
      <w:r>
        <w:rPr>
          <w:b/>
          <w:noProof/>
        </w:rPr>
        <w:t>3.1</w:t>
      </w:r>
      <w:r>
        <w:rPr>
          <w:noProof/>
        </w:rPr>
        <w:tab/>
      </w:r>
      <w:r>
        <w:rPr>
          <w:b/>
          <w:noProof/>
        </w:rPr>
        <w:t>Rubrique 3: Sécurité et citoyenneté</w:t>
      </w:r>
    </w:p>
    <w:p w:rsidR="00131464" w:rsidRDefault="000C00AC">
      <w:pPr>
        <w:spacing w:before="120" w:after="120"/>
        <w:jc w:val="both"/>
        <w:rPr>
          <w:noProof/>
        </w:rPr>
      </w:pPr>
      <w:r>
        <w:rPr>
          <w:noProof/>
        </w:rPr>
        <w:t xml:space="preserve">Globalement, le renforcement total en crédits d’engagement visant à financer les mesures décrites ci-dessus s’établit à 101,3 millions d’EUR, dont 100 millions pour l’aide d’urgence et 1,3 </w:t>
      </w:r>
      <w:r>
        <w:rPr>
          <w:noProof/>
        </w:rPr>
        <w:t>million pour les effectifs supplémentaires des trois agences. Des crédits de paiement sont demandés pour couvrir le coût du personnel supplémentaire dans les trois agences uniquement, tandis que les crédits de paiement correspondant aux mesures supplémenta</w:t>
      </w:r>
      <w:r>
        <w:rPr>
          <w:noProof/>
        </w:rPr>
        <w:t>ires au titre de l’AMIF et du FSI seront sollicités dans une lettre rectificative au projet de budget 2016.</w:t>
      </w:r>
    </w:p>
    <w:p w:rsidR="00131464" w:rsidRDefault="000C00AC">
      <w:pPr>
        <w:spacing w:before="120" w:after="120"/>
        <w:jc w:val="both"/>
        <w:rPr>
          <w:noProof/>
        </w:rPr>
      </w:pPr>
      <w:r>
        <w:rPr>
          <w:noProof/>
        </w:rPr>
        <w:t>Le tableau ci-dessous indique la répartition des renforcements demandés, en crédits d’engagement et de paiement, sur cinq lignes budgétaires relevan</w:t>
      </w:r>
      <w:r>
        <w:rPr>
          <w:noProof/>
        </w:rPr>
        <w:t>t de la rubrique 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1701"/>
        <w:gridCol w:w="1701"/>
      </w:tblGrid>
      <w:tr w:rsidR="00131464">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Ligne budgétaire</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Intitulé</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d’engagement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 paiement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18 02 01 01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Appuyer la gestion des frontières et soutenir une politique commune des visas pour faciliter les voyages effectués de façon légitime</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20 000 000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18 02 03</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Agence européenne pour la gestion de la coopération opérationnelle aux frontières extérieures (Frontex)</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650 000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650 000</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18 02 04</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Office européen de police (Europol)</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325 000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325 000</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18 03 01 01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 xml:space="preserve">Renforcer et développer le régime d’asile européen commun et </w:t>
            </w:r>
            <w:r>
              <w:rPr>
                <w:noProof/>
                <w:sz w:val="20"/>
              </w:rPr>
              <w:t>approfondir la solidarité et le partage des responsabilités entre les États membres</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80 000 000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w:t>
            </w:r>
          </w:p>
          <w:p w:rsidR="00131464" w:rsidRDefault="00131464">
            <w:pPr>
              <w:widowControl w:val="0"/>
              <w:spacing w:before="15" w:after="15"/>
              <w:jc w:val="right"/>
              <w:rPr>
                <w:noProof/>
                <w:sz w:val="20"/>
                <w:szCs w:val="20"/>
              </w:rPr>
            </w:pP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18 03 02</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Bureau européen d'appui en matière d'asile (EASO)</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325 000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325 000</w:t>
            </w:r>
          </w:p>
        </w:tc>
      </w:tr>
      <w:tr w:rsidR="00131464">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tabs>
                <w:tab w:val="left" w:pos="975"/>
              </w:tabs>
              <w:spacing w:before="15" w:after="15"/>
              <w:jc w:val="both"/>
              <w:rPr>
                <w:b/>
                <w:noProof/>
                <w:sz w:val="20"/>
                <w:szCs w:val="20"/>
              </w:rPr>
            </w:pPr>
            <w:r>
              <w:rPr>
                <w:b/>
                <w:noProof/>
                <w:sz w:val="20"/>
              </w:rPr>
              <w:t>Total</w:t>
            </w:r>
            <w:r>
              <w:rPr>
                <w:noProof/>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101 300 000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1 300 000</w:t>
            </w:r>
          </w:p>
        </w:tc>
      </w:tr>
    </w:tbl>
    <w:p w:rsidR="00131464" w:rsidRDefault="000C00AC">
      <w:pPr>
        <w:spacing w:before="120" w:after="120"/>
        <w:jc w:val="both"/>
        <w:rPr>
          <w:noProof/>
        </w:rPr>
      </w:pPr>
      <w:r>
        <w:rPr>
          <w:noProof/>
        </w:rPr>
        <w:t xml:space="preserve">L’annexe budgétaire expose la ventilation, par </w:t>
      </w:r>
      <w:r>
        <w:rPr>
          <w:noProof/>
        </w:rPr>
        <w:t>groupes de fonctions et grades, des emplois supplémentaires dans les tableaux des effectifs des trois agences concernées.</w:t>
      </w:r>
    </w:p>
    <w:p w:rsidR="00131464" w:rsidRDefault="000C00AC">
      <w:pPr>
        <w:spacing w:before="120" w:after="120"/>
        <w:jc w:val="both"/>
        <w:rPr>
          <w:b/>
          <w:noProof/>
        </w:rPr>
      </w:pPr>
      <w:r>
        <w:rPr>
          <w:b/>
          <w:noProof/>
        </w:rPr>
        <w:t>3.2</w:t>
      </w:r>
      <w:r>
        <w:rPr>
          <w:noProof/>
        </w:rPr>
        <w:tab/>
      </w:r>
      <w:r>
        <w:rPr>
          <w:b/>
          <w:noProof/>
        </w:rPr>
        <w:t>Rubrique 4: L'Europe dans le monde</w:t>
      </w:r>
    </w:p>
    <w:p w:rsidR="00131464" w:rsidRDefault="000C00AC">
      <w:pPr>
        <w:spacing w:before="120" w:after="120"/>
        <w:jc w:val="both"/>
        <w:rPr>
          <w:noProof/>
        </w:rPr>
      </w:pPr>
      <w:r>
        <w:rPr>
          <w:noProof/>
        </w:rPr>
        <w:t>Le tableau ci-dessous indique la répartition des renforcements, en crédits d’engagement et de p</w:t>
      </w:r>
      <w:r>
        <w:rPr>
          <w:noProof/>
        </w:rPr>
        <w:t>aiement, demandés dans le présent PBR sous la rubrique 4:</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1701"/>
        <w:gridCol w:w="1701"/>
      </w:tblGrid>
      <w:tr w:rsidR="00131464">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Ligne budgétaire</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Intitulé</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d’engagement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 paiement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21 03 01 03</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Pays méditerranéens - Mesures propres à instaurer la confiance, sécurité et prévention et règlement des conflits</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300 000 000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center"/>
              <w:rPr>
                <w:noProof/>
                <w:sz w:val="20"/>
                <w:szCs w:val="20"/>
              </w:rPr>
            </w:pPr>
            <w:r>
              <w:rPr>
                <w:noProof/>
                <w:sz w:val="20"/>
              </w:rPr>
              <w: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23 02 01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Mise à disposition rapide et efficace d’une aide humanitaire et d’une aide alimentaire en fonction des besoins</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center"/>
              <w:rPr>
                <w:noProof/>
                <w:sz w:val="20"/>
                <w:szCs w:val="20"/>
              </w:rPr>
            </w:pPr>
            <w:r>
              <w:rPr>
                <w:noProof/>
                <w:sz w:val="20"/>
              </w:rPr>
              <w:t>-</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55 736 000</w:t>
            </w:r>
          </w:p>
        </w:tc>
      </w:tr>
      <w:tr w:rsidR="00131464">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tabs>
                <w:tab w:val="left" w:pos="975"/>
              </w:tabs>
              <w:spacing w:before="15" w:after="15"/>
              <w:jc w:val="both"/>
              <w:rPr>
                <w:b/>
                <w:noProof/>
                <w:sz w:val="20"/>
                <w:szCs w:val="20"/>
              </w:rPr>
            </w:pPr>
            <w:r>
              <w:rPr>
                <w:b/>
                <w:noProof/>
                <w:sz w:val="20"/>
              </w:rPr>
              <w:t>Total</w:t>
            </w:r>
            <w:r>
              <w:rPr>
                <w:noProof/>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300 000 000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55 736 000</w:t>
            </w:r>
          </w:p>
        </w:tc>
      </w:tr>
    </w:tbl>
    <w:p w:rsidR="00131464" w:rsidRDefault="000C00AC">
      <w:pPr>
        <w:spacing w:before="120" w:after="120"/>
        <w:jc w:val="both"/>
        <w:rPr>
          <w:b/>
          <w:noProof/>
        </w:rPr>
      </w:pPr>
      <w:r>
        <w:rPr>
          <w:b/>
          <w:noProof/>
        </w:rPr>
        <w:t>3.3</w:t>
      </w:r>
      <w:r>
        <w:rPr>
          <w:noProof/>
        </w:rPr>
        <w:tab/>
      </w:r>
      <w:r>
        <w:rPr>
          <w:b/>
          <w:noProof/>
        </w:rPr>
        <w:t xml:space="preserve">Redéploiement, recours aux marges et mobilisation de l’instrument de </w:t>
      </w:r>
      <w:r>
        <w:rPr>
          <w:b/>
          <w:noProof/>
        </w:rPr>
        <w:t>flexibilité</w:t>
      </w:r>
    </w:p>
    <w:p w:rsidR="00131464" w:rsidRDefault="000C00AC">
      <w:pPr>
        <w:spacing w:before="120" w:after="120"/>
        <w:jc w:val="both"/>
        <w:rPr>
          <w:noProof/>
        </w:rPr>
      </w:pPr>
      <w:r>
        <w:rPr>
          <w:noProof/>
        </w:rPr>
        <w:t>Après avoir minutieusement examiné les possibilités de réaffecter des crédits au sein du budget 2015, tant en engagements qu'en paiements, la Commission a déterminé les sources de redéploiement suivantes:</w:t>
      </w:r>
    </w:p>
    <w:p w:rsidR="00131464" w:rsidRDefault="000C00AC">
      <w:pPr>
        <w:spacing w:before="120" w:after="120"/>
        <w:jc w:val="both"/>
        <w:rPr>
          <w:i/>
          <w:noProof/>
        </w:rPr>
      </w:pPr>
      <w:r>
        <w:rPr>
          <w:i/>
          <w:noProof/>
        </w:rPr>
        <w:t>3.3.1</w:t>
      </w:r>
      <w:r>
        <w:rPr>
          <w:noProof/>
        </w:rPr>
        <w:tab/>
      </w:r>
      <w:r>
        <w:rPr>
          <w:i/>
          <w:noProof/>
        </w:rPr>
        <w:t>Fonds européen agricole pour le d</w:t>
      </w:r>
      <w:r>
        <w:rPr>
          <w:i/>
          <w:noProof/>
        </w:rPr>
        <w:t>éveloppement rural (Feader) et Fonds européen de garantie agricole (FEAGA)</w:t>
      </w:r>
    </w:p>
    <w:p w:rsidR="00131464" w:rsidRDefault="000C00AC">
      <w:pPr>
        <w:spacing w:before="120" w:after="120"/>
        <w:jc w:val="both"/>
        <w:rPr>
          <w:noProof/>
        </w:rPr>
      </w:pPr>
      <w:r>
        <w:rPr>
          <w:noProof/>
        </w:rPr>
        <w:t>Dans le contexte de l’appel à candidatures qui s’est clôturé le 31 juillet 2015, aucune demande se rapportant au Feader n'a été présentée par les États membres pour l’assistance mul</w:t>
      </w:r>
      <w:r>
        <w:rPr>
          <w:noProof/>
        </w:rPr>
        <w:t>tirégionale au titre de la plateforme d’assistance technique. En outre, les crédits d’engagement requis pour le Helpdesk Évaluation relevant du réseau européen de développement rural (REDR) sont moins élevés que prévu à l'origine.</w:t>
      </w:r>
    </w:p>
    <w:p w:rsidR="00131464" w:rsidRDefault="000C00AC">
      <w:pPr>
        <w:spacing w:before="120" w:after="120"/>
        <w:jc w:val="both"/>
        <w:rPr>
          <w:noProof/>
        </w:rPr>
      </w:pPr>
      <w:r>
        <w:rPr>
          <w:noProof/>
        </w:rPr>
        <w:t xml:space="preserve">Dans le cas du FEAGA, un </w:t>
      </w:r>
      <w:r>
        <w:rPr>
          <w:noProof/>
        </w:rPr>
        <w:t>certain nombre de missions d’audit initialement prévues pour 2015 ont été reprogrammées et le nombre des mesures mises en œuvre dans le cadre du plan de communication externe était inférieur aux prévisions.</w:t>
      </w:r>
    </w:p>
    <w:p w:rsidR="00131464" w:rsidRDefault="000C00AC">
      <w:pPr>
        <w:spacing w:before="120" w:after="120"/>
        <w:jc w:val="both"/>
        <w:rPr>
          <w:noProof/>
        </w:rPr>
      </w:pPr>
      <w:r>
        <w:rPr>
          <w:noProof/>
        </w:rPr>
        <w:t>En conséquence, il est proposé de redéployer 7,4 </w:t>
      </w:r>
      <w:r>
        <w:rPr>
          <w:noProof/>
        </w:rPr>
        <w:t>millions d’EUR en crédits d’engagement et 0,9 million d’EUR en crédits de paiement.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1701"/>
        <w:gridCol w:w="1701"/>
      </w:tblGrid>
      <w:tr w:rsidR="00131464">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Ligne budgétaire</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Intitulé</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d’engagement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 paiement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05 04 60 02</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Assistance technique opérationnelle (Feader)</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-6 500 000</w:t>
            </w:r>
          </w:p>
        </w:tc>
        <w:tc>
          <w:tcPr>
            <w:tcW w:w="1701" w:type="dxa"/>
            <w:tcBorders>
              <w:top w:val="single" w:sz="4" w:space="0" w:color="auto"/>
              <w:left w:val="single" w:sz="4" w:space="0" w:color="auto"/>
              <w:bottom w:val="single" w:sz="4" w:space="0" w:color="auto"/>
              <w:right w:val="single" w:sz="4" w:space="0" w:color="auto"/>
            </w:tcBorders>
          </w:tcPr>
          <w:p w:rsidR="00131464" w:rsidRDefault="00131464">
            <w:pPr>
              <w:widowControl w:val="0"/>
              <w:spacing w:before="15" w:after="15"/>
              <w:jc w:val="right"/>
              <w:rPr>
                <w:noProof/>
                <w:sz w:val="20"/>
                <w:szCs w:val="20"/>
              </w:rPr>
            </w:pP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05 08 06</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Actions d'information sur</w:t>
            </w:r>
            <w:r>
              <w:rPr>
                <w:noProof/>
                <w:sz w:val="20"/>
              </w:rPr>
              <w:t xml:space="preserve"> la politique agricole commune</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-100 000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-100 000</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05 08 09</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Fonds européen agricole de garantie (FEAGA) — Assistance technique opérationnelle</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-800 000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-800 000</w:t>
            </w:r>
          </w:p>
        </w:tc>
      </w:tr>
      <w:tr w:rsidR="00131464">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tabs>
                <w:tab w:val="left" w:pos="975"/>
              </w:tabs>
              <w:spacing w:before="15" w:after="15"/>
              <w:jc w:val="both"/>
              <w:rPr>
                <w:b/>
                <w:noProof/>
                <w:sz w:val="20"/>
                <w:szCs w:val="20"/>
              </w:rPr>
            </w:pPr>
            <w:r>
              <w:rPr>
                <w:b/>
                <w:noProof/>
                <w:sz w:val="20"/>
              </w:rPr>
              <w:t>Total</w:t>
            </w:r>
            <w:r>
              <w:rPr>
                <w:noProof/>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-7 400 000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-900 000</w:t>
            </w:r>
          </w:p>
        </w:tc>
      </w:tr>
    </w:tbl>
    <w:p w:rsidR="00131464" w:rsidRDefault="000C00AC">
      <w:pPr>
        <w:spacing w:before="120" w:after="120"/>
        <w:jc w:val="both"/>
        <w:rPr>
          <w:i/>
          <w:noProof/>
        </w:rPr>
      </w:pPr>
      <w:r>
        <w:rPr>
          <w:i/>
          <w:noProof/>
        </w:rPr>
        <w:t>3.3.2</w:t>
      </w:r>
      <w:r>
        <w:rPr>
          <w:noProof/>
        </w:rPr>
        <w:tab/>
      </w:r>
      <w:r>
        <w:rPr>
          <w:i/>
          <w:noProof/>
        </w:rPr>
        <w:t>Fonds européen pour les affaires maritimes et la pêche (FEAMP)</w:t>
      </w:r>
    </w:p>
    <w:p w:rsidR="00131464" w:rsidRDefault="000C00AC">
      <w:pPr>
        <w:autoSpaceDE w:val="0"/>
        <w:autoSpaceDN w:val="0"/>
        <w:adjustRightInd w:val="0"/>
        <w:spacing w:before="120" w:after="120"/>
        <w:jc w:val="both"/>
        <w:rPr>
          <w:noProof/>
        </w:rPr>
      </w:pPr>
      <w:r>
        <w:rPr>
          <w:noProof/>
        </w:rPr>
        <w:t>L’adoption tardive de la base légale a retardé l'exécution de dépenses opérationnelles du FEAMP relevant de la gestion directe.</w:t>
      </w:r>
    </w:p>
    <w:p w:rsidR="00131464" w:rsidRDefault="000C00AC">
      <w:pPr>
        <w:autoSpaceDE w:val="0"/>
        <w:autoSpaceDN w:val="0"/>
        <w:adjustRightInd w:val="0"/>
        <w:spacing w:before="120" w:after="120"/>
        <w:jc w:val="both"/>
        <w:rPr>
          <w:noProof/>
        </w:rPr>
      </w:pPr>
      <w:r>
        <w:rPr>
          <w:noProof/>
        </w:rPr>
        <w:t>À la suite de retards et de la prolongation de la durée d’un certain nombre de mesures, parmi lesquelles la création de conseil</w:t>
      </w:r>
      <w:r>
        <w:rPr>
          <w:noProof/>
        </w:rPr>
        <w:t>s consultatifs, la signature de contrats et l’organisation de conférences et de manifestations, un montant de 1,7 million d’EUR en crédits d’engagement peut être libéré pour des lignes de dépenses comportant des crédits dissociés dans le cadre de la gestio</w:t>
      </w:r>
      <w:r>
        <w:rPr>
          <w:noProof/>
        </w:rPr>
        <w:t>n directe.</w:t>
      </w:r>
    </w:p>
    <w:p w:rsidR="00131464" w:rsidRDefault="000C00AC">
      <w:pPr>
        <w:autoSpaceDE w:val="0"/>
        <w:autoSpaceDN w:val="0"/>
        <w:adjustRightInd w:val="0"/>
        <w:spacing w:before="120" w:after="120"/>
        <w:jc w:val="both"/>
        <w:rPr>
          <w:noProof/>
        </w:rPr>
      </w:pPr>
      <w:r>
        <w:rPr>
          <w:noProof/>
        </w:rPr>
        <w:t xml:space="preserve">Pour les mêmes raisons, il est possible de réduire le budget des dépenses administratives et d’appui (poste 11 01 04 01) et la contribution à l’Agence exécutive pour les petites et moyennes entreprises (poste 11 01 06 01). Comme ces deux lignes </w:t>
      </w:r>
      <w:r>
        <w:rPr>
          <w:noProof/>
        </w:rPr>
        <w:t>financent des dépenses au moyen de crédits non dissociés, le montant correspondant, soit 0,3 million d'EUR, devient disponible en crédits d'engagement et en crédits de paiement.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1701"/>
        <w:gridCol w:w="1701"/>
      </w:tblGrid>
      <w:tr w:rsidR="00131464">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Ligne budgétaire</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Intitulé</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d’engagement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 paiement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 xml:space="preserve">11 01 04 </w:t>
            </w:r>
            <w:r>
              <w:rPr>
                <w:noProof/>
                <w:sz w:val="20"/>
              </w:rPr>
              <w:t>01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Dépenses d’appui pour les affaires maritimes et la pêche – Assistance technique et administrative non opérationnelle</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-207 000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-207 000</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11 01 06 01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 xml:space="preserve">Agence exécutive pour les petites et moyennes entreprises – Contribution du Fonds européen pour les </w:t>
            </w:r>
            <w:r>
              <w:rPr>
                <w:noProof/>
                <w:sz w:val="20"/>
              </w:rPr>
              <w:t>affaires maritimes et la pêche (FEAMP)</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-92 000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-92 000</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11 06 61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Favoriser l'élaboration et la mise en œuvre de la politique maritime intégrée de l'Union</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-200 000</w:t>
            </w:r>
          </w:p>
        </w:tc>
        <w:tc>
          <w:tcPr>
            <w:tcW w:w="1701" w:type="dxa"/>
            <w:tcBorders>
              <w:top w:val="single" w:sz="4" w:space="0" w:color="auto"/>
              <w:left w:val="single" w:sz="4" w:space="0" w:color="auto"/>
              <w:bottom w:val="single" w:sz="4" w:space="0" w:color="auto"/>
              <w:right w:val="single" w:sz="4" w:space="0" w:color="auto"/>
            </w:tcBorders>
          </w:tcPr>
          <w:p w:rsidR="00131464" w:rsidRDefault="00131464">
            <w:pPr>
              <w:widowControl w:val="0"/>
              <w:spacing w:before="15" w:after="15"/>
              <w:jc w:val="right"/>
              <w:rPr>
                <w:noProof/>
                <w:sz w:val="20"/>
                <w:szCs w:val="20"/>
              </w:rPr>
            </w:pP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11 06 62 01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Avis et connaissances scientifiques</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-630 000</w:t>
            </w:r>
          </w:p>
        </w:tc>
        <w:tc>
          <w:tcPr>
            <w:tcW w:w="1701" w:type="dxa"/>
            <w:tcBorders>
              <w:top w:val="single" w:sz="4" w:space="0" w:color="auto"/>
              <w:left w:val="single" w:sz="4" w:space="0" w:color="auto"/>
              <w:bottom w:val="single" w:sz="4" w:space="0" w:color="auto"/>
              <w:right w:val="single" w:sz="4" w:space="0" w:color="auto"/>
            </w:tcBorders>
          </w:tcPr>
          <w:p w:rsidR="00131464" w:rsidRDefault="00131464">
            <w:pPr>
              <w:widowControl w:val="0"/>
              <w:spacing w:before="15" w:after="15"/>
              <w:jc w:val="right"/>
              <w:rPr>
                <w:noProof/>
                <w:sz w:val="20"/>
                <w:szCs w:val="20"/>
              </w:rPr>
            </w:pP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11 06 62 04</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 xml:space="preserve">Gouvernance et </w:t>
            </w:r>
            <w:r>
              <w:rPr>
                <w:noProof/>
                <w:sz w:val="20"/>
              </w:rPr>
              <w:t>communication</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-482 000</w:t>
            </w:r>
          </w:p>
        </w:tc>
        <w:tc>
          <w:tcPr>
            <w:tcW w:w="1701" w:type="dxa"/>
            <w:tcBorders>
              <w:top w:val="single" w:sz="4" w:space="0" w:color="auto"/>
              <w:left w:val="single" w:sz="4" w:space="0" w:color="auto"/>
              <w:bottom w:val="single" w:sz="4" w:space="0" w:color="auto"/>
              <w:right w:val="single" w:sz="4" w:space="0" w:color="auto"/>
            </w:tcBorders>
          </w:tcPr>
          <w:p w:rsidR="00131464" w:rsidRDefault="00131464">
            <w:pPr>
              <w:widowControl w:val="0"/>
              <w:spacing w:before="15" w:after="15"/>
              <w:jc w:val="right"/>
              <w:rPr>
                <w:noProof/>
                <w:sz w:val="20"/>
                <w:szCs w:val="20"/>
              </w:rPr>
            </w:pP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11 06 62 05</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Règles concernant les informations sur le marché</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-399 000</w:t>
            </w:r>
          </w:p>
        </w:tc>
        <w:tc>
          <w:tcPr>
            <w:tcW w:w="1701" w:type="dxa"/>
            <w:tcBorders>
              <w:top w:val="single" w:sz="4" w:space="0" w:color="auto"/>
              <w:left w:val="single" w:sz="4" w:space="0" w:color="auto"/>
              <w:bottom w:val="single" w:sz="4" w:space="0" w:color="auto"/>
              <w:right w:val="single" w:sz="4" w:space="0" w:color="auto"/>
            </w:tcBorders>
          </w:tcPr>
          <w:p w:rsidR="00131464" w:rsidRDefault="00131464">
            <w:pPr>
              <w:widowControl w:val="0"/>
              <w:spacing w:before="15" w:after="15"/>
              <w:jc w:val="right"/>
              <w:rPr>
                <w:noProof/>
                <w:sz w:val="20"/>
                <w:szCs w:val="20"/>
              </w:rPr>
            </w:pPr>
          </w:p>
        </w:tc>
      </w:tr>
      <w:tr w:rsidR="00131464">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tabs>
                <w:tab w:val="left" w:pos="975"/>
              </w:tabs>
              <w:spacing w:before="15" w:after="15"/>
              <w:jc w:val="both"/>
              <w:rPr>
                <w:b/>
                <w:noProof/>
                <w:sz w:val="20"/>
                <w:szCs w:val="20"/>
              </w:rPr>
            </w:pPr>
            <w:r>
              <w:rPr>
                <w:b/>
                <w:noProof/>
                <w:sz w:val="20"/>
              </w:rPr>
              <w:t>Total</w:t>
            </w:r>
            <w:r>
              <w:rPr>
                <w:noProof/>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-2 010 000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-299 000</w:t>
            </w:r>
          </w:p>
        </w:tc>
      </w:tr>
    </w:tbl>
    <w:p w:rsidR="00131464" w:rsidRDefault="000C00AC">
      <w:pPr>
        <w:spacing w:before="120" w:after="120"/>
        <w:jc w:val="both"/>
        <w:rPr>
          <w:i/>
          <w:noProof/>
        </w:rPr>
      </w:pPr>
      <w:bookmarkStart w:id="23" w:name="_Toc399926626"/>
      <w:bookmarkStart w:id="24" w:name="_Toc430865952"/>
      <w:bookmarkStart w:id="25" w:name="_Toc430867530"/>
      <w:r>
        <w:rPr>
          <w:i/>
          <w:noProof/>
        </w:rPr>
        <w:t>3.3.3</w:t>
      </w:r>
      <w:r>
        <w:rPr>
          <w:noProof/>
        </w:rPr>
        <w:tab/>
      </w:r>
      <w:r>
        <w:rPr>
          <w:i/>
          <w:noProof/>
        </w:rPr>
        <w:t>Accords de partenariat dans le domaine de la pêche durable</w:t>
      </w:r>
    </w:p>
    <w:bookmarkEnd w:id="23"/>
    <w:bookmarkEnd w:id="24"/>
    <w:bookmarkEnd w:id="25"/>
    <w:p w:rsidR="00131464" w:rsidRDefault="000C00AC">
      <w:pPr>
        <w:autoSpaceDE w:val="0"/>
        <w:autoSpaceDN w:val="0"/>
        <w:adjustRightInd w:val="0"/>
        <w:spacing w:before="120" w:after="120"/>
        <w:jc w:val="both"/>
        <w:rPr>
          <w:noProof/>
        </w:rPr>
      </w:pPr>
      <w:r>
        <w:rPr>
          <w:noProof/>
        </w:rPr>
        <w:t xml:space="preserve">Après une analyse détaillée de l’état des négociations se </w:t>
      </w:r>
      <w:r>
        <w:rPr>
          <w:noProof/>
        </w:rPr>
        <w:t>rapportant aux accords de partenariat dans le domaine de la pêche durable et une évaluation des dates d’entrée en vigueur possibles, des montants de 13,7 millions d’EUR en crédits d’engagement et de 18,6 millions d’EUR en crédits de paiement peuvent être l</w:t>
      </w:r>
      <w:r>
        <w:rPr>
          <w:noProof/>
        </w:rPr>
        <w:t>ibérés de la réserve et sont disponibles pour redéploiement.</w:t>
      </w:r>
    </w:p>
    <w:p w:rsidR="00131464" w:rsidRDefault="000C00AC">
      <w:pPr>
        <w:autoSpaceDE w:val="0"/>
        <w:autoSpaceDN w:val="0"/>
        <w:adjustRightInd w:val="0"/>
        <w:spacing w:before="120" w:after="120"/>
        <w:jc w:val="both"/>
        <w:rPr>
          <w:noProof/>
        </w:rPr>
      </w:pPr>
      <w:r>
        <w:rPr>
          <w:noProof/>
        </w:rPr>
        <w:t>Par ailleurs, les contributions demandées par certaines organisations internationales ont été moins élevées que prévu initialement, ce qui permet de libérer 1,7 million d’EUR en crédits d’engagem</w:t>
      </w:r>
      <w:r>
        <w:rPr>
          <w:noProof/>
        </w:rPr>
        <w:t>ent sur l’article 11 03 02.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1701"/>
        <w:gridCol w:w="1701"/>
      </w:tblGrid>
      <w:tr w:rsidR="00131464">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Ligne budgétaire</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Intitulé</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d’engagement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 paiement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11 03 02</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 xml:space="preserve">Promouvoir le développement durable pour la gestion des pêches et la gouvernance maritime, dans le respect des objectifs de la PCP (contributions </w:t>
            </w:r>
            <w:r>
              <w:rPr>
                <w:noProof/>
                <w:sz w:val="20"/>
              </w:rPr>
              <w:t>obligatoires aux organes internationaux)</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-1 720 000</w:t>
            </w:r>
          </w:p>
        </w:tc>
        <w:tc>
          <w:tcPr>
            <w:tcW w:w="1701" w:type="dxa"/>
            <w:tcBorders>
              <w:top w:val="single" w:sz="4" w:space="0" w:color="auto"/>
              <w:left w:val="single" w:sz="4" w:space="0" w:color="auto"/>
              <w:bottom w:val="single" w:sz="4" w:space="0" w:color="auto"/>
              <w:right w:val="single" w:sz="4" w:space="0" w:color="auto"/>
            </w:tcBorders>
          </w:tcPr>
          <w:p w:rsidR="00131464" w:rsidRDefault="00131464">
            <w:pPr>
              <w:widowControl w:val="0"/>
              <w:spacing w:before="15" w:after="15"/>
              <w:jc w:val="right"/>
              <w:rPr>
                <w:noProof/>
                <w:sz w:val="20"/>
                <w:szCs w:val="20"/>
              </w:rPr>
            </w:pP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40 02 41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Réserve pour les accords de partenariat dans le domaine de la pêche durable</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-13 711 765</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-18 611 765</w:t>
            </w:r>
          </w:p>
        </w:tc>
      </w:tr>
      <w:tr w:rsidR="00131464">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tabs>
                <w:tab w:val="left" w:pos="975"/>
              </w:tabs>
              <w:spacing w:before="15" w:after="15"/>
              <w:jc w:val="both"/>
              <w:rPr>
                <w:b/>
                <w:noProof/>
                <w:sz w:val="20"/>
                <w:szCs w:val="20"/>
              </w:rPr>
            </w:pPr>
            <w:r>
              <w:rPr>
                <w:b/>
                <w:noProof/>
                <w:sz w:val="20"/>
              </w:rPr>
              <w:t>Total</w:t>
            </w:r>
            <w:r>
              <w:rPr>
                <w:noProof/>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-15 431 765</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-18 611 765</w:t>
            </w:r>
          </w:p>
        </w:tc>
      </w:tr>
    </w:tbl>
    <w:p w:rsidR="00131464" w:rsidRDefault="000C00AC">
      <w:pPr>
        <w:spacing w:before="120" w:after="120"/>
        <w:jc w:val="both"/>
        <w:rPr>
          <w:i/>
          <w:noProof/>
        </w:rPr>
      </w:pPr>
      <w:bookmarkStart w:id="26" w:name="_Toc430865953"/>
      <w:bookmarkStart w:id="27" w:name="_Toc430867531"/>
      <w:r>
        <w:rPr>
          <w:i/>
          <w:noProof/>
        </w:rPr>
        <w:t>3.3.4</w:t>
      </w:r>
      <w:r>
        <w:rPr>
          <w:noProof/>
        </w:rPr>
        <w:tab/>
      </w:r>
      <w:r>
        <w:rPr>
          <w:i/>
          <w:noProof/>
        </w:rPr>
        <w:t>Sécurité des denrées alimentaires et des aliments pour</w:t>
      </w:r>
      <w:r>
        <w:rPr>
          <w:i/>
          <w:noProof/>
        </w:rPr>
        <w:t xml:space="preserve"> animaux, santé et bien-être des animaux et domaine phytosanitaire</w:t>
      </w:r>
    </w:p>
    <w:p w:rsidR="00131464" w:rsidRDefault="000C00AC">
      <w:pPr>
        <w:spacing w:before="120" w:after="120"/>
        <w:jc w:val="both"/>
        <w:rPr>
          <w:noProof/>
        </w:rPr>
      </w:pPr>
      <w:r>
        <w:rPr>
          <w:noProof/>
        </w:rPr>
        <w:t xml:space="preserve">Un montant de 2,4 millions d’EUR en crédits d’engagement peut être mis à disposition à partir de l’article 17 04 02 «Veiller à la détection à temps des organismes nuisibles aux végétaux et </w:t>
      </w:r>
      <w:r>
        <w:rPr>
          <w:noProof/>
        </w:rPr>
        <w:t>à leur éradication». En effet, les demandes émanant des États membres au titre des mesures visant à prévenir les dégâts causés par la bactérie Xylella fastidiosa ont été moins nombreuses que prévu.</w:t>
      </w:r>
    </w:p>
    <w:p w:rsidR="00131464" w:rsidRDefault="000C00AC">
      <w:pPr>
        <w:spacing w:before="120" w:after="120"/>
        <w:jc w:val="both"/>
        <w:rPr>
          <w:noProof/>
        </w:rPr>
      </w:pPr>
      <w:r>
        <w:rPr>
          <w:noProof/>
        </w:rPr>
        <w:t>En outre, des montants de 9,6 millions d’EUR en crédits d’</w:t>
      </w:r>
      <w:r>
        <w:rPr>
          <w:noProof/>
        </w:rPr>
        <w:t>engagement et 3,5 millions d’EUR en crédits de paiement peuvent être mis à disposition à partir de l’article 17 04 04 «Fonds pour les mesures d’urgence liées à la santé animale et végétale». Ce fonds couvre la contribution de l’Union visant à permettre d’é</w:t>
      </w:r>
      <w:r>
        <w:rPr>
          <w:noProof/>
        </w:rPr>
        <w:t>radiquer rapidement les maladies animales infectieuses graves et de lutter contre les maladies et organismes nuisibles pour les végétaux. La situation zoosanitaire et phytosanitaire étant favorable en 2015, le nombre des demandes des États membres est moin</w:t>
      </w:r>
      <w:r>
        <w:rPr>
          <w:noProof/>
        </w:rPr>
        <w:t>s élevé que prévu initialement.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1701"/>
        <w:gridCol w:w="1701"/>
      </w:tblGrid>
      <w:tr w:rsidR="00131464">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Ligne budgétaire</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Intitulé</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d’engagement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 paiement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17 04 02</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Veiller à la détection à temps des organismes nuisibles aux végétaux et à leur éradication</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-2 400 000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17 04 04</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 xml:space="preserve">Fonds pour les mesures d’urgence </w:t>
            </w:r>
            <w:r>
              <w:rPr>
                <w:noProof/>
                <w:sz w:val="20"/>
              </w:rPr>
              <w:t>liées à la santé animale et végétale</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-9 600 000</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-3 500 000</w:t>
            </w:r>
          </w:p>
        </w:tc>
      </w:tr>
      <w:tr w:rsidR="00131464">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tabs>
                <w:tab w:val="left" w:pos="975"/>
              </w:tabs>
              <w:spacing w:before="15" w:after="15"/>
              <w:jc w:val="both"/>
              <w:rPr>
                <w:b/>
                <w:noProof/>
                <w:sz w:val="20"/>
                <w:szCs w:val="20"/>
              </w:rPr>
            </w:pPr>
            <w:r>
              <w:rPr>
                <w:b/>
                <w:noProof/>
                <w:sz w:val="20"/>
              </w:rPr>
              <w:t>Total</w:t>
            </w:r>
            <w:r>
              <w:rPr>
                <w:noProof/>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-12 000 000</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-3 500 000</w:t>
            </w:r>
          </w:p>
        </w:tc>
      </w:tr>
    </w:tbl>
    <w:p w:rsidR="00131464" w:rsidRDefault="000C00AC">
      <w:pPr>
        <w:spacing w:before="120" w:after="120"/>
        <w:jc w:val="both"/>
        <w:rPr>
          <w:i/>
          <w:noProof/>
        </w:rPr>
      </w:pPr>
      <w:r>
        <w:rPr>
          <w:i/>
          <w:noProof/>
        </w:rPr>
        <w:t>3.3.5</w:t>
      </w:r>
      <w:r>
        <w:rPr>
          <w:noProof/>
        </w:rPr>
        <w:tab/>
      </w:r>
      <w:r>
        <w:rPr>
          <w:i/>
          <w:noProof/>
        </w:rPr>
        <w:t>Fonds de solidarité de l'Union européenne</w:t>
      </w:r>
    </w:p>
    <w:bookmarkEnd w:id="26"/>
    <w:bookmarkEnd w:id="27"/>
    <w:p w:rsidR="00131464" w:rsidRDefault="000C00AC">
      <w:pPr>
        <w:spacing w:after="120"/>
        <w:jc w:val="both"/>
        <w:rPr>
          <w:noProof/>
        </w:rPr>
      </w:pPr>
      <w:r>
        <w:rPr>
          <w:noProof/>
        </w:rPr>
        <w:t xml:space="preserve">Il n'y a aucune demande en instance pour le Fonds de solidarité de l’Union européenne (FSUE). D'après les </w:t>
      </w:r>
      <w:r>
        <w:rPr>
          <w:noProof/>
        </w:rPr>
        <w:t>informations actuellement disponibles sur les catastrophes naturelles et compte tenu des délais nécessaires au traitement d’éventuelles demandes qui pourraient encore être reçues en 2015, le solde de 33,7 millions d’EUR en crédits d’engagement et de paieme</w:t>
      </w:r>
      <w:r>
        <w:rPr>
          <w:noProof/>
        </w:rPr>
        <w:t>nt au titre des avances du FSUE de 2015 peut être mis à disposition pour redéploiement.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1701"/>
        <w:gridCol w:w="1701"/>
      </w:tblGrid>
      <w:tr w:rsidR="00131464">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Ligne budgétaire</w:t>
            </w:r>
          </w:p>
        </w:tc>
        <w:tc>
          <w:tcPr>
            <w:tcW w:w="5245"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Intitulé</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d’engagement</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31464" w:rsidRDefault="000C00AC">
            <w:pPr>
              <w:widowControl w:val="0"/>
              <w:spacing w:before="15" w:after="15"/>
              <w:jc w:val="center"/>
              <w:rPr>
                <w:b/>
                <w:noProof/>
                <w:sz w:val="20"/>
                <w:szCs w:val="20"/>
              </w:rPr>
            </w:pPr>
            <w:r>
              <w:rPr>
                <w:b/>
                <w:noProof/>
                <w:sz w:val="20"/>
              </w:rPr>
              <w:t>Crédits de paiement</w:t>
            </w:r>
          </w:p>
        </w:tc>
      </w:tr>
      <w:tr w:rsidR="00131464">
        <w:tc>
          <w:tcPr>
            <w:tcW w:w="1276"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ind w:right="-113"/>
              <w:jc w:val="both"/>
              <w:rPr>
                <w:noProof/>
                <w:sz w:val="20"/>
                <w:szCs w:val="20"/>
              </w:rPr>
            </w:pPr>
            <w:r>
              <w:rPr>
                <w:noProof/>
                <w:sz w:val="20"/>
              </w:rPr>
              <w:t>13 06 01</w:t>
            </w:r>
          </w:p>
        </w:tc>
        <w:tc>
          <w:tcPr>
            <w:tcW w:w="5245" w:type="dxa"/>
            <w:tcBorders>
              <w:top w:val="single" w:sz="4" w:space="0" w:color="auto"/>
              <w:left w:val="single" w:sz="4" w:space="0" w:color="auto"/>
              <w:bottom w:val="single" w:sz="4" w:space="0" w:color="auto"/>
              <w:right w:val="single" w:sz="4" w:space="0" w:color="auto"/>
            </w:tcBorders>
          </w:tcPr>
          <w:p w:rsidR="00131464" w:rsidRDefault="000C00AC">
            <w:pPr>
              <w:widowControl w:val="0"/>
              <w:tabs>
                <w:tab w:val="left" w:pos="1350"/>
              </w:tabs>
              <w:spacing w:before="15" w:after="15"/>
              <w:jc w:val="both"/>
              <w:rPr>
                <w:noProof/>
                <w:sz w:val="20"/>
                <w:szCs w:val="20"/>
              </w:rPr>
            </w:pPr>
            <w:r>
              <w:rPr>
                <w:noProof/>
                <w:sz w:val="20"/>
              </w:rPr>
              <w:t xml:space="preserve">Assistance aux États membres en cas de catastrophe naturelle majeure ayant de graves </w:t>
            </w:r>
            <w:r>
              <w:rPr>
                <w:noProof/>
                <w:sz w:val="20"/>
              </w:rPr>
              <w:t>répercussions sur les conditions de vie, l’environnement naturel et l’économie</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-33 725 235</w:t>
            </w:r>
          </w:p>
        </w:tc>
        <w:tc>
          <w:tcPr>
            <w:tcW w:w="1701" w:type="dxa"/>
            <w:tcBorders>
              <w:top w:val="single" w:sz="4" w:space="0" w:color="auto"/>
              <w:left w:val="single" w:sz="4" w:space="0" w:color="auto"/>
              <w:bottom w:val="single" w:sz="4" w:space="0" w:color="auto"/>
              <w:right w:val="single" w:sz="4" w:space="0" w:color="auto"/>
            </w:tcBorders>
          </w:tcPr>
          <w:p w:rsidR="00131464" w:rsidRDefault="000C00AC">
            <w:pPr>
              <w:widowControl w:val="0"/>
              <w:spacing w:before="15" w:after="15"/>
              <w:jc w:val="right"/>
              <w:rPr>
                <w:noProof/>
                <w:sz w:val="20"/>
                <w:szCs w:val="20"/>
              </w:rPr>
            </w:pPr>
            <w:r>
              <w:rPr>
                <w:noProof/>
                <w:sz w:val="20"/>
              </w:rPr>
              <w:t>-33 725 235</w:t>
            </w:r>
          </w:p>
        </w:tc>
      </w:tr>
      <w:tr w:rsidR="00131464">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tabs>
                <w:tab w:val="left" w:pos="975"/>
              </w:tabs>
              <w:spacing w:before="15" w:after="15"/>
              <w:jc w:val="both"/>
              <w:rPr>
                <w:b/>
                <w:noProof/>
                <w:sz w:val="20"/>
                <w:szCs w:val="20"/>
              </w:rPr>
            </w:pPr>
            <w:r>
              <w:rPr>
                <w:b/>
                <w:noProof/>
                <w:sz w:val="20"/>
              </w:rPr>
              <w:t>Total</w:t>
            </w:r>
            <w:r>
              <w:rPr>
                <w:noProof/>
              </w:rPr>
              <w:tab/>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-33 725 235</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rsidR="00131464" w:rsidRDefault="000C00AC">
            <w:pPr>
              <w:widowControl w:val="0"/>
              <w:spacing w:before="15" w:after="15"/>
              <w:jc w:val="right"/>
              <w:rPr>
                <w:b/>
                <w:noProof/>
                <w:sz w:val="20"/>
                <w:szCs w:val="20"/>
              </w:rPr>
            </w:pPr>
            <w:r>
              <w:rPr>
                <w:b/>
                <w:noProof/>
                <w:sz w:val="20"/>
              </w:rPr>
              <w:t>-33 725 235</w:t>
            </w:r>
          </w:p>
        </w:tc>
      </w:tr>
    </w:tbl>
    <w:p w:rsidR="00131464" w:rsidRDefault="000C00AC">
      <w:pPr>
        <w:spacing w:before="120" w:after="120"/>
        <w:jc w:val="both"/>
        <w:rPr>
          <w:bCs/>
          <w:noProof/>
        </w:rPr>
      </w:pPr>
      <w:r>
        <w:rPr>
          <w:noProof/>
        </w:rPr>
        <w:t>Compte tenu de l'ensemble des redéploiements susmentionnés et des renforcements nécessaires, la Commission propose de mobiliser l’instrument de flexibilité pour un montant de 66,1 millions d’EUR sous la rubrique 3 (Sécurité et citoyenneté), après avoir épu</w:t>
      </w:r>
      <w:r>
        <w:rPr>
          <w:noProof/>
        </w:rPr>
        <w:t>isé la marge disponible (23,2 millions d’EUR), pour financer les mesures d’urgence au titre de l’AMIF et du FSI. La mobilisation de l’instrument de flexibilité est proposée dans un acte distinct.</w:t>
      </w:r>
    </w:p>
    <w:p w:rsidR="00131464" w:rsidRDefault="000C00AC">
      <w:pPr>
        <w:spacing w:before="120" w:after="120"/>
        <w:jc w:val="both"/>
        <w:rPr>
          <w:noProof/>
        </w:rPr>
      </w:pPr>
      <w:r>
        <w:rPr>
          <w:noProof/>
        </w:rPr>
        <w:t>La marge disponible sous le plafond des dépenses de la rubri</w:t>
      </w:r>
      <w:r>
        <w:rPr>
          <w:noProof/>
        </w:rPr>
        <w:t>que 4 (L’Europe dans le monde) est suffisante pour couvrir les crédits d’engagement supplémentaires en faveur de l’instrument européen de voisinage.</w:t>
      </w:r>
    </w:p>
    <w:p w:rsidR="00131464" w:rsidRDefault="000C00AC">
      <w:pPr>
        <w:rPr>
          <w:b/>
          <w:smallCaps/>
          <w:noProof/>
        </w:rPr>
      </w:pPr>
      <w:bookmarkStart w:id="28" w:name="_Toc400011652"/>
      <w:bookmarkStart w:id="29" w:name="_Toc418618202"/>
      <w:bookmarkStart w:id="30" w:name="_Toc430865954"/>
      <w:bookmarkStart w:id="31" w:name="_Toc430867532"/>
      <w:r>
        <w:rPr>
          <w:noProof/>
        </w:rPr>
        <w:br w:type="page"/>
      </w:r>
    </w:p>
    <w:p w:rsidR="00131464" w:rsidRDefault="000C00AC">
      <w:pPr>
        <w:pStyle w:val="ManualHeading1"/>
        <w:spacing w:before="120"/>
        <w:ind w:left="0" w:firstLine="0"/>
        <w:rPr>
          <w:noProof/>
        </w:rPr>
      </w:pPr>
      <w:bookmarkStart w:id="32" w:name="_Toc430951515"/>
      <w:bookmarkStart w:id="33" w:name="_Toc431553449"/>
      <w:r>
        <w:rPr>
          <w:noProof/>
        </w:rPr>
        <w:t>4</w:t>
      </w:r>
      <w:r>
        <w:rPr>
          <w:noProof/>
        </w:rPr>
        <w:t>.</w:t>
      </w:r>
      <w:r>
        <w:rPr>
          <w:noProof/>
        </w:rPr>
        <w:tab/>
        <w:t>Tableau récapitulatif par rubrique du CFP</w:t>
      </w:r>
      <w:bookmarkEnd w:id="28"/>
      <w:bookmarkEnd w:id="29"/>
      <w:bookmarkEnd w:id="30"/>
      <w:bookmarkEnd w:id="31"/>
      <w:bookmarkEnd w:id="32"/>
      <w:bookmarkEnd w:id="33"/>
    </w:p>
    <w:tbl>
      <w:tblPr>
        <w:tblW w:w="10504" w:type="dxa"/>
        <w:jc w:val="center"/>
        <w:tblInd w:w="93" w:type="dxa"/>
        <w:tblLook w:val="04A0" w:firstRow="1" w:lastRow="0" w:firstColumn="1" w:lastColumn="0" w:noHBand="0" w:noVBand="1"/>
      </w:tblPr>
      <w:tblGrid>
        <w:gridCol w:w="376"/>
        <w:gridCol w:w="2474"/>
        <w:gridCol w:w="1366"/>
        <w:gridCol w:w="1327"/>
        <w:gridCol w:w="1134"/>
        <w:gridCol w:w="1134"/>
        <w:gridCol w:w="1366"/>
        <w:gridCol w:w="1327"/>
      </w:tblGrid>
      <w:tr w:rsidR="00131464">
        <w:trPr>
          <w:trHeight w:val="300"/>
          <w:jc w:val="center"/>
        </w:trPr>
        <w:tc>
          <w:tcPr>
            <w:tcW w:w="2850"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rsidR="00131464" w:rsidRDefault="000C00AC">
            <w:pPr>
              <w:jc w:val="center"/>
              <w:rPr>
                <w:b/>
                <w:bCs/>
                <w:noProof/>
                <w:color w:val="000000"/>
                <w:sz w:val="16"/>
                <w:szCs w:val="16"/>
              </w:rPr>
            </w:pPr>
            <w:r>
              <w:rPr>
                <w:b/>
                <w:noProof/>
                <w:color w:val="000000"/>
                <w:sz w:val="16"/>
              </w:rPr>
              <w:t>Rubrique</w:t>
            </w:r>
          </w:p>
        </w:tc>
        <w:tc>
          <w:tcPr>
            <w:tcW w:w="2693" w:type="dxa"/>
            <w:gridSpan w:val="2"/>
            <w:tcBorders>
              <w:top w:val="single" w:sz="4" w:space="0" w:color="auto"/>
              <w:left w:val="nil"/>
              <w:bottom w:val="nil"/>
              <w:right w:val="single" w:sz="4" w:space="0" w:color="000000"/>
            </w:tcBorders>
            <w:shd w:val="clear" w:color="000000" w:fill="D9D9D9"/>
            <w:vAlign w:val="center"/>
            <w:hideMark/>
          </w:tcPr>
          <w:p w:rsidR="00131464" w:rsidRDefault="000C00AC">
            <w:pPr>
              <w:jc w:val="center"/>
              <w:rPr>
                <w:b/>
                <w:bCs/>
                <w:noProof/>
                <w:color w:val="000000"/>
                <w:sz w:val="16"/>
                <w:szCs w:val="16"/>
              </w:rPr>
            </w:pPr>
            <w:r>
              <w:rPr>
                <w:b/>
                <w:noProof/>
                <w:color w:val="000000"/>
                <w:sz w:val="16"/>
              </w:rPr>
              <w:t>Budget 2015</w:t>
            </w: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rsidR="00131464" w:rsidRDefault="000C00AC">
            <w:pPr>
              <w:jc w:val="center"/>
              <w:rPr>
                <w:b/>
                <w:bCs/>
                <w:noProof/>
                <w:color w:val="000000"/>
                <w:sz w:val="16"/>
                <w:szCs w:val="16"/>
              </w:rPr>
            </w:pPr>
            <w:r>
              <w:rPr>
                <w:b/>
                <w:noProof/>
                <w:color w:val="000000"/>
                <w:sz w:val="16"/>
              </w:rPr>
              <w:t>Projet de budget rectificatif 7/2015</w:t>
            </w:r>
          </w:p>
        </w:tc>
        <w:tc>
          <w:tcPr>
            <w:tcW w:w="2693" w:type="dxa"/>
            <w:gridSpan w:val="2"/>
            <w:tcBorders>
              <w:top w:val="single" w:sz="4" w:space="0" w:color="auto"/>
              <w:left w:val="nil"/>
              <w:bottom w:val="nil"/>
              <w:right w:val="single" w:sz="4" w:space="0" w:color="000000"/>
            </w:tcBorders>
            <w:shd w:val="clear" w:color="000000" w:fill="D9D9D9"/>
            <w:vAlign w:val="center"/>
            <w:hideMark/>
          </w:tcPr>
          <w:p w:rsidR="00131464" w:rsidRDefault="000C00AC">
            <w:pPr>
              <w:jc w:val="center"/>
              <w:rPr>
                <w:b/>
                <w:bCs/>
                <w:noProof/>
                <w:color w:val="000000"/>
                <w:sz w:val="16"/>
                <w:szCs w:val="16"/>
              </w:rPr>
            </w:pPr>
            <w:r>
              <w:rPr>
                <w:b/>
                <w:noProof/>
                <w:color w:val="000000"/>
                <w:sz w:val="16"/>
              </w:rPr>
              <w:t>Bu</w:t>
            </w:r>
            <w:r>
              <w:rPr>
                <w:b/>
                <w:noProof/>
                <w:color w:val="000000"/>
                <w:sz w:val="16"/>
              </w:rPr>
              <w:t>dget 2015</w:t>
            </w:r>
          </w:p>
        </w:tc>
      </w:tr>
      <w:tr w:rsidR="00131464">
        <w:trPr>
          <w:trHeight w:val="255"/>
          <w:jc w:val="center"/>
        </w:trPr>
        <w:tc>
          <w:tcPr>
            <w:tcW w:w="2850" w:type="dxa"/>
            <w:gridSpan w:val="2"/>
            <w:vMerge/>
            <w:tcBorders>
              <w:top w:val="single" w:sz="4" w:space="0" w:color="auto"/>
              <w:left w:val="single" w:sz="4" w:space="0" w:color="auto"/>
              <w:bottom w:val="nil"/>
              <w:right w:val="single" w:sz="4" w:space="0" w:color="000000"/>
            </w:tcBorders>
            <w:vAlign w:val="center"/>
            <w:hideMark/>
          </w:tcPr>
          <w:p w:rsidR="00131464" w:rsidRDefault="00131464">
            <w:pPr>
              <w:rPr>
                <w:b/>
                <w:bCs/>
                <w:noProof/>
                <w:color w:val="000000"/>
                <w:sz w:val="16"/>
                <w:szCs w:val="16"/>
              </w:rPr>
            </w:pPr>
          </w:p>
        </w:tc>
        <w:tc>
          <w:tcPr>
            <w:tcW w:w="2693" w:type="dxa"/>
            <w:gridSpan w:val="2"/>
            <w:tcBorders>
              <w:top w:val="nil"/>
              <w:left w:val="nil"/>
              <w:bottom w:val="single" w:sz="4" w:space="0" w:color="auto"/>
              <w:right w:val="single" w:sz="4" w:space="0" w:color="000000"/>
            </w:tcBorders>
            <w:shd w:val="clear" w:color="000000" w:fill="D9D9D9"/>
            <w:vAlign w:val="center"/>
            <w:hideMark/>
          </w:tcPr>
          <w:p w:rsidR="00131464" w:rsidRDefault="000C00AC">
            <w:pPr>
              <w:jc w:val="center"/>
              <w:rPr>
                <w:b/>
                <w:bCs/>
                <w:noProof/>
                <w:color w:val="000000"/>
                <w:sz w:val="16"/>
                <w:szCs w:val="16"/>
              </w:rPr>
            </w:pPr>
            <w:r>
              <w:rPr>
                <w:b/>
                <w:noProof/>
                <w:color w:val="000000"/>
                <w:sz w:val="16"/>
              </w:rPr>
              <w:t>(y compris BR 1 à 5 et PBR 6/2015)</w:t>
            </w:r>
          </w:p>
        </w:tc>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131464" w:rsidRDefault="00131464">
            <w:pPr>
              <w:rPr>
                <w:b/>
                <w:bCs/>
                <w:noProof/>
                <w:color w:val="000000"/>
                <w:sz w:val="16"/>
                <w:szCs w:val="16"/>
              </w:rPr>
            </w:pPr>
          </w:p>
        </w:tc>
        <w:tc>
          <w:tcPr>
            <w:tcW w:w="2693" w:type="dxa"/>
            <w:gridSpan w:val="2"/>
            <w:tcBorders>
              <w:top w:val="nil"/>
              <w:left w:val="nil"/>
              <w:bottom w:val="single" w:sz="4" w:space="0" w:color="auto"/>
              <w:right w:val="single" w:sz="4" w:space="0" w:color="000000"/>
            </w:tcBorders>
            <w:shd w:val="clear" w:color="000000" w:fill="D9D9D9"/>
            <w:vAlign w:val="center"/>
            <w:hideMark/>
          </w:tcPr>
          <w:p w:rsidR="00131464" w:rsidRDefault="000C00AC">
            <w:pPr>
              <w:jc w:val="center"/>
              <w:rPr>
                <w:b/>
                <w:bCs/>
                <w:noProof/>
                <w:color w:val="000000"/>
                <w:sz w:val="16"/>
                <w:szCs w:val="16"/>
              </w:rPr>
            </w:pPr>
            <w:r>
              <w:rPr>
                <w:b/>
                <w:noProof/>
                <w:color w:val="000000"/>
                <w:sz w:val="16"/>
              </w:rPr>
              <w:t>(y compris BR 1 à 5 et PBR 6 et 7/2015)</w:t>
            </w:r>
          </w:p>
        </w:tc>
      </w:tr>
      <w:tr w:rsidR="00131464">
        <w:trPr>
          <w:trHeight w:val="300"/>
          <w:jc w:val="center"/>
        </w:trPr>
        <w:tc>
          <w:tcPr>
            <w:tcW w:w="2850" w:type="dxa"/>
            <w:gridSpan w:val="2"/>
            <w:vMerge/>
            <w:tcBorders>
              <w:top w:val="single" w:sz="4" w:space="0" w:color="auto"/>
              <w:left w:val="single" w:sz="4" w:space="0" w:color="auto"/>
              <w:bottom w:val="nil"/>
              <w:right w:val="single" w:sz="4" w:space="0" w:color="000000"/>
            </w:tcBorders>
            <w:vAlign w:val="center"/>
            <w:hideMark/>
          </w:tcPr>
          <w:p w:rsidR="00131464" w:rsidRDefault="00131464">
            <w:pPr>
              <w:rPr>
                <w:b/>
                <w:bCs/>
                <w:noProof/>
                <w:color w:val="000000"/>
                <w:sz w:val="16"/>
                <w:szCs w:val="16"/>
              </w:rPr>
            </w:pPr>
          </w:p>
        </w:tc>
        <w:tc>
          <w:tcPr>
            <w:tcW w:w="1366" w:type="dxa"/>
            <w:tcBorders>
              <w:top w:val="nil"/>
              <w:left w:val="nil"/>
              <w:bottom w:val="nil"/>
              <w:right w:val="single" w:sz="4" w:space="0" w:color="auto"/>
            </w:tcBorders>
            <w:shd w:val="clear" w:color="000000" w:fill="D9D9D9"/>
            <w:vAlign w:val="center"/>
            <w:hideMark/>
          </w:tcPr>
          <w:p w:rsidR="00131464" w:rsidRDefault="000C00AC">
            <w:pPr>
              <w:jc w:val="center"/>
              <w:rPr>
                <w:b/>
                <w:bCs/>
                <w:noProof/>
                <w:color w:val="000000"/>
                <w:sz w:val="16"/>
                <w:szCs w:val="16"/>
              </w:rPr>
            </w:pPr>
            <w:r>
              <w:rPr>
                <w:b/>
                <w:noProof/>
                <w:color w:val="000000"/>
                <w:sz w:val="16"/>
              </w:rPr>
              <w:t>CE</w:t>
            </w:r>
          </w:p>
        </w:tc>
        <w:tc>
          <w:tcPr>
            <w:tcW w:w="1327" w:type="dxa"/>
            <w:tcBorders>
              <w:top w:val="nil"/>
              <w:left w:val="nil"/>
              <w:bottom w:val="single" w:sz="4" w:space="0" w:color="auto"/>
              <w:right w:val="single" w:sz="4" w:space="0" w:color="auto"/>
            </w:tcBorders>
            <w:shd w:val="clear" w:color="000000" w:fill="D9D9D9"/>
            <w:vAlign w:val="center"/>
            <w:hideMark/>
          </w:tcPr>
          <w:p w:rsidR="00131464" w:rsidRDefault="000C00AC">
            <w:pPr>
              <w:jc w:val="center"/>
              <w:rPr>
                <w:b/>
                <w:bCs/>
                <w:noProof/>
                <w:color w:val="000000"/>
                <w:sz w:val="16"/>
                <w:szCs w:val="16"/>
              </w:rPr>
            </w:pPr>
            <w:r>
              <w:rPr>
                <w:b/>
                <w:noProof/>
                <w:color w:val="000000"/>
                <w:sz w:val="16"/>
              </w:rPr>
              <w:t>CP</w:t>
            </w:r>
          </w:p>
        </w:tc>
        <w:tc>
          <w:tcPr>
            <w:tcW w:w="1134" w:type="dxa"/>
            <w:tcBorders>
              <w:top w:val="nil"/>
              <w:left w:val="nil"/>
              <w:bottom w:val="single" w:sz="4" w:space="0" w:color="auto"/>
              <w:right w:val="single" w:sz="4" w:space="0" w:color="auto"/>
            </w:tcBorders>
            <w:shd w:val="clear" w:color="000000" w:fill="D9D9D9"/>
            <w:vAlign w:val="center"/>
            <w:hideMark/>
          </w:tcPr>
          <w:p w:rsidR="00131464" w:rsidRDefault="000C00AC">
            <w:pPr>
              <w:jc w:val="center"/>
              <w:rPr>
                <w:b/>
                <w:bCs/>
                <w:noProof/>
                <w:color w:val="000000"/>
                <w:sz w:val="16"/>
                <w:szCs w:val="16"/>
              </w:rPr>
            </w:pPr>
            <w:r>
              <w:rPr>
                <w:b/>
                <w:noProof/>
                <w:color w:val="000000"/>
                <w:sz w:val="16"/>
              </w:rPr>
              <w:t>CE</w:t>
            </w:r>
          </w:p>
        </w:tc>
        <w:tc>
          <w:tcPr>
            <w:tcW w:w="1134" w:type="dxa"/>
            <w:tcBorders>
              <w:top w:val="nil"/>
              <w:left w:val="nil"/>
              <w:bottom w:val="single" w:sz="4" w:space="0" w:color="auto"/>
              <w:right w:val="single" w:sz="4" w:space="0" w:color="auto"/>
            </w:tcBorders>
            <w:shd w:val="clear" w:color="000000" w:fill="D9D9D9"/>
            <w:vAlign w:val="center"/>
            <w:hideMark/>
          </w:tcPr>
          <w:p w:rsidR="00131464" w:rsidRDefault="000C00AC">
            <w:pPr>
              <w:jc w:val="center"/>
              <w:rPr>
                <w:b/>
                <w:bCs/>
                <w:noProof/>
                <w:color w:val="000000"/>
                <w:sz w:val="16"/>
                <w:szCs w:val="16"/>
              </w:rPr>
            </w:pPr>
            <w:r>
              <w:rPr>
                <w:b/>
                <w:noProof/>
                <w:color w:val="000000"/>
                <w:sz w:val="16"/>
              </w:rPr>
              <w:t>CP</w:t>
            </w:r>
          </w:p>
        </w:tc>
        <w:tc>
          <w:tcPr>
            <w:tcW w:w="1366" w:type="dxa"/>
            <w:tcBorders>
              <w:top w:val="nil"/>
              <w:left w:val="nil"/>
              <w:bottom w:val="single" w:sz="4" w:space="0" w:color="auto"/>
              <w:right w:val="single" w:sz="4" w:space="0" w:color="auto"/>
            </w:tcBorders>
            <w:shd w:val="clear" w:color="000000" w:fill="D9D9D9"/>
            <w:vAlign w:val="center"/>
            <w:hideMark/>
          </w:tcPr>
          <w:p w:rsidR="00131464" w:rsidRDefault="000C00AC">
            <w:pPr>
              <w:jc w:val="center"/>
              <w:rPr>
                <w:b/>
                <w:bCs/>
                <w:noProof/>
                <w:color w:val="000000"/>
                <w:sz w:val="16"/>
                <w:szCs w:val="16"/>
              </w:rPr>
            </w:pPr>
            <w:r>
              <w:rPr>
                <w:b/>
                <w:noProof/>
                <w:color w:val="000000"/>
                <w:sz w:val="16"/>
              </w:rPr>
              <w:t>CE</w:t>
            </w:r>
          </w:p>
        </w:tc>
        <w:tc>
          <w:tcPr>
            <w:tcW w:w="1327" w:type="dxa"/>
            <w:tcBorders>
              <w:top w:val="nil"/>
              <w:left w:val="nil"/>
              <w:bottom w:val="single" w:sz="4" w:space="0" w:color="auto"/>
              <w:right w:val="single" w:sz="4" w:space="0" w:color="auto"/>
            </w:tcBorders>
            <w:shd w:val="clear" w:color="000000" w:fill="D9D9D9"/>
            <w:vAlign w:val="center"/>
            <w:hideMark/>
          </w:tcPr>
          <w:p w:rsidR="00131464" w:rsidRDefault="000C00AC">
            <w:pPr>
              <w:jc w:val="center"/>
              <w:rPr>
                <w:b/>
                <w:bCs/>
                <w:noProof/>
                <w:color w:val="000000"/>
                <w:sz w:val="16"/>
                <w:szCs w:val="16"/>
              </w:rPr>
            </w:pPr>
            <w:r>
              <w:rPr>
                <w:b/>
                <w:noProof/>
                <w:color w:val="000000"/>
                <w:sz w:val="16"/>
              </w:rPr>
              <w:t>CP</w:t>
            </w:r>
          </w:p>
        </w:tc>
      </w:tr>
      <w:tr w:rsidR="00131464">
        <w:trPr>
          <w:trHeight w:val="270"/>
          <w:jc w:val="center"/>
        </w:trPr>
        <w:tc>
          <w:tcPr>
            <w:tcW w:w="376" w:type="dxa"/>
            <w:tcBorders>
              <w:top w:val="single" w:sz="4" w:space="0" w:color="auto"/>
              <w:left w:val="single" w:sz="4" w:space="0" w:color="auto"/>
              <w:bottom w:val="dotted" w:sz="4" w:space="0" w:color="auto"/>
              <w:right w:val="nil"/>
            </w:tcBorders>
            <w:shd w:val="clear" w:color="auto" w:fill="auto"/>
            <w:vAlign w:val="bottom"/>
            <w:hideMark/>
          </w:tcPr>
          <w:p w:rsidR="00131464" w:rsidRDefault="000C00AC">
            <w:pPr>
              <w:rPr>
                <w:b/>
                <w:bCs/>
                <w:noProof/>
                <w:color w:val="000000"/>
                <w:sz w:val="16"/>
                <w:szCs w:val="16"/>
              </w:rPr>
            </w:pPr>
            <w:r>
              <w:rPr>
                <w:b/>
                <w:noProof/>
                <w:color w:val="000000"/>
                <w:sz w:val="16"/>
              </w:rPr>
              <w:t>1.</w:t>
            </w:r>
          </w:p>
        </w:tc>
        <w:tc>
          <w:tcPr>
            <w:tcW w:w="2474" w:type="dxa"/>
            <w:tcBorders>
              <w:top w:val="single" w:sz="4" w:space="0" w:color="auto"/>
              <w:left w:val="nil"/>
              <w:bottom w:val="dotted" w:sz="4" w:space="0" w:color="auto"/>
              <w:right w:val="single" w:sz="4" w:space="0" w:color="auto"/>
            </w:tcBorders>
            <w:shd w:val="clear" w:color="auto" w:fill="auto"/>
            <w:vAlign w:val="bottom"/>
            <w:hideMark/>
          </w:tcPr>
          <w:p w:rsidR="00131464" w:rsidRDefault="000C00AC">
            <w:pPr>
              <w:rPr>
                <w:b/>
                <w:bCs/>
                <w:noProof/>
                <w:color w:val="000000"/>
                <w:sz w:val="16"/>
                <w:szCs w:val="16"/>
              </w:rPr>
            </w:pPr>
            <w:r>
              <w:rPr>
                <w:b/>
                <w:noProof/>
                <w:color w:val="000000"/>
                <w:sz w:val="16"/>
              </w:rPr>
              <w:t>Croissance intelligente et inclusive</w:t>
            </w:r>
          </w:p>
        </w:tc>
        <w:tc>
          <w:tcPr>
            <w:tcW w:w="1366" w:type="dxa"/>
            <w:tcBorders>
              <w:top w:val="single" w:sz="4" w:space="0" w:color="auto"/>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77 954 679 684</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66 853 308 910</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77 954 679 684</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66 853 308 910</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dont part relevant de l'instrument de </w:t>
            </w:r>
            <w:r>
              <w:rPr>
                <w:i/>
                <w:noProof/>
                <w:color w:val="000000"/>
                <w:sz w:val="16"/>
              </w:rPr>
              <w:t>flexibilité</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83 285 595</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83 285 595</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Plafond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77 986 000 000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77 986 000 000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114 605 911</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114 605 911</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376" w:type="dxa"/>
            <w:tcBorders>
              <w:top w:val="nil"/>
              <w:left w:val="single" w:sz="4" w:space="0" w:color="auto"/>
              <w:bottom w:val="dotted" w:sz="4" w:space="0" w:color="auto"/>
              <w:right w:val="nil"/>
            </w:tcBorders>
            <w:shd w:val="clear" w:color="auto" w:fill="auto"/>
            <w:vAlign w:val="bottom"/>
            <w:hideMark/>
          </w:tcPr>
          <w:p w:rsidR="00131464" w:rsidRDefault="000C00AC">
            <w:pPr>
              <w:rPr>
                <w:noProof/>
                <w:color w:val="000000"/>
                <w:sz w:val="16"/>
                <w:szCs w:val="16"/>
              </w:rPr>
            </w:pPr>
            <w:r>
              <w:rPr>
                <w:noProof/>
                <w:color w:val="000000"/>
                <w:sz w:val="16"/>
              </w:rPr>
              <w:t>1a</w:t>
            </w:r>
          </w:p>
        </w:tc>
        <w:tc>
          <w:tcPr>
            <w:tcW w:w="2474" w:type="dxa"/>
            <w:tcBorders>
              <w:top w:val="nil"/>
              <w:left w:val="nil"/>
              <w:bottom w:val="dotted" w:sz="4" w:space="0" w:color="auto"/>
              <w:right w:val="single" w:sz="4" w:space="0" w:color="auto"/>
            </w:tcBorders>
            <w:shd w:val="clear" w:color="auto" w:fill="auto"/>
            <w:vAlign w:val="bottom"/>
            <w:hideMark/>
          </w:tcPr>
          <w:p w:rsidR="00131464" w:rsidRDefault="000C00AC">
            <w:pPr>
              <w:rPr>
                <w:noProof/>
                <w:color w:val="000000"/>
                <w:sz w:val="16"/>
                <w:szCs w:val="16"/>
              </w:rPr>
            </w:pPr>
            <w:r>
              <w:rPr>
                <w:noProof/>
                <w:color w:val="000000"/>
                <w:sz w:val="16"/>
              </w:rPr>
              <w:t>Compétitivité pour la croissance et l'emploi</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17 551 688 425</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15 728 578 894</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17 551 688 425</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15 728 578 894</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17 666 000 000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17 666 000 000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114 311 575</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114 311 575</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376" w:type="dxa"/>
            <w:tcBorders>
              <w:top w:val="nil"/>
              <w:left w:val="single" w:sz="4" w:space="0" w:color="auto"/>
              <w:bottom w:val="dotted" w:sz="4" w:space="0" w:color="auto"/>
              <w:right w:val="nil"/>
            </w:tcBorders>
            <w:shd w:val="clear" w:color="auto" w:fill="auto"/>
            <w:vAlign w:val="bottom"/>
            <w:hideMark/>
          </w:tcPr>
          <w:p w:rsidR="00131464" w:rsidRDefault="000C00AC">
            <w:pPr>
              <w:rPr>
                <w:noProof/>
                <w:color w:val="000000"/>
                <w:sz w:val="16"/>
                <w:szCs w:val="16"/>
              </w:rPr>
            </w:pPr>
            <w:r>
              <w:rPr>
                <w:noProof/>
                <w:color w:val="000000"/>
                <w:sz w:val="16"/>
              </w:rPr>
              <w:t xml:space="preserve">1b </w:t>
            </w:r>
          </w:p>
        </w:tc>
        <w:tc>
          <w:tcPr>
            <w:tcW w:w="2474" w:type="dxa"/>
            <w:tcBorders>
              <w:top w:val="nil"/>
              <w:left w:val="nil"/>
              <w:bottom w:val="dotted" w:sz="4" w:space="0" w:color="auto"/>
              <w:right w:val="single" w:sz="4" w:space="0" w:color="auto"/>
            </w:tcBorders>
            <w:shd w:val="clear" w:color="auto" w:fill="auto"/>
            <w:vAlign w:val="bottom"/>
            <w:hideMark/>
          </w:tcPr>
          <w:p w:rsidR="00131464" w:rsidRDefault="000C00AC">
            <w:pPr>
              <w:rPr>
                <w:noProof/>
                <w:color w:val="000000"/>
                <w:sz w:val="16"/>
                <w:szCs w:val="16"/>
              </w:rPr>
            </w:pPr>
            <w:r>
              <w:rPr>
                <w:noProof/>
                <w:color w:val="000000"/>
                <w:sz w:val="16"/>
              </w:rPr>
              <w:t>Cohésion économique, sociale et territoriale</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60 402 991 259</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51 124 730 016</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60 402 991 259</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51 124 730 016</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dont part relevant de l'instrument de flexibilité</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83 285 595</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83 285 595</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60 320 000 000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60 320 000 000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294 336</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294 336</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376" w:type="dxa"/>
            <w:tcBorders>
              <w:top w:val="nil"/>
              <w:left w:val="single" w:sz="4" w:space="0" w:color="auto"/>
              <w:bottom w:val="dotted" w:sz="4" w:space="0" w:color="auto"/>
              <w:right w:val="nil"/>
            </w:tcBorders>
            <w:shd w:val="clear" w:color="auto" w:fill="auto"/>
            <w:vAlign w:val="bottom"/>
            <w:hideMark/>
          </w:tcPr>
          <w:p w:rsidR="00131464" w:rsidRDefault="000C00AC">
            <w:pPr>
              <w:rPr>
                <w:b/>
                <w:bCs/>
                <w:noProof/>
                <w:color w:val="000000"/>
                <w:sz w:val="16"/>
                <w:szCs w:val="16"/>
              </w:rPr>
            </w:pPr>
            <w:r>
              <w:rPr>
                <w:b/>
                <w:noProof/>
                <w:color w:val="000000"/>
                <w:sz w:val="16"/>
              </w:rPr>
              <w:t>2.</w:t>
            </w:r>
          </w:p>
        </w:tc>
        <w:tc>
          <w:tcPr>
            <w:tcW w:w="2474" w:type="dxa"/>
            <w:tcBorders>
              <w:top w:val="nil"/>
              <w:left w:val="nil"/>
              <w:bottom w:val="dotted" w:sz="4" w:space="0" w:color="auto"/>
              <w:right w:val="single" w:sz="4" w:space="0" w:color="auto"/>
            </w:tcBorders>
            <w:shd w:val="clear" w:color="auto" w:fill="auto"/>
            <w:vAlign w:val="bottom"/>
            <w:hideMark/>
          </w:tcPr>
          <w:p w:rsidR="00131464" w:rsidRDefault="000C00AC">
            <w:pPr>
              <w:rPr>
                <w:b/>
                <w:bCs/>
                <w:noProof/>
                <w:color w:val="000000"/>
                <w:sz w:val="16"/>
                <w:szCs w:val="16"/>
              </w:rPr>
            </w:pPr>
            <w:r>
              <w:rPr>
                <w:b/>
                <w:noProof/>
                <w:color w:val="000000"/>
                <w:sz w:val="16"/>
              </w:rPr>
              <w:t>Croissance durable: ressources naturelles</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63 901 960 185</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55 998 594 804</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- 24 841 765</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- 19 810 765</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63 877 118 420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55 978 784 039</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64 692 000 </w:t>
            </w:r>
            <w:r>
              <w:rPr>
                <w:i/>
                <w:noProof/>
                <w:color w:val="000000"/>
                <w:sz w:val="16"/>
              </w:rPr>
              <w:t>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64 692 000 000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790 039 815</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814 881 580</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705"/>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rPr>
                <w:noProof/>
                <w:color w:val="000000"/>
                <w:sz w:val="16"/>
                <w:szCs w:val="16"/>
              </w:rPr>
            </w:pPr>
            <w:r>
              <w:rPr>
                <w:noProof/>
                <w:color w:val="000000"/>
                <w:sz w:val="16"/>
              </w:rPr>
              <w:t>dont: Fonds européen agricole de garantie (FEAGA) — dépenses relatives au marché et paiements directs</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43 455 780 762</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43 447 624 585</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43 455 780 762</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43 447 624 585</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Sous-plafond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44 313 </w:t>
            </w:r>
            <w:r>
              <w:rPr>
                <w:i/>
                <w:noProof/>
                <w:color w:val="000000"/>
                <w:sz w:val="16"/>
              </w:rPr>
              <w:t>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44 313 000 000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Transfert net entre le FEAGA et le Feader</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123 215 000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123 215 000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734 004 238</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734 004 238</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376" w:type="dxa"/>
            <w:tcBorders>
              <w:top w:val="nil"/>
              <w:left w:val="single" w:sz="4" w:space="0" w:color="auto"/>
              <w:bottom w:val="dotted" w:sz="4" w:space="0" w:color="auto"/>
              <w:right w:val="nil"/>
            </w:tcBorders>
            <w:shd w:val="clear" w:color="auto" w:fill="auto"/>
            <w:vAlign w:val="bottom"/>
            <w:hideMark/>
          </w:tcPr>
          <w:p w:rsidR="00131464" w:rsidRDefault="000C00AC">
            <w:pPr>
              <w:rPr>
                <w:b/>
                <w:bCs/>
                <w:noProof/>
                <w:color w:val="000000"/>
                <w:sz w:val="16"/>
                <w:szCs w:val="16"/>
              </w:rPr>
            </w:pPr>
            <w:r>
              <w:rPr>
                <w:b/>
                <w:noProof/>
                <w:color w:val="000000"/>
                <w:sz w:val="16"/>
              </w:rPr>
              <w:t>3.</w:t>
            </w:r>
          </w:p>
        </w:tc>
        <w:tc>
          <w:tcPr>
            <w:tcW w:w="2474" w:type="dxa"/>
            <w:tcBorders>
              <w:top w:val="nil"/>
              <w:left w:val="nil"/>
              <w:bottom w:val="dotted" w:sz="4" w:space="0" w:color="auto"/>
              <w:right w:val="single" w:sz="4" w:space="0" w:color="auto"/>
            </w:tcBorders>
            <w:shd w:val="clear" w:color="auto" w:fill="auto"/>
            <w:vAlign w:val="bottom"/>
            <w:hideMark/>
          </w:tcPr>
          <w:p w:rsidR="00131464" w:rsidRDefault="000C00AC">
            <w:pPr>
              <w:rPr>
                <w:b/>
                <w:bCs/>
                <w:noProof/>
                <w:color w:val="000000"/>
                <w:sz w:val="16"/>
                <w:szCs w:val="16"/>
              </w:rPr>
            </w:pPr>
            <w:r>
              <w:rPr>
                <w:b/>
                <w:noProof/>
                <w:color w:val="000000"/>
                <w:sz w:val="16"/>
              </w:rPr>
              <w:t>Sécurité et citoyenneté</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2 432 848 847</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1 929 165 795</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89 300 000</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- 2 200 000</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2 522 148 847</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1 926 965 795</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dont part relevant de l'instrument de flexibilité</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66 148 847</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66 148 847</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2 456 000 000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2 456 000 000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23 151 153</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376" w:type="dxa"/>
            <w:tcBorders>
              <w:top w:val="nil"/>
              <w:left w:val="single" w:sz="4" w:space="0" w:color="auto"/>
              <w:bottom w:val="dotted" w:sz="4" w:space="0" w:color="auto"/>
              <w:right w:val="nil"/>
            </w:tcBorders>
            <w:shd w:val="clear" w:color="auto" w:fill="auto"/>
            <w:vAlign w:val="bottom"/>
            <w:hideMark/>
          </w:tcPr>
          <w:p w:rsidR="00131464" w:rsidRDefault="000C00AC">
            <w:pPr>
              <w:rPr>
                <w:b/>
                <w:bCs/>
                <w:noProof/>
                <w:color w:val="000000"/>
                <w:sz w:val="16"/>
                <w:szCs w:val="16"/>
              </w:rPr>
            </w:pPr>
            <w:r>
              <w:rPr>
                <w:b/>
                <w:noProof/>
                <w:color w:val="000000"/>
                <w:sz w:val="16"/>
              </w:rPr>
              <w:t>4.</w:t>
            </w:r>
          </w:p>
        </w:tc>
        <w:tc>
          <w:tcPr>
            <w:tcW w:w="2474" w:type="dxa"/>
            <w:tcBorders>
              <w:top w:val="nil"/>
              <w:left w:val="nil"/>
              <w:bottom w:val="dotted" w:sz="4" w:space="0" w:color="auto"/>
              <w:right w:val="single" w:sz="4" w:space="0" w:color="auto"/>
            </w:tcBorders>
            <w:shd w:val="clear" w:color="auto" w:fill="auto"/>
            <w:vAlign w:val="bottom"/>
            <w:hideMark/>
          </w:tcPr>
          <w:p w:rsidR="00131464" w:rsidRDefault="000C00AC">
            <w:pPr>
              <w:rPr>
                <w:b/>
                <w:bCs/>
                <w:noProof/>
                <w:color w:val="000000"/>
                <w:sz w:val="16"/>
                <w:szCs w:val="16"/>
              </w:rPr>
            </w:pPr>
            <w:r>
              <w:rPr>
                <w:b/>
                <w:noProof/>
                <w:color w:val="000000"/>
                <w:sz w:val="16"/>
              </w:rPr>
              <w:t>L'Europe dans le monde</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8 410 899 029</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7 422 489 907</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300 000 000</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55 736 000</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8 710 899 029</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7 478 225 907</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8 749 000 000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8 749 000 000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338 100 971</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38 100 971</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376" w:type="dxa"/>
            <w:tcBorders>
              <w:top w:val="nil"/>
              <w:left w:val="single" w:sz="4" w:space="0" w:color="auto"/>
              <w:bottom w:val="dotted" w:sz="4" w:space="0" w:color="auto"/>
              <w:right w:val="nil"/>
            </w:tcBorders>
            <w:shd w:val="clear" w:color="auto" w:fill="auto"/>
            <w:vAlign w:val="bottom"/>
            <w:hideMark/>
          </w:tcPr>
          <w:p w:rsidR="00131464" w:rsidRDefault="000C00AC">
            <w:pPr>
              <w:rPr>
                <w:b/>
                <w:bCs/>
                <w:noProof/>
                <w:color w:val="000000"/>
                <w:sz w:val="16"/>
                <w:szCs w:val="16"/>
              </w:rPr>
            </w:pPr>
            <w:r>
              <w:rPr>
                <w:b/>
                <w:noProof/>
                <w:color w:val="000000"/>
                <w:sz w:val="16"/>
              </w:rPr>
              <w:t>5.</w:t>
            </w:r>
          </w:p>
        </w:tc>
        <w:tc>
          <w:tcPr>
            <w:tcW w:w="2474" w:type="dxa"/>
            <w:tcBorders>
              <w:top w:val="nil"/>
              <w:left w:val="nil"/>
              <w:bottom w:val="dotted" w:sz="4" w:space="0" w:color="auto"/>
              <w:right w:val="single" w:sz="4" w:space="0" w:color="auto"/>
            </w:tcBorders>
            <w:shd w:val="clear" w:color="auto" w:fill="auto"/>
            <w:vAlign w:val="bottom"/>
            <w:hideMark/>
          </w:tcPr>
          <w:p w:rsidR="00131464" w:rsidRDefault="000C00AC">
            <w:pPr>
              <w:rPr>
                <w:b/>
                <w:bCs/>
                <w:noProof/>
                <w:color w:val="000000"/>
                <w:sz w:val="16"/>
                <w:szCs w:val="16"/>
              </w:rPr>
            </w:pPr>
            <w:r>
              <w:rPr>
                <w:b/>
                <w:noProof/>
                <w:color w:val="000000"/>
                <w:sz w:val="16"/>
              </w:rPr>
              <w:t>Administration</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8 660 469 063</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8 658 756 179</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8 660 469 063</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8 658 756 179</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9 076 000 000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9 076 000 000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415 530 937</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415 530 937</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525"/>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rPr>
                <w:noProof/>
                <w:color w:val="000000"/>
                <w:sz w:val="16"/>
                <w:szCs w:val="16"/>
              </w:rPr>
            </w:pPr>
            <w:r>
              <w:rPr>
                <w:noProof/>
                <w:color w:val="000000"/>
                <w:sz w:val="16"/>
              </w:rPr>
              <w:t>dont: dépenses administratives des institutions</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6 941 188 663</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6 939 475 779</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6 941 188 663</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noProof/>
                <w:color w:val="000000"/>
                <w:sz w:val="16"/>
                <w:szCs w:val="16"/>
              </w:rPr>
            </w:pPr>
            <w:r>
              <w:rPr>
                <w:noProof/>
                <w:color w:val="000000"/>
                <w:sz w:val="16"/>
              </w:rPr>
              <w:t>6 939 475 779</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Sous-plafond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7 056 000 000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7 056 000 000</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114 811 337</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114 811 337</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376" w:type="dxa"/>
            <w:tcBorders>
              <w:top w:val="nil"/>
              <w:left w:val="single" w:sz="4" w:space="0" w:color="auto"/>
              <w:bottom w:val="dotted" w:sz="4" w:space="0" w:color="auto"/>
              <w:right w:val="nil"/>
            </w:tcBorders>
            <w:shd w:val="clear" w:color="auto" w:fill="auto"/>
            <w:vAlign w:val="bottom"/>
            <w:hideMark/>
          </w:tcPr>
          <w:p w:rsidR="00131464" w:rsidRDefault="000C00AC">
            <w:pPr>
              <w:rPr>
                <w:b/>
                <w:bCs/>
                <w:noProof/>
                <w:color w:val="000000"/>
                <w:sz w:val="16"/>
                <w:szCs w:val="16"/>
              </w:rPr>
            </w:pPr>
            <w:r>
              <w:rPr>
                <w:b/>
                <w:noProof/>
                <w:color w:val="000000"/>
                <w:sz w:val="16"/>
              </w:rPr>
              <w:t>6.</w:t>
            </w:r>
          </w:p>
        </w:tc>
        <w:tc>
          <w:tcPr>
            <w:tcW w:w="2474" w:type="dxa"/>
            <w:tcBorders>
              <w:top w:val="nil"/>
              <w:left w:val="nil"/>
              <w:bottom w:val="dotted" w:sz="4" w:space="0" w:color="auto"/>
              <w:right w:val="single" w:sz="4" w:space="0" w:color="auto"/>
            </w:tcBorders>
            <w:shd w:val="clear" w:color="auto" w:fill="auto"/>
            <w:vAlign w:val="bottom"/>
            <w:hideMark/>
          </w:tcPr>
          <w:p w:rsidR="00131464" w:rsidRDefault="000C00AC">
            <w:pPr>
              <w:rPr>
                <w:b/>
                <w:bCs/>
                <w:noProof/>
                <w:color w:val="000000"/>
                <w:sz w:val="16"/>
                <w:szCs w:val="16"/>
              </w:rPr>
            </w:pPr>
            <w:r>
              <w:rPr>
                <w:b/>
                <w:noProof/>
                <w:color w:val="000000"/>
                <w:sz w:val="16"/>
              </w:rPr>
              <w:t>Compensations</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Plafond</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27" w:type="dxa"/>
            <w:tcBorders>
              <w:top w:val="nil"/>
              <w:left w:val="nil"/>
              <w:bottom w:val="dotted"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dotted" w:sz="4" w:space="0" w:color="auto"/>
              <w:left w:val="single" w:sz="4" w:space="0" w:color="auto"/>
              <w:bottom w:val="single" w:sz="4" w:space="0" w:color="auto"/>
              <w:right w:val="single" w:sz="4" w:space="0" w:color="000000"/>
            </w:tcBorders>
            <w:shd w:val="clear" w:color="auto" w:fill="auto"/>
            <w:vAlign w:val="bottom"/>
            <w:hideMark/>
          </w:tcPr>
          <w:p w:rsidR="00131464" w:rsidRDefault="000C00AC">
            <w:pPr>
              <w:jc w:val="right"/>
              <w:rPr>
                <w:i/>
                <w:iCs/>
                <w:noProof/>
                <w:color w:val="000000"/>
                <w:sz w:val="16"/>
                <w:szCs w:val="16"/>
              </w:rPr>
            </w:pPr>
            <w:r>
              <w:rPr>
                <w:i/>
                <w:noProof/>
                <w:color w:val="000000"/>
                <w:sz w:val="16"/>
              </w:rPr>
              <w:t>Marge</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xml:space="preserve">   </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i/>
                <w:iCs/>
                <w:noProof/>
                <w:color w:val="000000"/>
                <w:sz w:val="16"/>
                <w:szCs w:val="16"/>
              </w:rPr>
            </w:pPr>
            <w:r>
              <w:rPr>
                <w:i/>
                <w:noProof/>
                <w:color w:val="000000"/>
                <w:sz w:val="16"/>
              </w:rPr>
              <w:t> </w:t>
            </w:r>
          </w:p>
        </w:tc>
      </w:tr>
      <w:tr w:rsidR="00131464">
        <w:trPr>
          <w:trHeight w:val="270"/>
          <w:jc w:val="center"/>
        </w:trPr>
        <w:tc>
          <w:tcPr>
            <w:tcW w:w="2850" w:type="dxa"/>
            <w:gridSpan w:val="2"/>
            <w:tcBorders>
              <w:top w:val="single" w:sz="4" w:space="0" w:color="auto"/>
              <w:left w:val="single" w:sz="4" w:space="0" w:color="auto"/>
              <w:bottom w:val="dotted" w:sz="4" w:space="0" w:color="auto"/>
              <w:right w:val="single" w:sz="4" w:space="0" w:color="000000"/>
            </w:tcBorders>
            <w:shd w:val="clear" w:color="000000" w:fill="D9D9D9"/>
            <w:vAlign w:val="bottom"/>
            <w:hideMark/>
          </w:tcPr>
          <w:p w:rsidR="00131464" w:rsidRDefault="000C00AC">
            <w:pPr>
              <w:jc w:val="right"/>
              <w:rPr>
                <w:b/>
                <w:bCs/>
                <w:noProof/>
                <w:color w:val="000000"/>
                <w:sz w:val="16"/>
                <w:szCs w:val="16"/>
              </w:rPr>
            </w:pPr>
            <w:r>
              <w:rPr>
                <w:b/>
                <w:noProof/>
                <w:color w:val="000000"/>
                <w:sz w:val="16"/>
              </w:rPr>
              <w:t>Total</w:t>
            </w:r>
          </w:p>
        </w:tc>
        <w:tc>
          <w:tcPr>
            <w:tcW w:w="1366"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161 360 856 808</w:t>
            </w:r>
          </w:p>
        </w:tc>
        <w:tc>
          <w:tcPr>
            <w:tcW w:w="1327"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140 862 315 595</w:t>
            </w:r>
          </w:p>
        </w:tc>
        <w:tc>
          <w:tcPr>
            <w:tcW w:w="1134"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 xml:space="preserve"> 364 458 235</w:t>
            </w:r>
          </w:p>
        </w:tc>
        <w:tc>
          <w:tcPr>
            <w:tcW w:w="1134"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 xml:space="preserve"> 33 725 235</w:t>
            </w:r>
          </w:p>
        </w:tc>
        <w:tc>
          <w:tcPr>
            <w:tcW w:w="1366"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161 725 315 043</w:t>
            </w:r>
          </w:p>
        </w:tc>
        <w:tc>
          <w:tcPr>
            <w:tcW w:w="1327"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140 896 040 830</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dont part relevant de l'instrument de flexibilité</w:t>
            </w:r>
          </w:p>
        </w:tc>
        <w:tc>
          <w:tcPr>
            <w:tcW w:w="1366"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xml:space="preserve"> 83 285 595</w:t>
            </w:r>
          </w:p>
        </w:tc>
        <w:tc>
          <w:tcPr>
            <w:tcW w:w="1327"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xml:space="preserve"> 11 315 595</w:t>
            </w:r>
          </w:p>
        </w:tc>
        <w:tc>
          <w:tcPr>
            <w:tcW w:w="1134"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xml:space="preserve"> 66 148 847</w:t>
            </w:r>
          </w:p>
        </w:tc>
        <w:tc>
          <w:tcPr>
            <w:tcW w:w="1134"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w:t>
            </w:r>
          </w:p>
        </w:tc>
        <w:tc>
          <w:tcPr>
            <w:tcW w:w="1366"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xml:space="preserve"> 149 434 442</w:t>
            </w:r>
          </w:p>
        </w:tc>
        <w:tc>
          <w:tcPr>
            <w:tcW w:w="1327"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xml:space="preserve"> 11 315 595</w:t>
            </w:r>
          </w:p>
        </w:tc>
      </w:tr>
      <w:tr w:rsidR="00131464">
        <w:trPr>
          <w:trHeight w:val="270"/>
          <w:jc w:val="center"/>
        </w:trPr>
        <w:tc>
          <w:tcPr>
            <w:tcW w:w="2850" w:type="dxa"/>
            <w:gridSpan w:val="2"/>
            <w:tcBorders>
              <w:top w:val="dotted" w:sz="4" w:space="0" w:color="auto"/>
              <w:left w:val="single" w:sz="4" w:space="0" w:color="auto"/>
              <w:bottom w:val="dotted" w:sz="4" w:space="0" w:color="auto"/>
              <w:right w:val="single" w:sz="4" w:space="0" w:color="000000"/>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Plafond</w:t>
            </w:r>
          </w:p>
        </w:tc>
        <w:tc>
          <w:tcPr>
            <w:tcW w:w="1366"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162 959 000 000</w:t>
            </w:r>
          </w:p>
        </w:tc>
        <w:tc>
          <w:tcPr>
            <w:tcW w:w="1327"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142 007 000 000</w:t>
            </w:r>
          </w:p>
        </w:tc>
        <w:tc>
          <w:tcPr>
            <w:tcW w:w="1134"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w:t>
            </w:r>
          </w:p>
        </w:tc>
        <w:tc>
          <w:tcPr>
            <w:tcW w:w="1134"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w:t>
            </w:r>
          </w:p>
        </w:tc>
        <w:tc>
          <w:tcPr>
            <w:tcW w:w="1366"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162 959 000 000</w:t>
            </w:r>
          </w:p>
        </w:tc>
        <w:tc>
          <w:tcPr>
            <w:tcW w:w="1327" w:type="dxa"/>
            <w:tcBorders>
              <w:top w:val="nil"/>
              <w:left w:val="nil"/>
              <w:bottom w:val="dotted"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142 007 000 000</w:t>
            </w:r>
          </w:p>
        </w:tc>
      </w:tr>
      <w:tr w:rsidR="00131464">
        <w:trPr>
          <w:trHeight w:val="270"/>
          <w:jc w:val="center"/>
        </w:trPr>
        <w:tc>
          <w:tcPr>
            <w:tcW w:w="2850" w:type="dxa"/>
            <w:gridSpan w:val="2"/>
            <w:tcBorders>
              <w:top w:val="dotted" w:sz="4" w:space="0" w:color="auto"/>
              <w:left w:val="single" w:sz="4" w:space="0" w:color="auto"/>
              <w:bottom w:val="nil"/>
              <w:right w:val="single" w:sz="4" w:space="0" w:color="000000"/>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Marge</w:t>
            </w:r>
          </w:p>
        </w:tc>
        <w:tc>
          <w:tcPr>
            <w:tcW w:w="1366"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1 681 428 787</w:t>
            </w:r>
          </w:p>
        </w:tc>
        <w:tc>
          <w:tcPr>
            <w:tcW w:w="1327"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1 156 000 000</w:t>
            </w:r>
          </w:p>
        </w:tc>
        <w:tc>
          <w:tcPr>
            <w:tcW w:w="1134"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w:t>
            </w:r>
          </w:p>
        </w:tc>
        <w:tc>
          <w:tcPr>
            <w:tcW w:w="1134"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 </w:t>
            </w:r>
          </w:p>
        </w:tc>
        <w:tc>
          <w:tcPr>
            <w:tcW w:w="1366"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1 383 119 399</w:t>
            </w:r>
          </w:p>
        </w:tc>
        <w:tc>
          <w:tcPr>
            <w:tcW w:w="1327"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i/>
                <w:iCs/>
                <w:noProof/>
                <w:color w:val="000000"/>
                <w:sz w:val="16"/>
                <w:szCs w:val="16"/>
              </w:rPr>
            </w:pPr>
            <w:r>
              <w:rPr>
                <w:b/>
                <w:i/>
                <w:noProof/>
                <w:color w:val="000000"/>
                <w:sz w:val="16"/>
              </w:rPr>
              <w:t>1 122 274 765</w:t>
            </w:r>
          </w:p>
        </w:tc>
      </w:tr>
      <w:tr w:rsidR="00131464">
        <w:trPr>
          <w:trHeight w:val="270"/>
          <w:jc w:val="center"/>
        </w:trPr>
        <w:tc>
          <w:tcPr>
            <w:tcW w:w="376" w:type="dxa"/>
            <w:tcBorders>
              <w:top w:val="single" w:sz="4" w:space="0" w:color="auto"/>
              <w:left w:val="single" w:sz="4" w:space="0" w:color="auto"/>
              <w:bottom w:val="single" w:sz="4" w:space="0" w:color="auto"/>
              <w:right w:val="nil"/>
            </w:tcBorders>
            <w:shd w:val="clear" w:color="auto" w:fill="auto"/>
            <w:vAlign w:val="bottom"/>
            <w:hideMark/>
          </w:tcPr>
          <w:p w:rsidR="00131464" w:rsidRDefault="000C00AC">
            <w:pPr>
              <w:rPr>
                <w:noProof/>
                <w:color w:val="000000"/>
                <w:sz w:val="16"/>
                <w:szCs w:val="16"/>
              </w:rPr>
            </w:pPr>
            <w:r>
              <w:rPr>
                <w:noProof/>
                <w:color w:val="000000"/>
                <w:sz w:val="16"/>
              </w:rPr>
              <w:t> </w:t>
            </w:r>
          </w:p>
        </w:tc>
        <w:tc>
          <w:tcPr>
            <w:tcW w:w="2474" w:type="dxa"/>
            <w:tcBorders>
              <w:top w:val="single" w:sz="4" w:space="0" w:color="auto"/>
              <w:left w:val="nil"/>
              <w:bottom w:val="single" w:sz="4" w:space="0" w:color="auto"/>
              <w:right w:val="single" w:sz="4" w:space="0" w:color="auto"/>
            </w:tcBorders>
            <w:shd w:val="clear" w:color="auto" w:fill="auto"/>
            <w:vAlign w:val="bottom"/>
            <w:hideMark/>
          </w:tcPr>
          <w:p w:rsidR="00131464" w:rsidRDefault="000C00AC">
            <w:pPr>
              <w:rPr>
                <w:b/>
                <w:bCs/>
                <w:noProof/>
                <w:color w:val="000000"/>
                <w:sz w:val="16"/>
                <w:szCs w:val="16"/>
              </w:rPr>
            </w:pPr>
            <w:r>
              <w:rPr>
                <w:b/>
                <w:noProof/>
                <w:color w:val="000000"/>
                <w:sz w:val="16"/>
              </w:rPr>
              <w:t>Autres instruments spéciaux</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581 870 850</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418 230 818</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- 33 725 235</w:t>
            </w:r>
          </w:p>
        </w:tc>
        <w:tc>
          <w:tcPr>
            <w:tcW w:w="1134"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- 33 725 235</w:t>
            </w:r>
          </w:p>
        </w:tc>
        <w:tc>
          <w:tcPr>
            <w:tcW w:w="1366"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548 145 615</w:t>
            </w:r>
          </w:p>
        </w:tc>
        <w:tc>
          <w:tcPr>
            <w:tcW w:w="1327" w:type="dxa"/>
            <w:tcBorders>
              <w:top w:val="nil"/>
              <w:left w:val="nil"/>
              <w:bottom w:val="single" w:sz="4" w:space="0" w:color="auto"/>
              <w:right w:val="single" w:sz="4" w:space="0" w:color="auto"/>
            </w:tcBorders>
            <w:shd w:val="clear" w:color="auto" w:fill="auto"/>
            <w:vAlign w:val="bottom"/>
            <w:hideMark/>
          </w:tcPr>
          <w:p w:rsidR="00131464" w:rsidRDefault="000C00AC">
            <w:pPr>
              <w:jc w:val="right"/>
              <w:rPr>
                <w:b/>
                <w:bCs/>
                <w:noProof/>
                <w:color w:val="000000"/>
                <w:sz w:val="16"/>
                <w:szCs w:val="16"/>
              </w:rPr>
            </w:pPr>
            <w:r>
              <w:rPr>
                <w:b/>
                <w:noProof/>
                <w:color w:val="000000"/>
                <w:sz w:val="16"/>
              </w:rPr>
              <w:t xml:space="preserve"> 384 505 583</w:t>
            </w:r>
          </w:p>
        </w:tc>
      </w:tr>
      <w:tr w:rsidR="00131464">
        <w:trPr>
          <w:trHeight w:val="270"/>
          <w:jc w:val="center"/>
        </w:trPr>
        <w:tc>
          <w:tcPr>
            <w:tcW w:w="2850" w:type="dxa"/>
            <w:gridSpan w:val="2"/>
            <w:tcBorders>
              <w:top w:val="nil"/>
              <w:left w:val="single" w:sz="4" w:space="0" w:color="auto"/>
              <w:bottom w:val="single" w:sz="4" w:space="0" w:color="auto"/>
              <w:right w:val="single" w:sz="4" w:space="0" w:color="000000"/>
            </w:tcBorders>
            <w:shd w:val="clear" w:color="000000" w:fill="D9D9D9"/>
            <w:vAlign w:val="bottom"/>
            <w:hideMark/>
          </w:tcPr>
          <w:p w:rsidR="00131464" w:rsidRDefault="000C00AC">
            <w:pPr>
              <w:jc w:val="right"/>
              <w:rPr>
                <w:b/>
                <w:bCs/>
                <w:noProof/>
                <w:color w:val="000000"/>
                <w:sz w:val="16"/>
                <w:szCs w:val="16"/>
              </w:rPr>
            </w:pPr>
            <w:r>
              <w:rPr>
                <w:b/>
                <w:noProof/>
                <w:color w:val="000000"/>
                <w:sz w:val="16"/>
              </w:rPr>
              <w:t>Total général</w:t>
            </w:r>
          </w:p>
        </w:tc>
        <w:tc>
          <w:tcPr>
            <w:tcW w:w="1366"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161 942 727 658</w:t>
            </w:r>
          </w:p>
        </w:tc>
        <w:tc>
          <w:tcPr>
            <w:tcW w:w="1327"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141 280 546 413</w:t>
            </w:r>
          </w:p>
        </w:tc>
        <w:tc>
          <w:tcPr>
            <w:tcW w:w="1134"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 xml:space="preserve"> 330 733 000</w:t>
            </w:r>
          </w:p>
        </w:tc>
        <w:tc>
          <w:tcPr>
            <w:tcW w:w="1134"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 xml:space="preserve">   </w:t>
            </w:r>
          </w:p>
        </w:tc>
        <w:tc>
          <w:tcPr>
            <w:tcW w:w="1366"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162 273 460 658</w:t>
            </w:r>
          </w:p>
        </w:tc>
        <w:tc>
          <w:tcPr>
            <w:tcW w:w="1327" w:type="dxa"/>
            <w:tcBorders>
              <w:top w:val="nil"/>
              <w:left w:val="nil"/>
              <w:bottom w:val="single" w:sz="4" w:space="0" w:color="auto"/>
              <w:right w:val="single" w:sz="4" w:space="0" w:color="auto"/>
            </w:tcBorders>
            <w:shd w:val="clear" w:color="000000" w:fill="D9D9D9"/>
            <w:vAlign w:val="bottom"/>
            <w:hideMark/>
          </w:tcPr>
          <w:p w:rsidR="00131464" w:rsidRDefault="000C00AC">
            <w:pPr>
              <w:jc w:val="right"/>
              <w:rPr>
                <w:b/>
                <w:bCs/>
                <w:noProof/>
                <w:color w:val="000000"/>
                <w:sz w:val="16"/>
                <w:szCs w:val="16"/>
              </w:rPr>
            </w:pPr>
            <w:r>
              <w:rPr>
                <w:b/>
                <w:noProof/>
                <w:color w:val="000000"/>
                <w:sz w:val="16"/>
              </w:rPr>
              <w:t>141 280 546 413</w:t>
            </w:r>
          </w:p>
        </w:tc>
      </w:tr>
      <w:bookmarkEnd w:id="1"/>
      <w:bookmarkEnd w:id="2"/>
      <w:bookmarkEnd w:id="3"/>
      <w:bookmarkEnd w:id="4"/>
      <w:bookmarkEnd w:id="5"/>
      <w:bookmarkEnd w:id="6"/>
      <w:bookmarkEnd w:id="12"/>
      <w:bookmarkEnd w:id="13"/>
    </w:tbl>
    <w:p w:rsidR="00131464" w:rsidRDefault="00131464">
      <w:pPr>
        <w:spacing w:before="120" w:after="120"/>
        <w:jc w:val="both"/>
        <w:rPr>
          <w:noProof/>
        </w:rPr>
      </w:pPr>
    </w:p>
    <w:sectPr w:rsidR="00131464">
      <w:headerReference w:type="even" r:id="rId29"/>
      <w:headerReference w:type="default" r:id="rId30"/>
      <w:footerReference w:type="even" r:id="rId31"/>
      <w:footerReference w:type="default" r:id="rId32"/>
      <w:headerReference w:type="first" r:id="rId33"/>
      <w:footerReference w:type="first" r:id="rId34"/>
      <w:pgSz w:w="11907" w:h="1683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64" w:rsidRDefault="000C00AC">
      <w:r>
        <w:separator/>
      </w:r>
    </w:p>
  </w:endnote>
  <w:endnote w:type="continuationSeparator" w:id="0">
    <w:p w:rsidR="00131464" w:rsidRDefault="000C00AC">
      <w:r>
        <w:continuationSeparator/>
      </w:r>
    </w:p>
  </w:endnote>
  <w:endnote w:type="continuationNotice" w:id="1">
    <w:p w:rsidR="00131464" w:rsidRDefault="00131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0C00AC">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DOCPROPERTY "Classification" \* MERGEFORMAT </w:instrText>
    </w:r>
    <w:r>
      <w:fldChar w:fldCharType="separate"/>
    </w:r>
    <w:r>
      <w:t xml:space="preserve"> </w:t>
    </w:r>
    <w:r>
      <w:fldChar w:fldCharType="end"/>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0C00AC">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0C00AC">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DOCPROPERTY "Classification" \* MERGEFORMAT </w:instrText>
    </w:r>
    <w:r>
      <w:fldChar w:fldCharType="separate"/>
    </w:r>
    <w:r>
      <w:t xml:space="preserve"> </w:t>
    </w:r>
    <w:r>
      <w:fldChar w:fldCharType="end"/>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0C00AC">
    <w:pPr>
      <w:pStyle w:val="Footer"/>
      <w:spacing w:before="0"/>
      <w:ind w:left="-851" w:right="-851"/>
      <w:rPr>
        <w:rFonts w:ascii="Arial" w:hAnsi="Arial" w:cs="Arial"/>
        <w:b/>
        <w:sz w:val="48"/>
      </w:rPr>
    </w:pPr>
    <w:r>
      <w:tab/>
    </w:r>
    <w:r>
      <w:fldChar w:fldCharType="begin"/>
    </w:r>
    <w:r>
      <w:instrText xml:space="preserve"> PAGE  \* MERGEFORMAT </w:instrText>
    </w:r>
    <w:r>
      <w:fldChar w:fldCharType="separate"/>
    </w:r>
    <w:r>
      <w:rPr>
        <w:noProof/>
      </w:rPr>
      <w:t>3</w:t>
    </w:r>
    <w:r>
      <w:fldChar w:fldCharType="end"/>
    </w:r>
    <w:r>
      <w:tab/>
    </w:r>
    <w:r>
      <w:fldChar w:fldCharType="begin"/>
    </w:r>
    <w:r>
      <w:instrText xml:space="preserve"> DOCPROPERTY "Classification" \* MERGEFORMAT </w:instrText>
    </w:r>
    <w:r>
      <w:fldChar w:fldCharType="separate"/>
    </w:r>
    <w:r>
      <w:t xml:space="preserve"> </w:t>
    </w:r>
    <w: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64" w:rsidRDefault="000C00AC">
      <w:r>
        <w:separator/>
      </w:r>
    </w:p>
  </w:footnote>
  <w:footnote w:type="continuationSeparator" w:id="0">
    <w:p w:rsidR="00131464" w:rsidRDefault="000C00AC">
      <w:r>
        <w:continuationSeparator/>
      </w:r>
    </w:p>
  </w:footnote>
  <w:footnote w:type="continuationNotice" w:id="1">
    <w:p w:rsidR="00131464" w:rsidRDefault="00131464"/>
  </w:footnote>
  <w:footnote w:id="2">
    <w:p w:rsidR="00131464" w:rsidRDefault="000C00AC">
      <w:pPr>
        <w:pStyle w:val="FootnoteText"/>
        <w:rPr>
          <w:lang w:val="pl-PL"/>
        </w:rPr>
      </w:pPr>
      <w:r>
        <w:rPr>
          <w:rStyle w:val="FootnoteReference"/>
        </w:rPr>
        <w:footnoteRef/>
      </w:r>
      <w:r>
        <w:tab/>
      </w:r>
      <w:r>
        <w:rPr>
          <w:sz w:val="18"/>
        </w:rPr>
        <w:t>JO L 298 du 26.10.2012, p. 1.</w:t>
      </w:r>
    </w:p>
  </w:footnote>
  <w:footnote w:id="3">
    <w:p w:rsidR="00131464" w:rsidRDefault="000C00AC">
      <w:pPr>
        <w:pStyle w:val="FootnoteText"/>
        <w:rPr>
          <w:lang w:val="pl-PL"/>
        </w:rPr>
      </w:pPr>
      <w:r>
        <w:rPr>
          <w:rStyle w:val="FootnoteReference"/>
        </w:rPr>
        <w:footnoteRef/>
      </w:r>
      <w:r>
        <w:tab/>
      </w:r>
      <w:r>
        <w:rPr>
          <w:sz w:val="18"/>
        </w:rPr>
        <w:t>JO L 69 du 13.3.2015, p. 1.</w:t>
      </w:r>
    </w:p>
  </w:footnote>
  <w:footnote w:id="4">
    <w:p w:rsidR="00131464" w:rsidRDefault="000C00AC">
      <w:pPr>
        <w:pStyle w:val="FootnoteText"/>
        <w:rPr>
          <w:sz w:val="18"/>
          <w:szCs w:val="18"/>
          <w:lang w:val="pl-PL"/>
        </w:rPr>
      </w:pPr>
      <w:r>
        <w:rPr>
          <w:rStyle w:val="FootnoteReference"/>
          <w:sz w:val="18"/>
        </w:rPr>
        <w:footnoteRef/>
      </w:r>
      <w:r>
        <w:rPr>
          <w:sz w:val="18"/>
        </w:rPr>
        <w:t xml:space="preserve"> </w:t>
      </w:r>
      <w:r>
        <w:tab/>
      </w:r>
      <w:r>
        <w:rPr>
          <w:sz w:val="18"/>
        </w:rPr>
        <w:t xml:space="preserve">JO </w:t>
      </w:r>
      <w:r>
        <w:rPr>
          <w:sz w:val="18"/>
        </w:rPr>
        <w:t>L 190 du 17.7.2015.</w:t>
      </w:r>
    </w:p>
  </w:footnote>
  <w:footnote w:id="5">
    <w:p w:rsidR="00131464" w:rsidRDefault="000C00AC">
      <w:pPr>
        <w:pStyle w:val="FootnoteText"/>
        <w:rPr>
          <w:sz w:val="18"/>
          <w:szCs w:val="18"/>
          <w:lang w:val="pl-PL"/>
        </w:rPr>
      </w:pPr>
      <w:r>
        <w:rPr>
          <w:rStyle w:val="FootnoteReference"/>
          <w:sz w:val="18"/>
        </w:rPr>
        <w:footnoteRef/>
      </w:r>
      <w:r>
        <w:rPr>
          <w:sz w:val="18"/>
        </w:rPr>
        <w:t xml:space="preserve"> </w:t>
      </w:r>
      <w:r>
        <w:tab/>
      </w:r>
      <w:r>
        <w:rPr>
          <w:sz w:val="18"/>
        </w:rPr>
        <w:t>JO L XX du XX.XX.2015.</w:t>
      </w:r>
    </w:p>
  </w:footnote>
  <w:footnote w:id="6">
    <w:p w:rsidR="00131464" w:rsidRDefault="000C00AC">
      <w:pPr>
        <w:pStyle w:val="FootnoteText"/>
        <w:rPr>
          <w:sz w:val="18"/>
          <w:szCs w:val="18"/>
          <w:lang w:val="pl-PL"/>
        </w:rPr>
      </w:pPr>
      <w:r>
        <w:rPr>
          <w:rStyle w:val="FootnoteReference"/>
          <w:sz w:val="18"/>
        </w:rPr>
        <w:footnoteRef/>
      </w:r>
      <w:r>
        <w:rPr>
          <w:sz w:val="18"/>
        </w:rPr>
        <w:t xml:space="preserve"> </w:t>
      </w:r>
      <w:r>
        <w:tab/>
      </w:r>
      <w:r>
        <w:rPr>
          <w:sz w:val="18"/>
        </w:rPr>
        <w:t>JO L XX du XX.XX.2015.</w:t>
      </w:r>
    </w:p>
  </w:footnote>
  <w:footnote w:id="7">
    <w:p w:rsidR="00131464" w:rsidRDefault="000C00AC">
      <w:pPr>
        <w:pStyle w:val="FootnoteText"/>
        <w:rPr>
          <w:sz w:val="18"/>
          <w:szCs w:val="18"/>
          <w:lang w:val="fr-BE"/>
        </w:rPr>
      </w:pPr>
      <w:r>
        <w:rPr>
          <w:rStyle w:val="FootnoteReference"/>
          <w:sz w:val="18"/>
        </w:rPr>
        <w:footnoteRef/>
      </w:r>
      <w:r>
        <w:rPr>
          <w:sz w:val="18"/>
        </w:rPr>
        <w:t xml:space="preserve"> </w:t>
      </w:r>
      <w:r>
        <w:tab/>
      </w:r>
      <w:r>
        <w:rPr>
          <w:sz w:val="18"/>
        </w:rPr>
        <w:t>JO L XX du XX.XX.2015.</w:t>
      </w:r>
    </w:p>
  </w:footnote>
  <w:footnote w:id="8">
    <w:p w:rsidR="00131464" w:rsidRDefault="000C00AC">
      <w:pPr>
        <w:pStyle w:val="FootnoteText"/>
        <w:rPr>
          <w:sz w:val="18"/>
          <w:szCs w:val="18"/>
          <w:lang w:val="fr-BE"/>
        </w:rPr>
      </w:pPr>
      <w:r>
        <w:rPr>
          <w:rStyle w:val="FootnoteReference"/>
          <w:sz w:val="18"/>
        </w:rPr>
        <w:footnoteRef/>
      </w:r>
      <w:r>
        <w:rPr>
          <w:sz w:val="18"/>
        </w:rPr>
        <w:t xml:space="preserve"> </w:t>
      </w:r>
      <w:r>
        <w:tab/>
      </w:r>
      <w:r>
        <w:rPr>
          <w:sz w:val="18"/>
        </w:rPr>
        <w:t>JO L XX du XX.XX.2015.</w:t>
      </w:r>
    </w:p>
  </w:footnote>
  <w:footnote w:id="9">
    <w:p w:rsidR="00131464" w:rsidRDefault="000C00AC">
      <w:pPr>
        <w:pStyle w:val="FootnoteText"/>
        <w:rPr>
          <w:lang w:val="fr-BE"/>
        </w:rPr>
      </w:pPr>
      <w:r>
        <w:rPr>
          <w:rStyle w:val="FootnoteReference"/>
          <w:sz w:val="18"/>
        </w:rPr>
        <w:footnoteRef/>
      </w:r>
      <w:r>
        <w:rPr>
          <w:sz w:val="18"/>
        </w:rPr>
        <w:t xml:space="preserve"> </w:t>
      </w:r>
      <w:r>
        <w:tab/>
      </w:r>
      <w:r>
        <w:rPr>
          <w:sz w:val="18"/>
        </w:rPr>
        <w:t>COM(2015) 351 final du 15.7.2015</w:t>
      </w:r>
      <w:r>
        <w:t>.</w:t>
      </w:r>
    </w:p>
  </w:footnote>
  <w:footnote w:id="10">
    <w:p w:rsidR="00131464" w:rsidRDefault="000C00AC">
      <w:pPr>
        <w:pStyle w:val="FootnoteText"/>
        <w:rPr>
          <w:lang w:val="fr-BE"/>
        </w:rPr>
      </w:pPr>
      <w:r>
        <w:rPr>
          <w:rStyle w:val="FootnoteReference"/>
        </w:rPr>
        <w:footnoteRef/>
      </w:r>
      <w:r>
        <w:t xml:space="preserve"> </w:t>
      </w:r>
      <w:r>
        <w:tab/>
        <w:t>COM(2015) 490 du 23.9.2015.</w:t>
      </w:r>
    </w:p>
  </w:footnote>
  <w:footnote w:id="11">
    <w:p w:rsidR="00131464" w:rsidRDefault="000C00AC">
      <w:pPr>
        <w:pStyle w:val="FootnoteText"/>
        <w:rPr>
          <w:lang w:val="pt-PT"/>
        </w:rPr>
      </w:pPr>
      <w:r>
        <w:rPr>
          <w:rStyle w:val="FootnoteReference"/>
        </w:rPr>
        <w:footnoteRef/>
      </w:r>
      <w:r>
        <w:t xml:space="preserve"> </w:t>
      </w:r>
      <w:r>
        <w:tab/>
        <w:t>COM(2015) 241 du 13.5.2015.</w:t>
      </w:r>
    </w:p>
  </w:footnote>
  <w:footnote w:id="12">
    <w:p w:rsidR="00131464" w:rsidRDefault="000C00AC">
      <w:pPr>
        <w:pStyle w:val="FootnoteText"/>
        <w:rPr>
          <w:lang w:val="pt-PT"/>
        </w:rPr>
      </w:pPr>
      <w:r>
        <w:rPr>
          <w:rStyle w:val="FootnoteReference"/>
        </w:rPr>
        <w:footnoteRef/>
      </w:r>
      <w:r>
        <w:t xml:space="preserve"> </w:t>
      </w:r>
      <w:r>
        <w:tab/>
        <w:t>COM(2015) 240 du 13.5.2015.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464" w:rsidRDefault="00131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E49F88"/>
    <w:lvl w:ilvl="0">
      <w:start w:val="1"/>
      <w:numFmt w:val="decimal"/>
      <w:pStyle w:val="ListNumber5"/>
      <w:lvlText w:val="%1."/>
      <w:lvlJc w:val="left"/>
      <w:pPr>
        <w:tabs>
          <w:tab w:val="num" w:pos="1492"/>
        </w:tabs>
        <w:ind w:left="1492" w:hanging="360"/>
      </w:pPr>
    </w:lvl>
  </w:abstractNum>
  <w:abstractNum w:abstractNumId="1">
    <w:nsid w:val="07C07363"/>
    <w:multiLevelType w:val="hybridMultilevel"/>
    <w:tmpl w:val="DCAA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F6847"/>
    <w:multiLevelType w:val="hybridMultilevel"/>
    <w:tmpl w:val="30268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1F651385"/>
    <w:multiLevelType w:val="hybridMultilevel"/>
    <w:tmpl w:val="B254CC5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7F7D8F"/>
    <w:multiLevelType w:val="hybridMultilevel"/>
    <w:tmpl w:val="6930D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8">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461760D"/>
    <w:multiLevelType w:val="hybridMultilevel"/>
    <w:tmpl w:val="56F42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F8A0706"/>
    <w:multiLevelType w:val="hybridMultilevel"/>
    <w:tmpl w:val="5C50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
    <w:nsid w:val="6ADF30C2"/>
    <w:multiLevelType w:val="hybridMultilevel"/>
    <w:tmpl w:val="62DE6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num w:numId="1">
    <w:abstractNumId w:val="7"/>
  </w:num>
  <w:num w:numId="2">
    <w:abstractNumId w:val="9"/>
  </w:num>
  <w:num w:numId="3">
    <w:abstractNumId w:val="16"/>
  </w:num>
  <w:num w:numId="4">
    <w:abstractNumId w:val="8"/>
  </w:num>
  <w:num w:numId="5">
    <w:abstractNumId w:val="6"/>
  </w:num>
  <w:num w:numId="6">
    <w:abstractNumId w:val="13"/>
  </w:num>
  <w:num w:numId="7">
    <w:abstractNumId w:val="3"/>
  </w:num>
  <w:num w:numId="8">
    <w:abstractNumId w:val="14"/>
  </w:num>
  <w:num w:numId="9">
    <w:abstractNumId w:val="15"/>
  </w:num>
  <w:num w:numId="10">
    <w:abstractNumId w:val="1"/>
  </w:num>
  <w:num w:numId="11">
    <w:abstractNumId w:val="12"/>
  </w:num>
  <w:num w:numId="12">
    <w:abstractNumId w:val="4"/>
  </w:num>
  <w:num w:numId="13">
    <w:abstractNumId w:val="2"/>
  </w:num>
  <w:num w:numId="14">
    <w:abstractNumId w:val="5"/>
  </w:num>
  <w:num w:numId="15">
    <w:abstractNumId w:val="0"/>
  </w:num>
  <w:num w:numId="16">
    <w:abstractNumId w:val="11"/>
  </w:num>
  <w:num w:numId="1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8BAAF397A702447A84903210991CB79D"/>
    <w:docVar w:name="LW_CROSSREFERENCE" w:val="&lt;UNUSED&gt;"/>
    <w:docVar w:name="LW_DocType" w:val="NORMAL"/>
    <w:docVar w:name="LW_EMISSION" w:val="30.9.2015"/>
    <w:docVar w:name="LW_EMISSION_ISODATE" w:val="2015-09-30"/>
    <w:docVar w:name="LW_EMISSION_LOCATION" w:val="BRX"/>
    <w:docVar w:name="LW_EMISSION_PREFIX" w:val="Bruxelles, le "/>
    <w:docVar w:name="LW_EMISSION_SUFFIX" w:val=" "/>
    <w:docVar w:name="LW_ID_DOCTYPE_NONLW" w:val="CP-035"/>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5) 485"/>
    <w:docVar w:name="LW_REF.INTERNE" w:val="&lt;UNUSED&gt;"/>
    <w:docVar w:name="LW_SOUS.TITRE.OBJ.CP" w:val="&lt;UNUSED&gt;"/>
    <w:docVar w:name="LW_SUPERTITRE" w:val="&lt;UNUSED&gt;"/>
    <w:docVar w:name="LW_TITRE.OBJ.CP" w:val="Gestion de la crise des réfugiés: mesures budgétaires immédiates au titre de l\u8217?agenda européen en matière de migration"/>
    <w:docVar w:name="LW_TITRE.OBJ.CP_PREVIOUS" w:val="&lt;UNUSED&gt;"/>
    <w:docVar w:name="LW_TYPE.DOC.CP" w:val="PROJET DE  BUDGET RECTIFICATIF N° 7_x000b_AU BUDGET GÉNÉRAL 2015"/>
  </w:docVars>
  <w:rsids>
    <w:rsidRoot w:val="00131464"/>
    <w:rsid w:val="000C00AC"/>
    <w:rsid w:val="00131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spacing w:before="240" w:after="12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autoRedefine/>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qFormat/>
    <w:pPr>
      <w:keepNext/>
      <w:numPr>
        <w:ilvl w:val="3"/>
      </w:numPr>
      <w:tabs>
        <w:tab w:val="num" w:pos="1030"/>
      </w:tabs>
      <w:spacing w:before="120" w:after="120"/>
      <w:ind w:left="1030" w:hanging="85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5"/>
        <w:tab w:val="right" w:pos="9071"/>
        <w:tab w:val="right" w:pos="9921"/>
      </w:tabs>
      <w:spacing w:before="360"/>
      <w:ind w:left="-850" w:right="-850"/>
    </w:pPr>
  </w:style>
  <w:style w:type="paragraph" w:styleId="FootnoteText">
    <w:name w:val="footnote text"/>
    <w:basedOn w:val="Normal"/>
    <w:link w:val="FootnoteTextChar"/>
    <w:uiPriority w:val="99"/>
    <w:pPr>
      <w:ind w:left="720" w:hanging="720"/>
      <w:jc w:val="both"/>
    </w:pPr>
    <w:rPr>
      <w:sz w:val="20"/>
      <w:szCs w:val="20"/>
    </w:rPr>
  </w:style>
  <w:style w:type="paragraph" w:styleId="TOC1">
    <w:name w:val="toc 1"/>
    <w:basedOn w:val="Normal"/>
    <w:next w:val="Normal"/>
    <w:uiPriority w:val="39"/>
    <w:qFormat/>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ext1">
    <w:name w:val="Text 1"/>
    <w:basedOn w:val="Normal"/>
    <w:pPr>
      <w:spacing w:before="120" w:after="120"/>
      <w:ind w:left="850"/>
      <w:jc w:val="both"/>
    </w:pPr>
  </w:style>
  <w:style w:type="paragraph" w:customStyle="1" w:styleId="Tiret0">
    <w:name w:val="Tiret 0"/>
    <w:basedOn w:val="Normal"/>
    <w:pPr>
      <w:numPr>
        <w:numId w:val="1"/>
      </w:numPr>
      <w:spacing w:before="120" w:after="12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b/>
    </w:rPr>
  </w:style>
  <w:style w:type="paragraph" w:customStyle="1" w:styleId="ListDash">
    <w:name w:val="List Dash"/>
    <w:basedOn w:val="Normal"/>
    <w:link w:val="ListDashChar"/>
    <w:pPr>
      <w:numPr>
        <w:numId w:val="2"/>
      </w:numPr>
      <w:spacing w:before="120" w:after="120"/>
      <w:jc w:val="both"/>
    </w:pPr>
  </w:style>
  <w:style w:type="paragraph" w:styleId="TOCHeading">
    <w:name w:val="TOC Heading"/>
    <w:basedOn w:val="Normal"/>
    <w:next w:val="Normal"/>
    <w:uiPriority w:val="39"/>
    <w:qFormat/>
    <w:pPr>
      <w:spacing w:before="120" w:after="240"/>
      <w:jc w:val="center"/>
    </w:pPr>
    <w:rPr>
      <w:b/>
      <w:sz w:val="28"/>
    </w:r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style>
  <w:style w:type="paragraph" w:styleId="Header">
    <w:name w:val="header"/>
    <w:basedOn w:val="Normal"/>
    <w:pPr>
      <w:tabs>
        <w:tab w:val="center" w:pos="4536"/>
        <w:tab w:val="right" w:pos="9072"/>
      </w:tabs>
    </w:p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paragraph" w:styleId="TOC2">
    <w:name w:val="toc 2"/>
    <w:basedOn w:val="Normal"/>
    <w:next w:val="Normal"/>
    <w:autoRedefine/>
    <w:uiPriority w:val="39"/>
    <w:qFormat/>
    <w:pPr>
      <w:ind w:left="240"/>
    </w:pPr>
    <w:rPr>
      <w:smallCaps/>
      <w:sz w:val="20"/>
      <w:szCs w:val="20"/>
    </w:rPr>
  </w:style>
  <w:style w:type="paragraph" w:styleId="TOC3">
    <w:name w:val="toc 3"/>
    <w:basedOn w:val="Normal"/>
    <w:next w:val="Normal"/>
    <w:autoRedefine/>
    <w:uiPriority w:val="39"/>
    <w:semiHidden/>
    <w:qFormat/>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ListBullet">
    <w:name w:val="List Bullet"/>
    <w:basedOn w:val="Normal"/>
    <w:pPr>
      <w:numPr>
        <w:numId w:val="3"/>
      </w:numPr>
      <w:spacing w:before="120" w:after="120"/>
      <w:jc w:val="both"/>
    </w:pPr>
  </w:style>
  <w:style w:type="paragraph" w:customStyle="1" w:styleId="ListDash2">
    <w:name w:val="List Dash 2"/>
    <w:basedOn w:val="Normal"/>
    <w:pPr>
      <w:tabs>
        <w:tab w:val="num" w:pos="1134"/>
      </w:tabs>
      <w:spacing w:before="120" w:after="120"/>
      <w:ind w:left="1134" w:hanging="283"/>
      <w:jc w:val="both"/>
    </w:pPr>
  </w:style>
  <w:style w:type="paragraph" w:customStyle="1" w:styleId="ListBullet1">
    <w:name w:val="List Bullet 1"/>
    <w:basedOn w:val="Text1"/>
    <w:pPr>
      <w:numPr>
        <w:numId w:val="4"/>
      </w:numPr>
      <w:spacing w:before="0" w:after="240"/>
    </w:pPr>
    <w:rPr>
      <w:szCs w:val="20"/>
    </w:rPr>
  </w:style>
  <w:style w:type="paragraph" w:styleId="ListBullet2">
    <w:name w:val="List Bullet 2"/>
    <w:basedOn w:val="Normal"/>
    <w:pPr>
      <w:numPr>
        <w:numId w:val="5"/>
      </w:numPr>
      <w:spacing w:after="240"/>
      <w:jc w:val="both"/>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character" w:styleId="Emphasis">
    <w:name w:val="Emphasis"/>
    <w:qFormat/>
    <w:rPr>
      <w:i/>
      <w:iCs/>
    </w:rPr>
  </w:style>
  <w:style w:type="paragraph" w:styleId="NormalWeb">
    <w:name w:val="Normal (Web)"/>
    <w:basedOn w:val="Normal"/>
    <w:pPr>
      <w:spacing w:before="100" w:beforeAutospacing="1" w:after="100" w:afterAutospacing="1"/>
    </w:pPr>
  </w:style>
  <w:style w:type="paragraph" w:customStyle="1" w:styleId="Text2">
    <w:name w:val="Text 2"/>
    <w:basedOn w:val="Normal"/>
    <w:pPr>
      <w:spacing w:before="120" w:after="120"/>
      <w:ind w:left="850"/>
      <w:jc w:val="both"/>
    </w:p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6"/>
      </w:numPr>
      <w:spacing w:before="120" w:after="120"/>
      <w:jc w:val="both"/>
    </w:pPr>
  </w:style>
  <w:style w:type="paragraph" w:customStyle="1" w:styleId="ListNumberLevel2">
    <w:name w:val="List Number (Level 2)"/>
    <w:basedOn w:val="Normal"/>
    <w:pPr>
      <w:numPr>
        <w:ilvl w:val="1"/>
        <w:numId w:val="6"/>
      </w:numPr>
      <w:spacing w:before="120" w:after="120"/>
      <w:jc w:val="both"/>
    </w:pPr>
  </w:style>
  <w:style w:type="paragraph" w:customStyle="1" w:styleId="ListNumberLevel3">
    <w:name w:val="List Number (Level 3)"/>
    <w:basedOn w:val="Normal"/>
    <w:pPr>
      <w:numPr>
        <w:ilvl w:val="2"/>
        <w:numId w:val="6"/>
      </w:numPr>
      <w:spacing w:before="120" w:after="120"/>
      <w:jc w:val="both"/>
    </w:pPr>
  </w:style>
  <w:style w:type="paragraph" w:customStyle="1" w:styleId="ListNumberLevel4">
    <w:name w:val="List Number (Level 4)"/>
    <w:basedOn w:val="Normal"/>
    <w:pPr>
      <w:numPr>
        <w:ilvl w:val="3"/>
        <w:numId w:val="6"/>
      </w:numPr>
      <w:spacing w:before="120" w:after="120"/>
      <w:jc w:val="both"/>
    </w:pPr>
  </w:style>
  <w:style w:type="character" w:customStyle="1" w:styleId="ListDashChar">
    <w:name w:val="List Dash Char"/>
    <w:link w:val="ListDash"/>
    <w:rPr>
      <w:sz w:val="24"/>
      <w:szCs w:val="24"/>
      <w:lang w:eastAsia="fr-FR"/>
    </w:rPr>
  </w:style>
  <w:style w:type="paragraph" w:customStyle="1" w:styleId="StyleManualHeading2Italic">
    <w:name w:val="Style Manual Heading 2 + Italic"/>
    <w:basedOn w:val="ManualHeading2"/>
    <w:autoRedefine/>
    <w:pPr>
      <w:spacing w:before="160" w:after="160"/>
      <w:ind w:left="851" w:hanging="851"/>
    </w:pPr>
    <w:rPr>
      <w:bCs/>
      <w:i/>
      <w:iCs/>
    </w:rPr>
  </w:style>
  <w:style w:type="character" w:customStyle="1" w:styleId="FootnoteTextChar">
    <w:name w:val="Footnote Text Char"/>
    <w:link w:val="FootnoteText"/>
    <w:uiPriority w:val="99"/>
    <w:rPr>
      <w:lang w:eastAsia="fr-FR"/>
    </w:rPr>
  </w:style>
  <w:style w:type="paragraph" w:customStyle="1" w:styleId="NormalCentered">
    <w:name w:val="Normal Centered"/>
    <w:basedOn w:val="Normal"/>
    <w:uiPriority w:val="99"/>
    <w:pPr>
      <w:spacing w:before="120" w:after="120"/>
      <w:jc w:val="center"/>
    </w:pPr>
  </w:style>
  <w:style w:type="paragraph" w:customStyle="1" w:styleId="NormalRight">
    <w:name w:val="Normal Right"/>
    <w:basedOn w:val="Normal"/>
    <w:uiPriority w:val="99"/>
    <w:pPr>
      <w:spacing w:before="120" w:after="120"/>
      <w:jc w:val="right"/>
    </w:pPr>
  </w:style>
  <w:style w:type="paragraph" w:customStyle="1" w:styleId="NormalLeft">
    <w:name w:val="Normal Left"/>
    <w:basedOn w:val="Normal"/>
    <w:uiPriority w:val="99"/>
    <w:pPr>
      <w:spacing w:before="120" w:after="120"/>
    </w:pPr>
  </w:style>
  <w:style w:type="paragraph" w:styleId="Revision">
    <w:name w:val="Revision"/>
    <w:hidden/>
    <w:uiPriority w:val="99"/>
    <w:semiHidden/>
    <w:rPr>
      <w:sz w:val="24"/>
      <w:szCs w:val="24"/>
    </w:rPr>
  </w:style>
  <w:style w:type="paragraph" w:customStyle="1" w:styleId="Statut">
    <w:name w:val="Statut"/>
    <w:basedOn w:val="Normal"/>
    <w:next w:val="Typedudocument"/>
    <w:pPr>
      <w:spacing w:before="360"/>
      <w:jc w:val="center"/>
    </w:pPr>
    <w:rPr>
      <w:rFonts w:eastAsia="Calibri"/>
      <w:szCs w:val="22"/>
    </w:rPr>
  </w:style>
  <w:style w:type="paragraph" w:customStyle="1" w:styleId="Footnoter">
    <w:name w:val="Footnote r"/>
    <w:basedOn w:val="Normal"/>
    <w:pPr>
      <w:shd w:val="clear" w:color="auto" w:fill="F2F8FB"/>
      <w:spacing w:before="100" w:beforeAutospacing="1" w:after="100" w:afterAutospacing="1"/>
    </w:pPr>
    <w:rPr>
      <w:szCs w:val="22"/>
    </w:rPr>
  </w:style>
  <w:style w:type="character" w:customStyle="1" w:styleId="hps">
    <w:name w:val="hps"/>
  </w:style>
  <w:style w:type="paragraph" w:customStyle="1" w:styleId="Point0number">
    <w:name w:val="Point 0 (number)"/>
    <w:basedOn w:val="Normal"/>
    <w:pPr>
      <w:numPr>
        <w:numId w:val="7"/>
      </w:numPr>
      <w:spacing w:before="120" w:after="120"/>
      <w:jc w:val="both"/>
    </w:pPr>
    <w:rPr>
      <w:szCs w:val="22"/>
    </w:rPr>
  </w:style>
  <w:style w:type="paragraph" w:customStyle="1" w:styleId="Point1number">
    <w:name w:val="Point 1 (number)"/>
    <w:basedOn w:val="Normal"/>
    <w:pPr>
      <w:numPr>
        <w:ilvl w:val="2"/>
        <w:numId w:val="7"/>
      </w:numPr>
      <w:spacing w:before="120" w:after="120"/>
      <w:jc w:val="both"/>
    </w:pPr>
    <w:rPr>
      <w:szCs w:val="22"/>
    </w:rPr>
  </w:style>
  <w:style w:type="paragraph" w:customStyle="1" w:styleId="Point2number">
    <w:name w:val="Point 2 (number)"/>
    <w:basedOn w:val="Normal"/>
    <w:pPr>
      <w:numPr>
        <w:ilvl w:val="4"/>
        <w:numId w:val="7"/>
      </w:numPr>
      <w:spacing w:before="120" w:after="120"/>
      <w:jc w:val="both"/>
    </w:pPr>
    <w:rPr>
      <w:szCs w:val="22"/>
    </w:rPr>
  </w:style>
  <w:style w:type="paragraph" w:customStyle="1" w:styleId="Point3number">
    <w:name w:val="Point 3 (number)"/>
    <w:basedOn w:val="Normal"/>
    <w:pPr>
      <w:numPr>
        <w:ilvl w:val="6"/>
        <w:numId w:val="7"/>
      </w:numPr>
      <w:spacing w:before="120" w:after="120"/>
      <w:jc w:val="both"/>
    </w:pPr>
    <w:rPr>
      <w:szCs w:val="22"/>
    </w:rPr>
  </w:style>
  <w:style w:type="paragraph" w:customStyle="1" w:styleId="Point0letter">
    <w:name w:val="Point 0 (letter)"/>
    <w:basedOn w:val="Normal"/>
    <w:pPr>
      <w:numPr>
        <w:ilvl w:val="1"/>
        <w:numId w:val="7"/>
      </w:numPr>
      <w:spacing w:before="120" w:after="120"/>
      <w:jc w:val="both"/>
    </w:pPr>
    <w:rPr>
      <w:szCs w:val="22"/>
    </w:rPr>
  </w:style>
  <w:style w:type="paragraph" w:customStyle="1" w:styleId="Point1letter">
    <w:name w:val="Point 1 (letter)"/>
    <w:basedOn w:val="Normal"/>
    <w:pPr>
      <w:numPr>
        <w:ilvl w:val="3"/>
        <w:numId w:val="7"/>
      </w:numPr>
      <w:spacing w:before="120" w:after="120"/>
      <w:jc w:val="both"/>
    </w:pPr>
    <w:rPr>
      <w:szCs w:val="22"/>
    </w:rPr>
  </w:style>
  <w:style w:type="paragraph" w:customStyle="1" w:styleId="Point2letter">
    <w:name w:val="Point 2 (letter)"/>
    <w:basedOn w:val="Normal"/>
    <w:pPr>
      <w:numPr>
        <w:ilvl w:val="5"/>
        <w:numId w:val="7"/>
      </w:numPr>
      <w:spacing w:before="120" w:after="120"/>
      <w:jc w:val="both"/>
    </w:pPr>
    <w:rPr>
      <w:szCs w:val="22"/>
    </w:rPr>
  </w:style>
  <w:style w:type="paragraph" w:customStyle="1" w:styleId="Point3letter">
    <w:name w:val="Point 3 (letter)"/>
    <w:basedOn w:val="Normal"/>
    <w:pPr>
      <w:numPr>
        <w:ilvl w:val="7"/>
        <w:numId w:val="7"/>
      </w:numPr>
      <w:spacing w:before="120" w:after="120"/>
      <w:jc w:val="both"/>
    </w:pPr>
    <w:rPr>
      <w:szCs w:val="22"/>
    </w:rPr>
  </w:style>
  <w:style w:type="paragraph" w:customStyle="1" w:styleId="Point4letter">
    <w:name w:val="Point 4 (letter)"/>
    <w:basedOn w:val="Normal"/>
    <w:pPr>
      <w:numPr>
        <w:ilvl w:val="8"/>
        <w:numId w:val="7"/>
      </w:numPr>
      <w:spacing w:before="120" w:after="120"/>
      <w:jc w:val="both"/>
    </w:pPr>
    <w:rPr>
      <w:szCs w:val="22"/>
    </w:rPr>
  </w:style>
  <w:style w:type="paragraph" w:customStyle="1" w:styleId="Tiret2">
    <w:name w:val="Tiret 2"/>
    <w:basedOn w:val="Normal"/>
    <w:pPr>
      <w:numPr>
        <w:numId w:val="8"/>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200" w:line="276" w:lineRule="auto"/>
      <w:ind w:left="720"/>
      <w:contextualSpacing/>
    </w:pPr>
    <w:rPr>
      <w:rFonts w:ascii="Calibri" w:eastAsia="MS Mincho" w:hAnsi="Calibri"/>
      <w:sz w:val="22"/>
      <w:szCs w:val="2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Calibri" w:eastAsia="MS Mincho" w:hAnsi="Calibri"/>
      <w:sz w:val="22"/>
      <w:szCs w:val="22"/>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ListNumber5">
    <w:name w:val="List Number 5"/>
    <w:basedOn w:val="Normal"/>
    <w:pPr>
      <w:numPr>
        <w:numId w:val="1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pPr>
      <w:keepNext/>
      <w:spacing w:before="240" w:after="120"/>
      <w:outlineLvl w:val="0"/>
    </w:pPr>
    <w:rPr>
      <w:rFonts w:ascii="Arial" w:hAnsi="Arial" w:cs="Arial"/>
      <w:b/>
      <w:bCs/>
      <w:kern w:val="32"/>
      <w:sz w:val="32"/>
      <w:szCs w:val="32"/>
    </w:rPr>
  </w:style>
  <w:style w:type="paragraph" w:styleId="Heading2">
    <w:name w:val="heading 2"/>
    <w:basedOn w:val="Normal"/>
    <w:next w:val="Normal"/>
    <w:autoRedefine/>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autoRedefine/>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qFormat/>
    <w:pPr>
      <w:keepNext/>
      <w:numPr>
        <w:ilvl w:val="3"/>
      </w:numPr>
      <w:tabs>
        <w:tab w:val="num" w:pos="1030"/>
      </w:tabs>
      <w:spacing w:before="120" w:after="120"/>
      <w:ind w:left="1030" w:hanging="85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5"/>
        <w:tab w:val="right" w:pos="9071"/>
        <w:tab w:val="right" w:pos="9921"/>
      </w:tabs>
      <w:spacing w:before="360"/>
      <w:ind w:left="-850" w:right="-850"/>
    </w:pPr>
  </w:style>
  <w:style w:type="paragraph" w:styleId="FootnoteText">
    <w:name w:val="footnote text"/>
    <w:basedOn w:val="Normal"/>
    <w:link w:val="FootnoteTextChar"/>
    <w:uiPriority w:val="99"/>
    <w:pPr>
      <w:ind w:left="720" w:hanging="720"/>
      <w:jc w:val="both"/>
    </w:pPr>
    <w:rPr>
      <w:sz w:val="20"/>
      <w:szCs w:val="20"/>
    </w:rPr>
  </w:style>
  <w:style w:type="paragraph" w:styleId="TOC1">
    <w:name w:val="toc 1"/>
    <w:basedOn w:val="Normal"/>
    <w:next w:val="Normal"/>
    <w:uiPriority w:val="39"/>
    <w:qFormat/>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uiPriority w:val="99"/>
    <w:rPr>
      <w:vertAlign w:val="superscript"/>
    </w:rPr>
  </w:style>
  <w:style w:type="paragraph" w:customStyle="1" w:styleId="Text1">
    <w:name w:val="Text 1"/>
    <w:basedOn w:val="Normal"/>
    <w:pPr>
      <w:spacing w:before="120" w:after="120"/>
      <w:ind w:left="850"/>
      <w:jc w:val="both"/>
    </w:pPr>
  </w:style>
  <w:style w:type="paragraph" w:customStyle="1" w:styleId="Tiret0">
    <w:name w:val="Tiret 0"/>
    <w:basedOn w:val="Normal"/>
    <w:pPr>
      <w:numPr>
        <w:numId w:val="1"/>
      </w:numPr>
      <w:spacing w:before="120" w:after="12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b/>
    </w:rPr>
  </w:style>
  <w:style w:type="paragraph" w:customStyle="1" w:styleId="ListDash">
    <w:name w:val="List Dash"/>
    <w:basedOn w:val="Normal"/>
    <w:link w:val="ListDashChar"/>
    <w:pPr>
      <w:numPr>
        <w:numId w:val="2"/>
      </w:numPr>
      <w:spacing w:before="120" w:after="120"/>
      <w:jc w:val="both"/>
    </w:pPr>
  </w:style>
  <w:style w:type="paragraph" w:styleId="TOCHeading">
    <w:name w:val="TOC Heading"/>
    <w:basedOn w:val="Normal"/>
    <w:next w:val="Normal"/>
    <w:uiPriority w:val="39"/>
    <w:qFormat/>
    <w:pPr>
      <w:spacing w:before="120" w:after="240"/>
      <w:jc w:val="center"/>
    </w:pPr>
    <w:rPr>
      <w:b/>
      <w:sz w:val="28"/>
    </w:r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character" w:styleId="Hyperlink">
    <w:name w:val="Hyperlink"/>
    <w:uiPriority w:val="99"/>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120" w:after="120"/>
      <w:jc w:val="both"/>
    </w:pPr>
  </w:style>
  <w:style w:type="paragraph" w:styleId="Header">
    <w:name w:val="header"/>
    <w:basedOn w:val="Normal"/>
    <w:pPr>
      <w:tabs>
        <w:tab w:val="center" w:pos="4536"/>
        <w:tab w:val="right" w:pos="9072"/>
      </w:tabs>
    </w:pPr>
  </w:style>
  <w:style w:type="paragraph" w:customStyle="1" w:styleId="FooterCoverPage">
    <w:name w:val="Footer Cover Page"/>
    <w:basedOn w:val="Normal"/>
    <w:pPr>
      <w:tabs>
        <w:tab w:val="center" w:pos="4535"/>
        <w:tab w:val="right" w:pos="9071"/>
        <w:tab w:val="right" w:pos="9921"/>
      </w:tabs>
      <w:spacing w:before="360"/>
      <w:ind w:left="-850" w:right="-850"/>
    </w:pPr>
  </w:style>
  <w:style w:type="paragraph" w:customStyle="1" w:styleId="HeaderCoverPage">
    <w:name w:val="Header Cover Page"/>
    <w:basedOn w:val="Normal"/>
    <w:pPr>
      <w:tabs>
        <w:tab w:val="center" w:pos="4535"/>
        <w:tab w:val="right" w:pos="9071"/>
      </w:tabs>
      <w:spacing w:after="120"/>
      <w:jc w:val="both"/>
    </w:pPr>
  </w:style>
  <w:style w:type="paragraph" w:styleId="TOC2">
    <w:name w:val="toc 2"/>
    <w:basedOn w:val="Normal"/>
    <w:next w:val="Normal"/>
    <w:autoRedefine/>
    <w:uiPriority w:val="39"/>
    <w:qFormat/>
    <w:pPr>
      <w:ind w:left="240"/>
    </w:pPr>
    <w:rPr>
      <w:smallCaps/>
      <w:sz w:val="20"/>
      <w:szCs w:val="20"/>
    </w:rPr>
  </w:style>
  <w:style w:type="paragraph" w:styleId="TOC3">
    <w:name w:val="toc 3"/>
    <w:basedOn w:val="Normal"/>
    <w:next w:val="Normal"/>
    <w:autoRedefine/>
    <w:uiPriority w:val="39"/>
    <w:semiHidden/>
    <w:qFormat/>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ListBullet">
    <w:name w:val="List Bullet"/>
    <w:basedOn w:val="Normal"/>
    <w:pPr>
      <w:numPr>
        <w:numId w:val="3"/>
      </w:numPr>
      <w:spacing w:before="120" w:after="120"/>
      <w:jc w:val="both"/>
    </w:pPr>
  </w:style>
  <w:style w:type="paragraph" w:customStyle="1" w:styleId="ListDash2">
    <w:name w:val="List Dash 2"/>
    <w:basedOn w:val="Normal"/>
    <w:pPr>
      <w:tabs>
        <w:tab w:val="num" w:pos="1134"/>
      </w:tabs>
      <w:spacing w:before="120" w:after="120"/>
      <w:ind w:left="1134" w:hanging="283"/>
      <w:jc w:val="both"/>
    </w:pPr>
  </w:style>
  <w:style w:type="paragraph" w:customStyle="1" w:styleId="ListBullet1">
    <w:name w:val="List Bullet 1"/>
    <w:basedOn w:val="Text1"/>
    <w:pPr>
      <w:numPr>
        <w:numId w:val="4"/>
      </w:numPr>
      <w:spacing w:before="0" w:after="240"/>
    </w:pPr>
    <w:rPr>
      <w:szCs w:val="20"/>
    </w:rPr>
  </w:style>
  <w:style w:type="paragraph" w:styleId="ListBullet2">
    <w:name w:val="List Bullet 2"/>
    <w:basedOn w:val="Normal"/>
    <w:pPr>
      <w:numPr>
        <w:numId w:val="5"/>
      </w:numPr>
      <w:spacing w:after="240"/>
      <w:jc w:val="both"/>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customStyle="1" w:styleId="Typedudocument">
    <w:name w:val="Type du document"/>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character" w:styleId="Emphasis">
    <w:name w:val="Emphasis"/>
    <w:qFormat/>
    <w:rPr>
      <w:i/>
      <w:iCs/>
    </w:rPr>
  </w:style>
  <w:style w:type="paragraph" w:styleId="NormalWeb">
    <w:name w:val="Normal (Web)"/>
    <w:basedOn w:val="Normal"/>
    <w:pPr>
      <w:spacing w:before="100" w:beforeAutospacing="1" w:after="100" w:afterAutospacing="1"/>
    </w:pPr>
  </w:style>
  <w:style w:type="paragraph" w:customStyle="1" w:styleId="Text2">
    <w:name w:val="Text 2"/>
    <w:basedOn w:val="Normal"/>
    <w:pPr>
      <w:spacing w:before="120" w:after="120"/>
      <w:ind w:left="850"/>
      <w:jc w:val="both"/>
    </w:pPr>
  </w:style>
  <w:style w:type="paragraph" w:styleId="BalloonText">
    <w:name w:val="Balloon Text"/>
    <w:basedOn w:val="Normal"/>
    <w:semiHidden/>
    <w:rPr>
      <w:rFonts w:ascii="Tahoma" w:hAnsi="Tahoma" w:cs="Tahoma"/>
      <w:sz w:val="16"/>
      <w:szCs w:val="16"/>
    </w:rPr>
  </w:style>
  <w:style w:type="paragraph" w:styleId="ListNumber">
    <w:name w:val="List Number"/>
    <w:basedOn w:val="Normal"/>
    <w:pPr>
      <w:numPr>
        <w:numId w:val="6"/>
      </w:numPr>
      <w:spacing w:before="120" w:after="120"/>
      <w:jc w:val="both"/>
    </w:pPr>
  </w:style>
  <w:style w:type="paragraph" w:customStyle="1" w:styleId="ListNumberLevel2">
    <w:name w:val="List Number (Level 2)"/>
    <w:basedOn w:val="Normal"/>
    <w:pPr>
      <w:numPr>
        <w:ilvl w:val="1"/>
        <w:numId w:val="6"/>
      </w:numPr>
      <w:spacing w:before="120" w:after="120"/>
      <w:jc w:val="both"/>
    </w:pPr>
  </w:style>
  <w:style w:type="paragraph" w:customStyle="1" w:styleId="ListNumberLevel3">
    <w:name w:val="List Number (Level 3)"/>
    <w:basedOn w:val="Normal"/>
    <w:pPr>
      <w:numPr>
        <w:ilvl w:val="2"/>
        <w:numId w:val="6"/>
      </w:numPr>
      <w:spacing w:before="120" w:after="120"/>
      <w:jc w:val="both"/>
    </w:pPr>
  </w:style>
  <w:style w:type="paragraph" w:customStyle="1" w:styleId="ListNumberLevel4">
    <w:name w:val="List Number (Level 4)"/>
    <w:basedOn w:val="Normal"/>
    <w:pPr>
      <w:numPr>
        <w:ilvl w:val="3"/>
        <w:numId w:val="6"/>
      </w:numPr>
      <w:spacing w:before="120" w:after="120"/>
      <w:jc w:val="both"/>
    </w:pPr>
  </w:style>
  <w:style w:type="character" w:customStyle="1" w:styleId="ListDashChar">
    <w:name w:val="List Dash Char"/>
    <w:link w:val="ListDash"/>
    <w:rPr>
      <w:sz w:val="24"/>
      <w:szCs w:val="24"/>
      <w:lang w:eastAsia="fr-FR"/>
    </w:rPr>
  </w:style>
  <w:style w:type="paragraph" w:customStyle="1" w:styleId="StyleManualHeading2Italic">
    <w:name w:val="Style Manual Heading 2 + Italic"/>
    <w:basedOn w:val="ManualHeading2"/>
    <w:autoRedefine/>
    <w:pPr>
      <w:spacing w:before="160" w:after="160"/>
      <w:ind w:left="851" w:hanging="851"/>
    </w:pPr>
    <w:rPr>
      <w:bCs/>
      <w:i/>
      <w:iCs/>
    </w:rPr>
  </w:style>
  <w:style w:type="character" w:customStyle="1" w:styleId="FootnoteTextChar">
    <w:name w:val="Footnote Text Char"/>
    <w:link w:val="FootnoteText"/>
    <w:uiPriority w:val="99"/>
    <w:rPr>
      <w:lang w:eastAsia="fr-FR"/>
    </w:rPr>
  </w:style>
  <w:style w:type="paragraph" w:customStyle="1" w:styleId="NormalCentered">
    <w:name w:val="Normal Centered"/>
    <w:basedOn w:val="Normal"/>
    <w:uiPriority w:val="99"/>
    <w:pPr>
      <w:spacing w:before="120" w:after="120"/>
      <w:jc w:val="center"/>
    </w:pPr>
  </w:style>
  <w:style w:type="paragraph" w:customStyle="1" w:styleId="NormalRight">
    <w:name w:val="Normal Right"/>
    <w:basedOn w:val="Normal"/>
    <w:uiPriority w:val="99"/>
    <w:pPr>
      <w:spacing w:before="120" w:after="120"/>
      <w:jc w:val="right"/>
    </w:pPr>
  </w:style>
  <w:style w:type="paragraph" w:customStyle="1" w:styleId="NormalLeft">
    <w:name w:val="Normal Left"/>
    <w:basedOn w:val="Normal"/>
    <w:uiPriority w:val="99"/>
    <w:pPr>
      <w:spacing w:before="120" w:after="120"/>
    </w:pPr>
  </w:style>
  <w:style w:type="paragraph" w:styleId="Revision">
    <w:name w:val="Revision"/>
    <w:hidden/>
    <w:uiPriority w:val="99"/>
    <w:semiHidden/>
    <w:rPr>
      <w:sz w:val="24"/>
      <w:szCs w:val="24"/>
    </w:rPr>
  </w:style>
  <w:style w:type="paragraph" w:customStyle="1" w:styleId="Statut">
    <w:name w:val="Statut"/>
    <w:basedOn w:val="Normal"/>
    <w:next w:val="Typedudocument"/>
    <w:pPr>
      <w:spacing w:before="360"/>
      <w:jc w:val="center"/>
    </w:pPr>
    <w:rPr>
      <w:rFonts w:eastAsia="Calibri"/>
      <w:szCs w:val="22"/>
    </w:rPr>
  </w:style>
  <w:style w:type="paragraph" w:customStyle="1" w:styleId="Footnoter">
    <w:name w:val="Footnote r"/>
    <w:basedOn w:val="Normal"/>
    <w:pPr>
      <w:shd w:val="clear" w:color="auto" w:fill="F2F8FB"/>
      <w:spacing w:before="100" w:beforeAutospacing="1" w:after="100" w:afterAutospacing="1"/>
    </w:pPr>
    <w:rPr>
      <w:szCs w:val="22"/>
    </w:rPr>
  </w:style>
  <w:style w:type="character" w:customStyle="1" w:styleId="hps">
    <w:name w:val="hps"/>
  </w:style>
  <w:style w:type="paragraph" w:customStyle="1" w:styleId="Point0number">
    <w:name w:val="Point 0 (number)"/>
    <w:basedOn w:val="Normal"/>
    <w:pPr>
      <w:numPr>
        <w:numId w:val="7"/>
      </w:numPr>
      <w:spacing w:before="120" w:after="120"/>
      <w:jc w:val="both"/>
    </w:pPr>
    <w:rPr>
      <w:szCs w:val="22"/>
    </w:rPr>
  </w:style>
  <w:style w:type="paragraph" w:customStyle="1" w:styleId="Point1number">
    <w:name w:val="Point 1 (number)"/>
    <w:basedOn w:val="Normal"/>
    <w:pPr>
      <w:numPr>
        <w:ilvl w:val="2"/>
        <w:numId w:val="7"/>
      </w:numPr>
      <w:spacing w:before="120" w:after="120"/>
      <w:jc w:val="both"/>
    </w:pPr>
    <w:rPr>
      <w:szCs w:val="22"/>
    </w:rPr>
  </w:style>
  <w:style w:type="paragraph" w:customStyle="1" w:styleId="Point2number">
    <w:name w:val="Point 2 (number)"/>
    <w:basedOn w:val="Normal"/>
    <w:pPr>
      <w:numPr>
        <w:ilvl w:val="4"/>
        <w:numId w:val="7"/>
      </w:numPr>
      <w:spacing w:before="120" w:after="120"/>
      <w:jc w:val="both"/>
    </w:pPr>
    <w:rPr>
      <w:szCs w:val="22"/>
    </w:rPr>
  </w:style>
  <w:style w:type="paragraph" w:customStyle="1" w:styleId="Point3number">
    <w:name w:val="Point 3 (number)"/>
    <w:basedOn w:val="Normal"/>
    <w:pPr>
      <w:numPr>
        <w:ilvl w:val="6"/>
        <w:numId w:val="7"/>
      </w:numPr>
      <w:spacing w:before="120" w:after="120"/>
      <w:jc w:val="both"/>
    </w:pPr>
    <w:rPr>
      <w:szCs w:val="22"/>
    </w:rPr>
  </w:style>
  <w:style w:type="paragraph" w:customStyle="1" w:styleId="Point0letter">
    <w:name w:val="Point 0 (letter)"/>
    <w:basedOn w:val="Normal"/>
    <w:pPr>
      <w:numPr>
        <w:ilvl w:val="1"/>
        <w:numId w:val="7"/>
      </w:numPr>
      <w:spacing w:before="120" w:after="120"/>
      <w:jc w:val="both"/>
    </w:pPr>
    <w:rPr>
      <w:szCs w:val="22"/>
    </w:rPr>
  </w:style>
  <w:style w:type="paragraph" w:customStyle="1" w:styleId="Point1letter">
    <w:name w:val="Point 1 (letter)"/>
    <w:basedOn w:val="Normal"/>
    <w:pPr>
      <w:numPr>
        <w:ilvl w:val="3"/>
        <w:numId w:val="7"/>
      </w:numPr>
      <w:spacing w:before="120" w:after="120"/>
      <w:jc w:val="both"/>
    </w:pPr>
    <w:rPr>
      <w:szCs w:val="22"/>
    </w:rPr>
  </w:style>
  <w:style w:type="paragraph" w:customStyle="1" w:styleId="Point2letter">
    <w:name w:val="Point 2 (letter)"/>
    <w:basedOn w:val="Normal"/>
    <w:pPr>
      <w:numPr>
        <w:ilvl w:val="5"/>
        <w:numId w:val="7"/>
      </w:numPr>
      <w:spacing w:before="120" w:after="120"/>
      <w:jc w:val="both"/>
    </w:pPr>
    <w:rPr>
      <w:szCs w:val="22"/>
    </w:rPr>
  </w:style>
  <w:style w:type="paragraph" w:customStyle="1" w:styleId="Point3letter">
    <w:name w:val="Point 3 (letter)"/>
    <w:basedOn w:val="Normal"/>
    <w:pPr>
      <w:numPr>
        <w:ilvl w:val="7"/>
        <w:numId w:val="7"/>
      </w:numPr>
      <w:spacing w:before="120" w:after="120"/>
      <w:jc w:val="both"/>
    </w:pPr>
    <w:rPr>
      <w:szCs w:val="22"/>
    </w:rPr>
  </w:style>
  <w:style w:type="paragraph" w:customStyle="1" w:styleId="Point4letter">
    <w:name w:val="Point 4 (letter)"/>
    <w:basedOn w:val="Normal"/>
    <w:pPr>
      <w:numPr>
        <w:ilvl w:val="8"/>
        <w:numId w:val="7"/>
      </w:numPr>
      <w:spacing w:before="120" w:after="120"/>
      <w:jc w:val="both"/>
    </w:pPr>
    <w:rPr>
      <w:szCs w:val="22"/>
    </w:rPr>
  </w:style>
  <w:style w:type="paragraph" w:customStyle="1" w:styleId="Tiret2">
    <w:name w:val="Tiret 2"/>
    <w:basedOn w:val="Normal"/>
    <w:pPr>
      <w:numPr>
        <w:numId w:val="8"/>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200" w:line="276" w:lineRule="auto"/>
      <w:ind w:left="720"/>
      <w:contextualSpacing/>
    </w:pPr>
    <w:rPr>
      <w:rFonts w:ascii="Calibri" w:eastAsia="MS Mincho" w:hAnsi="Calibri"/>
      <w:sz w:val="22"/>
      <w:szCs w:val="22"/>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Calibri" w:eastAsia="MS Mincho" w:hAnsi="Calibri"/>
      <w:sz w:val="22"/>
      <w:szCs w:val="22"/>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ListNumber5">
    <w:name w:val="List Number 5"/>
    <w:basedOn w:val="Normal"/>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6090">
      <w:bodyDiv w:val="1"/>
      <w:marLeft w:val="0"/>
      <w:marRight w:val="0"/>
      <w:marTop w:val="0"/>
      <w:marBottom w:val="0"/>
      <w:divBdr>
        <w:top w:val="none" w:sz="0" w:space="0" w:color="auto"/>
        <w:left w:val="none" w:sz="0" w:space="0" w:color="auto"/>
        <w:bottom w:val="none" w:sz="0" w:space="0" w:color="auto"/>
        <w:right w:val="none" w:sz="0" w:space="0" w:color="auto"/>
      </w:divBdr>
      <w:divsChild>
        <w:div w:id="1952855758">
          <w:marLeft w:val="0"/>
          <w:marRight w:val="0"/>
          <w:marTop w:val="0"/>
          <w:marBottom w:val="0"/>
          <w:divBdr>
            <w:top w:val="none" w:sz="0" w:space="0" w:color="auto"/>
            <w:left w:val="none" w:sz="0" w:space="0" w:color="auto"/>
            <w:bottom w:val="none" w:sz="0" w:space="0" w:color="auto"/>
            <w:right w:val="none" w:sz="0" w:space="0" w:color="auto"/>
          </w:divBdr>
          <w:divsChild>
            <w:div w:id="1936203364">
              <w:marLeft w:val="0"/>
              <w:marRight w:val="0"/>
              <w:marTop w:val="0"/>
              <w:marBottom w:val="0"/>
              <w:divBdr>
                <w:top w:val="none" w:sz="0" w:space="0" w:color="auto"/>
                <w:left w:val="none" w:sz="0" w:space="0" w:color="auto"/>
                <w:bottom w:val="none" w:sz="0" w:space="0" w:color="auto"/>
                <w:right w:val="none" w:sz="0" w:space="0" w:color="auto"/>
              </w:divBdr>
              <w:divsChild>
                <w:div w:id="1099984863">
                  <w:marLeft w:val="0"/>
                  <w:marRight w:val="0"/>
                  <w:marTop w:val="0"/>
                  <w:marBottom w:val="0"/>
                  <w:divBdr>
                    <w:top w:val="none" w:sz="0" w:space="0" w:color="auto"/>
                    <w:left w:val="none" w:sz="0" w:space="0" w:color="auto"/>
                    <w:bottom w:val="none" w:sz="0" w:space="0" w:color="auto"/>
                    <w:right w:val="none" w:sz="0" w:space="0" w:color="auto"/>
                  </w:divBdr>
                  <w:divsChild>
                    <w:div w:id="1203328141">
                      <w:marLeft w:val="1"/>
                      <w:marRight w:val="1"/>
                      <w:marTop w:val="0"/>
                      <w:marBottom w:val="0"/>
                      <w:divBdr>
                        <w:top w:val="none" w:sz="0" w:space="0" w:color="auto"/>
                        <w:left w:val="none" w:sz="0" w:space="0" w:color="auto"/>
                        <w:bottom w:val="none" w:sz="0" w:space="0" w:color="auto"/>
                        <w:right w:val="none" w:sz="0" w:space="0" w:color="auto"/>
                      </w:divBdr>
                      <w:divsChild>
                        <w:div w:id="1936546657">
                          <w:marLeft w:val="0"/>
                          <w:marRight w:val="0"/>
                          <w:marTop w:val="0"/>
                          <w:marBottom w:val="0"/>
                          <w:divBdr>
                            <w:top w:val="none" w:sz="0" w:space="0" w:color="auto"/>
                            <w:left w:val="none" w:sz="0" w:space="0" w:color="auto"/>
                            <w:bottom w:val="none" w:sz="0" w:space="0" w:color="auto"/>
                            <w:right w:val="none" w:sz="0" w:space="0" w:color="auto"/>
                          </w:divBdr>
                          <w:divsChild>
                            <w:div w:id="1022240160">
                              <w:marLeft w:val="0"/>
                              <w:marRight w:val="0"/>
                              <w:marTop w:val="0"/>
                              <w:marBottom w:val="360"/>
                              <w:divBdr>
                                <w:top w:val="none" w:sz="0" w:space="0" w:color="auto"/>
                                <w:left w:val="none" w:sz="0" w:space="0" w:color="auto"/>
                                <w:bottom w:val="none" w:sz="0" w:space="0" w:color="auto"/>
                                <w:right w:val="none" w:sz="0" w:space="0" w:color="auto"/>
                              </w:divBdr>
                              <w:divsChild>
                                <w:div w:id="1375350455">
                                  <w:marLeft w:val="0"/>
                                  <w:marRight w:val="0"/>
                                  <w:marTop w:val="0"/>
                                  <w:marBottom w:val="0"/>
                                  <w:divBdr>
                                    <w:top w:val="none" w:sz="0" w:space="0" w:color="auto"/>
                                    <w:left w:val="none" w:sz="0" w:space="0" w:color="auto"/>
                                    <w:bottom w:val="none" w:sz="0" w:space="0" w:color="auto"/>
                                    <w:right w:val="none" w:sz="0" w:space="0" w:color="auto"/>
                                  </w:divBdr>
                                  <w:divsChild>
                                    <w:div w:id="15473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861079">
      <w:bodyDiv w:val="1"/>
      <w:marLeft w:val="0"/>
      <w:marRight w:val="0"/>
      <w:marTop w:val="0"/>
      <w:marBottom w:val="0"/>
      <w:divBdr>
        <w:top w:val="none" w:sz="0" w:space="0" w:color="auto"/>
        <w:left w:val="none" w:sz="0" w:space="0" w:color="auto"/>
        <w:bottom w:val="none" w:sz="0" w:space="0" w:color="auto"/>
        <w:right w:val="none" w:sz="0" w:space="0" w:color="auto"/>
      </w:divBdr>
    </w:div>
    <w:div w:id="354623949">
      <w:bodyDiv w:val="1"/>
      <w:marLeft w:val="0"/>
      <w:marRight w:val="0"/>
      <w:marTop w:val="0"/>
      <w:marBottom w:val="0"/>
      <w:divBdr>
        <w:top w:val="none" w:sz="0" w:space="0" w:color="auto"/>
        <w:left w:val="none" w:sz="0" w:space="0" w:color="auto"/>
        <w:bottom w:val="none" w:sz="0" w:space="0" w:color="auto"/>
        <w:right w:val="none" w:sz="0" w:space="0" w:color="auto"/>
      </w:divBdr>
    </w:div>
    <w:div w:id="370612037">
      <w:bodyDiv w:val="1"/>
      <w:marLeft w:val="0"/>
      <w:marRight w:val="0"/>
      <w:marTop w:val="0"/>
      <w:marBottom w:val="0"/>
      <w:divBdr>
        <w:top w:val="none" w:sz="0" w:space="0" w:color="auto"/>
        <w:left w:val="none" w:sz="0" w:space="0" w:color="auto"/>
        <w:bottom w:val="none" w:sz="0" w:space="0" w:color="auto"/>
        <w:right w:val="none" w:sz="0" w:space="0" w:color="auto"/>
      </w:divBdr>
    </w:div>
    <w:div w:id="390540002">
      <w:bodyDiv w:val="1"/>
      <w:marLeft w:val="0"/>
      <w:marRight w:val="0"/>
      <w:marTop w:val="0"/>
      <w:marBottom w:val="0"/>
      <w:divBdr>
        <w:top w:val="none" w:sz="0" w:space="0" w:color="auto"/>
        <w:left w:val="none" w:sz="0" w:space="0" w:color="auto"/>
        <w:bottom w:val="none" w:sz="0" w:space="0" w:color="auto"/>
        <w:right w:val="none" w:sz="0" w:space="0" w:color="auto"/>
      </w:divBdr>
    </w:div>
    <w:div w:id="471752386">
      <w:bodyDiv w:val="1"/>
      <w:marLeft w:val="0"/>
      <w:marRight w:val="0"/>
      <w:marTop w:val="0"/>
      <w:marBottom w:val="0"/>
      <w:divBdr>
        <w:top w:val="none" w:sz="0" w:space="0" w:color="auto"/>
        <w:left w:val="none" w:sz="0" w:space="0" w:color="auto"/>
        <w:bottom w:val="none" w:sz="0" w:space="0" w:color="auto"/>
        <w:right w:val="none" w:sz="0" w:space="0" w:color="auto"/>
      </w:divBdr>
    </w:div>
    <w:div w:id="476648652">
      <w:bodyDiv w:val="1"/>
      <w:marLeft w:val="0"/>
      <w:marRight w:val="0"/>
      <w:marTop w:val="0"/>
      <w:marBottom w:val="0"/>
      <w:divBdr>
        <w:top w:val="none" w:sz="0" w:space="0" w:color="auto"/>
        <w:left w:val="none" w:sz="0" w:space="0" w:color="auto"/>
        <w:bottom w:val="none" w:sz="0" w:space="0" w:color="auto"/>
        <w:right w:val="none" w:sz="0" w:space="0" w:color="auto"/>
      </w:divBdr>
    </w:div>
    <w:div w:id="631600828">
      <w:bodyDiv w:val="1"/>
      <w:marLeft w:val="0"/>
      <w:marRight w:val="0"/>
      <w:marTop w:val="0"/>
      <w:marBottom w:val="0"/>
      <w:divBdr>
        <w:top w:val="none" w:sz="0" w:space="0" w:color="auto"/>
        <w:left w:val="none" w:sz="0" w:space="0" w:color="auto"/>
        <w:bottom w:val="none" w:sz="0" w:space="0" w:color="auto"/>
        <w:right w:val="none" w:sz="0" w:space="0" w:color="auto"/>
      </w:divBdr>
    </w:div>
    <w:div w:id="693187629">
      <w:bodyDiv w:val="1"/>
      <w:marLeft w:val="0"/>
      <w:marRight w:val="0"/>
      <w:marTop w:val="0"/>
      <w:marBottom w:val="0"/>
      <w:divBdr>
        <w:top w:val="none" w:sz="0" w:space="0" w:color="auto"/>
        <w:left w:val="none" w:sz="0" w:space="0" w:color="auto"/>
        <w:bottom w:val="none" w:sz="0" w:space="0" w:color="auto"/>
        <w:right w:val="none" w:sz="0" w:space="0" w:color="auto"/>
      </w:divBdr>
    </w:div>
    <w:div w:id="703360353">
      <w:bodyDiv w:val="1"/>
      <w:marLeft w:val="0"/>
      <w:marRight w:val="0"/>
      <w:marTop w:val="0"/>
      <w:marBottom w:val="0"/>
      <w:divBdr>
        <w:top w:val="none" w:sz="0" w:space="0" w:color="auto"/>
        <w:left w:val="none" w:sz="0" w:space="0" w:color="auto"/>
        <w:bottom w:val="none" w:sz="0" w:space="0" w:color="auto"/>
        <w:right w:val="none" w:sz="0" w:space="0" w:color="auto"/>
      </w:divBdr>
    </w:div>
    <w:div w:id="898131723">
      <w:bodyDiv w:val="1"/>
      <w:marLeft w:val="0"/>
      <w:marRight w:val="0"/>
      <w:marTop w:val="0"/>
      <w:marBottom w:val="0"/>
      <w:divBdr>
        <w:top w:val="none" w:sz="0" w:space="0" w:color="auto"/>
        <w:left w:val="none" w:sz="0" w:space="0" w:color="auto"/>
        <w:bottom w:val="none" w:sz="0" w:space="0" w:color="auto"/>
        <w:right w:val="none" w:sz="0" w:space="0" w:color="auto"/>
      </w:divBdr>
    </w:div>
    <w:div w:id="967663377">
      <w:bodyDiv w:val="1"/>
      <w:marLeft w:val="0"/>
      <w:marRight w:val="0"/>
      <w:marTop w:val="0"/>
      <w:marBottom w:val="0"/>
      <w:divBdr>
        <w:top w:val="none" w:sz="0" w:space="0" w:color="auto"/>
        <w:left w:val="none" w:sz="0" w:space="0" w:color="auto"/>
        <w:bottom w:val="none" w:sz="0" w:space="0" w:color="auto"/>
        <w:right w:val="none" w:sz="0" w:space="0" w:color="auto"/>
      </w:divBdr>
    </w:div>
    <w:div w:id="1019045255">
      <w:bodyDiv w:val="1"/>
      <w:marLeft w:val="0"/>
      <w:marRight w:val="0"/>
      <w:marTop w:val="0"/>
      <w:marBottom w:val="0"/>
      <w:divBdr>
        <w:top w:val="none" w:sz="0" w:space="0" w:color="auto"/>
        <w:left w:val="none" w:sz="0" w:space="0" w:color="auto"/>
        <w:bottom w:val="none" w:sz="0" w:space="0" w:color="auto"/>
        <w:right w:val="none" w:sz="0" w:space="0" w:color="auto"/>
      </w:divBdr>
    </w:div>
    <w:div w:id="1092891715">
      <w:bodyDiv w:val="1"/>
      <w:marLeft w:val="0"/>
      <w:marRight w:val="0"/>
      <w:marTop w:val="0"/>
      <w:marBottom w:val="0"/>
      <w:divBdr>
        <w:top w:val="none" w:sz="0" w:space="0" w:color="auto"/>
        <w:left w:val="none" w:sz="0" w:space="0" w:color="auto"/>
        <w:bottom w:val="none" w:sz="0" w:space="0" w:color="auto"/>
        <w:right w:val="none" w:sz="0" w:space="0" w:color="auto"/>
      </w:divBdr>
    </w:div>
    <w:div w:id="1237476849">
      <w:bodyDiv w:val="1"/>
      <w:marLeft w:val="0"/>
      <w:marRight w:val="0"/>
      <w:marTop w:val="0"/>
      <w:marBottom w:val="0"/>
      <w:divBdr>
        <w:top w:val="none" w:sz="0" w:space="0" w:color="auto"/>
        <w:left w:val="none" w:sz="0" w:space="0" w:color="auto"/>
        <w:bottom w:val="none" w:sz="0" w:space="0" w:color="auto"/>
        <w:right w:val="none" w:sz="0" w:space="0" w:color="auto"/>
      </w:divBdr>
    </w:div>
    <w:div w:id="1288586908">
      <w:bodyDiv w:val="1"/>
      <w:marLeft w:val="0"/>
      <w:marRight w:val="0"/>
      <w:marTop w:val="0"/>
      <w:marBottom w:val="0"/>
      <w:divBdr>
        <w:top w:val="none" w:sz="0" w:space="0" w:color="auto"/>
        <w:left w:val="none" w:sz="0" w:space="0" w:color="auto"/>
        <w:bottom w:val="none" w:sz="0" w:space="0" w:color="auto"/>
        <w:right w:val="none" w:sz="0" w:space="0" w:color="auto"/>
      </w:divBdr>
    </w:div>
    <w:div w:id="1331906149">
      <w:bodyDiv w:val="1"/>
      <w:marLeft w:val="0"/>
      <w:marRight w:val="0"/>
      <w:marTop w:val="0"/>
      <w:marBottom w:val="0"/>
      <w:divBdr>
        <w:top w:val="none" w:sz="0" w:space="0" w:color="auto"/>
        <w:left w:val="none" w:sz="0" w:space="0" w:color="auto"/>
        <w:bottom w:val="none" w:sz="0" w:space="0" w:color="auto"/>
        <w:right w:val="none" w:sz="0" w:space="0" w:color="auto"/>
      </w:divBdr>
    </w:div>
    <w:div w:id="1536893397">
      <w:bodyDiv w:val="1"/>
      <w:marLeft w:val="0"/>
      <w:marRight w:val="0"/>
      <w:marTop w:val="0"/>
      <w:marBottom w:val="0"/>
      <w:divBdr>
        <w:top w:val="none" w:sz="0" w:space="0" w:color="auto"/>
        <w:left w:val="none" w:sz="0" w:space="0" w:color="auto"/>
        <w:bottom w:val="none" w:sz="0" w:space="0" w:color="auto"/>
        <w:right w:val="none" w:sz="0" w:space="0" w:color="auto"/>
      </w:divBdr>
    </w:div>
    <w:div w:id="1725518721">
      <w:bodyDiv w:val="1"/>
      <w:marLeft w:val="0"/>
      <w:marRight w:val="0"/>
      <w:marTop w:val="0"/>
      <w:marBottom w:val="0"/>
      <w:divBdr>
        <w:top w:val="none" w:sz="0" w:space="0" w:color="auto"/>
        <w:left w:val="none" w:sz="0" w:space="0" w:color="auto"/>
        <w:bottom w:val="none" w:sz="0" w:space="0" w:color="auto"/>
        <w:right w:val="none" w:sz="0" w:space="0" w:color="auto"/>
      </w:divBdr>
    </w:div>
    <w:div w:id="1777287212">
      <w:bodyDiv w:val="1"/>
      <w:marLeft w:val="0"/>
      <w:marRight w:val="0"/>
      <w:marTop w:val="0"/>
      <w:marBottom w:val="0"/>
      <w:divBdr>
        <w:top w:val="none" w:sz="0" w:space="0" w:color="auto"/>
        <w:left w:val="none" w:sz="0" w:space="0" w:color="auto"/>
        <w:bottom w:val="none" w:sz="0" w:space="0" w:color="auto"/>
        <w:right w:val="none" w:sz="0" w:space="0" w:color="auto"/>
      </w:divBdr>
    </w:div>
    <w:div w:id="1899397083">
      <w:bodyDiv w:val="1"/>
      <w:marLeft w:val="0"/>
      <w:marRight w:val="0"/>
      <w:marTop w:val="0"/>
      <w:marBottom w:val="0"/>
      <w:divBdr>
        <w:top w:val="none" w:sz="0" w:space="0" w:color="auto"/>
        <w:left w:val="none" w:sz="0" w:space="0" w:color="auto"/>
        <w:bottom w:val="none" w:sz="0" w:space="0" w:color="auto"/>
        <w:right w:val="none" w:sz="0" w:space="0" w:color="auto"/>
      </w:divBdr>
    </w:div>
    <w:div w:id="1906259906">
      <w:bodyDiv w:val="1"/>
      <w:marLeft w:val="0"/>
      <w:marRight w:val="0"/>
      <w:marTop w:val="0"/>
      <w:marBottom w:val="0"/>
      <w:divBdr>
        <w:top w:val="none" w:sz="0" w:space="0" w:color="auto"/>
        <w:left w:val="none" w:sz="0" w:space="0" w:color="auto"/>
        <w:bottom w:val="none" w:sz="0" w:space="0" w:color="auto"/>
        <w:right w:val="none" w:sz="0" w:space="0" w:color="auto"/>
      </w:divBdr>
    </w:div>
    <w:div w:id="2134711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eur-lex.europa.eu/budget/www/index-fr.htm" TargetMode="Externa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312C-BE2C-4446-A22A-65DDF0FF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NOT.DOTM</Template>
  <TotalTime>19</TotalTime>
  <Pages>12</Pages>
  <Words>4717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29898</CharactersWithSpaces>
  <SharedDoc>false</SharedDoc>
  <HLinks>
    <vt:vector size="72" baseType="variant">
      <vt:variant>
        <vt:i4>1245239</vt:i4>
      </vt:variant>
      <vt:variant>
        <vt:i4>59</vt:i4>
      </vt:variant>
      <vt:variant>
        <vt:i4>0</vt:i4>
      </vt:variant>
      <vt:variant>
        <vt:i4>5</vt:i4>
      </vt:variant>
      <vt:variant>
        <vt:lpwstr/>
      </vt:variant>
      <vt:variant>
        <vt:lpwstr>_Toc421700214</vt:lpwstr>
      </vt:variant>
      <vt:variant>
        <vt:i4>1245239</vt:i4>
      </vt:variant>
      <vt:variant>
        <vt:i4>53</vt:i4>
      </vt:variant>
      <vt:variant>
        <vt:i4>0</vt:i4>
      </vt:variant>
      <vt:variant>
        <vt:i4>5</vt:i4>
      </vt:variant>
      <vt:variant>
        <vt:lpwstr/>
      </vt:variant>
      <vt:variant>
        <vt:lpwstr>_Toc421700213</vt:lpwstr>
      </vt:variant>
      <vt:variant>
        <vt:i4>1245239</vt:i4>
      </vt:variant>
      <vt:variant>
        <vt:i4>47</vt:i4>
      </vt:variant>
      <vt:variant>
        <vt:i4>0</vt:i4>
      </vt:variant>
      <vt:variant>
        <vt:i4>5</vt:i4>
      </vt:variant>
      <vt:variant>
        <vt:lpwstr/>
      </vt:variant>
      <vt:variant>
        <vt:lpwstr>_Toc421700212</vt:lpwstr>
      </vt:variant>
      <vt:variant>
        <vt:i4>1245239</vt:i4>
      </vt:variant>
      <vt:variant>
        <vt:i4>41</vt:i4>
      </vt:variant>
      <vt:variant>
        <vt:i4>0</vt:i4>
      </vt:variant>
      <vt:variant>
        <vt:i4>5</vt:i4>
      </vt:variant>
      <vt:variant>
        <vt:lpwstr/>
      </vt:variant>
      <vt:variant>
        <vt:lpwstr>_Toc421700211</vt:lpwstr>
      </vt:variant>
      <vt:variant>
        <vt:i4>1245239</vt:i4>
      </vt:variant>
      <vt:variant>
        <vt:i4>35</vt:i4>
      </vt:variant>
      <vt:variant>
        <vt:i4>0</vt:i4>
      </vt:variant>
      <vt:variant>
        <vt:i4>5</vt:i4>
      </vt:variant>
      <vt:variant>
        <vt:lpwstr/>
      </vt:variant>
      <vt:variant>
        <vt:lpwstr>_Toc421700210</vt:lpwstr>
      </vt:variant>
      <vt:variant>
        <vt:i4>1179703</vt:i4>
      </vt:variant>
      <vt:variant>
        <vt:i4>29</vt:i4>
      </vt:variant>
      <vt:variant>
        <vt:i4>0</vt:i4>
      </vt:variant>
      <vt:variant>
        <vt:i4>5</vt:i4>
      </vt:variant>
      <vt:variant>
        <vt:lpwstr/>
      </vt:variant>
      <vt:variant>
        <vt:lpwstr>_Toc421700209</vt:lpwstr>
      </vt:variant>
      <vt:variant>
        <vt:i4>1179703</vt:i4>
      </vt:variant>
      <vt:variant>
        <vt:i4>23</vt:i4>
      </vt:variant>
      <vt:variant>
        <vt:i4>0</vt:i4>
      </vt:variant>
      <vt:variant>
        <vt:i4>5</vt:i4>
      </vt:variant>
      <vt:variant>
        <vt:lpwstr/>
      </vt:variant>
      <vt:variant>
        <vt:lpwstr>_Toc421700208</vt:lpwstr>
      </vt:variant>
      <vt:variant>
        <vt:i4>1179703</vt:i4>
      </vt:variant>
      <vt:variant>
        <vt:i4>17</vt:i4>
      </vt:variant>
      <vt:variant>
        <vt:i4>0</vt:i4>
      </vt:variant>
      <vt:variant>
        <vt:i4>5</vt:i4>
      </vt:variant>
      <vt:variant>
        <vt:lpwstr/>
      </vt:variant>
      <vt:variant>
        <vt:lpwstr>_Toc421700207</vt:lpwstr>
      </vt:variant>
      <vt:variant>
        <vt:i4>1179703</vt:i4>
      </vt:variant>
      <vt:variant>
        <vt:i4>11</vt:i4>
      </vt:variant>
      <vt:variant>
        <vt:i4>0</vt:i4>
      </vt:variant>
      <vt:variant>
        <vt:i4>5</vt:i4>
      </vt:variant>
      <vt:variant>
        <vt:lpwstr/>
      </vt:variant>
      <vt:variant>
        <vt:lpwstr>_Toc421700206</vt:lpwstr>
      </vt:variant>
      <vt:variant>
        <vt:i4>1179703</vt:i4>
      </vt:variant>
      <vt:variant>
        <vt:i4>5</vt:i4>
      </vt:variant>
      <vt:variant>
        <vt:i4>0</vt:i4>
      </vt:variant>
      <vt:variant>
        <vt:i4>5</vt:i4>
      </vt:variant>
      <vt:variant>
        <vt:lpwstr/>
      </vt:variant>
      <vt:variant>
        <vt:lpwstr>_Toc421700205</vt:lpwstr>
      </vt:variant>
      <vt:variant>
        <vt:i4>5046279</vt:i4>
      </vt:variant>
      <vt:variant>
        <vt:i4>0</vt:i4>
      </vt:variant>
      <vt:variant>
        <vt:i4>0</vt:i4>
      </vt:variant>
      <vt:variant>
        <vt:i4>5</vt:i4>
      </vt:variant>
      <vt:variant>
        <vt:lpwstr>http://eur-lex.europa.eu/budget/www/index-en.htm</vt:lpwstr>
      </vt:variant>
      <vt:variant>
        <vt:lpwstr/>
      </vt:variant>
      <vt:variant>
        <vt:i4>5111875</vt:i4>
      </vt:variant>
      <vt:variant>
        <vt:i4>0</vt:i4>
      </vt:variant>
      <vt:variant>
        <vt:i4>0</vt:i4>
      </vt:variant>
      <vt:variant>
        <vt:i4>5</vt:i4>
      </vt:variant>
      <vt:variant>
        <vt:lpwstr>http://ec.europa.eu/budget/library/biblio/documents/financing/calc_own_res_2007_en.pdf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27</cp:revision>
  <cp:lastPrinted>2015-09-25T16:24:00Z</cp:lastPrinted>
  <dcterms:created xsi:type="dcterms:W3CDTF">2015-09-29T08:15:00Z</dcterms:created>
  <dcterms:modified xsi:type="dcterms:W3CDTF">2015-10-02T10:48:00Z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_NewReviewCycle">
    <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ELDocType">
    <vt:lpwstr>NOT.DOT</vt:lpwstr>
  </property>
</Properties>
</file>