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8E4" w:rsidRDefault="00F15CB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BDECFC23EF6486F88541B7127165753" style="width:450.25pt;height:321.3pt">
            <v:imagedata r:id="rId9" o:title=""/>
          </v:shape>
        </w:pict>
      </w:r>
    </w:p>
    <w:bookmarkEnd w:id="0"/>
    <w:p w:rsidR="009A68E4" w:rsidRDefault="009A68E4">
      <w:pPr>
        <w:rPr>
          <w:noProof/>
        </w:rPr>
        <w:sectPr w:rsidR="009A68E4">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9A68E4" w:rsidRDefault="00F15CB7">
      <w:pPr>
        <w:rPr>
          <w:noProof/>
        </w:rPr>
      </w:pPr>
      <w:r>
        <w:rPr>
          <w:noProof/>
        </w:rPr>
        <w:lastRenderedPageBreak/>
        <w:t>Като взе предвид:</w:t>
      </w:r>
    </w:p>
    <w:p w:rsidR="009A68E4" w:rsidRDefault="00F15CB7">
      <w:pPr>
        <w:pStyle w:val="Tiret0"/>
        <w:rPr>
          <w:noProof/>
        </w:rPr>
      </w:pPr>
      <w:r>
        <w:rPr>
          <w:noProof/>
        </w:rPr>
        <w:t>Договора за функционирането на Европейския съюз, и по-специално член 314 от него,</w:t>
      </w:r>
      <w:r>
        <w:rPr>
          <w:noProof/>
        </w:rPr>
        <w:t xml:space="preserve"> във връзка с Договора за създаване на Европейската общност за атомна енергия, и по-специално член 106а от него,</w:t>
      </w:r>
    </w:p>
    <w:p w:rsidR="009A68E4" w:rsidRDefault="00F15CB7">
      <w:pPr>
        <w:pStyle w:val="Tiret0"/>
        <w:rPr>
          <w:rFonts w:cs="Arial"/>
          <w:noProof/>
          <w:szCs w:val="18"/>
        </w:rPr>
      </w:pPr>
      <w:r>
        <w:rPr>
          <w:noProof/>
        </w:rPr>
        <w:t xml:space="preserve">Регламент (ЕС, Евратом) № 966/2012 на Европейския парламент и на Съвета от 25 октомври 2012 г. относно финансовите правила, приложими за общия </w:t>
      </w:r>
      <w:r>
        <w:rPr>
          <w:noProof/>
        </w:rPr>
        <w:t>бюджет на Съюза</w:t>
      </w:r>
      <w:r>
        <w:rPr>
          <w:rStyle w:val="FootnoteReference"/>
          <w:noProof/>
        </w:rPr>
        <w:footnoteReference w:id="2"/>
      </w:r>
      <w:r>
        <w:rPr>
          <w:noProof/>
        </w:rPr>
        <w:t>, и по-специално член 41 от него,</w:t>
      </w:r>
    </w:p>
    <w:p w:rsidR="009A68E4" w:rsidRDefault="00F15CB7">
      <w:pPr>
        <w:pStyle w:val="Tiret0"/>
        <w:rPr>
          <w:noProof/>
        </w:rPr>
      </w:pPr>
      <w:r>
        <w:rPr>
          <w:noProof/>
        </w:rPr>
        <w:t>общия бюджет на Европейския съюз за 2015 финансова година, приет на 17 декември 2014 г.</w:t>
      </w:r>
      <w:r>
        <w:rPr>
          <w:rStyle w:val="FootnoteReference"/>
          <w:noProof/>
        </w:rPr>
        <w:footnoteReference w:id="3"/>
      </w:r>
      <w:r>
        <w:rPr>
          <w:noProof/>
        </w:rPr>
        <w:t>,</w:t>
      </w:r>
    </w:p>
    <w:p w:rsidR="009A68E4" w:rsidRDefault="00F15CB7">
      <w:pPr>
        <w:pStyle w:val="Tiret0"/>
        <w:rPr>
          <w:noProof/>
        </w:rPr>
      </w:pPr>
      <w:r>
        <w:rPr>
          <w:noProof/>
        </w:rPr>
        <w:t>коригиращ бюджет № 1/2015</w:t>
      </w:r>
      <w:r>
        <w:rPr>
          <w:rStyle w:val="FootnoteReference"/>
          <w:noProof/>
        </w:rPr>
        <w:footnoteReference w:id="4"/>
      </w:r>
      <w:r>
        <w:rPr>
          <w:noProof/>
        </w:rPr>
        <w:t>, приет на 28 април 2015 г.,</w:t>
      </w:r>
    </w:p>
    <w:p w:rsidR="009A68E4" w:rsidRDefault="00F15CB7">
      <w:pPr>
        <w:pStyle w:val="Tiret0"/>
        <w:rPr>
          <w:noProof/>
        </w:rPr>
      </w:pPr>
      <w:r>
        <w:rPr>
          <w:noProof/>
        </w:rPr>
        <w:t>коригиращ бюджет № 2/2015</w:t>
      </w:r>
      <w:r>
        <w:rPr>
          <w:rStyle w:val="FootnoteReference"/>
          <w:noProof/>
        </w:rPr>
        <w:footnoteReference w:id="5"/>
      </w:r>
      <w:r>
        <w:rPr>
          <w:noProof/>
        </w:rPr>
        <w:t>, приет на 7 юли 2015 г.,</w:t>
      </w:r>
    </w:p>
    <w:p w:rsidR="009A68E4" w:rsidRDefault="00F15CB7">
      <w:pPr>
        <w:pStyle w:val="Tiret0"/>
        <w:rPr>
          <w:noProof/>
        </w:rPr>
      </w:pPr>
      <w:r>
        <w:rPr>
          <w:noProof/>
        </w:rPr>
        <w:t>коригиращ</w:t>
      </w:r>
      <w:r>
        <w:rPr>
          <w:noProof/>
        </w:rPr>
        <w:t xml:space="preserve"> бюджет № 3/2015</w:t>
      </w:r>
      <w:r>
        <w:rPr>
          <w:rStyle w:val="FootnoteReference"/>
          <w:noProof/>
        </w:rPr>
        <w:footnoteReference w:id="6"/>
      </w:r>
      <w:r>
        <w:rPr>
          <w:noProof/>
        </w:rPr>
        <w:t>, приет на 7 юли 2015 г.,</w:t>
      </w:r>
    </w:p>
    <w:p w:rsidR="009A68E4" w:rsidRDefault="00F15CB7">
      <w:pPr>
        <w:pStyle w:val="Tiret0"/>
        <w:rPr>
          <w:noProof/>
        </w:rPr>
      </w:pPr>
      <w:r>
        <w:rPr>
          <w:noProof/>
        </w:rPr>
        <w:t>коригиращ бюджет № 4/2015</w:t>
      </w:r>
      <w:r>
        <w:rPr>
          <w:rStyle w:val="FootnoteReference"/>
          <w:noProof/>
        </w:rPr>
        <w:footnoteReference w:id="7"/>
      </w:r>
      <w:r>
        <w:rPr>
          <w:noProof/>
        </w:rPr>
        <w:t>, приет на 7 юли 2015 г.,</w:t>
      </w:r>
    </w:p>
    <w:p w:rsidR="009A68E4" w:rsidRDefault="00F15CB7">
      <w:pPr>
        <w:pStyle w:val="Tiret0"/>
        <w:rPr>
          <w:noProof/>
        </w:rPr>
      </w:pPr>
      <w:r>
        <w:rPr>
          <w:noProof/>
        </w:rPr>
        <w:t>коригиращ бюджет № 5/2015</w:t>
      </w:r>
      <w:r>
        <w:rPr>
          <w:rStyle w:val="FootnoteReference"/>
          <w:noProof/>
        </w:rPr>
        <w:footnoteReference w:id="8"/>
      </w:r>
      <w:r>
        <w:rPr>
          <w:noProof/>
        </w:rPr>
        <w:t>, приет на 7 юли 2015 г.,</w:t>
      </w:r>
    </w:p>
    <w:p w:rsidR="009A68E4" w:rsidRDefault="00F15CB7">
      <w:pPr>
        <w:pStyle w:val="Tiret0"/>
        <w:rPr>
          <w:noProof/>
        </w:rPr>
      </w:pPr>
      <w:r>
        <w:rPr>
          <w:noProof/>
        </w:rPr>
        <w:t>проект на коригиращ бюджет № 6/2015</w:t>
      </w:r>
      <w:r>
        <w:rPr>
          <w:rStyle w:val="FootnoteReference"/>
          <w:noProof/>
        </w:rPr>
        <w:footnoteReference w:id="9"/>
      </w:r>
      <w:r>
        <w:rPr>
          <w:noProof/>
        </w:rPr>
        <w:t>, приет на 15 юли 2015 г.,</w:t>
      </w:r>
    </w:p>
    <w:p w:rsidR="009A68E4" w:rsidRDefault="00F15CB7">
      <w:pPr>
        <w:spacing w:after="600"/>
        <w:jc w:val="both"/>
        <w:rPr>
          <w:noProof/>
        </w:rPr>
      </w:pPr>
      <w:r>
        <w:rPr>
          <w:noProof/>
        </w:rPr>
        <w:t>С настоящото Европейската комисия представя на</w:t>
      </w:r>
      <w:r>
        <w:rPr>
          <w:noProof/>
        </w:rPr>
        <w:t xml:space="preserve"> Европейския парламент и на Съвета проект на коригиращ бюджет № 7 към бюджета за 2015 г.</w:t>
      </w:r>
    </w:p>
    <w:p w:rsidR="009A68E4" w:rsidRDefault="00F15CB7">
      <w:pPr>
        <w:spacing w:after="240"/>
        <w:jc w:val="both"/>
        <w:rPr>
          <w:b/>
          <w:noProof/>
          <w:u w:val="single"/>
        </w:rPr>
      </w:pPr>
      <w:r>
        <w:rPr>
          <w:b/>
          <w:noProof/>
          <w:u w:val="single"/>
        </w:rPr>
        <w:t>ПРОМЕНИ В ПРИХОДНАТА И РАЗХОДНАТА ЧАСТ НА БЮДЖЕТА ПО РАЗДЕЛИ</w:t>
      </w:r>
    </w:p>
    <w:p w:rsidR="009A68E4" w:rsidRDefault="00F15CB7">
      <w:pPr>
        <w:jc w:val="both"/>
        <w:rPr>
          <w:noProof/>
        </w:rPr>
      </w:pPr>
      <w:r>
        <w:rPr>
          <w:noProof/>
        </w:rPr>
        <w:t>Промените в приходната и разходната част на бюджета по раздели са достъпни в EUR-Lex (</w:t>
      </w:r>
      <w:hyperlink r:id="rId16">
        <w:r>
          <w:rPr>
            <w:rStyle w:val="Hyperlink"/>
            <w:noProof/>
            <w:color w:val="auto"/>
          </w:rPr>
          <w:t>http://eur-lex.europa.eu/budget/www/index-bg.htm</w:t>
        </w:r>
      </w:hyperlink>
      <w:r>
        <w:rPr>
          <w:noProof/>
        </w:rPr>
        <w:t>). За информация като бюджетно приложение се прилага версия на английски език на промените в тези части.</w:t>
      </w:r>
    </w:p>
    <w:p w:rsidR="009A68E4" w:rsidRDefault="009A68E4">
      <w:pPr>
        <w:rPr>
          <w:noProof/>
        </w:rPr>
        <w:sectPr w:rsidR="009A68E4">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cols w:space="708"/>
          <w:docGrid w:linePitch="360"/>
        </w:sectPr>
      </w:pPr>
    </w:p>
    <w:p w:rsidR="009A68E4" w:rsidRDefault="00F15CB7">
      <w:pPr>
        <w:pStyle w:val="TOCHeading"/>
        <w:rPr>
          <w:noProof/>
        </w:rPr>
      </w:pPr>
      <w:bookmarkStart w:id="1" w:name="_Toc294675429"/>
      <w:bookmarkStart w:id="2" w:name="_Toc272133653"/>
      <w:bookmarkStart w:id="3" w:name="_Toc294673202"/>
      <w:bookmarkStart w:id="4" w:name="_Toc318365572"/>
      <w:bookmarkStart w:id="5" w:name="_Toc361649893"/>
      <w:bookmarkStart w:id="6" w:name="_Toc387301589"/>
      <w:r>
        <w:rPr>
          <w:noProof/>
        </w:rPr>
        <w:lastRenderedPageBreak/>
        <w:t>СЪДЪРЖАНИЕ</w:t>
      </w:r>
    </w:p>
    <w:sdt>
      <w:sdtPr>
        <w:rPr>
          <w:b w:val="0"/>
          <w:bCs/>
          <w:caps/>
          <w:noProof/>
          <w:sz w:val="24"/>
          <w:szCs w:val="20"/>
        </w:rPr>
        <w:id w:val="2029912794"/>
        <w:docPartObj>
          <w:docPartGallery w:val="Table of Contents"/>
          <w:docPartUnique/>
        </w:docPartObj>
      </w:sdtPr>
      <w:sdtEndPr/>
      <w:sdtContent>
        <w:p w:rsidR="009A68E4" w:rsidRDefault="009A68E4">
          <w:pPr>
            <w:pStyle w:val="TOCHeading"/>
            <w:jc w:val="left"/>
            <w:rPr>
              <w:noProof/>
            </w:rPr>
          </w:pPr>
        </w:p>
        <w:p w:rsidR="00F15CB7" w:rsidRDefault="00F15CB7">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r>
            <w:rPr>
              <w:rFonts w:asciiTheme="minorHAnsi" w:eastAsiaTheme="minorEastAsia" w:hAnsiTheme="minorHAnsi" w:cstheme="minorBidi"/>
              <w:b w:val="0"/>
              <w:bCs w:val="0"/>
              <w:caps w:val="0"/>
              <w:noProof/>
              <w:sz w:val="22"/>
              <w:szCs w:val="22"/>
            </w:rPr>
            <w:fldChar w:fldCharType="begin"/>
          </w:r>
          <w:r>
            <w:rPr>
              <w:rFonts w:asciiTheme="minorHAnsi" w:eastAsiaTheme="minorEastAsia" w:hAnsiTheme="minorHAnsi" w:cstheme="minorBidi"/>
              <w:b w:val="0"/>
              <w:bCs w:val="0"/>
              <w:caps w:val="0"/>
              <w:noProof/>
              <w:sz w:val="22"/>
              <w:szCs w:val="22"/>
            </w:rPr>
            <w:instrText xml:space="preserve"> TOC \o "1-3" \h \z \u </w:instrText>
          </w:r>
          <w:r>
            <w:rPr>
              <w:rFonts w:asciiTheme="minorHAnsi" w:eastAsiaTheme="minorEastAsia" w:hAnsiTheme="minorHAnsi" w:cstheme="minorBidi"/>
              <w:b w:val="0"/>
              <w:bCs w:val="0"/>
              <w:caps w:val="0"/>
              <w:noProof/>
              <w:sz w:val="22"/>
              <w:szCs w:val="22"/>
            </w:rPr>
            <w:fldChar w:fldCharType="separate"/>
          </w:r>
          <w:hyperlink w:anchor="_Toc431553530" w:history="1">
            <w:r w:rsidRPr="00953582">
              <w:rPr>
                <w:rStyle w:val="Hyperlink"/>
                <w:noProof/>
              </w:rPr>
              <w:t>1.</w:t>
            </w:r>
            <w:r>
              <w:rPr>
                <w:rFonts w:asciiTheme="minorHAnsi" w:eastAsiaTheme="minorEastAsia" w:hAnsiTheme="minorHAnsi" w:cstheme="minorBidi"/>
                <w:b w:val="0"/>
                <w:bCs w:val="0"/>
                <w:caps w:val="0"/>
                <w:noProof/>
                <w:sz w:val="22"/>
                <w:szCs w:val="22"/>
                <w:lang w:val="en-GB" w:eastAsia="en-GB" w:bidi="ar-SA"/>
              </w:rPr>
              <w:tab/>
            </w:r>
            <w:r w:rsidRPr="00953582">
              <w:rPr>
                <w:rStyle w:val="Hyperlink"/>
                <w:noProof/>
              </w:rPr>
              <w:t>Въведение</w:t>
            </w:r>
            <w:r>
              <w:rPr>
                <w:noProof/>
                <w:webHidden/>
              </w:rPr>
              <w:tab/>
            </w:r>
            <w:r>
              <w:rPr>
                <w:noProof/>
                <w:webHidden/>
              </w:rPr>
              <w:fldChar w:fldCharType="begin"/>
            </w:r>
            <w:r>
              <w:rPr>
                <w:noProof/>
                <w:webHidden/>
              </w:rPr>
              <w:instrText xml:space="preserve"> PAGEREF _Toc431553530 \h </w:instrText>
            </w:r>
            <w:r>
              <w:rPr>
                <w:noProof/>
                <w:webHidden/>
              </w:rPr>
            </w:r>
            <w:r>
              <w:rPr>
                <w:noProof/>
                <w:webHidden/>
              </w:rPr>
              <w:fldChar w:fldCharType="separate"/>
            </w:r>
            <w:r>
              <w:rPr>
                <w:noProof/>
                <w:webHidden/>
              </w:rPr>
              <w:t>4</w:t>
            </w:r>
            <w:r>
              <w:rPr>
                <w:noProof/>
                <w:webHidden/>
              </w:rPr>
              <w:fldChar w:fldCharType="end"/>
            </w:r>
          </w:hyperlink>
        </w:p>
        <w:p w:rsidR="00F15CB7" w:rsidRDefault="00F15CB7">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31553531" w:history="1">
            <w:r w:rsidRPr="00953582">
              <w:rPr>
                <w:rStyle w:val="Hyperlink"/>
                <w:smallCaps/>
                <w:noProof/>
              </w:rPr>
              <w:t>2.</w:t>
            </w:r>
            <w:r>
              <w:rPr>
                <w:rFonts w:asciiTheme="minorHAnsi" w:eastAsiaTheme="minorEastAsia" w:hAnsiTheme="minorHAnsi" w:cstheme="minorBidi"/>
                <w:b w:val="0"/>
                <w:bCs w:val="0"/>
                <w:caps w:val="0"/>
                <w:noProof/>
                <w:sz w:val="22"/>
                <w:szCs w:val="22"/>
                <w:lang w:val="en-GB" w:eastAsia="en-GB" w:bidi="ar-SA"/>
              </w:rPr>
              <w:tab/>
            </w:r>
            <w:r w:rsidRPr="00953582">
              <w:rPr>
                <w:rStyle w:val="Hyperlink"/>
                <w:smallCaps/>
                <w:noProof/>
              </w:rPr>
              <w:t>Управление на кризата с бежанците в рамките на Европейската програма за миграцията</w:t>
            </w:r>
            <w:r>
              <w:rPr>
                <w:noProof/>
                <w:webHidden/>
              </w:rPr>
              <w:tab/>
            </w:r>
            <w:r>
              <w:rPr>
                <w:noProof/>
                <w:webHidden/>
              </w:rPr>
              <w:fldChar w:fldCharType="begin"/>
            </w:r>
            <w:r>
              <w:rPr>
                <w:noProof/>
                <w:webHidden/>
              </w:rPr>
              <w:instrText xml:space="preserve"> PAGEREF _Toc431553531 \h </w:instrText>
            </w:r>
            <w:r>
              <w:rPr>
                <w:noProof/>
                <w:webHidden/>
              </w:rPr>
            </w:r>
            <w:r>
              <w:rPr>
                <w:noProof/>
                <w:webHidden/>
              </w:rPr>
              <w:fldChar w:fldCharType="separate"/>
            </w:r>
            <w:r>
              <w:rPr>
                <w:noProof/>
                <w:webHidden/>
              </w:rPr>
              <w:t>5</w:t>
            </w:r>
            <w:r>
              <w:rPr>
                <w:noProof/>
                <w:webHidden/>
              </w:rPr>
              <w:fldChar w:fldCharType="end"/>
            </w:r>
          </w:hyperlink>
        </w:p>
        <w:p w:rsidR="00F15CB7" w:rsidRDefault="00F15CB7">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31553532" w:history="1">
            <w:r w:rsidRPr="00953582">
              <w:rPr>
                <w:rStyle w:val="Hyperlink"/>
                <w:smallCaps/>
                <w:noProof/>
              </w:rPr>
              <w:t>3.</w:t>
            </w:r>
            <w:r>
              <w:rPr>
                <w:rFonts w:asciiTheme="minorHAnsi" w:eastAsiaTheme="minorEastAsia" w:hAnsiTheme="minorHAnsi" w:cstheme="minorBidi"/>
                <w:b w:val="0"/>
                <w:bCs w:val="0"/>
                <w:caps w:val="0"/>
                <w:noProof/>
                <w:sz w:val="22"/>
                <w:szCs w:val="22"/>
                <w:lang w:val="en-GB" w:eastAsia="en-GB" w:bidi="ar-SA"/>
              </w:rPr>
              <w:tab/>
            </w:r>
            <w:r w:rsidRPr="00953582">
              <w:rPr>
                <w:rStyle w:val="Hyperlink"/>
                <w:smallCaps/>
                <w:noProof/>
              </w:rPr>
              <w:t>Предложено финансиране през 2015 г.</w:t>
            </w:r>
            <w:r>
              <w:rPr>
                <w:noProof/>
                <w:webHidden/>
              </w:rPr>
              <w:tab/>
            </w:r>
            <w:r>
              <w:rPr>
                <w:noProof/>
                <w:webHidden/>
              </w:rPr>
              <w:fldChar w:fldCharType="begin"/>
            </w:r>
            <w:r>
              <w:rPr>
                <w:noProof/>
                <w:webHidden/>
              </w:rPr>
              <w:instrText xml:space="preserve"> PAGEREF _Toc431553532 \h </w:instrText>
            </w:r>
            <w:r>
              <w:rPr>
                <w:noProof/>
                <w:webHidden/>
              </w:rPr>
            </w:r>
            <w:r>
              <w:rPr>
                <w:noProof/>
                <w:webHidden/>
              </w:rPr>
              <w:fldChar w:fldCharType="separate"/>
            </w:r>
            <w:r>
              <w:rPr>
                <w:noProof/>
                <w:webHidden/>
              </w:rPr>
              <w:t>8</w:t>
            </w:r>
            <w:r>
              <w:rPr>
                <w:noProof/>
                <w:webHidden/>
              </w:rPr>
              <w:fldChar w:fldCharType="end"/>
            </w:r>
          </w:hyperlink>
        </w:p>
        <w:p w:rsidR="00F15CB7" w:rsidRDefault="00F15CB7">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31553533" w:history="1">
            <w:r w:rsidRPr="00953582">
              <w:rPr>
                <w:rStyle w:val="Hyperlink"/>
                <w:noProof/>
              </w:rPr>
              <w:t>4.</w:t>
            </w:r>
            <w:r>
              <w:rPr>
                <w:rFonts w:asciiTheme="minorHAnsi" w:eastAsiaTheme="minorEastAsia" w:hAnsiTheme="minorHAnsi" w:cstheme="minorBidi"/>
                <w:b w:val="0"/>
                <w:bCs w:val="0"/>
                <w:caps w:val="0"/>
                <w:noProof/>
                <w:sz w:val="22"/>
                <w:szCs w:val="22"/>
                <w:lang w:val="en-GB" w:eastAsia="en-GB" w:bidi="ar-SA"/>
              </w:rPr>
              <w:tab/>
            </w:r>
            <w:r w:rsidRPr="00953582">
              <w:rPr>
                <w:rStyle w:val="Hyperlink"/>
                <w:noProof/>
              </w:rPr>
              <w:t>Обобщаваща таблица по функции от МФР</w:t>
            </w:r>
            <w:r>
              <w:rPr>
                <w:noProof/>
                <w:webHidden/>
              </w:rPr>
              <w:tab/>
            </w:r>
            <w:r>
              <w:rPr>
                <w:noProof/>
                <w:webHidden/>
              </w:rPr>
              <w:fldChar w:fldCharType="begin"/>
            </w:r>
            <w:r>
              <w:rPr>
                <w:noProof/>
                <w:webHidden/>
              </w:rPr>
              <w:instrText xml:space="preserve"> PAGEREF _Toc431553533 \h </w:instrText>
            </w:r>
            <w:r>
              <w:rPr>
                <w:noProof/>
                <w:webHidden/>
              </w:rPr>
            </w:r>
            <w:r>
              <w:rPr>
                <w:noProof/>
                <w:webHidden/>
              </w:rPr>
              <w:fldChar w:fldCharType="separate"/>
            </w:r>
            <w:r>
              <w:rPr>
                <w:noProof/>
                <w:webHidden/>
              </w:rPr>
              <w:t>12</w:t>
            </w:r>
            <w:r>
              <w:rPr>
                <w:noProof/>
                <w:webHidden/>
              </w:rPr>
              <w:fldChar w:fldCharType="end"/>
            </w:r>
          </w:hyperlink>
        </w:p>
        <w:p w:rsidR="009A68E4" w:rsidRDefault="00F15CB7">
          <w:pPr>
            <w:pStyle w:val="TOC1"/>
            <w:tabs>
              <w:tab w:val="left" w:pos="480"/>
              <w:tab w:val="right" w:leader="dot" w:pos="9061"/>
            </w:tabs>
            <w:rPr>
              <w:rFonts w:asciiTheme="minorHAnsi" w:eastAsiaTheme="minorEastAsia" w:hAnsiTheme="minorHAnsi" w:cstheme="minorBidi"/>
              <w:b w:val="0"/>
              <w:bCs w:val="0"/>
              <w:caps w:val="0"/>
              <w:noProof/>
              <w:sz w:val="22"/>
              <w:szCs w:val="22"/>
            </w:rPr>
          </w:pPr>
          <w:r>
            <w:rPr>
              <w:rFonts w:asciiTheme="minorHAnsi" w:eastAsiaTheme="minorEastAsia" w:hAnsiTheme="minorHAnsi" w:cstheme="minorBidi"/>
              <w:b w:val="0"/>
              <w:bCs w:val="0"/>
              <w:caps w:val="0"/>
              <w:noProof/>
              <w:sz w:val="22"/>
              <w:szCs w:val="22"/>
            </w:rPr>
            <w:fldChar w:fldCharType="end"/>
          </w:r>
        </w:p>
      </w:sdtContent>
    </w:sdt>
    <w:p w:rsidR="009A68E4" w:rsidRDefault="009A68E4">
      <w:pPr>
        <w:rPr>
          <w:noProof/>
        </w:rPr>
      </w:pPr>
    </w:p>
    <w:p w:rsidR="009A68E4" w:rsidRDefault="009A68E4">
      <w:pPr>
        <w:rPr>
          <w:noProof/>
        </w:rPr>
        <w:sectPr w:rsidR="009A68E4">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1418" w:left="1418" w:header="709" w:footer="709" w:gutter="0"/>
          <w:cols w:space="720"/>
        </w:sectPr>
      </w:pPr>
      <w:bookmarkStart w:id="7" w:name="_GoBack"/>
      <w:bookmarkEnd w:id="7"/>
    </w:p>
    <w:p w:rsidR="009A68E4" w:rsidRDefault="00F15CB7">
      <w:pPr>
        <w:pStyle w:val="ManualHeading1"/>
        <w:spacing w:before="240"/>
        <w:ind w:left="851" w:hanging="851"/>
        <w:rPr>
          <w:noProof/>
        </w:rPr>
      </w:pPr>
      <w:bookmarkStart w:id="8" w:name="_Toc385506031"/>
      <w:bookmarkStart w:id="9" w:name="_Toc430865946"/>
      <w:bookmarkStart w:id="10" w:name="_Toc430867524"/>
      <w:bookmarkStart w:id="11" w:name="_Toc430951512"/>
      <w:bookmarkStart w:id="12" w:name="_Toc351469332"/>
      <w:bookmarkStart w:id="13" w:name="_Toc361649879"/>
      <w:bookmarkStart w:id="14" w:name="_Toc431553530"/>
      <w:r>
        <w:rPr>
          <w:noProof/>
        </w:rPr>
        <w:lastRenderedPageBreak/>
        <w:t>1.</w:t>
      </w:r>
      <w:r>
        <w:rPr>
          <w:noProof/>
        </w:rPr>
        <w:tab/>
        <w:t>Въведение</w:t>
      </w:r>
      <w:bookmarkEnd w:id="8"/>
      <w:bookmarkEnd w:id="9"/>
      <w:bookmarkEnd w:id="10"/>
      <w:bookmarkEnd w:id="11"/>
      <w:bookmarkEnd w:id="14"/>
    </w:p>
    <w:p w:rsidR="009A68E4" w:rsidRDefault="00F15CB7">
      <w:pPr>
        <w:spacing w:before="120" w:after="120"/>
        <w:jc w:val="both"/>
        <w:rPr>
          <w:noProof/>
        </w:rPr>
      </w:pPr>
      <w:r>
        <w:rPr>
          <w:noProof/>
        </w:rPr>
        <w:t xml:space="preserve">На 23 септември 2015 г. Комисията представи </w:t>
      </w:r>
      <w:r>
        <w:rPr>
          <w:i/>
          <w:noProof/>
        </w:rPr>
        <w:t>Съобщение до Европейския парламент, Европейския съвет и</w:t>
      </w:r>
      <w:r>
        <w:rPr>
          <w:i/>
          <w:noProof/>
        </w:rPr>
        <w:t xml:space="preserve"> Съвета, озаглавено „Управлението на кризата с бежанците: незабавни оперативни, бюджетни и правни мерки по линия на Европейската програма за миграцията“</w:t>
      </w:r>
      <w:r>
        <w:rPr>
          <w:rStyle w:val="FootnoteReference"/>
          <w:noProof/>
        </w:rPr>
        <w:footnoteReference w:id="10"/>
      </w:r>
      <w:r>
        <w:rPr>
          <w:noProof/>
        </w:rPr>
        <w:t>. В това съобщение са набелязани набор от приоритетни действия, които следва да бъдат предприети през с</w:t>
      </w:r>
      <w:r>
        <w:rPr>
          <w:noProof/>
        </w:rPr>
        <w:t>ледващите шест месеца, включително корекциите, които трябва да бъдат направени в бюджета за 2015 г. и в предложението за проектобюджет за 2016 г.</w:t>
      </w:r>
    </w:p>
    <w:p w:rsidR="009A68E4" w:rsidRDefault="00F15CB7">
      <w:pPr>
        <w:spacing w:before="120" w:after="120"/>
        <w:jc w:val="both"/>
        <w:rPr>
          <w:noProof/>
        </w:rPr>
      </w:pPr>
      <w:r>
        <w:rPr>
          <w:noProof/>
        </w:rPr>
        <w:t>Целта на проект на коригиращ бюджет (ПКБ) № 7 за 2015 година е да бъдат въведени необходимите промени за незаб</w:t>
      </w:r>
      <w:r>
        <w:rPr>
          <w:noProof/>
        </w:rPr>
        <w:t>авни мерки през оставащите месеци на 2015 г., като се използват всички възможности за преразпределяне на бюджетните кредити на този етап от годината, без това да се отрази неблагоприятно на изпълнението на други програми за финансиране. Той включва следнот</w:t>
      </w:r>
      <w:r>
        <w:rPr>
          <w:noProof/>
        </w:rPr>
        <w:t>о:</w:t>
      </w:r>
    </w:p>
    <w:p w:rsidR="009A68E4" w:rsidRDefault="00F15CB7">
      <w:pPr>
        <w:pStyle w:val="ListDash"/>
        <w:rPr>
          <w:noProof/>
        </w:rPr>
      </w:pPr>
      <w:r>
        <w:rPr>
          <w:noProof/>
        </w:rPr>
        <w:t>увеличение на спешната помощ, отпускана по линия на фонд „Убежище, миграция и интеграция“ (ФУМИ) и фонд „Вътрешна сигурност“ (ФВС), на обща стойност 100 млн. EUR бюджетни кредити за поети задължения;</w:t>
      </w:r>
    </w:p>
    <w:p w:rsidR="009A68E4" w:rsidRDefault="00F15CB7">
      <w:pPr>
        <w:pStyle w:val="ListDash"/>
        <w:rPr>
          <w:noProof/>
        </w:rPr>
      </w:pPr>
      <w:r>
        <w:rPr>
          <w:noProof/>
        </w:rPr>
        <w:t>увеличение на броя на длъжностите в щатното разписани</w:t>
      </w:r>
      <w:r>
        <w:rPr>
          <w:noProof/>
        </w:rPr>
        <w:t>е на Frontex (+60 длъжности), Европейската служба за подкрепа в областта на убежището (EASO) (+30 длъжности) и Европол (+30 длъжности), за да се увеличи капацитетът им на място. Съответното увеличение на разходите за заплати общо за трите агенции възлиза н</w:t>
      </w:r>
      <w:r>
        <w:rPr>
          <w:noProof/>
        </w:rPr>
        <w:t>а 1,3 млн. EUR бюджетни кредити за поети задължения и бюджетни кредити за плащания;</w:t>
      </w:r>
    </w:p>
    <w:p w:rsidR="009A68E4" w:rsidRDefault="00F15CB7">
      <w:pPr>
        <w:pStyle w:val="ListDash"/>
        <w:rPr>
          <w:noProof/>
        </w:rPr>
      </w:pPr>
      <w:r>
        <w:rPr>
          <w:noProof/>
        </w:rPr>
        <w:t>допълнителни средства за Европейския инструмент за съседство (300 млн. EUR бюджетни кредити за поети задължения), за да може Регионалният доверителен фонд на ЕС в отговор н</w:t>
      </w:r>
      <w:r>
        <w:rPr>
          <w:noProof/>
        </w:rPr>
        <w:t>а кризата в Сирия (фонд „Мадад“) да успее да достигне поне 500 млн. EUR;</w:t>
      </w:r>
    </w:p>
    <w:p w:rsidR="009A68E4" w:rsidRDefault="00F15CB7">
      <w:pPr>
        <w:pStyle w:val="ListDash"/>
        <w:rPr>
          <w:noProof/>
        </w:rPr>
      </w:pPr>
      <w:r>
        <w:rPr>
          <w:noProof/>
        </w:rPr>
        <w:t>увеличение на бюджетните кредити за плащания за хуманитарната помощ в размер на 55,7 млн. EUR чрез преразпределение на средствата. Отделно ще бъде отправено искане за трансфер на бюдж</w:t>
      </w:r>
      <w:r>
        <w:rPr>
          <w:noProof/>
        </w:rPr>
        <w:t>етни кредити за поети задължения от резерва за спешна помощ (РСП) в полза на хуманитарната помощ, за да бъдат достигнати 200 млн. EUR хуманитарна помощ за нуждаещите се бежанци.</w:t>
      </w:r>
    </w:p>
    <w:p w:rsidR="009A68E4" w:rsidRDefault="00F15CB7">
      <w:pPr>
        <w:pStyle w:val="ListDash"/>
        <w:numPr>
          <w:ilvl w:val="0"/>
          <w:numId w:val="0"/>
        </w:numPr>
        <w:rPr>
          <w:bCs/>
          <w:noProof/>
        </w:rPr>
      </w:pPr>
      <w:r>
        <w:rPr>
          <w:noProof/>
        </w:rPr>
        <w:t>Увеличенията, поискани за фонд „Убежище, миграция и интеграция“ (ФУМИ), за фон</w:t>
      </w:r>
      <w:r>
        <w:rPr>
          <w:noProof/>
        </w:rPr>
        <w:t xml:space="preserve">д „Вътрешна сигурност“ (ФВС) и за хуманитарната помощ в настоящия ПКБ № 7/2015, се компенсират частично чрез преразпределяне на 70,5 млн. EUR бюджетни кредити за поети задължения и 57,0 млн. EUR бюджетни кредити за плащания, които понастоящем са налични в </w:t>
      </w:r>
      <w:r>
        <w:rPr>
          <w:noProof/>
        </w:rPr>
        <w:t>бюджета за 2015 г.: по-конкретно от фонд „Солидарност“ на ЕС (33,7 млн. EUR бюджетни кредити за поети задължения и бюджетни кредити за плащания); от различни бюджетни редове в рамките на функция 2 (24,8 млн. EUR бюджетни кредити за поети задължения и 19,8 </w:t>
      </w:r>
      <w:r>
        <w:rPr>
          <w:noProof/>
        </w:rPr>
        <w:t>млн. EUR бюджетни кредити за плащания); и 12,0 млн. EUR бюджетни кредити за поети задължения и 3,5 млн. EUR бюджетни кредити за плащания от програмата „Храни и фуражи“.</w:t>
      </w:r>
    </w:p>
    <w:p w:rsidR="009A68E4" w:rsidRDefault="00F15CB7">
      <w:pPr>
        <w:pStyle w:val="ListDash"/>
        <w:numPr>
          <w:ilvl w:val="0"/>
          <w:numId w:val="0"/>
        </w:numPr>
        <w:rPr>
          <w:bCs/>
          <w:noProof/>
        </w:rPr>
      </w:pPr>
      <w:r>
        <w:rPr>
          <w:noProof/>
        </w:rPr>
        <w:t>Освен чрез преразпределяне на средствата увеличението на бюджетните кредити за поети за</w:t>
      </w:r>
      <w:r>
        <w:rPr>
          <w:noProof/>
        </w:rPr>
        <w:t>дължения следва да бъде постигнато чрез използване на съществуващите маржове под таваните за разходите във функция 3 („Сигурност и гражданство“, за цялата налична сума от 23,2 млн. EUR) и функция 4 („Глобална Европа“, за сума в размер на 300 млн. EUR), как</w:t>
      </w:r>
      <w:r>
        <w:rPr>
          <w:noProof/>
        </w:rPr>
        <w:t>то и чрез мобилизиране на Инструмента за гъвкавост за сума в размер на 66,1 млн. EUR за финансиране на спешни мерки по линия на ФУМИ във функция 3. Едновременно с настоящия ПКБ се представя предложение за мобилизиране на Инструмента за гъвкавост.</w:t>
      </w:r>
    </w:p>
    <w:p w:rsidR="009A68E4" w:rsidRDefault="00F15CB7">
      <w:pPr>
        <w:pStyle w:val="ListDash"/>
        <w:numPr>
          <w:ilvl w:val="0"/>
          <w:numId w:val="0"/>
        </w:numPr>
        <w:rPr>
          <w:bCs/>
          <w:noProof/>
        </w:rPr>
      </w:pPr>
      <w:r>
        <w:rPr>
          <w:noProof/>
        </w:rPr>
        <w:t>Като цяло</w:t>
      </w:r>
      <w:r>
        <w:rPr>
          <w:noProof/>
        </w:rPr>
        <w:t xml:space="preserve"> допълнителните мерки, предложени в настоящия проект на коригиращ бюджет, водят до нетно увеличение на равнището на бюджетните кредити за поети задължения в бюджета за 2015 г. в размер на 330,7 млн. EUR. Равнището на бюджетните кредити за плащания остава н</w:t>
      </w:r>
      <w:r>
        <w:rPr>
          <w:noProof/>
        </w:rPr>
        <w:t>епроменено през 2015 г., тъй като голяма част от плащанията ще бъдат извършени през 2016 г.</w:t>
      </w:r>
    </w:p>
    <w:p w:rsidR="009A68E4" w:rsidRDefault="00F15CB7">
      <w:pPr>
        <w:pStyle w:val="ListDash"/>
        <w:numPr>
          <w:ilvl w:val="0"/>
          <w:numId w:val="0"/>
        </w:numPr>
        <w:rPr>
          <w:bCs/>
          <w:noProof/>
        </w:rPr>
      </w:pPr>
      <w:r>
        <w:rPr>
          <w:noProof/>
        </w:rPr>
        <w:t xml:space="preserve">Допълнителните нужди, посочени в </w:t>
      </w:r>
      <w:r>
        <w:rPr>
          <w:i/>
          <w:noProof/>
        </w:rPr>
        <w:t>Съобщението относно управлението на кризата с бежанците</w:t>
      </w:r>
      <w:r>
        <w:rPr>
          <w:noProof/>
        </w:rPr>
        <w:t>, в сравнение с предложения от Комисията проектобюджет (ПБ) за 2016 г., ще б</w:t>
      </w:r>
      <w:r>
        <w:rPr>
          <w:noProof/>
        </w:rPr>
        <w:t>ъдат включени в писмо за внасяне на корекции в проектобюджета за 2016 г., което ще бъде представено в средата на октомври. Това писмо за внасяне на корекции ще включва също актуализирани прогнози за селскостопанските разходи.</w:t>
      </w:r>
    </w:p>
    <w:p w:rsidR="009A68E4" w:rsidRDefault="00F15CB7">
      <w:pPr>
        <w:keepNext/>
        <w:tabs>
          <w:tab w:val="left" w:pos="850"/>
        </w:tabs>
        <w:spacing w:before="360" w:after="120"/>
        <w:ind w:left="851" w:hanging="851"/>
        <w:jc w:val="both"/>
        <w:outlineLvl w:val="0"/>
        <w:rPr>
          <w:b/>
          <w:smallCaps/>
          <w:noProof/>
        </w:rPr>
      </w:pPr>
      <w:bookmarkStart w:id="15" w:name="_Toc430865947"/>
      <w:bookmarkStart w:id="16" w:name="_Toc430867525"/>
      <w:bookmarkStart w:id="17" w:name="_Toc430951513"/>
      <w:bookmarkStart w:id="18" w:name="_Toc431553531"/>
      <w:r>
        <w:rPr>
          <w:b/>
          <w:smallCaps/>
          <w:noProof/>
        </w:rPr>
        <w:t>2.</w:t>
      </w:r>
      <w:r>
        <w:rPr>
          <w:noProof/>
        </w:rPr>
        <w:tab/>
      </w:r>
      <w:r>
        <w:rPr>
          <w:b/>
          <w:smallCaps/>
          <w:noProof/>
        </w:rPr>
        <w:t>Управление на кризата с беж</w:t>
      </w:r>
      <w:r>
        <w:rPr>
          <w:b/>
          <w:smallCaps/>
          <w:noProof/>
        </w:rPr>
        <w:t>анците в рамките на Европейската програма за миграцията</w:t>
      </w:r>
      <w:bookmarkEnd w:id="15"/>
      <w:bookmarkEnd w:id="16"/>
      <w:bookmarkEnd w:id="17"/>
      <w:bookmarkEnd w:id="18"/>
    </w:p>
    <w:p w:rsidR="009A68E4" w:rsidRDefault="00F15CB7">
      <w:pPr>
        <w:spacing w:before="120" w:after="120"/>
        <w:jc w:val="both"/>
        <w:rPr>
          <w:noProof/>
        </w:rPr>
      </w:pPr>
      <w:r>
        <w:rPr>
          <w:noProof/>
        </w:rPr>
        <w:t>В тази точка се припомнят допълнителните мерки, предложени до момента в областта на миграцията, и по-специално чрез коригиращ бюджет 5/2015</w:t>
      </w:r>
      <w:r>
        <w:rPr>
          <w:noProof/>
          <w:vertAlign w:val="superscript"/>
        </w:rPr>
        <w:footnoteReference w:id="11"/>
      </w:r>
      <w:r>
        <w:rPr>
          <w:noProof/>
        </w:rPr>
        <w:t>, и допълнителното увеличение на средствата, което се изискв</w:t>
      </w:r>
      <w:r>
        <w:rPr>
          <w:noProof/>
        </w:rPr>
        <w:t>а още тази година чрез настоящия проект на коригиращ бюджет и съпътстващото го предложение за мобилизиране на Инструмента за гъвкавост.</w:t>
      </w:r>
    </w:p>
    <w:p w:rsidR="009A68E4" w:rsidRDefault="00F15CB7">
      <w:pPr>
        <w:spacing w:before="120" w:after="120"/>
        <w:jc w:val="both"/>
        <w:rPr>
          <w:b/>
          <w:noProof/>
        </w:rPr>
      </w:pPr>
      <w:r>
        <w:rPr>
          <w:b/>
          <w:noProof/>
        </w:rPr>
        <w:t>2.1</w:t>
      </w:r>
      <w:r>
        <w:rPr>
          <w:noProof/>
        </w:rPr>
        <w:tab/>
      </w:r>
      <w:r>
        <w:rPr>
          <w:b/>
          <w:noProof/>
        </w:rPr>
        <w:t>Функция 3: Сигурност и гражданство</w:t>
      </w:r>
    </w:p>
    <w:p w:rsidR="009A68E4" w:rsidRDefault="00F15CB7">
      <w:pPr>
        <w:spacing w:before="120" w:after="120"/>
        <w:jc w:val="both"/>
        <w:rPr>
          <w:i/>
          <w:noProof/>
        </w:rPr>
      </w:pPr>
      <w:r>
        <w:rPr>
          <w:i/>
          <w:noProof/>
        </w:rPr>
        <w:t>2.1.1</w:t>
      </w:r>
      <w:r>
        <w:rPr>
          <w:noProof/>
        </w:rPr>
        <w:tab/>
      </w:r>
      <w:r>
        <w:rPr>
          <w:i/>
          <w:noProof/>
        </w:rPr>
        <w:t>Мерки, предложени в ПКБ 5/2015</w:t>
      </w:r>
    </w:p>
    <w:p w:rsidR="009A68E4" w:rsidRDefault="00F15CB7">
      <w:pPr>
        <w:spacing w:before="120" w:after="120"/>
        <w:jc w:val="both"/>
        <w:rPr>
          <w:noProof/>
        </w:rPr>
      </w:pPr>
      <w:r>
        <w:rPr>
          <w:noProof/>
        </w:rPr>
        <w:t xml:space="preserve">На 13 май Комисията прие Европейската </w:t>
      </w:r>
      <w:r>
        <w:rPr>
          <w:noProof/>
        </w:rPr>
        <w:t>програма за миграцията</w:t>
      </w:r>
      <w:r>
        <w:rPr>
          <w:noProof/>
          <w:vertAlign w:val="superscript"/>
        </w:rPr>
        <w:footnoteReference w:id="12"/>
      </w:r>
      <w:r>
        <w:rPr>
          <w:noProof/>
        </w:rPr>
        <w:t>, която се съпътстваше от проект на коригиращ бюджет 5/2015. Окончателното приемане на 7 юли на коригиращия бюджет позволи следното:</w:t>
      </w:r>
    </w:p>
    <w:p w:rsidR="009A68E4" w:rsidRDefault="00F15CB7">
      <w:pPr>
        <w:numPr>
          <w:ilvl w:val="0"/>
          <w:numId w:val="9"/>
        </w:numPr>
        <w:spacing w:before="120" w:after="120"/>
        <w:jc w:val="both"/>
        <w:rPr>
          <w:noProof/>
        </w:rPr>
      </w:pPr>
      <w:r>
        <w:rPr>
          <w:noProof/>
        </w:rPr>
        <w:t>да се утроят операциите на Frontex в Средиземно море („Тритон“ и „Посейдон“, 26 млн. EUR);</w:t>
      </w:r>
    </w:p>
    <w:p w:rsidR="009A68E4" w:rsidRDefault="00F15CB7">
      <w:pPr>
        <w:numPr>
          <w:ilvl w:val="0"/>
          <w:numId w:val="9"/>
        </w:numPr>
        <w:spacing w:before="120" w:after="120"/>
        <w:jc w:val="both"/>
        <w:rPr>
          <w:noProof/>
        </w:rPr>
      </w:pPr>
      <w:r>
        <w:rPr>
          <w:noProof/>
        </w:rPr>
        <w:t>да се удв</w:t>
      </w:r>
      <w:r>
        <w:rPr>
          <w:noProof/>
        </w:rPr>
        <w:t>ои спешната помощ, предоставяна на най-засегнатите държави членки по линия на фонд „Убежище, миграция и интеграция“ (ФУМИ, 25 млн. EUR) и фонд „Вътрешна сигурност“ (ФВС, 5 млн. EUR);</w:t>
      </w:r>
    </w:p>
    <w:p w:rsidR="009A68E4" w:rsidRDefault="00F15CB7">
      <w:pPr>
        <w:numPr>
          <w:ilvl w:val="0"/>
          <w:numId w:val="9"/>
        </w:numPr>
        <w:spacing w:before="120" w:after="120"/>
        <w:jc w:val="both"/>
        <w:rPr>
          <w:noProof/>
        </w:rPr>
      </w:pPr>
      <w:r>
        <w:rPr>
          <w:noProof/>
        </w:rPr>
        <w:t>да се приведе в действие цялостна за ЕС схема за презаселване (25 млн. EU</w:t>
      </w:r>
      <w:r>
        <w:rPr>
          <w:noProof/>
        </w:rPr>
        <w:t>R);</w:t>
      </w:r>
    </w:p>
    <w:p w:rsidR="009A68E4" w:rsidRDefault="00F15CB7">
      <w:pPr>
        <w:numPr>
          <w:ilvl w:val="0"/>
          <w:numId w:val="9"/>
        </w:numPr>
        <w:spacing w:before="120" w:after="120"/>
        <w:jc w:val="both"/>
        <w:rPr>
          <w:noProof/>
        </w:rPr>
      </w:pPr>
      <w:r>
        <w:rPr>
          <w:noProof/>
        </w:rPr>
        <w:t>да се подсилят регионалните програми за развитие и закрила за Северна Африка и за Африканския рог (7 млн. EUR); и</w:t>
      </w:r>
    </w:p>
    <w:p w:rsidR="009A68E4" w:rsidRDefault="00F15CB7">
      <w:pPr>
        <w:numPr>
          <w:ilvl w:val="0"/>
          <w:numId w:val="9"/>
        </w:numPr>
        <w:spacing w:before="120" w:after="120"/>
        <w:jc w:val="both"/>
        <w:rPr>
          <w:noProof/>
        </w:rPr>
      </w:pPr>
      <w:r>
        <w:rPr>
          <w:noProof/>
        </w:rPr>
        <w:t xml:space="preserve">да се увеличат броят на длъжностите и свързаните с тях разходи за персонал на трите най-засегнати агенции на ЕС (16 длъжности за Frontex, </w:t>
      </w:r>
      <w:r>
        <w:rPr>
          <w:noProof/>
        </w:rPr>
        <w:t>4 длъжности за EASO и 3 длъжности за Европол).</w:t>
      </w:r>
    </w:p>
    <w:p w:rsidR="009A68E4" w:rsidRDefault="00F15CB7">
      <w:pPr>
        <w:spacing w:before="120" w:after="120"/>
        <w:jc w:val="both"/>
        <w:rPr>
          <w:i/>
          <w:noProof/>
        </w:rPr>
      </w:pPr>
      <w:r>
        <w:rPr>
          <w:i/>
          <w:noProof/>
        </w:rPr>
        <w:t>2.1.2</w:t>
      </w:r>
      <w:r>
        <w:rPr>
          <w:noProof/>
        </w:rPr>
        <w:tab/>
      </w:r>
      <w:r>
        <w:rPr>
          <w:i/>
          <w:noProof/>
        </w:rPr>
        <w:t>Допълнителни увеличения на средствата, предложени в ПКБ 7/2015</w:t>
      </w:r>
    </w:p>
    <w:p w:rsidR="009A68E4" w:rsidRDefault="00F15CB7">
      <w:pPr>
        <w:spacing w:before="120" w:after="120"/>
        <w:jc w:val="both"/>
        <w:rPr>
          <w:b/>
          <w:noProof/>
        </w:rPr>
      </w:pPr>
      <w:r>
        <w:rPr>
          <w:b/>
          <w:noProof/>
        </w:rPr>
        <w:t>Спешни мерки</w:t>
      </w:r>
    </w:p>
    <w:p w:rsidR="009A68E4" w:rsidRDefault="00F15CB7">
      <w:pPr>
        <w:spacing w:before="120" w:after="120"/>
        <w:jc w:val="both"/>
        <w:rPr>
          <w:noProof/>
        </w:rPr>
      </w:pPr>
      <w:r>
        <w:rPr>
          <w:noProof/>
        </w:rPr>
        <w:t>Необходимо е незабавно значително допълнително увеличение на спешната помощ по линия на ФУМИ (80 млн. EUR) и ФВС (20 млн. EUR),</w:t>
      </w:r>
      <w:r>
        <w:rPr>
          <w:noProof/>
        </w:rPr>
        <w:t xml:space="preserve"> за да се помогне на наскоро засегнатите държави членки и за да се подпомогне прилагането на подхода на „горещите точки“. Допълнителната сума от 100 млн. EUR ще послужи предимно за следното:</w:t>
      </w:r>
    </w:p>
    <w:p w:rsidR="009A68E4" w:rsidRDefault="00F15CB7">
      <w:pPr>
        <w:pStyle w:val="ListParagraph"/>
        <w:numPr>
          <w:ilvl w:val="0"/>
          <w:numId w:val="11"/>
        </w:numPr>
        <w:spacing w:before="120" w:after="120" w:line="240" w:lineRule="auto"/>
        <w:jc w:val="both"/>
        <w:rPr>
          <w:rFonts w:ascii="Times New Roman" w:hAnsi="Times New Roman"/>
          <w:noProof/>
          <w:sz w:val="24"/>
          <w:szCs w:val="24"/>
        </w:rPr>
      </w:pPr>
      <w:r>
        <w:rPr>
          <w:rFonts w:ascii="Times New Roman" w:hAnsi="Times New Roman"/>
          <w:noProof/>
          <w:sz w:val="24"/>
        </w:rPr>
        <w:t>удовлетворяване на получените понастоящем искания от Германия, Гъ</w:t>
      </w:r>
      <w:r>
        <w:rPr>
          <w:rFonts w:ascii="Times New Roman" w:hAnsi="Times New Roman"/>
          <w:noProof/>
          <w:sz w:val="24"/>
        </w:rPr>
        <w:t>рция, Хърватия и Австрия и на допълнителните искания, които се очаква да бъдат получени до края на годината от други държави членки, засегнати наскоро от притока, и по-конкретно от Гърция, Унгария и България;</w:t>
      </w:r>
    </w:p>
    <w:p w:rsidR="009A68E4" w:rsidRDefault="00F15CB7">
      <w:pPr>
        <w:pStyle w:val="ListParagraph"/>
        <w:numPr>
          <w:ilvl w:val="0"/>
          <w:numId w:val="11"/>
        </w:numPr>
        <w:spacing w:before="120" w:after="120" w:line="240" w:lineRule="auto"/>
        <w:jc w:val="both"/>
        <w:rPr>
          <w:rFonts w:ascii="Times New Roman" w:hAnsi="Times New Roman"/>
          <w:noProof/>
          <w:sz w:val="24"/>
          <w:szCs w:val="24"/>
        </w:rPr>
      </w:pPr>
      <w:r>
        <w:rPr>
          <w:rFonts w:ascii="Times New Roman" w:hAnsi="Times New Roman"/>
          <w:noProof/>
          <w:sz w:val="24"/>
        </w:rPr>
        <w:t>осигуряване на възможност за координиран подход</w:t>
      </w:r>
      <w:r>
        <w:rPr>
          <w:rFonts w:ascii="Times New Roman" w:hAnsi="Times New Roman"/>
          <w:noProof/>
          <w:sz w:val="24"/>
        </w:rPr>
        <w:t xml:space="preserve"> от страна на Комисията съвместно с държавите членки, включително Италия и Гърция, за разработване на структурирани спешни искания за привеждането в действие на екипите за подпомагане на мигрантите и на схеми за преместване, както и за посрещане на постоян</w:t>
      </w:r>
      <w:r>
        <w:rPr>
          <w:rFonts w:ascii="Times New Roman" w:hAnsi="Times New Roman"/>
          <w:noProof/>
          <w:sz w:val="24"/>
        </w:rPr>
        <w:t>но нарастващия приток на мигранти.</w:t>
      </w:r>
    </w:p>
    <w:p w:rsidR="009A68E4" w:rsidRDefault="00F15CB7">
      <w:pPr>
        <w:spacing w:before="120" w:after="120"/>
        <w:jc w:val="both"/>
        <w:rPr>
          <w:b/>
          <w:noProof/>
        </w:rPr>
      </w:pPr>
      <w:r>
        <w:rPr>
          <w:b/>
          <w:noProof/>
        </w:rPr>
        <w:t>Агенции</w:t>
      </w:r>
    </w:p>
    <w:p w:rsidR="009A68E4" w:rsidRDefault="00F15CB7">
      <w:pPr>
        <w:spacing w:before="120" w:after="120"/>
        <w:jc w:val="both"/>
        <w:rPr>
          <w:noProof/>
        </w:rPr>
      </w:pPr>
      <w:r>
        <w:rPr>
          <w:noProof/>
        </w:rPr>
        <w:t xml:space="preserve">Агенциите на ЕС, които работят в области, свързани с миграцията, трябва да увеличат капацитета си, тъй като от тях сега се изисква да бъдат много по-активни на място, отколкото се предвиждаше първоначално. Поради </w:t>
      </w:r>
      <w:r>
        <w:rPr>
          <w:noProof/>
        </w:rPr>
        <w:t>това Комисията предлага да се увеличат допълнително човешките ресурси на трите основни агенции на ЕС с общо 120 допълнителни длъжности в щатното разписание, както следва:</w:t>
      </w:r>
    </w:p>
    <w:p w:rsidR="009A68E4" w:rsidRDefault="00F15CB7">
      <w:pPr>
        <w:pStyle w:val="ListParagraph"/>
        <w:numPr>
          <w:ilvl w:val="0"/>
          <w:numId w:val="14"/>
        </w:numPr>
        <w:spacing w:before="120" w:after="120" w:line="240" w:lineRule="auto"/>
        <w:jc w:val="both"/>
        <w:rPr>
          <w:rFonts w:ascii="Times New Roman" w:hAnsi="Times New Roman"/>
          <w:noProof/>
          <w:sz w:val="24"/>
          <w:szCs w:val="24"/>
        </w:rPr>
      </w:pPr>
      <w:r>
        <w:rPr>
          <w:rFonts w:ascii="Times New Roman" w:hAnsi="Times New Roman"/>
          <w:noProof/>
          <w:sz w:val="24"/>
          <w:u w:val="single"/>
        </w:rPr>
        <w:t>Frontex</w:t>
      </w:r>
      <w:r>
        <w:rPr>
          <w:rFonts w:ascii="Times New Roman" w:hAnsi="Times New Roman"/>
          <w:noProof/>
          <w:sz w:val="24"/>
        </w:rPr>
        <w:t>: 60 длъжности, за да може Агенцията да се справи с по-големите оперативни дей</w:t>
      </w:r>
      <w:r>
        <w:rPr>
          <w:rFonts w:ascii="Times New Roman" w:hAnsi="Times New Roman"/>
          <w:noProof/>
          <w:sz w:val="24"/>
        </w:rPr>
        <w:t>ности, както и със засиленото сътрудничество с други агенции на ЕС, що се отнася до разбиването на мрежите за трафик и изпращането на допълнителни служители за връзка в трети държави. Това включва:</w:t>
      </w:r>
    </w:p>
    <w:p w:rsidR="009A68E4" w:rsidRDefault="009A68E4">
      <w:pPr>
        <w:pStyle w:val="ListParagraph"/>
        <w:spacing w:before="120" w:after="120" w:line="240" w:lineRule="auto"/>
        <w:jc w:val="both"/>
        <w:rPr>
          <w:rFonts w:ascii="Times New Roman" w:hAnsi="Times New Roman"/>
          <w:noProof/>
          <w:sz w:val="24"/>
          <w:szCs w:val="24"/>
        </w:rPr>
      </w:pPr>
    </w:p>
    <w:p w:rsidR="009A68E4" w:rsidRDefault="00F15CB7">
      <w:pPr>
        <w:pStyle w:val="ListParagraph"/>
        <w:numPr>
          <w:ilvl w:val="1"/>
          <w:numId w:val="14"/>
        </w:numPr>
        <w:spacing w:before="120" w:after="120" w:line="240" w:lineRule="auto"/>
        <w:jc w:val="both"/>
        <w:rPr>
          <w:rFonts w:ascii="Times New Roman" w:hAnsi="Times New Roman"/>
          <w:noProof/>
          <w:sz w:val="24"/>
          <w:szCs w:val="24"/>
        </w:rPr>
      </w:pPr>
      <w:r>
        <w:rPr>
          <w:rFonts w:ascii="Times New Roman" w:hAnsi="Times New Roman"/>
          <w:noProof/>
          <w:sz w:val="24"/>
        </w:rPr>
        <w:t>засилване на съвместните операции по връщане и на свързан</w:t>
      </w:r>
      <w:r>
        <w:rPr>
          <w:rFonts w:ascii="Times New Roman" w:hAnsi="Times New Roman"/>
          <w:noProof/>
          <w:sz w:val="24"/>
        </w:rPr>
        <w:t>ите с тях въпроси, както и изпращане на координиращи служители в групите за подпомагане на управлението на миграцията в  „горещите точки“;</w:t>
      </w:r>
    </w:p>
    <w:p w:rsidR="009A68E4" w:rsidRDefault="00F15CB7">
      <w:pPr>
        <w:pStyle w:val="ListParagraph"/>
        <w:numPr>
          <w:ilvl w:val="1"/>
          <w:numId w:val="14"/>
        </w:numPr>
        <w:spacing w:before="120" w:after="120"/>
        <w:jc w:val="both"/>
        <w:rPr>
          <w:rFonts w:ascii="Times New Roman" w:hAnsi="Times New Roman"/>
          <w:noProof/>
          <w:sz w:val="24"/>
          <w:szCs w:val="24"/>
        </w:rPr>
      </w:pPr>
      <w:r>
        <w:rPr>
          <w:rFonts w:ascii="Times New Roman" w:hAnsi="Times New Roman"/>
          <w:noProof/>
          <w:sz w:val="24"/>
        </w:rPr>
        <w:t>увеличаване на капацитета на Агенцията за анализ на риска на място (оперативен анализ на „горещата точка“, управление</w:t>
      </w:r>
      <w:r>
        <w:rPr>
          <w:rFonts w:ascii="Times New Roman" w:hAnsi="Times New Roman"/>
          <w:noProof/>
          <w:sz w:val="24"/>
        </w:rPr>
        <w:t xml:space="preserve"> и предоставяне на информация, координация) и в трети държави; </w:t>
      </w:r>
    </w:p>
    <w:p w:rsidR="009A68E4" w:rsidRDefault="00F15CB7">
      <w:pPr>
        <w:pStyle w:val="ListParagraph"/>
        <w:numPr>
          <w:ilvl w:val="1"/>
          <w:numId w:val="14"/>
        </w:numPr>
        <w:spacing w:before="120" w:after="120"/>
        <w:jc w:val="both"/>
        <w:rPr>
          <w:rFonts w:ascii="Times New Roman" w:hAnsi="Times New Roman"/>
          <w:noProof/>
          <w:sz w:val="24"/>
          <w:szCs w:val="24"/>
        </w:rPr>
      </w:pPr>
      <w:r>
        <w:rPr>
          <w:rFonts w:ascii="Times New Roman" w:hAnsi="Times New Roman"/>
          <w:noProof/>
          <w:sz w:val="24"/>
        </w:rPr>
        <w:t>увеличаване на капацитета на Агенцията за поддържане и подобряване на комуникационните мрежи в контекста на EUROSUR, включително координирането на общи инструменти за наблюдение;</w:t>
      </w:r>
    </w:p>
    <w:p w:rsidR="009A68E4" w:rsidRDefault="00F15CB7">
      <w:pPr>
        <w:pStyle w:val="ListParagraph"/>
        <w:numPr>
          <w:ilvl w:val="1"/>
          <w:numId w:val="14"/>
        </w:numPr>
        <w:spacing w:before="120" w:after="120" w:line="240" w:lineRule="auto"/>
        <w:jc w:val="both"/>
        <w:rPr>
          <w:noProof/>
        </w:rPr>
      </w:pPr>
      <w:r>
        <w:rPr>
          <w:rFonts w:ascii="Times New Roman" w:hAnsi="Times New Roman"/>
          <w:noProof/>
          <w:sz w:val="24"/>
        </w:rPr>
        <w:t xml:space="preserve">изпращане на </w:t>
      </w:r>
      <w:r>
        <w:rPr>
          <w:rFonts w:ascii="Times New Roman" w:hAnsi="Times New Roman"/>
          <w:noProof/>
          <w:sz w:val="24"/>
        </w:rPr>
        <w:t>служители за връзка в съседните на ЕС трети държави.</w:t>
      </w:r>
    </w:p>
    <w:p w:rsidR="009A68E4" w:rsidRDefault="009A68E4">
      <w:pPr>
        <w:pStyle w:val="ListParagraph"/>
        <w:spacing w:before="120" w:after="120" w:line="240" w:lineRule="auto"/>
        <w:ind w:left="1440"/>
        <w:jc w:val="both"/>
        <w:rPr>
          <w:noProof/>
        </w:rPr>
      </w:pPr>
    </w:p>
    <w:p w:rsidR="009A68E4" w:rsidRDefault="00F15CB7">
      <w:pPr>
        <w:pStyle w:val="ListParagraph"/>
        <w:numPr>
          <w:ilvl w:val="0"/>
          <w:numId w:val="14"/>
        </w:numPr>
        <w:spacing w:before="120" w:after="120" w:line="240" w:lineRule="auto"/>
        <w:jc w:val="both"/>
        <w:rPr>
          <w:noProof/>
        </w:rPr>
      </w:pPr>
      <w:r>
        <w:rPr>
          <w:rFonts w:ascii="Times New Roman" w:hAnsi="Times New Roman"/>
          <w:noProof/>
          <w:sz w:val="24"/>
          <w:u w:val="single"/>
        </w:rPr>
        <w:t>EASO</w:t>
      </w:r>
      <w:r>
        <w:rPr>
          <w:rFonts w:ascii="Times New Roman" w:hAnsi="Times New Roman"/>
          <w:noProof/>
          <w:sz w:val="24"/>
        </w:rPr>
        <w:t>: 30 длъжности за подпомагане на изпращането на допълнителни екипи на EASO за съвместна обработка на молбите за предоставяне на убежище в държавите членки с външни граници на Съюза. Това включва:</w:t>
      </w:r>
    </w:p>
    <w:p w:rsidR="009A68E4" w:rsidRDefault="00F15CB7">
      <w:pPr>
        <w:numPr>
          <w:ilvl w:val="1"/>
          <w:numId w:val="16"/>
        </w:numPr>
        <w:spacing w:before="120" w:after="120"/>
        <w:jc w:val="both"/>
        <w:rPr>
          <w:noProof/>
        </w:rPr>
      </w:pPr>
      <w:r>
        <w:rPr>
          <w:noProof/>
        </w:rPr>
        <w:t>по</w:t>
      </w:r>
      <w:r>
        <w:rPr>
          <w:noProof/>
        </w:rPr>
        <w:t xml:space="preserve">дпомагане на съвместната обработка на молбите за предоставяне на убежище в Италия и Гърция в  „горещите точки“ за регистрирането, идентификацията, снемането на пръстови отпечатъци и съставянето на досиетата за молби за убежище; </w:t>
      </w:r>
    </w:p>
    <w:p w:rsidR="009A68E4" w:rsidRDefault="00F15CB7">
      <w:pPr>
        <w:numPr>
          <w:ilvl w:val="1"/>
          <w:numId w:val="16"/>
        </w:numPr>
        <w:spacing w:before="120" w:after="120"/>
        <w:jc w:val="both"/>
        <w:rPr>
          <w:noProof/>
        </w:rPr>
      </w:pPr>
      <w:r>
        <w:rPr>
          <w:noProof/>
        </w:rPr>
        <w:t xml:space="preserve">координиране и подпомагане </w:t>
      </w:r>
      <w:r>
        <w:rPr>
          <w:noProof/>
        </w:rPr>
        <w:t xml:space="preserve">на спешните мерки за преместване на 160 000 лица (т.е. идентификация, проверка на уязвимостта, информация преди заминаване); </w:t>
      </w:r>
    </w:p>
    <w:p w:rsidR="009A68E4" w:rsidRDefault="00F15CB7">
      <w:pPr>
        <w:numPr>
          <w:ilvl w:val="1"/>
          <w:numId w:val="14"/>
        </w:numPr>
        <w:spacing w:before="120" w:after="120"/>
        <w:jc w:val="both"/>
        <w:rPr>
          <w:rFonts w:ascii="Calibri" w:hAnsi="Calibri"/>
          <w:noProof/>
          <w:sz w:val="22"/>
          <w:szCs w:val="22"/>
        </w:rPr>
      </w:pPr>
      <w:r>
        <w:rPr>
          <w:noProof/>
        </w:rPr>
        <w:t xml:space="preserve">подпомагане на цялостната за ЕС схема за презаселване (действане като механизъм за обмен на информация и подобряване на </w:t>
      </w:r>
      <w:r>
        <w:rPr>
          <w:noProof/>
        </w:rPr>
        <w:t>структурния обмен на информация);</w:t>
      </w:r>
    </w:p>
    <w:p w:rsidR="009A68E4" w:rsidRDefault="00F15CB7">
      <w:pPr>
        <w:numPr>
          <w:ilvl w:val="1"/>
          <w:numId w:val="14"/>
        </w:numPr>
        <w:spacing w:before="120" w:after="120"/>
        <w:jc w:val="both"/>
        <w:rPr>
          <w:rFonts w:ascii="Calibri" w:hAnsi="Calibri"/>
          <w:noProof/>
          <w:sz w:val="22"/>
          <w:szCs w:val="22"/>
        </w:rPr>
      </w:pPr>
      <w:r>
        <w:rPr>
          <w:noProof/>
        </w:rPr>
        <w:t>действане като механизъм за информационните дейности във връзка с държавата на произход, включително обмен на информация, доразвиване на докладите за държавата на произход и практически ръководства.</w:t>
      </w:r>
    </w:p>
    <w:p w:rsidR="009A68E4" w:rsidRDefault="00F15CB7">
      <w:pPr>
        <w:pStyle w:val="ListParagraph"/>
        <w:numPr>
          <w:ilvl w:val="0"/>
          <w:numId w:val="14"/>
        </w:numPr>
        <w:spacing w:before="120" w:after="120" w:line="240" w:lineRule="auto"/>
        <w:jc w:val="both"/>
        <w:rPr>
          <w:noProof/>
        </w:rPr>
      </w:pPr>
      <w:r>
        <w:rPr>
          <w:rFonts w:ascii="Times New Roman" w:hAnsi="Times New Roman"/>
          <w:noProof/>
          <w:sz w:val="24"/>
          <w:u w:val="single"/>
        </w:rPr>
        <w:t>ЕВРОПОЛ</w:t>
      </w:r>
      <w:r>
        <w:rPr>
          <w:rFonts w:ascii="Times New Roman" w:hAnsi="Times New Roman"/>
          <w:noProof/>
          <w:sz w:val="24"/>
        </w:rPr>
        <w:t>: 30 длъжности з</w:t>
      </w:r>
      <w:r>
        <w:rPr>
          <w:rFonts w:ascii="Times New Roman" w:hAnsi="Times New Roman"/>
          <w:noProof/>
          <w:sz w:val="24"/>
        </w:rPr>
        <w:t>а допълнително засилване на ролята на Европол в изпълнението на заключенията на Европейския съвет по отношение на разбиването на мрежите за трафик и за допълнително повишаване на усилията за откриване и отправяне на искане за заличаване на съдържание в инт</w:t>
      </w:r>
      <w:r>
        <w:rPr>
          <w:rFonts w:ascii="Times New Roman" w:hAnsi="Times New Roman"/>
          <w:noProof/>
          <w:sz w:val="24"/>
        </w:rPr>
        <w:t>ернет, използвано от трафикантите за привличане на мигранти и бежанци. Това включва:</w:t>
      </w:r>
    </w:p>
    <w:p w:rsidR="009A68E4" w:rsidRDefault="00F15CB7">
      <w:pPr>
        <w:numPr>
          <w:ilvl w:val="1"/>
          <w:numId w:val="14"/>
        </w:numPr>
        <w:spacing w:before="120" w:after="120"/>
        <w:jc w:val="both"/>
        <w:rPr>
          <w:noProof/>
        </w:rPr>
      </w:pPr>
      <w:r>
        <w:rPr>
          <w:noProof/>
        </w:rPr>
        <w:t>ресурси за засилване и разширяване на действията на ЕС в подкрепа на дейността на Комисията в „горещите точки“. В Гърция това предполага използването на мобилен екип на ЕС за подпомагане на разследванията (МЕПР) за провеждане на разследвания с цел разбиван</w:t>
      </w:r>
      <w:r>
        <w:rPr>
          <w:noProof/>
        </w:rPr>
        <w:t>е на мрежите за контрабанда. Този нов екип от специалисти и анализатори на Европол ще събира информация и ще действа, когато мигранти слязат на петте гръцки острова, които са засегнати понастоящем, като използват информация от различните административни ор</w:t>
      </w:r>
      <w:r>
        <w:rPr>
          <w:noProof/>
        </w:rPr>
        <w:t xml:space="preserve">гани в региона, както и от национални и международни разследвания; </w:t>
      </w:r>
    </w:p>
    <w:p w:rsidR="009A68E4" w:rsidRDefault="00F15CB7">
      <w:pPr>
        <w:numPr>
          <w:ilvl w:val="1"/>
          <w:numId w:val="14"/>
        </w:numPr>
        <w:spacing w:before="120" w:after="120"/>
        <w:jc w:val="both"/>
        <w:rPr>
          <w:noProof/>
        </w:rPr>
      </w:pPr>
      <w:r>
        <w:rPr>
          <w:noProof/>
        </w:rPr>
        <w:t>създаването на Европейски център за контрабандата на мигранти (ЕЦКМ) към Европол, който ще подпомага работата на мобилните екипи за подпомагане на разследванията (МЕПР). Центърът ще помага</w:t>
      </w:r>
      <w:r>
        <w:rPr>
          <w:noProof/>
        </w:rPr>
        <w:t xml:space="preserve"> на държавите членки с външни граници на Съюза, като предоставя обучения за служителите в МЕПР, персонал, оборудване и експертен опит, и ще подобри нормалния капацитет на Европол за подкрепа по отношение на анализа, оперативните срещи и съвместните действи</w:t>
      </w:r>
      <w:r>
        <w:rPr>
          <w:noProof/>
        </w:rPr>
        <w:t>я. Освен това ЕЦКМ ще направи преглед на равнище ЕС на контрабандата на мигранти от гледна точка на правоприлагането, като се координира с националните центрове. Той ще предоставя също експертен опит относно използването на социалните мрежи от трафикантите</w:t>
      </w:r>
      <w:r>
        <w:rPr>
          <w:noProof/>
        </w:rPr>
        <w:t xml:space="preserve"> и относно финансовите разследвания;</w:t>
      </w:r>
    </w:p>
    <w:p w:rsidR="009A68E4" w:rsidRDefault="00F15CB7">
      <w:pPr>
        <w:numPr>
          <w:ilvl w:val="1"/>
          <w:numId w:val="14"/>
        </w:numPr>
        <w:spacing w:before="120" w:after="120"/>
        <w:jc w:val="both"/>
        <w:rPr>
          <w:noProof/>
        </w:rPr>
      </w:pPr>
      <w:r>
        <w:rPr>
          <w:noProof/>
        </w:rPr>
        <w:t>взаимодействието между мобилните екипи за подпомагане на разследванията и Центъра към Европол ще подобри разузнавателните и оперативните знания, които ще бъдат използвани при действията на полицията и на граничната охра</w:t>
      </w:r>
      <w:r>
        <w:rPr>
          <w:noProof/>
        </w:rPr>
        <w:t>на на място.</w:t>
      </w:r>
    </w:p>
    <w:p w:rsidR="009A68E4" w:rsidRDefault="00F15CB7">
      <w:pPr>
        <w:spacing w:before="120" w:after="120"/>
        <w:jc w:val="both"/>
        <w:rPr>
          <w:noProof/>
        </w:rPr>
      </w:pPr>
      <w:r>
        <w:rPr>
          <w:noProof/>
        </w:rPr>
        <w:t>Съответните допълнителни бюджетни кредити за възнагражденията на новия персонал (1,3 млн. EUR) в трите агенции, взети заедно, са изчислени въз основа на средно присъствие от един месец през 2015 г.</w:t>
      </w:r>
    </w:p>
    <w:p w:rsidR="009A68E4" w:rsidRDefault="00F15CB7">
      <w:pPr>
        <w:spacing w:before="120" w:after="120"/>
        <w:jc w:val="both"/>
        <w:rPr>
          <w:b/>
          <w:noProof/>
        </w:rPr>
      </w:pPr>
      <w:r>
        <w:rPr>
          <w:b/>
          <w:noProof/>
        </w:rPr>
        <w:t>2.2</w:t>
      </w:r>
      <w:r>
        <w:rPr>
          <w:noProof/>
        </w:rPr>
        <w:tab/>
      </w:r>
      <w:r>
        <w:rPr>
          <w:b/>
          <w:noProof/>
        </w:rPr>
        <w:t>Функция 4: Глобална Европа</w:t>
      </w:r>
    </w:p>
    <w:p w:rsidR="009A68E4" w:rsidRDefault="00F15CB7">
      <w:pPr>
        <w:spacing w:before="120" w:after="120"/>
        <w:jc w:val="both"/>
        <w:rPr>
          <w:noProof/>
        </w:rPr>
      </w:pPr>
      <w:r>
        <w:rPr>
          <w:noProof/>
        </w:rPr>
        <w:t>Конфликтът в С</w:t>
      </w:r>
      <w:r>
        <w:rPr>
          <w:noProof/>
        </w:rPr>
        <w:t>ирия продължава вече пета година. Последиците от този конфликт са 7,6 милиона вътрешно разселени лица, 12,2 милиона лица, които се нуждаят от хуманитарна помощ, и 4 милиона бежанци в съседните държави. Притокът на бежанци от Сирия претовари съседните държа</w:t>
      </w:r>
      <w:r>
        <w:rPr>
          <w:noProof/>
        </w:rPr>
        <w:t xml:space="preserve">ви, особено Ливан и Йордания, като оказа натиск върху тяхната инфраструктура и застраши несигурната им стабилност. Докато хуманитарните и дългосрочните нужди на бежанците и на вътрешно разселените лица се увеличават, за обема на международното финансиране </w:t>
      </w:r>
      <w:r>
        <w:rPr>
          <w:noProof/>
        </w:rPr>
        <w:t>се наблюдава низходяща тенденция. От септември 2015 г. са финансирани едва 40 % от призивите на ООН във връзка със сирийската криза, което води до намаляване на храната и на други основни услуги. Тази ситуация, съчетана с продължителността на конфликта и н</w:t>
      </w:r>
      <w:r>
        <w:rPr>
          <w:noProof/>
        </w:rPr>
        <w:t>амаляващите надежди за завръщане по домовете, принуди хиляди сирийци да се отправят към Европа в търсене на място, където да се заселят дългосрочно. До момента в Европа са пристигнали над 330 000 сирийски бежанци, като се очаква броят им да нарасне до края</w:t>
      </w:r>
      <w:r>
        <w:rPr>
          <w:noProof/>
        </w:rPr>
        <w:t xml:space="preserve"> на 2015 г.</w:t>
      </w:r>
    </w:p>
    <w:p w:rsidR="009A68E4" w:rsidRDefault="00F15CB7">
      <w:pPr>
        <w:spacing w:before="120" w:after="120"/>
        <w:jc w:val="both"/>
        <w:rPr>
          <w:noProof/>
        </w:rPr>
      </w:pPr>
      <w:r>
        <w:rPr>
          <w:noProof/>
        </w:rPr>
        <w:t>За да бъде преодоляна тази тежка ситуация, Комисията предлага финансирането за Европейския инструмент за съседство (ЕИС) да се увеличи с 300 млн. EUR бюджетни кредити за поети задължения. Допълнителните бюджетни кредити за ЕИС ще позволят да се</w:t>
      </w:r>
      <w:r>
        <w:rPr>
          <w:noProof/>
        </w:rPr>
        <w:t xml:space="preserve"> увеличат средствата за </w:t>
      </w:r>
      <w:r>
        <w:rPr>
          <w:i/>
          <w:noProof/>
        </w:rPr>
        <w:t>Регионалния доверителен фонд на ЕС в отговор на кризата в Сирия</w:t>
      </w:r>
      <w:r>
        <w:rPr>
          <w:noProof/>
        </w:rPr>
        <w:t xml:space="preserve"> (фонд „Мадад“). Доверителният фонд „Мадад“ е гъвкав и ефективен инструмент за оказване на помощ на бежанците от Сирия. Фондът ще финансира проекти в различни отрасли, в</w:t>
      </w:r>
      <w:r>
        <w:rPr>
          <w:noProof/>
        </w:rPr>
        <w:t>ключително основната инфраструктура, като например водоснабдяването, канализацията, хигиената, управлението на отпадъците, достъпа до услуги, здравеопазването, образованието и подкрепата на поминъка. Проектите ще бъдат осъществявани в сътрудничество с разл</w:t>
      </w:r>
      <w:r>
        <w:rPr>
          <w:noProof/>
        </w:rPr>
        <w:t>ични партньори, като например агенции на ООН, агенции от държавите членки, публични органи и неправителствени организации. Поради времето, което минава от поискването до изплащането на първите средства, съответните бюджетни кредити за плащания ще бъдат пои</w:t>
      </w:r>
      <w:r>
        <w:rPr>
          <w:noProof/>
        </w:rPr>
        <w:t>скани в писмо за внасяне на корекции в проектобюджета за 2016 г.</w:t>
      </w:r>
    </w:p>
    <w:p w:rsidR="009A68E4" w:rsidRDefault="00F15CB7">
      <w:pPr>
        <w:spacing w:before="120" w:after="120"/>
        <w:jc w:val="both"/>
        <w:rPr>
          <w:noProof/>
          <w:spacing w:val="-2"/>
        </w:rPr>
      </w:pPr>
      <w:r>
        <w:rPr>
          <w:noProof/>
          <w:spacing w:val="-2"/>
        </w:rPr>
        <w:t>В допълнение към предложеното увеличение на средствата за ЕИС и в съответствие със съобщението на Комисията от 23 септември Комисията предлага да се използват 200 млн. EUR за хуманитарната по</w:t>
      </w:r>
      <w:r>
        <w:rPr>
          <w:noProof/>
          <w:spacing w:val="-2"/>
        </w:rPr>
        <w:t xml:space="preserve">мощ още през 2015 г. за покриване на най-неотложните хуманитарни нужди на разселените лица, които бягат от конфликта в региона. За тази цел Комисията иска отделно трансфер (DEC 32/2015) на 175 млн. EUR (поети задължения) от резерва за спешна помощ. С този </w:t>
      </w:r>
      <w:r>
        <w:rPr>
          <w:noProof/>
          <w:spacing w:val="-2"/>
        </w:rPr>
        <w:t>трансфер, 10 млн. EUR (поети задължения) от оперативния резерв за хуманитарна помощ и последните 15 млн. EUR, прехвърлени от резерва за спешна помощ (DEC 28/2015), се осигуряват допълнително 200 млн. EUR бюджетни кредити за поети задължения, които могат да</w:t>
      </w:r>
      <w:r>
        <w:rPr>
          <w:noProof/>
          <w:spacing w:val="-2"/>
        </w:rPr>
        <w:t xml:space="preserve"> се използват за хуманитарната помощ. През 2015 г. трябва да бъдат осигурени 70 млн. EUR бюджетни кредити за плащания за хуманитарната помощ чрез преразпределяне на 55,7 млн. EUR от резерви и от едногодишни бюджетни редове, предложено в настоящия ПКБ (вж. </w:t>
      </w:r>
      <w:r>
        <w:rPr>
          <w:noProof/>
          <w:spacing w:val="-2"/>
        </w:rPr>
        <w:t>точка 3 по-долу), като остатъкът (14,3 млн. EUR) е включен в отделното искане за трансфер от резерва за спешна помощ. Сумата от 70 млн. EUR бюджетни кредити за плащания ще покрие 40-те % предварително финансиране, което трябва да бъде изплатено на партньор</w:t>
      </w:r>
      <w:r>
        <w:rPr>
          <w:noProof/>
          <w:spacing w:val="-2"/>
        </w:rPr>
        <w:t xml:space="preserve">ските агенции през 2015 г. Останалата част от средствата ще бъде изплатена през 2016 г. </w:t>
      </w:r>
    </w:p>
    <w:p w:rsidR="009A68E4" w:rsidRDefault="00F15CB7">
      <w:pPr>
        <w:keepNext/>
        <w:tabs>
          <w:tab w:val="left" w:pos="850"/>
        </w:tabs>
        <w:spacing w:before="360" w:after="120"/>
        <w:ind w:left="851" w:hanging="851"/>
        <w:jc w:val="both"/>
        <w:outlineLvl w:val="0"/>
        <w:rPr>
          <w:b/>
          <w:smallCaps/>
          <w:noProof/>
        </w:rPr>
      </w:pPr>
      <w:bookmarkStart w:id="19" w:name="_Toc430865948"/>
      <w:bookmarkStart w:id="20" w:name="_Toc430867526"/>
      <w:bookmarkStart w:id="21" w:name="_Toc430951514"/>
      <w:bookmarkStart w:id="22" w:name="_Toc431553532"/>
      <w:r>
        <w:rPr>
          <w:b/>
          <w:smallCaps/>
          <w:noProof/>
        </w:rPr>
        <w:t>3.</w:t>
      </w:r>
      <w:r>
        <w:rPr>
          <w:noProof/>
        </w:rPr>
        <w:tab/>
      </w:r>
      <w:r>
        <w:rPr>
          <w:b/>
          <w:smallCaps/>
          <w:noProof/>
        </w:rPr>
        <w:t>Предложено финансиране през 2015 г.</w:t>
      </w:r>
      <w:bookmarkEnd w:id="19"/>
      <w:bookmarkEnd w:id="20"/>
      <w:bookmarkEnd w:id="21"/>
      <w:bookmarkEnd w:id="22"/>
    </w:p>
    <w:p w:rsidR="009A68E4" w:rsidRDefault="00F15CB7">
      <w:pPr>
        <w:spacing w:before="120" w:after="120"/>
        <w:jc w:val="both"/>
        <w:rPr>
          <w:noProof/>
        </w:rPr>
      </w:pPr>
      <w:r>
        <w:rPr>
          <w:noProof/>
        </w:rPr>
        <w:t xml:space="preserve">В тази точка се обяснява как се предлага допълнителните мерки за 2015 г., описани по-горе, да бъдат финансирани чрез комбинация </w:t>
      </w:r>
      <w:r>
        <w:rPr>
          <w:noProof/>
        </w:rPr>
        <w:t>от преразпределяне на средства, използване на наличните маржове по функции 3 и 4 и мобилизиране на Инструмента за гъвкавост.</w:t>
      </w:r>
    </w:p>
    <w:p w:rsidR="009A68E4" w:rsidRDefault="00F15CB7">
      <w:pPr>
        <w:spacing w:before="120" w:after="120"/>
        <w:jc w:val="both"/>
        <w:rPr>
          <w:b/>
          <w:noProof/>
        </w:rPr>
      </w:pPr>
      <w:r>
        <w:rPr>
          <w:b/>
          <w:noProof/>
        </w:rPr>
        <w:t>3.1</w:t>
      </w:r>
      <w:r>
        <w:rPr>
          <w:noProof/>
        </w:rPr>
        <w:tab/>
      </w:r>
      <w:r>
        <w:rPr>
          <w:b/>
          <w:noProof/>
        </w:rPr>
        <w:t>Функция 3: Сигурност и гражданство</w:t>
      </w:r>
    </w:p>
    <w:p w:rsidR="009A68E4" w:rsidRDefault="00F15CB7">
      <w:pPr>
        <w:spacing w:before="120" w:after="120"/>
        <w:jc w:val="both"/>
        <w:rPr>
          <w:noProof/>
        </w:rPr>
      </w:pPr>
      <w:r>
        <w:rPr>
          <w:noProof/>
        </w:rPr>
        <w:t>Като цяло общото увеличение на бюджетните кредити за поети задължения за финансиране на посо</w:t>
      </w:r>
      <w:r>
        <w:rPr>
          <w:noProof/>
        </w:rPr>
        <w:t>чените по-горе мерки възлиза на 101,3 млн. EUR, от които 100 млн. EUR за спешна помощ и 1,3 млн. EUR за допълнителен персонал за трите агенции. Бюджетните кредити за плащания са поискани само за покриване на разходите за допълнителен персонал за трите аген</w:t>
      </w:r>
      <w:r>
        <w:rPr>
          <w:noProof/>
        </w:rPr>
        <w:t>ции, а бюджетните кредити за плащания, предназначени за допълнителните действия по линия на ФУМИ и ФВС, ще бъдат поискани в писмо за внасяне на корекции в проектобюджета за 2016 г.</w:t>
      </w:r>
    </w:p>
    <w:p w:rsidR="009A68E4" w:rsidRDefault="00F15CB7">
      <w:pPr>
        <w:spacing w:before="120" w:after="120"/>
        <w:jc w:val="both"/>
        <w:rPr>
          <w:noProof/>
        </w:rPr>
      </w:pPr>
      <w:r>
        <w:rPr>
          <w:noProof/>
        </w:rPr>
        <w:t>Таблицата по-долу показва разпределението на поисканите увеличения на бюдже</w:t>
      </w:r>
      <w:r>
        <w:rPr>
          <w:noProof/>
        </w:rPr>
        <w:t>тните кредити за поети задължения и за плащания в пет бюджетни реда по функция 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245"/>
        <w:gridCol w:w="1701"/>
        <w:gridCol w:w="1701"/>
      </w:tblGrid>
      <w:tr w:rsidR="009A68E4">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9A68E4" w:rsidRDefault="00F15CB7">
            <w:pPr>
              <w:widowControl w:val="0"/>
              <w:spacing w:before="15" w:after="15"/>
              <w:jc w:val="center"/>
              <w:rPr>
                <w:b/>
                <w:noProof/>
                <w:sz w:val="20"/>
                <w:szCs w:val="20"/>
              </w:rPr>
            </w:pPr>
            <w:r>
              <w:rPr>
                <w:b/>
                <w:noProof/>
                <w:sz w:val="20"/>
              </w:rPr>
              <w:t>Бюджетен ред</w:t>
            </w:r>
          </w:p>
        </w:tc>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9A68E4" w:rsidRDefault="00F15CB7">
            <w:pPr>
              <w:widowControl w:val="0"/>
              <w:spacing w:before="15" w:after="15"/>
              <w:jc w:val="center"/>
              <w:rPr>
                <w:b/>
                <w:noProof/>
                <w:sz w:val="20"/>
                <w:szCs w:val="20"/>
              </w:rPr>
            </w:pPr>
            <w:r>
              <w:rPr>
                <w:b/>
                <w:noProof/>
                <w:sz w:val="20"/>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9A68E4" w:rsidRDefault="00F15CB7">
            <w:pPr>
              <w:widowControl w:val="0"/>
              <w:spacing w:before="15" w:after="15"/>
              <w:jc w:val="center"/>
              <w:rPr>
                <w:b/>
                <w:noProof/>
                <w:sz w:val="20"/>
                <w:szCs w:val="20"/>
              </w:rPr>
            </w:pPr>
            <w:r>
              <w:rPr>
                <w:b/>
                <w:noProof/>
                <w:sz w:val="20"/>
              </w:rPr>
              <w:t>Бюджетни кредити за поети задължения</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9A68E4" w:rsidRDefault="00F15CB7">
            <w:pPr>
              <w:widowControl w:val="0"/>
              <w:spacing w:before="15" w:after="15"/>
              <w:jc w:val="center"/>
              <w:rPr>
                <w:b/>
                <w:noProof/>
                <w:sz w:val="20"/>
                <w:szCs w:val="20"/>
              </w:rPr>
            </w:pPr>
            <w:r>
              <w:rPr>
                <w:b/>
                <w:noProof/>
                <w:sz w:val="20"/>
              </w:rPr>
              <w:t>Бюджетни кредити за плащания</w:t>
            </w:r>
          </w:p>
        </w:tc>
      </w:tr>
      <w:tr w:rsidR="009A68E4">
        <w:tc>
          <w:tcPr>
            <w:tcW w:w="1276"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ind w:right="-113"/>
              <w:jc w:val="both"/>
              <w:rPr>
                <w:noProof/>
                <w:sz w:val="20"/>
                <w:szCs w:val="20"/>
              </w:rPr>
            </w:pPr>
            <w:r>
              <w:rPr>
                <w:noProof/>
                <w:sz w:val="20"/>
              </w:rPr>
              <w:t>18 02 01 01</w:t>
            </w:r>
          </w:p>
        </w:tc>
        <w:tc>
          <w:tcPr>
            <w:tcW w:w="5245" w:type="dxa"/>
            <w:tcBorders>
              <w:top w:val="single" w:sz="4" w:space="0" w:color="auto"/>
              <w:left w:val="single" w:sz="4" w:space="0" w:color="auto"/>
              <w:bottom w:val="single" w:sz="4" w:space="0" w:color="auto"/>
              <w:right w:val="single" w:sz="4" w:space="0" w:color="auto"/>
            </w:tcBorders>
          </w:tcPr>
          <w:p w:rsidR="009A68E4" w:rsidRDefault="00F15CB7">
            <w:pPr>
              <w:widowControl w:val="0"/>
              <w:tabs>
                <w:tab w:val="left" w:pos="1350"/>
              </w:tabs>
              <w:spacing w:before="15" w:after="15"/>
              <w:jc w:val="both"/>
              <w:rPr>
                <w:noProof/>
                <w:sz w:val="20"/>
                <w:szCs w:val="20"/>
              </w:rPr>
            </w:pPr>
            <w:r>
              <w:rPr>
                <w:noProof/>
                <w:sz w:val="20"/>
              </w:rPr>
              <w:t xml:space="preserve">Подкрепа за управлението на границата и обща визова политика за </w:t>
            </w:r>
            <w:r>
              <w:rPr>
                <w:noProof/>
                <w:sz w:val="20"/>
              </w:rPr>
              <w:t>улесняване на законното пътуване</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right"/>
              <w:rPr>
                <w:noProof/>
                <w:sz w:val="20"/>
                <w:szCs w:val="20"/>
              </w:rPr>
            </w:pPr>
            <w:r>
              <w:rPr>
                <w:noProof/>
                <w:sz w:val="20"/>
              </w:rPr>
              <w:t>20 000 000</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right"/>
              <w:rPr>
                <w:noProof/>
                <w:sz w:val="20"/>
                <w:szCs w:val="20"/>
              </w:rPr>
            </w:pPr>
            <w:r>
              <w:rPr>
                <w:noProof/>
                <w:sz w:val="20"/>
              </w:rPr>
              <w:t>-</w:t>
            </w:r>
          </w:p>
        </w:tc>
      </w:tr>
      <w:tr w:rsidR="009A68E4">
        <w:tc>
          <w:tcPr>
            <w:tcW w:w="1276"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ind w:right="-113"/>
              <w:jc w:val="both"/>
              <w:rPr>
                <w:noProof/>
                <w:sz w:val="20"/>
                <w:szCs w:val="20"/>
              </w:rPr>
            </w:pPr>
            <w:r>
              <w:rPr>
                <w:noProof/>
                <w:sz w:val="20"/>
              </w:rPr>
              <w:t>18 02 03</w:t>
            </w:r>
          </w:p>
        </w:tc>
        <w:tc>
          <w:tcPr>
            <w:tcW w:w="5245" w:type="dxa"/>
            <w:tcBorders>
              <w:top w:val="single" w:sz="4" w:space="0" w:color="auto"/>
              <w:left w:val="single" w:sz="4" w:space="0" w:color="auto"/>
              <w:bottom w:val="single" w:sz="4" w:space="0" w:color="auto"/>
              <w:right w:val="single" w:sz="4" w:space="0" w:color="auto"/>
            </w:tcBorders>
          </w:tcPr>
          <w:p w:rsidR="009A68E4" w:rsidRDefault="00F15CB7">
            <w:pPr>
              <w:widowControl w:val="0"/>
              <w:tabs>
                <w:tab w:val="left" w:pos="1350"/>
              </w:tabs>
              <w:spacing w:before="15" w:after="15"/>
              <w:jc w:val="both"/>
              <w:rPr>
                <w:noProof/>
                <w:sz w:val="20"/>
                <w:szCs w:val="20"/>
              </w:rPr>
            </w:pPr>
            <w:r>
              <w:rPr>
                <w:noProof/>
                <w:sz w:val="20"/>
              </w:rPr>
              <w:t>Европейска агенция за управление на оперативното сътрудничество по външните граници (FRONTEX)</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right"/>
              <w:rPr>
                <w:noProof/>
                <w:sz w:val="20"/>
                <w:szCs w:val="20"/>
              </w:rPr>
            </w:pPr>
            <w:r>
              <w:rPr>
                <w:noProof/>
                <w:sz w:val="20"/>
              </w:rPr>
              <w:t>650 000</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right"/>
              <w:rPr>
                <w:noProof/>
                <w:sz w:val="20"/>
                <w:szCs w:val="20"/>
              </w:rPr>
            </w:pPr>
            <w:r>
              <w:rPr>
                <w:noProof/>
                <w:sz w:val="20"/>
              </w:rPr>
              <w:t>650 000</w:t>
            </w:r>
          </w:p>
        </w:tc>
      </w:tr>
      <w:tr w:rsidR="009A68E4">
        <w:tc>
          <w:tcPr>
            <w:tcW w:w="1276"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ind w:right="-113"/>
              <w:jc w:val="both"/>
              <w:rPr>
                <w:noProof/>
                <w:sz w:val="20"/>
                <w:szCs w:val="20"/>
              </w:rPr>
            </w:pPr>
            <w:r>
              <w:rPr>
                <w:noProof/>
                <w:sz w:val="20"/>
              </w:rPr>
              <w:t>18 02 04</w:t>
            </w:r>
          </w:p>
        </w:tc>
        <w:tc>
          <w:tcPr>
            <w:tcW w:w="5245" w:type="dxa"/>
            <w:tcBorders>
              <w:top w:val="single" w:sz="4" w:space="0" w:color="auto"/>
              <w:left w:val="single" w:sz="4" w:space="0" w:color="auto"/>
              <w:bottom w:val="single" w:sz="4" w:space="0" w:color="auto"/>
              <w:right w:val="single" w:sz="4" w:space="0" w:color="auto"/>
            </w:tcBorders>
          </w:tcPr>
          <w:p w:rsidR="009A68E4" w:rsidRDefault="00F15CB7">
            <w:pPr>
              <w:widowControl w:val="0"/>
              <w:tabs>
                <w:tab w:val="left" w:pos="1350"/>
              </w:tabs>
              <w:spacing w:before="15" w:after="15"/>
              <w:jc w:val="both"/>
              <w:rPr>
                <w:noProof/>
                <w:sz w:val="20"/>
                <w:szCs w:val="20"/>
              </w:rPr>
            </w:pPr>
            <w:r>
              <w:rPr>
                <w:noProof/>
                <w:sz w:val="20"/>
              </w:rPr>
              <w:t>Европейска полицейска служба (Европол)</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right"/>
              <w:rPr>
                <w:noProof/>
                <w:sz w:val="20"/>
                <w:szCs w:val="20"/>
              </w:rPr>
            </w:pPr>
            <w:r>
              <w:rPr>
                <w:noProof/>
                <w:sz w:val="20"/>
              </w:rPr>
              <w:t>325 000</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right"/>
              <w:rPr>
                <w:noProof/>
                <w:sz w:val="20"/>
                <w:szCs w:val="20"/>
              </w:rPr>
            </w:pPr>
            <w:r>
              <w:rPr>
                <w:noProof/>
                <w:sz w:val="20"/>
              </w:rPr>
              <w:t>325 000</w:t>
            </w:r>
          </w:p>
        </w:tc>
      </w:tr>
      <w:tr w:rsidR="009A68E4">
        <w:tc>
          <w:tcPr>
            <w:tcW w:w="1276"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ind w:right="-113"/>
              <w:jc w:val="both"/>
              <w:rPr>
                <w:noProof/>
                <w:sz w:val="20"/>
                <w:szCs w:val="20"/>
              </w:rPr>
            </w:pPr>
            <w:r>
              <w:rPr>
                <w:noProof/>
                <w:sz w:val="20"/>
              </w:rPr>
              <w:t>18 03 01 01</w:t>
            </w:r>
          </w:p>
        </w:tc>
        <w:tc>
          <w:tcPr>
            <w:tcW w:w="5245" w:type="dxa"/>
            <w:tcBorders>
              <w:top w:val="single" w:sz="4" w:space="0" w:color="auto"/>
              <w:left w:val="single" w:sz="4" w:space="0" w:color="auto"/>
              <w:bottom w:val="single" w:sz="4" w:space="0" w:color="auto"/>
              <w:right w:val="single" w:sz="4" w:space="0" w:color="auto"/>
            </w:tcBorders>
          </w:tcPr>
          <w:p w:rsidR="009A68E4" w:rsidRDefault="00F15CB7">
            <w:pPr>
              <w:widowControl w:val="0"/>
              <w:tabs>
                <w:tab w:val="left" w:pos="1350"/>
              </w:tabs>
              <w:spacing w:before="15" w:after="15"/>
              <w:jc w:val="both"/>
              <w:rPr>
                <w:noProof/>
                <w:sz w:val="20"/>
                <w:szCs w:val="20"/>
              </w:rPr>
            </w:pPr>
            <w:r>
              <w:rPr>
                <w:noProof/>
                <w:sz w:val="20"/>
              </w:rPr>
              <w:t xml:space="preserve">Укрепване и </w:t>
            </w:r>
            <w:r>
              <w:rPr>
                <w:noProof/>
                <w:sz w:val="20"/>
              </w:rPr>
              <w:t>развиване на Общата европейска система за убежище и увеличаване на солидарността и споделянето на отговорност между държавите членки</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right"/>
              <w:rPr>
                <w:noProof/>
                <w:sz w:val="20"/>
                <w:szCs w:val="20"/>
              </w:rPr>
            </w:pPr>
            <w:r>
              <w:rPr>
                <w:noProof/>
                <w:sz w:val="20"/>
              </w:rPr>
              <w:t>80 000 000</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right"/>
              <w:rPr>
                <w:noProof/>
                <w:sz w:val="20"/>
                <w:szCs w:val="20"/>
              </w:rPr>
            </w:pPr>
            <w:r>
              <w:rPr>
                <w:noProof/>
                <w:sz w:val="20"/>
              </w:rPr>
              <w:t>-</w:t>
            </w:r>
          </w:p>
          <w:p w:rsidR="009A68E4" w:rsidRDefault="009A68E4">
            <w:pPr>
              <w:widowControl w:val="0"/>
              <w:spacing w:before="15" w:after="15"/>
              <w:jc w:val="right"/>
              <w:rPr>
                <w:noProof/>
                <w:sz w:val="20"/>
                <w:szCs w:val="20"/>
              </w:rPr>
            </w:pPr>
          </w:p>
        </w:tc>
      </w:tr>
      <w:tr w:rsidR="009A68E4">
        <w:tc>
          <w:tcPr>
            <w:tcW w:w="1276"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ind w:right="-113"/>
              <w:jc w:val="both"/>
              <w:rPr>
                <w:noProof/>
                <w:sz w:val="20"/>
                <w:szCs w:val="20"/>
              </w:rPr>
            </w:pPr>
            <w:r>
              <w:rPr>
                <w:noProof/>
                <w:sz w:val="20"/>
              </w:rPr>
              <w:t>18 03 02</w:t>
            </w:r>
          </w:p>
        </w:tc>
        <w:tc>
          <w:tcPr>
            <w:tcW w:w="5245" w:type="dxa"/>
            <w:tcBorders>
              <w:top w:val="single" w:sz="4" w:space="0" w:color="auto"/>
              <w:left w:val="single" w:sz="4" w:space="0" w:color="auto"/>
              <w:bottom w:val="single" w:sz="4" w:space="0" w:color="auto"/>
              <w:right w:val="single" w:sz="4" w:space="0" w:color="auto"/>
            </w:tcBorders>
          </w:tcPr>
          <w:p w:rsidR="009A68E4" w:rsidRDefault="00F15CB7">
            <w:pPr>
              <w:widowControl w:val="0"/>
              <w:tabs>
                <w:tab w:val="left" w:pos="1350"/>
              </w:tabs>
              <w:spacing w:before="15" w:after="15"/>
              <w:jc w:val="both"/>
              <w:rPr>
                <w:noProof/>
                <w:sz w:val="20"/>
                <w:szCs w:val="20"/>
              </w:rPr>
            </w:pPr>
            <w:r>
              <w:rPr>
                <w:noProof/>
                <w:sz w:val="20"/>
              </w:rPr>
              <w:t>Европейска служба за подкрепа в областта на убежището — EASO</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right"/>
              <w:rPr>
                <w:noProof/>
                <w:sz w:val="20"/>
                <w:szCs w:val="20"/>
              </w:rPr>
            </w:pPr>
            <w:r>
              <w:rPr>
                <w:noProof/>
                <w:sz w:val="20"/>
              </w:rPr>
              <w:t>325 000</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right"/>
              <w:rPr>
                <w:noProof/>
                <w:sz w:val="20"/>
                <w:szCs w:val="20"/>
              </w:rPr>
            </w:pPr>
            <w:r>
              <w:rPr>
                <w:noProof/>
                <w:sz w:val="20"/>
              </w:rPr>
              <w:t>325 000</w:t>
            </w:r>
          </w:p>
        </w:tc>
      </w:tr>
      <w:tr w:rsidR="009A68E4">
        <w:tc>
          <w:tcPr>
            <w:tcW w:w="6521" w:type="dxa"/>
            <w:gridSpan w:val="2"/>
            <w:tcBorders>
              <w:top w:val="single" w:sz="4" w:space="0" w:color="auto"/>
              <w:left w:val="single" w:sz="4" w:space="0" w:color="auto"/>
              <w:bottom w:val="single" w:sz="4" w:space="0" w:color="auto"/>
              <w:right w:val="single" w:sz="4" w:space="0" w:color="auto"/>
            </w:tcBorders>
            <w:shd w:val="clear" w:color="auto" w:fill="D9D9D9"/>
          </w:tcPr>
          <w:p w:rsidR="009A68E4" w:rsidRDefault="00F15CB7">
            <w:pPr>
              <w:widowControl w:val="0"/>
              <w:tabs>
                <w:tab w:val="left" w:pos="975"/>
              </w:tabs>
              <w:spacing w:before="15" w:after="15"/>
              <w:jc w:val="both"/>
              <w:rPr>
                <w:b/>
                <w:noProof/>
                <w:sz w:val="20"/>
                <w:szCs w:val="20"/>
              </w:rPr>
            </w:pPr>
            <w:r>
              <w:rPr>
                <w:b/>
                <w:noProof/>
                <w:sz w:val="20"/>
              </w:rPr>
              <w:t>Общо</w:t>
            </w:r>
            <w:r>
              <w:rPr>
                <w:noProof/>
              </w:rPr>
              <w:tab/>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9A68E4" w:rsidRDefault="00F15CB7">
            <w:pPr>
              <w:widowControl w:val="0"/>
              <w:spacing w:before="15" w:after="15"/>
              <w:jc w:val="right"/>
              <w:rPr>
                <w:b/>
                <w:noProof/>
                <w:sz w:val="20"/>
                <w:szCs w:val="20"/>
              </w:rPr>
            </w:pPr>
            <w:r>
              <w:rPr>
                <w:b/>
                <w:noProof/>
                <w:sz w:val="20"/>
              </w:rPr>
              <w:t>101 300 000</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9A68E4" w:rsidRDefault="00F15CB7">
            <w:pPr>
              <w:widowControl w:val="0"/>
              <w:spacing w:before="15" w:after="15"/>
              <w:jc w:val="right"/>
              <w:rPr>
                <w:b/>
                <w:noProof/>
                <w:sz w:val="20"/>
                <w:szCs w:val="20"/>
              </w:rPr>
            </w:pPr>
            <w:r>
              <w:rPr>
                <w:b/>
                <w:noProof/>
                <w:sz w:val="20"/>
              </w:rPr>
              <w:t>1 300 000</w:t>
            </w:r>
          </w:p>
        </w:tc>
      </w:tr>
    </w:tbl>
    <w:p w:rsidR="009A68E4" w:rsidRDefault="00F15CB7">
      <w:pPr>
        <w:spacing w:before="120" w:after="120"/>
        <w:jc w:val="both"/>
        <w:rPr>
          <w:noProof/>
        </w:rPr>
      </w:pPr>
      <w:r>
        <w:rPr>
          <w:noProof/>
        </w:rPr>
        <w:t>В бюджетното приложение е посочена разбивката по функционални групи и степени на допълнителните длъжности в щатните разписания на трите засегнати агенции.</w:t>
      </w:r>
    </w:p>
    <w:p w:rsidR="009A68E4" w:rsidRDefault="00F15CB7">
      <w:pPr>
        <w:spacing w:before="120" w:after="120"/>
        <w:jc w:val="both"/>
        <w:rPr>
          <w:b/>
          <w:noProof/>
        </w:rPr>
      </w:pPr>
      <w:r>
        <w:rPr>
          <w:b/>
          <w:noProof/>
        </w:rPr>
        <w:t>3.2</w:t>
      </w:r>
      <w:r>
        <w:rPr>
          <w:noProof/>
        </w:rPr>
        <w:tab/>
      </w:r>
      <w:r>
        <w:rPr>
          <w:b/>
          <w:noProof/>
        </w:rPr>
        <w:t>Функция 4: Глобална Европа</w:t>
      </w:r>
    </w:p>
    <w:p w:rsidR="009A68E4" w:rsidRDefault="00F15CB7">
      <w:pPr>
        <w:spacing w:before="120" w:after="120"/>
        <w:jc w:val="both"/>
        <w:rPr>
          <w:noProof/>
        </w:rPr>
      </w:pPr>
      <w:r>
        <w:rPr>
          <w:noProof/>
        </w:rPr>
        <w:t>Таблицата по-долу показва разпределението на увеличенията н</w:t>
      </w:r>
      <w:r>
        <w:rPr>
          <w:noProof/>
        </w:rPr>
        <w:t>а бюджетните кредити за поети задължения и за плащания във функция 4, поискани в настоящия ПКБ:</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245"/>
        <w:gridCol w:w="1701"/>
        <w:gridCol w:w="1701"/>
      </w:tblGrid>
      <w:tr w:rsidR="009A68E4">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9A68E4" w:rsidRDefault="00F15CB7">
            <w:pPr>
              <w:widowControl w:val="0"/>
              <w:spacing w:before="15" w:after="15"/>
              <w:jc w:val="center"/>
              <w:rPr>
                <w:b/>
                <w:noProof/>
                <w:sz w:val="20"/>
                <w:szCs w:val="20"/>
              </w:rPr>
            </w:pPr>
            <w:r>
              <w:rPr>
                <w:b/>
                <w:noProof/>
                <w:sz w:val="20"/>
              </w:rPr>
              <w:t>Бюджетен ред</w:t>
            </w:r>
          </w:p>
        </w:tc>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9A68E4" w:rsidRDefault="00F15CB7">
            <w:pPr>
              <w:widowControl w:val="0"/>
              <w:spacing w:before="15" w:after="15"/>
              <w:jc w:val="center"/>
              <w:rPr>
                <w:b/>
                <w:noProof/>
                <w:sz w:val="20"/>
                <w:szCs w:val="20"/>
              </w:rPr>
            </w:pPr>
            <w:r>
              <w:rPr>
                <w:b/>
                <w:noProof/>
                <w:sz w:val="20"/>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9A68E4" w:rsidRDefault="00F15CB7">
            <w:pPr>
              <w:widowControl w:val="0"/>
              <w:spacing w:before="15" w:after="15"/>
              <w:jc w:val="center"/>
              <w:rPr>
                <w:b/>
                <w:noProof/>
                <w:sz w:val="20"/>
                <w:szCs w:val="20"/>
              </w:rPr>
            </w:pPr>
            <w:r>
              <w:rPr>
                <w:b/>
                <w:noProof/>
                <w:sz w:val="20"/>
              </w:rPr>
              <w:t>Бюджетни кредити за поети задължения</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9A68E4" w:rsidRDefault="00F15CB7">
            <w:pPr>
              <w:widowControl w:val="0"/>
              <w:spacing w:before="15" w:after="15"/>
              <w:jc w:val="center"/>
              <w:rPr>
                <w:b/>
                <w:noProof/>
                <w:sz w:val="20"/>
                <w:szCs w:val="20"/>
              </w:rPr>
            </w:pPr>
            <w:r>
              <w:rPr>
                <w:b/>
                <w:noProof/>
                <w:sz w:val="20"/>
              </w:rPr>
              <w:t>Бюджетни кредити за плащания</w:t>
            </w:r>
          </w:p>
        </w:tc>
      </w:tr>
      <w:tr w:rsidR="009A68E4">
        <w:tc>
          <w:tcPr>
            <w:tcW w:w="1276"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ind w:right="-113"/>
              <w:jc w:val="both"/>
              <w:rPr>
                <w:noProof/>
                <w:sz w:val="20"/>
                <w:szCs w:val="20"/>
              </w:rPr>
            </w:pPr>
            <w:r>
              <w:rPr>
                <w:noProof/>
                <w:sz w:val="20"/>
              </w:rPr>
              <w:t>21 03 01 03</w:t>
            </w:r>
          </w:p>
        </w:tc>
        <w:tc>
          <w:tcPr>
            <w:tcW w:w="5245" w:type="dxa"/>
            <w:tcBorders>
              <w:top w:val="single" w:sz="4" w:space="0" w:color="auto"/>
              <w:left w:val="single" w:sz="4" w:space="0" w:color="auto"/>
              <w:bottom w:val="single" w:sz="4" w:space="0" w:color="auto"/>
              <w:right w:val="single" w:sz="4" w:space="0" w:color="auto"/>
            </w:tcBorders>
          </w:tcPr>
          <w:p w:rsidR="009A68E4" w:rsidRDefault="00F15CB7">
            <w:pPr>
              <w:widowControl w:val="0"/>
              <w:tabs>
                <w:tab w:val="left" w:pos="1350"/>
              </w:tabs>
              <w:spacing w:before="15" w:after="15"/>
              <w:jc w:val="both"/>
              <w:rPr>
                <w:noProof/>
                <w:sz w:val="20"/>
                <w:szCs w:val="20"/>
              </w:rPr>
            </w:pPr>
            <w:r>
              <w:rPr>
                <w:noProof/>
                <w:sz w:val="20"/>
              </w:rPr>
              <w:t xml:space="preserve">Средиземноморски страни — Укрепване на доверието, </w:t>
            </w:r>
            <w:r>
              <w:rPr>
                <w:noProof/>
                <w:sz w:val="20"/>
              </w:rPr>
              <w:t>сигурност, предотвратяване и уреждане на конфликти</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right"/>
              <w:rPr>
                <w:noProof/>
                <w:sz w:val="20"/>
                <w:szCs w:val="20"/>
              </w:rPr>
            </w:pPr>
            <w:r>
              <w:rPr>
                <w:noProof/>
                <w:sz w:val="20"/>
              </w:rPr>
              <w:t>300 000 000</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center"/>
              <w:rPr>
                <w:noProof/>
                <w:sz w:val="20"/>
                <w:szCs w:val="20"/>
              </w:rPr>
            </w:pPr>
            <w:r>
              <w:rPr>
                <w:noProof/>
                <w:sz w:val="20"/>
              </w:rPr>
              <w:t>-</w:t>
            </w:r>
          </w:p>
        </w:tc>
      </w:tr>
      <w:tr w:rsidR="009A68E4">
        <w:tc>
          <w:tcPr>
            <w:tcW w:w="1276"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ind w:right="-113"/>
              <w:jc w:val="both"/>
              <w:rPr>
                <w:noProof/>
                <w:sz w:val="20"/>
                <w:szCs w:val="20"/>
              </w:rPr>
            </w:pPr>
            <w:r>
              <w:rPr>
                <w:noProof/>
                <w:sz w:val="20"/>
              </w:rPr>
              <w:t>23 02 01</w:t>
            </w:r>
          </w:p>
        </w:tc>
        <w:tc>
          <w:tcPr>
            <w:tcW w:w="5245" w:type="dxa"/>
            <w:tcBorders>
              <w:top w:val="single" w:sz="4" w:space="0" w:color="auto"/>
              <w:left w:val="single" w:sz="4" w:space="0" w:color="auto"/>
              <w:bottom w:val="single" w:sz="4" w:space="0" w:color="auto"/>
              <w:right w:val="single" w:sz="4" w:space="0" w:color="auto"/>
            </w:tcBorders>
          </w:tcPr>
          <w:p w:rsidR="009A68E4" w:rsidRDefault="00F15CB7">
            <w:pPr>
              <w:widowControl w:val="0"/>
              <w:tabs>
                <w:tab w:val="left" w:pos="1350"/>
              </w:tabs>
              <w:spacing w:before="15" w:after="15"/>
              <w:jc w:val="both"/>
              <w:rPr>
                <w:noProof/>
                <w:sz w:val="20"/>
                <w:szCs w:val="20"/>
              </w:rPr>
            </w:pPr>
            <w:r>
              <w:rPr>
                <w:noProof/>
                <w:sz w:val="20"/>
              </w:rPr>
              <w:t>Предоставяне на бърза, ефективна и основана на нуждите хуманитарна помощ и хранителна помощ</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center"/>
              <w:rPr>
                <w:noProof/>
                <w:sz w:val="20"/>
                <w:szCs w:val="20"/>
              </w:rPr>
            </w:pPr>
            <w:r>
              <w:rPr>
                <w:noProof/>
                <w:sz w:val="20"/>
              </w:rPr>
              <w:t>-</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right"/>
              <w:rPr>
                <w:noProof/>
                <w:sz w:val="20"/>
                <w:szCs w:val="20"/>
              </w:rPr>
            </w:pPr>
            <w:r>
              <w:rPr>
                <w:noProof/>
                <w:sz w:val="20"/>
              </w:rPr>
              <w:t>55 736 000</w:t>
            </w:r>
          </w:p>
        </w:tc>
      </w:tr>
      <w:tr w:rsidR="009A68E4">
        <w:tc>
          <w:tcPr>
            <w:tcW w:w="6521" w:type="dxa"/>
            <w:gridSpan w:val="2"/>
            <w:tcBorders>
              <w:top w:val="single" w:sz="4" w:space="0" w:color="auto"/>
              <w:left w:val="single" w:sz="4" w:space="0" w:color="auto"/>
              <w:bottom w:val="single" w:sz="4" w:space="0" w:color="auto"/>
              <w:right w:val="single" w:sz="4" w:space="0" w:color="auto"/>
            </w:tcBorders>
            <w:shd w:val="clear" w:color="auto" w:fill="D9D9D9"/>
          </w:tcPr>
          <w:p w:rsidR="009A68E4" w:rsidRDefault="00F15CB7">
            <w:pPr>
              <w:widowControl w:val="0"/>
              <w:tabs>
                <w:tab w:val="left" w:pos="975"/>
              </w:tabs>
              <w:spacing w:before="15" w:after="15"/>
              <w:jc w:val="both"/>
              <w:rPr>
                <w:b/>
                <w:noProof/>
                <w:sz w:val="20"/>
                <w:szCs w:val="20"/>
              </w:rPr>
            </w:pPr>
            <w:r>
              <w:rPr>
                <w:b/>
                <w:noProof/>
                <w:sz w:val="20"/>
              </w:rPr>
              <w:t>Общо</w:t>
            </w:r>
            <w:r>
              <w:rPr>
                <w:noProof/>
              </w:rPr>
              <w:tab/>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9A68E4" w:rsidRDefault="00F15CB7">
            <w:pPr>
              <w:widowControl w:val="0"/>
              <w:spacing w:before="15" w:after="15"/>
              <w:jc w:val="right"/>
              <w:rPr>
                <w:b/>
                <w:noProof/>
                <w:sz w:val="20"/>
                <w:szCs w:val="20"/>
              </w:rPr>
            </w:pPr>
            <w:r>
              <w:rPr>
                <w:b/>
                <w:noProof/>
                <w:sz w:val="20"/>
              </w:rPr>
              <w:t>300 000 000</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9A68E4" w:rsidRDefault="00F15CB7">
            <w:pPr>
              <w:widowControl w:val="0"/>
              <w:spacing w:before="15" w:after="15"/>
              <w:jc w:val="right"/>
              <w:rPr>
                <w:b/>
                <w:noProof/>
                <w:sz w:val="20"/>
                <w:szCs w:val="20"/>
              </w:rPr>
            </w:pPr>
            <w:r>
              <w:rPr>
                <w:b/>
                <w:noProof/>
                <w:sz w:val="20"/>
              </w:rPr>
              <w:t>55 736 000</w:t>
            </w:r>
          </w:p>
        </w:tc>
      </w:tr>
    </w:tbl>
    <w:p w:rsidR="009A68E4" w:rsidRDefault="00F15CB7">
      <w:pPr>
        <w:spacing w:before="120" w:after="120"/>
        <w:jc w:val="both"/>
        <w:rPr>
          <w:b/>
          <w:noProof/>
        </w:rPr>
      </w:pPr>
      <w:r>
        <w:rPr>
          <w:b/>
          <w:noProof/>
        </w:rPr>
        <w:t>3.3</w:t>
      </w:r>
      <w:r>
        <w:rPr>
          <w:noProof/>
        </w:rPr>
        <w:tab/>
      </w:r>
      <w:r>
        <w:rPr>
          <w:b/>
          <w:noProof/>
        </w:rPr>
        <w:t>Преразпределяне на средствата, използване</w:t>
      </w:r>
      <w:r>
        <w:rPr>
          <w:b/>
          <w:noProof/>
        </w:rPr>
        <w:t xml:space="preserve"> на маржовете и мобилизиране на средства от Инструмента за гъвкавост</w:t>
      </w:r>
    </w:p>
    <w:p w:rsidR="009A68E4" w:rsidRDefault="00F15CB7">
      <w:pPr>
        <w:spacing w:before="120" w:after="120"/>
        <w:jc w:val="both"/>
        <w:rPr>
          <w:noProof/>
        </w:rPr>
      </w:pPr>
      <w:r>
        <w:rPr>
          <w:noProof/>
        </w:rPr>
        <w:t xml:space="preserve">Комисията проучи внимателно възможностите за преразпределяне на бюджетните кредити в бюджета за 2015 г. — както за поетите задължения, така и за плащанията, и откри следните източници за </w:t>
      </w:r>
      <w:r>
        <w:rPr>
          <w:noProof/>
        </w:rPr>
        <w:t>преразпределяне на средства:</w:t>
      </w:r>
    </w:p>
    <w:p w:rsidR="009A68E4" w:rsidRDefault="00F15CB7">
      <w:pPr>
        <w:spacing w:before="120" w:after="120"/>
        <w:jc w:val="both"/>
        <w:rPr>
          <w:i/>
          <w:noProof/>
        </w:rPr>
      </w:pPr>
      <w:r>
        <w:rPr>
          <w:i/>
          <w:noProof/>
        </w:rPr>
        <w:t>3.3.1</w:t>
      </w:r>
      <w:r>
        <w:rPr>
          <w:noProof/>
        </w:rPr>
        <w:tab/>
      </w:r>
      <w:r>
        <w:rPr>
          <w:i/>
          <w:noProof/>
        </w:rPr>
        <w:t>Европейски земеделски фонд за развитие на селските райони (ЕЗФРСР) и Европейския фонд за гарантиране на земеделието (ЕФГЗ)</w:t>
      </w:r>
    </w:p>
    <w:p w:rsidR="009A68E4" w:rsidRDefault="00F15CB7">
      <w:pPr>
        <w:spacing w:before="120" w:after="120"/>
        <w:jc w:val="both"/>
        <w:rPr>
          <w:noProof/>
        </w:rPr>
      </w:pPr>
      <w:r>
        <w:rPr>
          <w:noProof/>
        </w:rPr>
        <w:t>Държавите членки не подадоха заявления, свързани с ЕЗФРСР, за многорегионална помощ (МРП) по линия</w:t>
      </w:r>
      <w:r>
        <w:rPr>
          <w:noProof/>
        </w:rPr>
        <w:t xml:space="preserve"> на Платформата за техническа помощ (ПТП) в рамките на поканата за подаване на заявления, чийто краен срок изтече на 31 юли 2015 г. Освен това бюджетните кредити за поети задължения, необходими за информационното бюро по оценката в рамките на Европейската </w:t>
      </w:r>
      <w:r>
        <w:rPr>
          <w:noProof/>
        </w:rPr>
        <w:t>мрежа за развитие на селските райони (ЕМРСР), са по-ниски от първоначално планираните.</w:t>
      </w:r>
    </w:p>
    <w:p w:rsidR="009A68E4" w:rsidRDefault="00F15CB7">
      <w:pPr>
        <w:spacing w:before="120" w:after="120"/>
        <w:jc w:val="both"/>
        <w:rPr>
          <w:noProof/>
        </w:rPr>
      </w:pPr>
      <w:r>
        <w:rPr>
          <w:noProof/>
        </w:rPr>
        <w:t>Що се отнася до ЕФГЗ, датите на няколко одитни мисии, първоначално предвидени да бъдат извършени през 2015 г., бяха променени и броят на действията, осъществени в контек</w:t>
      </w:r>
      <w:r>
        <w:rPr>
          <w:noProof/>
        </w:rPr>
        <w:t>ста на плана за външна комуникация, бе по-нисък от планирания.</w:t>
      </w:r>
    </w:p>
    <w:p w:rsidR="009A68E4" w:rsidRDefault="00F15CB7">
      <w:pPr>
        <w:spacing w:before="120" w:after="120"/>
        <w:jc w:val="both"/>
        <w:rPr>
          <w:noProof/>
        </w:rPr>
      </w:pPr>
      <w:r>
        <w:rPr>
          <w:noProof/>
        </w:rPr>
        <w:t>Поради това се предлага 7,4 млн. EUR бюджетни кредити за поети задължения и 0,9 млн. EUR бюджетни кредити за плащания да бъдат преразпределени.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245"/>
        <w:gridCol w:w="1701"/>
        <w:gridCol w:w="1701"/>
      </w:tblGrid>
      <w:tr w:rsidR="009A68E4">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9A68E4" w:rsidRDefault="00F15CB7">
            <w:pPr>
              <w:widowControl w:val="0"/>
              <w:spacing w:before="15" w:after="15"/>
              <w:jc w:val="center"/>
              <w:rPr>
                <w:b/>
                <w:noProof/>
                <w:sz w:val="20"/>
                <w:szCs w:val="20"/>
              </w:rPr>
            </w:pPr>
            <w:r>
              <w:rPr>
                <w:b/>
                <w:noProof/>
                <w:sz w:val="20"/>
              </w:rPr>
              <w:t>Бюджетен ред</w:t>
            </w:r>
          </w:p>
        </w:tc>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9A68E4" w:rsidRDefault="00F15CB7">
            <w:pPr>
              <w:widowControl w:val="0"/>
              <w:spacing w:before="15" w:after="15"/>
              <w:jc w:val="center"/>
              <w:rPr>
                <w:b/>
                <w:noProof/>
                <w:sz w:val="20"/>
                <w:szCs w:val="20"/>
              </w:rPr>
            </w:pPr>
            <w:r>
              <w:rPr>
                <w:b/>
                <w:noProof/>
                <w:sz w:val="20"/>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9A68E4" w:rsidRDefault="00F15CB7">
            <w:pPr>
              <w:widowControl w:val="0"/>
              <w:spacing w:before="15" w:after="15"/>
              <w:jc w:val="center"/>
              <w:rPr>
                <w:b/>
                <w:noProof/>
                <w:sz w:val="20"/>
                <w:szCs w:val="20"/>
              </w:rPr>
            </w:pPr>
            <w:r>
              <w:rPr>
                <w:b/>
                <w:noProof/>
                <w:sz w:val="20"/>
              </w:rPr>
              <w:t>Бюджетни кредити за пое</w:t>
            </w:r>
            <w:r>
              <w:rPr>
                <w:b/>
                <w:noProof/>
                <w:sz w:val="20"/>
              </w:rPr>
              <w:t>ти задължения</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9A68E4" w:rsidRDefault="00F15CB7">
            <w:pPr>
              <w:widowControl w:val="0"/>
              <w:spacing w:before="15" w:after="15"/>
              <w:jc w:val="center"/>
              <w:rPr>
                <w:b/>
                <w:noProof/>
                <w:sz w:val="20"/>
                <w:szCs w:val="20"/>
              </w:rPr>
            </w:pPr>
            <w:r>
              <w:rPr>
                <w:b/>
                <w:noProof/>
                <w:sz w:val="20"/>
              </w:rPr>
              <w:t>Бюджетни кредити за плащания</w:t>
            </w:r>
          </w:p>
        </w:tc>
      </w:tr>
      <w:tr w:rsidR="009A68E4">
        <w:tc>
          <w:tcPr>
            <w:tcW w:w="1276"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ind w:right="-113"/>
              <w:jc w:val="both"/>
              <w:rPr>
                <w:noProof/>
                <w:sz w:val="20"/>
                <w:szCs w:val="20"/>
              </w:rPr>
            </w:pPr>
            <w:r>
              <w:rPr>
                <w:noProof/>
                <w:sz w:val="20"/>
              </w:rPr>
              <w:t>05 04 60 02</w:t>
            </w:r>
          </w:p>
        </w:tc>
        <w:tc>
          <w:tcPr>
            <w:tcW w:w="5245" w:type="dxa"/>
            <w:tcBorders>
              <w:top w:val="single" w:sz="4" w:space="0" w:color="auto"/>
              <w:left w:val="single" w:sz="4" w:space="0" w:color="auto"/>
              <w:bottom w:val="single" w:sz="4" w:space="0" w:color="auto"/>
              <w:right w:val="single" w:sz="4" w:space="0" w:color="auto"/>
            </w:tcBorders>
          </w:tcPr>
          <w:p w:rsidR="009A68E4" w:rsidRDefault="00F15CB7">
            <w:pPr>
              <w:widowControl w:val="0"/>
              <w:tabs>
                <w:tab w:val="left" w:pos="1350"/>
              </w:tabs>
              <w:spacing w:before="15" w:after="15"/>
              <w:jc w:val="both"/>
              <w:rPr>
                <w:noProof/>
                <w:sz w:val="20"/>
                <w:szCs w:val="20"/>
              </w:rPr>
            </w:pPr>
            <w:r>
              <w:rPr>
                <w:noProof/>
                <w:sz w:val="20"/>
              </w:rPr>
              <w:t>Оперативна техническа помощ (ЕЗФРСР)</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right"/>
              <w:rPr>
                <w:noProof/>
                <w:sz w:val="20"/>
                <w:szCs w:val="20"/>
              </w:rPr>
            </w:pPr>
            <w:r>
              <w:rPr>
                <w:noProof/>
                <w:sz w:val="20"/>
              </w:rPr>
              <w:t>-6 500 000</w:t>
            </w:r>
          </w:p>
        </w:tc>
        <w:tc>
          <w:tcPr>
            <w:tcW w:w="1701" w:type="dxa"/>
            <w:tcBorders>
              <w:top w:val="single" w:sz="4" w:space="0" w:color="auto"/>
              <w:left w:val="single" w:sz="4" w:space="0" w:color="auto"/>
              <w:bottom w:val="single" w:sz="4" w:space="0" w:color="auto"/>
              <w:right w:val="single" w:sz="4" w:space="0" w:color="auto"/>
            </w:tcBorders>
          </w:tcPr>
          <w:p w:rsidR="009A68E4" w:rsidRDefault="009A68E4">
            <w:pPr>
              <w:widowControl w:val="0"/>
              <w:spacing w:before="15" w:after="15"/>
              <w:jc w:val="right"/>
              <w:rPr>
                <w:noProof/>
                <w:sz w:val="20"/>
                <w:szCs w:val="20"/>
              </w:rPr>
            </w:pPr>
          </w:p>
        </w:tc>
      </w:tr>
      <w:tr w:rsidR="009A68E4">
        <w:tc>
          <w:tcPr>
            <w:tcW w:w="1276"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ind w:right="-113"/>
              <w:jc w:val="both"/>
              <w:rPr>
                <w:noProof/>
                <w:sz w:val="20"/>
                <w:szCs w:val="20"/>
              </w:rPr>
            </w:pPr>
            <w:r>
              <w:rPr>
                <w:noProof/>
                <w:sz w:val="20"/>
              </w:rPr>
              <w:t>05 08 06</w:t>
            </w:r>
          </w:p>
        </w:tc>
        <w:tc>
          <w:tcPr>
            <w:tcW w:w="5245" w:type="dxa"/>
            <w:tcBorders>
              <w:top w:val="single" w:sz="4" w:space="0" w:color="auto"/>
              <w:left w:val="single" w:sz="4" w:space="0" w:color="auto"/>
              <w:bottom w:val="single" w:sz="4" w:space="0" w:color="auto"/>
              <w:right w:val="single" w:sz="4" w:space="0" w:color="auto"/>
            </w:tcBorders>
          </w:tcPr>
          <w:p w:rsidR="009A68E4" w:rsidRDefault="00F15CB7">
            <w:pPr>
              <w:widowControl w:val="0"/>
              <w:tabs>
                <w:tab w:val="left" w:pos="1350"/>
              </w:tabs>
              <w:spacing w:before="15" w:after="15"/>
              <w:jc w:val="both"/>
              <w:rPr>
                <w:noProof/>
                <w:sz w:val="20"/>
                <w:szCs w:val="20"/>
              </w:rPr>
            </w:pPr>
            <w:r>
              <w:rPr>
                <w:noProof/>
                <w:sz w:val="20"/>
              </w:rPr>
              <w:t>Повишаване на осведомеността на обществеността за Общата селскостопанска политика</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right"/>
              <w:rPr>
                <w:noProof/>
                <w:sz w:val="20"/>
                <w:szCs w:val="20"/>
              </w:rPr>
            </w:pPr>
            <w:r>
              <w:rPr>
                <w:noProof/>
                <w:sz w:val="20"/>
              </w:rPr>
              <w:t>-100 000</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right"/>
              <w:rPr>
                <w:noProof/>
                <w:sz w:val="20"/>
                <w:szCs w:val="20"/>
              </w:rPr>
            </w:pPr>
            <w:r>
              <w:rPr>
                <w:noProof/>
                <w:sz w:val="20"/>
              </w:rPr>
              <w:t>-100 000</w:t>
            </w:r>
          </w:p>
        </w:tc>
      </w:tr>
      <w:tr w:rsidR="009A68E4">
        <w:tc>
          <w:tcPr>
            <w:tcW w:w="1276"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ind w:right="-113"/>
              <w:jc w:val="both"/>
              <w:rPr>
                <w:noProof/>
                <w:sz w:val="20"/>
                <w:szCs w:val="20"/>
              </w:rPr>
            </w:pPr>
            <w:r>
              <w:rPr>
                <w:noProof/>
                <w:sz w:val="20"/>
              </w:rPr>
              <w:t>05 08 09</w:t>
            </w:r>
          </w:p>
        </w:tc>
        <w:tc>
          <w:tcPr>
            <w:tcW w:w="5245" w:type="dxa"/>
            <w:tcBorders>
              <w:top w:val="single" w:sz="4" w:space="0" w:color="auto"/>
              <w:left w:val="single" w:sz="4" w:space="0" w:color="auto"/>
              <w:bottom w:val="single" w:sz="4" w:space="0" w:color="auto"/>
              <w:right w:val="single" w:sz="4" w:space="0" w:color="auto"/>
            </w:tcBorders>
          </w:tcPr>
          <w:p w:rsidR="009A68E4" w:rsidRDefault="00F15CB7">
            <w:pPr>
              <w:widowControl w:val="0"/>
              <w:tabs>
                <w:tab w:val="left" w:pos="1350"/>
              </w:tabs>
              <w:spacing w:before="15" w:after="15"/>
              <w:jc w:val="both"/>
              <w:rPr>
                <w:noProof/>
                <w:sz w:val="20"/>
                <w:szCs w:val="20"/>
              </w:rPr>
            </w:pPr>
            <w:r>
              <w:rPr>
                <w:noProof/>
                <w:sz w:val="20"/>
              </w:rPr>
              <w:t xml:space="preserve">Европейски фонд за гарантиране </w:t>
            </w:r>
            <w:r>
              <w:rPr>
                <w:noProof/>
                <w:sz w:val="20"/>
              </w:rPr>
              <w:t>на земеделието (ЕФГЗ) — оперативна техническа помощ</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right"/>
              <w:rPr>
                <w:noProof/>
                <w:sz w:val="20"/>
                <w:szCs w:val="20"/>
              </w:rPr>
            </w:pPr>
            <w:r>
              <w:rPr>
                <w:noProof/>
                <w:sz w:val="20"/>
              </w:rPr>
              <w:t>-800 000</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right"/>
              <w:rPr>
                <w:noProof/>
                <w:sz w:val="20"/>
                <w:szCs w:val="20"/>
              </w:rPr>
            </w:pPr>
            <w:r>
              <w:rPr>
                <w:noProof/>
                <w:sz w:val="20"/>
              </w:rPr>
              <w:t>-800 000</w:t>
            </w:r>
          </w:p>
        </w:tc>
      </w:tr>
      <w:tr w:rsidR="009A68E4">
        <w:tc>
          <w:tcPr>
            <w:tcW w:w="6521" w:type="dxa"/>
            <w:gridSpan w:val="2"/>
            <w:tcBorders>
              <w:top w:val="single" w:sz="4" w:space="0" w:color="auto"/>
              <w:left w:val="single" w:sz="4" w:space="0" w:color="auto"/>
              <w:bottom w:val="single" w:sz="4" w:space="0" w:color="auto"/>
              <w:right w:val="single" w:sz="4" w:space="0" w:color="auto"/>
            </w:tcBorders>
            <w:shd w:val="clear" w:color="auto" w:fill="D9D9D9"/>
          </w:tcPr>
          <w:p w:rsidR="009A68E4" w:rsidRDefault="00F15CB7">
            <w:pPr>
              <w:widowControl w:val="0"/>
              <w:tabs>
                <w:tab w:val="left" w:pos="975"/>
              </w:tabs>
              <w:spacing w:before="15" w:after="15"/>
              <w:jc w:val="both"/>
              <w:rPr>
                <w:b/>
                <w:noProof/>
                <w:sz w:val="20"/>
                <w:szCs w:val="20"/>
              </w:rPr>
            </w:pPr>
            <w:r>
              <w:rPr>
                <w:b/>
                <w:noProof/>
                <w:sz w:val="20"/>
              </w:rPr>
              <w:t>Общо</w:t>
            </w:r>
            <w:r>
              <w:rPr>
                <w:noProof/>
              </w:rPr>
              <w:tab/>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9A68E4" w:rsidRDefault="00F15CB7">
            <w:pPr>
              <w:widowControl w:val="0"/>
              <w:spacing w:before="15" w:after="15"/>
              <w:jc w:val="right"/>
              <w:rPr>
                <w:b/>
                <w:noProof/>
                <w:sz w:val="20"/>
                <w:szCs w:val="20"/>
              </w:rPr>
            </w:pPr>
            <w:r>
              <w:rPr>
                <w:b/>
                <w:noProof/>
                <w:sz w:val="20"/>
              </w:rPr>
              <w:t>-7 400 000</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9A68E4" w:rsidRDefault="00F15CB7">
            <w:pPr>
              <w:widowControl w:val="0"/>
              <w:spacing w:before="15" w:after="15"/>
              <w:jc w:val="right"/>
              <w:rPr>
                <w:b/>
                <w:noProof/>
                <w:sz w:val="20"/>
                <w:szCs w:val="20"/>
              </w:rPr>
            </w:pPr>
            <w:r>
              <w:rPr>
                <w:b/>
                <w:noProof/>
                <w:sz w:val="20"/>
              </w:rPr>
              <w:t>-900 000</w:t>
            </w:r>
          </w:p>
        </w:tc>
      </w:tr>
    </w:tbl>
    <w:p w:rsidR="009A68E4" w:rsidRDefault="00F15CB7">
      <w:pPr>
        <w:spacing w:before="120" w:after="120"/>
        <w:jc w:val="both"/>
        <w:rPr>
          <w:i/>
          <w:noProof/>
        </w:rPr>
      </w:pPr>
      <w:r>
        <w:rPr>
          <w:i/>
          <w:noProof/>
        </w:rPr>
        <w:t>3.3.2</w:t>
      </w:r>
      <w:r>
        <w:rPr>
          <w:noProof/>
        </w:rPr>
        <w:tab/>
      </w:r>
      <w:r>
        <w:rPr>
          <w:i/>
          <w:noProof/>
        </w:rPr>
        <w:t>Европейски фонд за морско дело и рибарство (ЕФМДР)</w:t>
      </w:r>
    </w:p>
    <w:p w:rsidR="009A68E4" w:rsidRDefault="00F15CB7">
      <w:pPr>
        <w:autoSpaceDE w:val="0"/>
        <w:autoSpaceDN w:val="0"/>
        <w:adjustRightInd w:val="0"/>
        <w:spacing w:before="120" w:after="120"/>
        <w:jc w:val="both"/>
        <w:rPr>
          <w:noProof/>
        </w:rPr>
      </w:pPr>
      <w:r>
        <w:rPr>
          <w:noProof/>
        </w:rPr>
        <w:t>Късното приемане на правното основание забави изпълнението на оперативните разходи по ЕФМДР под режим</w:t>
      </w:r>
      <w:r>
        <w:rPr>
          <w:noProof/>
        </w:rPr>
        <w:t xml:space="preserve"> пряко управление.</w:t>
      </w:r>
    </w:p>
    <w:p w:rsidR="009A68E4" w:rsidRDefault="00F15CB7">
      <w:pPr>
        <w:autoSpaceDE w:val="0"/>
        <w:autoSpaceDN w:val="0"/>
        <w:adjustRightInd w:val="0"/>
        <w:spacing w:before="120" w:after="120"/>
        <w:jc w:val="both"/>
        <w:rPr>
          <w:noProof/>
        </w:rPr>
      </w:pPr>
      <w:r>
        <w:rPr>
          <w:noProof/>
        </w:rPr>
        <w:t>Забавяния и удължения на времетраенето на редица действия, включително създаването на консултативни съвети, подписването на договори и организирането на конференции и събития, означават, че 1,7 млн. EUR бюджетни кредити за поети задължен</w:t>
      </w:r>
      <w:r>
        <w:rPr>
          <w:noProof/>
        </w:rPr>
        <w:t>ия могат да бъдат освободени за бюджетните редове за многогодишни разходи под режим пряко управление.</w:t>
      </w:r>
    </w:p>
    <w:p w:rsidR="009A68E4" w:rsidRDefault="00F15CB7">
      <w:pPr>
        <w:autoSpaceDE w:val="0"/>
        <w:autoSpaceDN w:val="0"/>
        <w:adjustRightInd w:val="0"/>
        <w:spacing w:before="120" w:after="120"/>
        <w:jc w:val="both"/>
        <w:rPr>
          <w:noProof/>
        </w:rPr>
      </w:pPr>
      <w:r>
        <w:rPr>
          <w:noProof/>
        </w:rPr>
        <w:t>По същите причини бюджетът за административните разходи и за разходите за подкрепа (бюджетна позиция 11 01 04 01) и средствата за Изпълнителната агенция з</w:t>
      </w:r>
      <w:r>
        <w:rPr>
          <w:noProof/>
        </w:rPr>
        <w:t>а малките и средните предприятия (бюджетна позиция 11 01 06 01) могат да бъдат намалени. И двата бюджетни реда са предназначени за едногодишни разходи, като по тях съответно стават налични 0,3 млн. EUR бюджетни кредити за поети задължения и за плащания.</w:t>
      </w:r>
    </w:p>
    <w:p w:rsidR="009A68E4" w:rsidRDefault="00F15CB7">
      <w:pPr>
        <w:rPr>
          <w:noProof/>
        </w:rPr>
      </w:pPr>
      <w:r>
        <w:rPr>
          <w:noProof/>
        </w:rPr>
        <w:br w:type="page"/>
      </w:r>
    </w:p>
    <w:p w:rsidR="009A68E4" w:rsidRDefault="009A68E4">
      <w:pPr>
        <w:autoSpaceDE w:val="0"/>
        <w:autoSpaceDN w:val="0"/>
        <w:adjustRightInd w:val="0"/>
        <w:spacing w:before="120" w:after="120"/>
        <w:jc w:val="both"/>
        <w:rPr>
          <w:noProof/>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245"/>
        <w:gridCol w:w="1701"/>
        <w:gridCol w:w="1701"/>
      </w:tblGrid>
      <w:tr w:rsidR="009A68E4">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9A68E4" w:rsidRDefault="00F15CB7">
            <w:pPr>
              <w:widowControl w:val="0"/>
              <w:spacing w:before="15" w:after="15"/>
              <w:jc w:val="center"/>
              <w:rPr>
                <w:b/>
                <w:noProof/>
                <w:sz w:val="20"/>
                <w:szCs w:val="20"/>
              </w:rPr>
            </w:pPr>
            <w:r>
              <w:rPr>
                <w:b/>
                <w:noProof/>
                <w:sz w:val="20"/>
              </w:rPr>
              <w:t>Бюджетен ред</w:t>
            </w:r>
          </w:p>
        </w:tc>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9A68E4" w:rsidRDefault="00F15CB7">
            <w:pPr>
              <w:widowControl w:val="0"/>
              <w:spacing w:before="15" w:after="15"/>
              <w:jc w:val="center"/>
              <w:rPr>
                <w:b/>
                <w:noProof/>
                <w:sz w:val="20"/>
                <w:szCs w:val="20"/>
              </w:rPr>
            </w:pPr>
            <w:r>
              <w:rPr>
                <w:b/>
                <w:noProof/>
                <w:sz w:val="20"/>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9A68E4" w:rsidRDefault="00F15CB7">
            <w:pPr>
              <w:widowControl w:val="0"/>
              <w:spacing w:before="15" w:after="15"/>
              <w:jc w:val="center"/>
              <w:rPr>
                <w:b/>
                <w:noProof/>
                <w:sz w:val="20"/>
                <w:szCs w:val="20"/>
              </w:rPr>
            </w:pPr>
            <w:r>
              <w:rPr>
                <w:b/>
                <w:noProof/>
                <w:sz w:val="20"/>
              </w:rPr>
              <w:t>Бюджетни кредити за поети задължения</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9A68E4" w:rsidRDefault="00F15CB7">
            <w:pPr>
              <w:widowControl w:val="0"/>
              <w:spacing w:before="15" w:after="15"/>
              <w:jc w:val="center"/>
              <w:rPr>
                <w:b/>
                <w:noProof/>
                <w:sz w:val="20"/>
                <w:szCs w:val="20"/>
              </w:rPr>
            </w:pPr>
            <w:r>
              <w:rPr>
                <w:b/>
                <w:noProof/>
                <w:sz w:val="20"/>
              </w:rPr>
              <w:t>Бюджетни кредити за плащания</w:t>
            </w:r>
          </w:p>
        </w:tc>
      </w:tr>
      <w:tr w:rsidR="009A68E4">
        <w:tc>
          <w:tcPr>
            <w:tcW w:w="1276"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ind w:right="-113"/>
              <w:jc w:val="both"/>
              <w:rPr>
                <w:noProof/>
                <w:sz w:val="20"/>
                <w:szCs w:val="20"/>
              </w:rPr>
            </w:pPr>
            <w:r>
              <w:rPr>
                <w:noProof/>
                <w:sz w:val="20"/>
              </w:rPr>
              <w:t>11 01 04 01</w:t>
            </w:r>
          </w:p>
        </w:tc>
        <w:tc>
          <w:tcPr>
            <w:tcW w:w="5245" w:type="dxa"/>
            <w:tcBorders>
              <w:top w:val="single" w:sz="4" w:space="0" w:color="auto"/>
              <w:left w:val="single" w:sz="4" w:space="0" w:color="auto"/>
              <w:bottom w:val="single" w:sz="4" w:space="0" w:color="auto"/>
              <w:right w:val="single" w:sz="4" w:space="0" w:color="auto"/>
            </w:tcBorders>
          </w:tcPr>
          <w:p w:rsidR="009A68E4" w:rsidRDefault="00F15CB7">
            <w:pPr>
              <w:widowControl w:val="0"/>
              <w:tabs>
                <w:tab w:val="left" w:pos="1350"/>
              </w:tabs>
              <w:spacing w:before="15" w:after="15"/>
              <w:jc w:val="both"/>
              <w:rPr>
                <w:noProof/>
                <w:sz w:val="20"/>
                <w:szCs w:val="20"/>
              </w:rPr>
            </w:pPr>
            <w:r>
              <w:rPr>
                <w:noProof/>
                <w:sz w:val="20"/>
              </w:rPr>
              <w:t>Съпътстващи разходи за морско дело и рибарство — Неоперативна административна и техническа помощ</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right"/>
              <w:rPr>
                <w:noProof/>
                <w:sz w:val="20"/>
                <w:szCs w:val="20"/>
              </w:rPr>
            </w:pPr>
            <w:r>
              <w:rPr>
                <w:noProof/>
                <w:sz w:val="20"/>
              </w:rPr>
              <w:t>-207 000</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right"/>
              <w:rPr>
                <w:noProof/>
                <w:sz w:val="20"/>
                <w:szCs w:val="20"/>
              </w:rPr>
            </w:pPr>
            <w:r>
              <w:rPr>
                <w:noProof/>
                <w:sz w:val="20"/>
              </w:rPr>
              <w:t>-207 000</w:t>
            </w:r>
          </w:p>
        </w:tc>
      </w:tr>
      <w:tr w:rsidR="009A68E4">
        <w:tc>
          <w:tcPr>
            <w:tcW w:w="1276"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ind w:right="-113"/>
              <w:jc w:val="both"/>
              <w:rPr>
                <w:noProof/>
                <w:sz w:val="20"/>
                <w:szCs w:val="20"/>
              </w:rPr>
            </w:pPr>
            <w:r>
              <w:rPr>
                <w:noProof/>
                <w:sz w:val="20"/>
              </w:rPr>
              <w:t>11 01 06 01</w:t>
            </w:r>
          </w:p>
        </w:tc>
        <w:tc>
          <w:tcPr>
            <w:tcW w:w="5245" w:type="dxa"/>
            <w:tcBorders>
              <w:top w:val="single" w:sz="4" w:space="0" w:color="auto"/>
              <w:left w:val="single" w:sz="4" w:space="0" w:color="auto"/>
              <w:bottom w:val="single" w:sz="4" w:space="0" w:color="auto"/>
              <w:right w:val="single" w:sz="4" w:space="0" w:color="auto"/>
            </w:tcBorders>
          </w:tcPr>
          <w:p w:rsidR="009A68E4" w:rsidRDefault="00F15CB7">
            <w:pPr>
              <w:widowControl w:val="0"/>
              <w:tabs>
                <w:tab w:val="left" w:pos="1350"/>
              </w:tabs>
              <w:spacing w:before="15" w:after="15"/>
              <w:jc w:val="both"/>
              <w:rPr>
                <w:noProof/>
                <w:sz w:val="20"/>
                <w:szCs w:val="20"/>
              </w:rPr>
            </w:pPr>
            <w:r>
              <w:rPr>
                <w:noProof/>
                <w:sz w:val="20"/>
              </w:rPr>
              <w:t xml:space="preserve">Изпълнителна агенция </w:t>
            </w:r>
            <w:r>
              <w:rPr>
                <w:noProof/>
                <w:sz w:val="20"/>
              </w:rPr>
              <w:t>за малките и средните предприятия — Вноска от Европейския фонд за морско дело и рибарство (ЕФМДР)</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right"/>
              <w:rPr>
                <w:noProof/>
                <w:sz w:val="20"/>
                <w:szCs w:val="20"/>
              </w:rPr>
            </w:pPr>
            <w:r>
              <w:rPr>
                <w:noProof/>
                <w:sz w:val="20"/>
              </w:rPr>
              <w:t>-92 000</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right"/>
              <w:rPr>
                <w:noProof/>
                <w:sz w:val="20"/>
                <w:szCs w:val="20"/>
              </w:rPr>
            </w:pPr>
            <w:r>
              <w:rPr>
                <w:noProof/>
                <w:sz w:val="20"/>
              </w:rPr>
              <w:t>-92 000</w:t>
            </w:r>
          </w:p>
        </w:tc>
      </w:tr>
      <w:tr w:rsidR="009A68E4">
        <w:tc>
          <w:tcPr>
            <w:tcW w:w="1276"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ind w:right="-113"/>
              <w:jc w:val="both"/>
              <w:rPr>
                <w:noProof/>
                <w:sz w:val="20"/>
                <w:szCs w:val="20"/>
              </w:rPr>
            </w:pPr>
            <w:r>
              <w:rPr>
                <w:noProof/>
                <w:sz w:val="20"/>
              </w:rPr>
              <w:t>11 06 61</w:t>
            </w:r>
          </w:p>
        </w:tc>
        <w:tc>
          <w:tcPr>
            <w:tcW w:w="5245" w:type="dxa"/>
            <w:tcBorders>
              <w:top w:val="single" w:sz="4" w:space="0" w:color="auto"/>
              <w:left w:val="single" w:sz="4" w:space="0" w:color="auto"/>
              <w:bottom w:val="single" w:sz="4" w:space="0" w:color="auto"/>
              <w:right w:val="single" w:sz="4" w:space="0" w:color="auto"/>
            </w:tcBorders>
          </w:tcPr>
          <w:p w:rsidR="009A68E4" w:rsidRDefault="00F15CB7">
            <w:pPr>
              <w:widowControl w:val="0"/>
              <w:tabs>
                <w:tab w:val="left" w:pos="1350"/>
              </w:tabs>
              <w:spacing w:before="15" w:after="15"/>
              <w:jc w:val="both"/>
              <w:rPr>
                <w:noProof/>
                <w:sz w:val="20"/>
                <w:szCs w:val="20"/>
              </w:rPr>
            </w:pPr>
            <w:r>
              <w:rPr>
                <w:noProof/>
                <w:sz w:val="20"/>
              </w:rPr>
              <w:t>Насърчаване на развитието и изпълнението на интегрираната морска политика на Съюза</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right"/>
              <w:rPr>
                <w:noProof/>
                <w:sz w:val="20"/>
                <w:szCs w:val="20"/>
              </w:rPr>
            </w:pPr>
            <w:r>
              <w:rPr>
                <w:noProof/>
                <w:sz w:val="20"/>
              </w:rPr>
              <w:t>-200 000</w:t>
            </w:r>
          </w:p>
        </w:tc>
        <w:tc>
          <w:tcPr>
            <w:tcW w:w="1701" w:type="dxa"/>
            <w:tcBorders>
              <w:top w:val="single" w:sz="4" w:space="0" w:color="auto"/>
              <w:left w:val="single" w:sz="4" w:space="0" w:color="auto"/>
              <w:bottom w:val="single" w:sz="4" w:space="0" w:color="auto"/>
              <w:right w:val="single" w:sz="4" w:space="0" w:color="auto"/>
            </w:tcBorders>
          </w:tcPr>
          <w:p w:rsidR="009A68E4" w:rsidRDefault="009A68E4">
            <w:pPr>
              <w:widowControl w:val="0"/>
              <w:spacing w:before="15" w:after="15"/>
              <w:jc w:val="right"/>
              <w:rPr>
                <w:noProof/>
                <w:sz w:val="20"/>
                <w:szCs w:val="20"/>
              </w:rPr>
            </w:pPr>
          </w:p>
        </w:tc>
      </w:tr>
      <w:tr w:rsidR="009A68E4">
        <w:tc>
          <w:tcPr>
            <w:tcW w:w="1276"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ind w:right="-113"/>
              <w:jc w:val="both"/>
              <w:rPr>
                <w:noProof/>
                <w:sz w:val="20"/>
                <w:szCs w:val="20"/>
              </w:rPr>
            </w:pPr>
            <w:r>
              <w:rPr>
                <w:noProof/>
                <w:sz w:val="20"/>
              </w:rPr>
              <w:t>11 06 62 01</w:t>
            </w:r>
          </w:p>
        </w:tc>
        <w:tc>
          <w:tcPr>
            <w:tcW w:w="5245" w:type="dxa"/>
            <w:tcBorders>
              <w:top w:val="single" w:sz="4" w:space="0" w:color="auto"/>
              <w:left w:val="single" w:sz="4" w:space="0" w:color="auto"/>
              <w:bottom w:val="single" w:sz="4" w:space="0" w:color="auto"/>
              <w:right w:val="single" w:sz="4" w:space="0" w:color="auto"/>
            </w:tcBorders>
          </w:tcPr>
          <w:p w:rsidR="009A68E4" w:rsidRDefault="00F15CB7">
            <w:pPr>
              <w:widowControl w:val="0"/>
              <w:tabs>
                <w:tab w:val="left" w:pos="1350"/>
              </w:tabs>
              <w:spacing w:before="15" w:after="15"/>
              <w:jc w:val="both"/>
              <w:rPr>
                <w:noProof/>
                <w:sz w:val="20"/>
                <w:szCs w:val="20"/>
              </w:rPr>
            </w:pPr>
            <w:r>
              <w:rPr>
                <w:noProof/>
                <w:sz w:val="20"/>
              </w:rPr>
              <w:t xml:space="preserve">Научни консултации и </w:t>
            </w:r>
            <w:r>
              <w:rPr>
                <w:noProof/>
                <w:sz w:val="20"/>
              </w:rPr>
              <w:t>научно познание</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right"/>
              <w:rPr>
                <w:noProof/>
                <w:sz w:val="20"/>
                <w:szCs w:val="20"/>
              </w:rPr>
            </w:pPr>
            <w:r>
              <w:rPr>
                <w:noProof/>
                <w:sz w:val="20"/>
              </w:rPr>
              <w:t>-630 000</w:t>
            </w:r>
          </w:p>
        </w:tc>
        <w:tc>
          <w:tcPr>
            <w:tcW w:w="1701" w:type="dxa"/>
            <w:tcBorders>
              <w:top w:val="single" w:sz="4" w:space="0" w:color="auto"/>
              <w:left w:val="single" w:sz="4" w:space="0" w:color="auto"/>
              <w:bottom w:val="single" w:sz="4" w:space="0" w:color="auto"/>
              <w:right w:val="single" w:sz="4" w:space="0" w:color="auto"/>
            </w:tcBorders>
          </w:tcPr>
          <w:p w:rsidR="009A68E4" w:rsidRDefault="009A68E4">
            <w:pPr>
              <w:widowControl w:val="0"/>
              <w:spacing w:before="15" w:after="15"/>
              <w:jc w:val="right"/>
              <w:rPr>
                <w:noProof/>
                <w:sz w:val="20"/>
                <w:szCs w:val="20"/>
              </w:rPr>
            </w:pPr>
          </w:p>
        </w:tc>
      </w:tr>
      <w:tr w:rsidR="009A68E4">
        <w:tc>
          <w:tcPr>
            <w:tcW w:w="1276"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ind w:right="-113"/>
              <w:jc w:val="both"/>
              <w:rPr>
                <w:noProof/>
                <w:sz w:val="20"/>
                <w:szCs w:val="20"/>
              </w:rPr>
            </w:pPr>
            <w:r>
              <w:rPr>
                <w:noProof/>
                <w:sz w:val="20"/>
              </w:rPr>
              <w:t>11 06 62 04</w:t>
            </w:r>
          </w:p>
        </w:tc>
        <w:tc>
          <w:tcPr>
            <w:tcW w:w="5245" w:type="dxa"/>
            <w:tcBorders>
              <w:top w:val="single" w:sz="4" w:space="0" w:color="auto"/>
              <w:left w:val="single" w:sz="4" w:space="0" w:color="auto"/>
              <w:bottom w:val="single" w:sz="4" w:space="0" w:color="auto"/>
              <w:right w:val="single" w:sz="4" w:space="0" w:color="auto"/>
            </w:tcBorders>
          </w:tcPr>
          <w:p w:rsidR="009A68E4" w:rsidRDefault="00F15CB7">
            <w:pPr>
              <w:widowControl w:val="0"/>
              <w:tabs>
                <w:tab w:val="left" w:pos="1350"/>
              </w:tabs>
              <w:spacing w:before="15" w:after="15"/>
              <w:jc w:val="both"/>
              <w:rPr>
                <w:noProof/>
                <w:sz w:val="20"/>
                <w:szCs w:val="20"/>
              </w:rPr>
            </w:pPr>
            <w:r>
              <w:rPr>
                <w:noProof/>
                <w:sz w:val="20"/>
              </w:rPr>
              <w:t>Управление и комуникация</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right"/>
              <w:rPr>
                <w:noProof/>
                <w:sz w:val="20"/>
                <w:szCs w:val="20"/>
              </w:rPr>
            </w:pPr>
            <w:r>
              <w:rPr>
                <w:noProof/>
                <w:sz w:val="20"/>
              </w:rPr>
              <w:t>-482 000</w:t>
            </w:r>
          </w:p>
        </w:tc>
        <w:tc>
          <w:tcPr>
            <w:tcW w:w="1701" w:type="dxa"/>
            <w:tcBorders>
              <w:top w:val="single" w:sz="4" w:space="0" w:color="auto"/>
              <w:left w:val="single" w:sz="4" w:space="0" w:color="auto"/>
              <w:bottom w:val="single" w:sz="4" w:space="0" w:color="auto"/>
              <w:right w:val="single" w:sz="4" w:space="0" w:color="auto"/>
            </w:tcBorders>
          </w:tcPr>
          <w:p w:rsidR="009A68E4" w:rsidRDefault="009A68E4">
            <w:pPr>
              <w:widowControl w:val="0"/>
              <w:spacing w:before="15" w:after="15"/>
              <w:jc w:val="right"/>
              <w:rPr>
                <w:noProof/>
                <w:sz w:val="20"/>
                <w:szCs w:val="20"/>
              </w:rPr>
            </w:pPr>
          </w:p>
        </w:tc>
      </w:tr>
      <w:tr w:rsidR="009A68E4">
        <w:tc>
          <w:tcPr>
            <w:tcW w:w="1276"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ind w:right="-113"/>
              <w:jc w:val="both"/>
              <w:rPr>
                <w:noProof/>
                <w:sz w:val="20"/>
                <w:szCs w:val="20"/>
              </w:rPr>
            </w:pPr>
            <w:r>
              <w:rPr>
                <w:noProof/>
                <w:sz w:val="20"/>
              </w:rPr>
              <w:t>11 06 62 05</w:t>
            </w:r>
          </w:p>
        </w:tc>
        <w:tc>
          <w:tcPr>
            <w:tcW w:w="5245" w:type="dxa"/>
            <w:tcBorders>
              <w:top w:val="single" w:sz="4" w:space="0" w:color="auto"/>
              <w:left w:val="single" w:sz="4" w:space="0" w:color="auto"/>
              <w:bottom w:val="single" w:sz="4" w:space="0" w:color="auto"/>
              <w:right w:val="single" w:sz="4" w:space="0" w:color="auto"/>
            </w:tcBorders>
          </w:tcPr>
          <w:p w:rsidR="009A68E4" w:rsidRDefault="00F15CB7">
            <w:pPr>
              <w:widowControl w:val="0"/>
              <w:tabs>
                <w:tab w:val="left" w:pos="1350"/>
              </w:tabs>
              <w:spacing w:before="15" w:after="15"/>
              <w:jc w:val="both"/>
              <w:rPr>
                <w:noProof/>
                <w:sz w:val="20"/>
                <w:szCs w:val="20"/>
              </w:rPr>
            </w:pPr>
            <w:r>
              <w:rPr>
                <w:noProof/>
                <w:sz w:val="20"/>
              </w:rPr>
              <w:t>Проучване и изследване на пазара</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right"/>
              <w:rPr>
                <w:noProof/>
                <w:sz w:val="20"/>
                <w:szCs w:val="20"/>
              </w:rPr>
            </w:pPr>
            <w:r>
              <w:rPr>
                <w:noProof/>
                <w:sz w:val="20"/>
              </w:rPr>
              <w:t>-399 000</w:t>
            </w:r>
          </w:p>
        </w:tc>
        <w:tc>
          <w:tcPr>
            <w:tcW w:w="1701" w:type="dxa"/>
            <w:tcBorders>
              <w:top w:val="single" w:sz="4" w:space="0" w:color="auto"/>
              <w:left w:val="single" w:sz="4" w:space="0" w:color="auto"/>
              <w:bottom w:val="single" w:sz="4" w:space="0" w:color="auto"/>
              <w:right w:val="single" w:sz="4" w:space="0" w:color="auto"/>
            </w:tcBorders>
          </w:tcPr>
          <w:p w:rsidR="009A68E4" w:rsidRDefault="009A68E4">
            <w:pPr>
              <w:widowControl w:val="0"/>
              <w:spacing w:before="15" w:after="15"/>
              <w:jc w:val="right"/>
              <w:rPr>
                <w:noProof/>
                <w:sz w:val="20"/>
                <w:szCs w:val="20"/>
              </w:rPr>
            </w:pPr>
          </w:p>
        </w:tc>
      </w:tr>
      <w:tr w:rsidR="009A68E4">
        <w:tc>
          <w:tcPr>
            <w:tcW w:w="6521" w:type="dxa"/>
            <w:gridSpan w:val="2"/>
            <w:tcBorders>
              <w:top w:val="single" w:sz="4" w:space="0" w:color="auto"/>
              <w:left w:val="single" w:sz="4" w:space="0" w:color="auto"/>
              <w:bottom w:val="single" w:sz="4" w:space="0" w:color="auto"/>
              <w:right w:val="single" w:sz="4" w:space="0" w:color="auto"/>
            </w:tcBorders>
            <w:shd w:val="clear" w:color="auto" w:fill="D9D9D9"/>
          </w:tcPr>
          <w:p w:rsidR="009A68E4" w:rsidRDefault="00F15CB7">
            <w:pPr>
              <w:widowControl w:val="0"/>
              <w:tabs>
                <w:tab w:val="left" w:pos="975"/>
              </w:tabs>
              <w:spacing w:before="15" w:after="15"/>
              <w:jc w:val="both"/>
              <w:rPr>
                <w:b/>
                <w:noProof/>
                <w:sz w:val="20"/>
                <w:szCs w:val="20"/>
              </w:rPr>
            </w:pPr>
            <w:r>
              <w:rPr>
                <w:b/>
                <w:noProof/>
                <w:sz w:val="20"/>
              </w:rPr>
              <w:t>Общо</w:t>
            </w:r>
            <w:r>
              <w:rPr>
                <w:noProof/>
              </w:rPr>
              <w:tab/>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9A68E4" w:rsidRDefault="00F15CB7">
            <w:pPr>
              <w:widowControl w:val="0"/>
              <w:spacing w:before="15" w:after="15"/>
              <w:jc w:val="right"/>
              <w:rPr>
                <w:b/>
                <w:noProof/>
                <w:sz w:val="20"/>
                <w:szCs w:val="20"/>
              </w:rPr>
            </w:pPr>
            <w:r>
              <w:rPr>
                <w:b/>
                <w:noProof/>
                <w:sz w:val="20"/>
              </w:rPr>
              <w:t>-2 010 000</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9A68E4" w:rsidRDefault="00F15CB7">
            <w:pPr>
              <w:widowControl w:val="0"/>
              <w:spacing w:before="15" w:after="15"/>
              <w:jc w:val="right"/>
              <w:rPr>
                <w:b/>
                <w:noProof/>
                <w:sz w:val="20"/>
                <w:szCs w:val="20"/>
              </w:rPr>
            </w:pPr>
            <w:r>
              <w:rPr>
                <w:b/>
                <w:noProof/>
                <w:sz w:val="20"/>
              </w:rPr>
              <w:t>-299 000</w:t>
            </w:r>
          </w:p>
        </w:tc>
      </w:tr>
    </w:tbl>
    <w:p w:rsidR="009A68E4" w:rsidRDefault="00F15CB7">
      <w:pPr>
        <w:spacing w:before="120" w:after="120"/>
        <w:jc w:val="both"/>
        <w:rPr>
          <w:i/>
          <w:noProof/>
        </w:rPr>
      </w:pPr>
      <w:bookmarkStart w:id="23" w:name="_Toc399926626"/>
      <w:bookmarkStart w:id="24" w:name="_Toc430865952"/>
      <w:bookmarkStart w:id="25" w:name="_Toc430867530"/>
      <w:r>
        <w:rPr>
          <w:i/>
          <w:noProof/>
        </w:rPr>
        <w:t>3.3.3</w:t>
      </w:r>
      <w:r>
        <w:rPr>
          <w:noProof/>
        </w:rPr>
        <w:tab/>
      </w:r>
      <w:r>
        <w:rPr>
          <w:i/>
          <w:noProof/>
        </w:rPr>
        <w:t>Споразумения за партньорство в областта на устойчивото рибарство</w:t>
      </w:r>
    </w:p>
    <w:bookmarkEnd w:id="23"/>
    <w:bookmarkEnd w:id="24"/>
    <w:bookmarkEnd w:id="25"/>
    <w:p w:rsidR="009A68E4" w:rsidRDefault="00F15CB7">
      <w:pPr>
        <w:autoSpaceDE w:val="0"/>
        <w:autoSpaceDN w:val="0"/>
        <w:adjustRightInd w:val="0"/>
        <w:spacing w:before="120" w:after="120"/>
        <w:jc w:val="both"/>
        <w:rPr>
          <w:noProof/>
        </w:rPr>
      </w:pPr>
      <w:r>
        <w:rPr>
          <w:noProof/>
        </w:rPr>
        <w:t xml:space="preserve">След подробен анализ на </w:t>
      </w:r>
      <w:r>
        <w:rPr>
          <w:noProof/>
        </w:rPr>
        <w:t>напредъка по преговорите, свързани със споразуменията за партньорство в областта на устойчивото рибарство, и след оценка на възможните дати на влизане в сила 13,7 млн. EUR бюджетни кредити за поети задължения и 18,6 млн. EUR бюджетни кредити за плащания мо</w:t>
      </w:r>
      <w:r>
        <w:rPr>
          <w:noProof/>
        </w:rPr>
        <w:t>гат да бъдат освободени от резерва и са налични за преразпределяне.</w:t>
      </w:r>
    </w:p>
    <w:p w:rsidR="009A68E4" w:rsidRDefault="00F15CB7">
      <w:pPr>
        <w:autoSpaceDE w:val="0"/>
        <w:autoSpaceDN w:val="0"/>
        <w:adjustRightInd w:val="0"/>
        <w:spacing w:before="120" w:after="120"/>
        <w:jc w:val="both"/>
        <w:rPr>
          <w:noProof/>
        </w:rPr>
      </w:pPr>
      <w:r>
        <w:rPr>
          <w:noProof/>
        </w:rPr>
        <w:t>Освен това таксите, изисквани от някои международни организации, бяха по-ниски от първоначално очакваните, вследствие на което се освобождават 1,7 млн. EUR бюджетни кредити за поети задълж</w:t>
      </w:r>
      <w:r>
        <w:rPr>
          <w:noProof/>
        </w:rPr>
        <w:t>ения от бюджетна статия 11 03 02.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245"/>
        <w:gridCol w:w="1701"/>
        <w:gridCol w:w="1701"/>
      </w:tblGrid>
      <w:tr w:rsidR="009A68E4">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9A68E4" w:rsidRDefault="00F15CB7">
            <w:pPr>
              <w:widowControl w:val="0"/>
              <w:spacing w:before="15" w:after="15"/>
              <w:jc w:val="center"/>
              <w:rPr>
                <w:b/>
                <w:noProof/>
                <w:sz w:val="20"/>
                <w:szCs w:val="20"/>
              </w:rPr>
            </w:pPr>
            <w:r>
              <w:rPr>
                <w:b/>
                <w:noProof/>
                <w:sz w:val="20"/>
              </w:rPr>
              <w:t>Бюджетен ред</w:t>
            </w:r>
          </w:p>
        </w:tc>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9A68E4" w:rsidRDefault="00F15CB7">
            <w:pPr>
              <w:widowControl w:val="0"/>
              <w:spacing w:before="15" w:after="15"/>
              <w:jc w:val="center"/>
              <w:rPr>
                <w:b/>
                <w:noProof/>
                <w:sz w:val="20"/>
                <w:szCs w:val="20"/>
              </w:rPr>
            </w:pPr>
            <w:r>
              <w:rPr>
                <w:b/>
                <w:noProof/>
                <w:sz w:val="20"/>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9A68E4" w:rsidRDefault="00F15CB7">
            <w:pPr>
              <w:widowControl w:val="0"/>
              <w:spacing w:before="15" w:after="15"/>
              <w:jc w:val="center"/>
              <w:rPr>
                <w:b/>
                <w:noProof/>
                <w:sz w:val="20"/>
                <w:szCs w:val="20"/>
              </w:rPr>
            </w:pPr>
            <w:r>
              <w:rPr>
                <w:b/>
                <w:noProof/>
                <w:sz w:val="20"/>
              </w:rPr>
              <w:t>Бюджетни кредити за поети задължения</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9A68E4" w:rsidRDefault="00F15CB7">
            <w:pPr>
              <w:widowControl w:val="0"/>
              <w:spacing w:before="15" w:after="15"/>
              <w:jc w:val="center"/>
              <w:rPr>
                <w:b/>
                <w:noProof/>
                <w:sz w:val="20"/>
                <w:szCs w:val="20"/>
              </w:rPr>
            </w:pPr>
            <w:r>
              <w:rPr>
                <w:b/>
                <w:noProof/>
                <w:sz w:val="20"/>
              </w:rPr>
              <w:t>Бюджетни кредити за плащания</w:t>
            </w:r>
          </w:p>
        </w:tc>
      </w:tr>
      <w:tr w:rsidR="009A68E4">
        <w:tc>
          <w:tcPr>
            <w:tcW w:w="1276"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ind w:right="-113"/>
              <w:jc w:val="both"/>
              <w:rPr>
                <w:noProof/>
                <w:sz w:val="20"/>
                <w:szCs w:val="20"/>
              </w:rPr>
            </w:pPr>
            <w:r>
              <w:rPr>
                <w:noProof/>
                <w:sz w:val="20"/>
              </w:rPr>
              <w:t>11 03 02</w:t>
            </w:r>
          </w:p>
        </w:tc>
        <w:tc>
          <w:tcPr>
            <w:tcW w:w="5245" w:type="dxa"/>
            <w:tcBorders>
              <w:top w:val="single" w:sz="4" w:space="0" w:color="auto"/>
              <w:left w:val="single" w:sz="4" w:space="0" w:color="auto"/>
              <w:bottom w:val="single" w:sz="4" w:space="0" w:color="auto"/>
              <w:right w:val="single" w:sz="4" w:space="0" w:color="auto"/>
            </w:tcBorders>
          </w:tcPr>
          <w:p w:rsidR="009A68E4" w:rsidRDefault="00F15CB7">
            <w:pPr>
              <w:widowControl w:val="0"/>
              <w:tabs>
                <w:tab w:val="left" w:pos="1350"/>
              </w:tabs>
              <w:spacing w:before="15" w:after="15"/>
              <w:jc w:val="both"/>
              <w:rPr>
                <w:noProof/>
                <w:sz w:val="20"/>
                <w:szCs w:val="20"/>
              </w:rPr>
            </w:pPr>
            <w:r>
              <w:rPr>
                <w:noProof/>
                <w:sz w:val="20"/>
              </w:rPr>
              <w:t xml:space="preserve">Насърчаване на устойчивото развитие чрез управление на рибарството и морското дело в съответствие с целите на общата </w:t>
            </w:r>
            <w:r>
              <w:rPr>
                <w:noProof/>
                <w:sz w:val="20"/>
              </w:rPr>
              <w:t>политика в областта на рибарството (задължителни вноски в международните органи)</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right"/>
              <w:rPr>
                <w:noProof/>
                <w:sz w:val="20"/>
                <w:szCs w:val="20"/>
              </w:rPr>
            </w:pPr>
            <w:r>
              <w:rPr>
                <w:noProof/>
                <w:sz w:val="20"/>
              </w:rPr>
              <w:t>-1 720 000</w:t>
            </w:r>
          </w:p>
        </w:tc>
        <w:tc>
          <w:tcPr>
            <w:tcW w:w="1701" w:type="dxa"/>
            <w:tcBorders>
              <w:top w:val="single" w:sz="4" w:space="0" w:color="auto"/>
              <w:left w:val="single" w:sz="4" w:space="0" w:color="auto"/>
              <w:bottom w:val="single" w:sz="4" w:space="0" w:color="auto"/>
              <w:right w:val="single" w:sz="4" w:space="0" w:color="auto"/>
            </w:tcBorders>
          </w:tcPr>
          <w:p w:rsidR="009A68E4" w:rsidRDefault="009A68E4">
            <w:pPr>
              <w:widowControl w:val="0"/>
              <w:spacing w:before="15" w:after="15"/>
              <w:jc w:val="right"/>
              <w:rPr>
                <w:noProof/>
                <w:sz w:val="20"/>
                <w:szCs w:val="20"/>
              </w:rPr>
            </w:pPr>
          </w:p>
        </w:tc>
      </w:tr>
      <w:tr w:rsidR="009A68E4">
        <w:tc>
          <w:tcPr>
            <w:tcW w:w="1276"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ind w:right="-113"/>
              <w:jc w:val="both"/>
              <w:rPr>
                <w:noProof/>
                <w:sz w:val="20"/>
                <w:szCs w:val="20"/>
              </w:rPr>
            </w:pPr>
            <w:r>
              <w:rPr>
                <w:noProof/>
                <w:sz w:val="20"/>
              </w:rPr>
              <w:t>40 02 41</w:t>
            </w:r>
          </w:p>
        </w:tc>
        <w:tc>
          <w:tcPr>
            <w:tcW w:w="5245" w:type="dxa"/>
            <w:tcBorders>
              <w:top w:val="single" w:sz="4" w:space="0" w:color="auto"/>
              <w:left w:val="single" w:sz="4" w:space="0" w:color="auto"/>
              <w:bottom w:val="single" w:sz="4" w:space="0" w:color="auto"/>
              <w:right w:val="single" w:sz="4" w:space="0" w:color="auto"/>
            </w:tcBorders>
          </w:tcPr>
          <w:p w:rsidR="009A68E4" w:rsidRDefault="00F15CB7">
            <w:pPr>
              <w:widowControl w:val="0"/>
              <w:tabs>
                <w:tab w:val="left" w:pos="1350"/>
              </w:tabs>
              <w:spacing w:before="15" w:after="15"/>
              <w:jc w:val="both"/>
              <w:rPr>
                <w:noProof/>
                <w:sz w:val="20"/>
                <w:szCs w:val="20"/>
              </w:rPr>
            </w:pPr>
            <w:r>
              <w:rPr>
                <w:noProof/>
                <w:sz w:val="20"/>
              </w:rPr>
              <w:t>Резерв за споразумения за партньорство в областта на устойчивото рибарство</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right"/>
              <w:rPr>
                <w:noProof/>
                <w:sz w:val="20"/>
                <w:szCs w:val="20"/>
              </w:rPr>
            </w:pPr>
            <w:r>
              <w:rPr>
                <w:noProof/>
                <w:sz w:val="20"/>
              </w:rPr>
              <w:t>-13 711 765</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right"/>
              <w:rPr>
                <w:noProof/>
                <w:sz w:val="20"/>
                <w:szCs w:val="20"/>
              </w:rPr>
            </w:pPr>
            <w:r>
              <w:rPr>
                <w:noProof/>
                <w:sz w:val="20"/>
              </w:rPr>
              <w:t>-18 611 765</w:t>
            </w:r>
          </w:p>
        </w:tc>
      </w:tr>
      <w:tr w:rsidR="009A68E4">
        <w:tc>
          <w:tcPr>
            <w:tcW w:w="6521" w:type="dxa"/>
            <w:gridSpan w:val="2"/>
            <w:tcBorders>
              <w:top w:val="single" w:sz="4" w:space="0" w:color="auto"/>
              <w:left w:val="single" w:sz="4" w:space="0" w:color="auto"/>
              <w:bottom w:val="single" w:sz="4" w:space="0" w:color="auto"/>
              <w:right w:val="single" w:sz="4" w:space="0" w:color="auto"/>
            </w:tcBorders>
            <w:shd w:val="clear" w:color="auto" w:fill="D9D9D9"/>
          </w:tcPr>
          <w:p w:rsidR="009A68E4" w:rsidRDefault="00F15CB7">
            <w:pPr>
              <w:widowControl w:val="0"/>
              <w:tabs>
                <w:tab w:val="left" w:pos="975"/>
              </w:tabs>
              <w:spacing w:before="15" w:after="15"/>
              <w:jc w:val="both"/>
              <w:rPr>
                <w:b/>
                <w:noProof/>
                <w:sz w:val="20"/>
                <w:szCs w:val="20"/>
              </w:rPr>
            </w:pPr>
            <w:r>
              <w:rPr>
                <w:b/>
                <w:noProof/>
                <w:sz w:val="20"/>
              </w:rPr>
              <w:t>Общо</w:t>
            </w:r>
            <w:r>
              <w:rPr>
                <w:noProof/>
              </w:rPr>
              <w:tab/>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9A68E4" w:rsidRDefault="00F15CB7">
            <w:pPr>
              <w:widowControl w:val="0"/>
              <w:spacing w:before="15" w:after="15"/>
              <w:jc w:val="right"/>
              <w:rPr>
                <w:b/>
                <w:noProof/>
                <w:sz w:val="20"/>
                <w:szCs w:val="20"/>
              </w:rPr>
            </w:pPr>
            <w:r>
              <w:rPr>
                <w:b/>
                <w:noProof/>
                <w:sz w:val="20"/>
              </w:rPr>
              <w:t>-15 431 765</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9A68E4" w:rsidRDefault="00F15CB7">
            <w:pPr>
              <w:widowControl w:val="0"/>
              <w:spacing w:before="15" w:after="15"/>
              <w:jc w:val="right"/>
              <w:rPr>
                <w:b/>
                <w:noProof/>
                <w:sz w:val="20"/>
                <w:szCs w:val="20"/>
              </w:rPr>
            </w:pPr>
            <w:r>
              <w:rPr>
                <w:b/>
                <w:noProof/>
                <w:sz w:val="20"/>
              </w:rPr>
              <w:t>-18 611 765</w:t>
            </w:r>
          </w:p>
        </w:tc>
      </w:tr>
    </w:tbl>
    <w:p w:rsidR="009A68E4" w:rsidRDefault="00F15CB7">
      <w:pPr>
        <w:spacing w:before="120" w:after="120"/>
        <w:jc w:val="both"/>
        <w:rPr>
          <w:i/>
          <w:noProof/>
        </w:rPr>
      </w:pPr>
      <w:bookmarkStart w:id="26" w:name="_Toc430865953"/>
      <w:bookmarkStart w:id="27" w:name="_Toc430867531"/>
      <w:r>
        <w:rPr>
          <w:i/>
          <w:noProof/>
        </w:rPr>
        <w:t>3.3.4</w:t>
      </w:r>
      <w:r>
        <w:rPr>
          <w:noProof/>
        </w:rPr>
        <w:tab/>
      </w:r>
      <w:r>
        <w:rPr>
          <w:i/>
          <w:noProof/>
        </w:rPr>
        <w:t xml:space="preserve">Безопасност на </w:t>
      </w:r>
      <w:r>
        <w:rPr>
          <w:i/>
          <w:noProof/>
        </w:rPr>
        <w:t>храните и фуражите, здраве на животните и хуманно отношение към тях и растителна защита</w:t>
      </w:r>
    </w:p>
    <w:p w:rsidR="009A68E4" w:rsidRDefault="00F15CB7">
      <w:pPr>
        <w:spacing w:before="120" w:after="120"/>
        <w:jc w:val="both"/>
        <w:rPr>
          <w:noProof/>
        </w:rPr>
      </w:pPr>
      <w:r>
        <w:rPr>
          <w:noProof/>
        </w:rPr>
        <w:t>От бюджетна статия 17 04 02 „Осигуряване на навременно откриване и ликвидиране на вредителите по растенията“ могат да бъдат предоставени 2,4 млн. EUR бюджетни кредити з</w:t>
      </w:r>
      <w:r>
        <w:rPr>
          <w:noProof/>
        </w:rPr>
        <w:t>а поети задължения. Това се дължи на по-ниските от предвидените искания от държавите членки във връзка с мерките за предотвратяване на вредите, причинявани от бактерията Xylella Fastidiosa.</w:t>
      </w:r>
    </w:p>
    <w:p w:rsidR="009A68E4" w:rsidRDefault="00F15CB7">
      <w:pPr>
        <w:spacing w:before="120" w:after="120"/>
        <w:jc w:val="both"/>
        <w:rPr>
          <w:noProof/>
        </w:rPr>
      </w:pPr>
      <w:r>
        <w:rPr>
          <w:noProof/>
        </w:rPr>
        <w:t>Освен това от бюджетна статия 17 04 04 „Фонд за спешни мерки, свър</w:t>
      </w:r>
      <w:r>
        <w:rPr>
          <w:noProof/>
        </w:rPr>
        <w:t>зани със здравето на животните и растенията“ могат да бъдат предоставени 9,6 млн. EUR бюджетни кредити за поети задължения и 3,5 млн. EUR бюджетни кредити за плащания. Този фонд покрива средствата, които предоставя Съюзът за бързо ликвидиране на сериозни и</w:t>
      </w:r>
      <w:r>
        <w:rPr>
          <w:noProof/>
        </w:rPr>
        <w:t>нфекциозни болести по животните и за борба с растителните вредители и болести. Поради благоприятната ситуация, свързана със здравето на животните и на растенията през 2015 г., исканията на държавите членки са по-ниски от първоначално очакваните.</w:t>
      </w:r>
    </w:p>
    <w:p w:rsidR="009A68E4" w:rsidRDefault="00F15CB7">
      <w:pPr>
        <w:rPr>
          <w:noProof/>
        </w:rPr>
      </w:pPr>
      <w:r>
        <w:rPr>
          <w:noProof/>
        </w:rPr>
        <w:br w:type="page"/>
      </w:r>
    </w:p>
    <w:p w:rsidR="009A68E4" w:rsidRDefault="009A68E4">
      <w:pPr>
        <w:spacing w:before="120" w:after="120"/>
        <w:jc w:val="both"/>
        <w:rPr>
          <w:noProof/>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245"/>
        <w:gridCol w:w="1701"/>
        <w:gridCol w:w="1701"/>
      </w:tblGrid>
      <w:tr w:rsidR="009A68E4">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9A68E4" w:rsidRDefault="00F15CB7">
            <w:pPr>
              <w:widowControl w:val="0"/>
              <w:spacing w:before="15" w:after="15"/>
              <w:jc w:val="center"/>
              <w:rPr>
                <w:b/>
                <w:noProof/>
                <w:sz w:val="20"/>
                <w:szCs w:val="20"/>
              </w:rPr>
            </w:pPr>
            <w:r>
              <w:rPr>
                <w:b/>
                <w:noProof/>
                <w:sz w:val="20"/>
              </w:rPr>
              <w:t>Бюджете</w:t>
            </w:r>
            <w:r>
              <w:rPr>
                <w:b/>
                <w:noProof/>
                <w:sz w:val="20"/>
              </w:rPr>
              <w:t>н ред</w:t>
            </w:r>
          </w:p>
        </w:tc>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9A68E4" w:rsidRDefault="00F15CB7">
            <w:pPr>
              <w:widowControl w:val="0"/>
              <w:spacing w:before="15" w:after="15"/>
              <w:jc w:val="center"/>
              <w:rPr>
                <w:b/>
                <w:noProof/>
                <w:sz w:val="20"/>
                <w:szCs w:val="20"/>
              </w:rPr>
            </w:pPr>
            <w:r>
              <w:rPr>
                <w:b/>
                <w:noProof/>
                <w:sz w:val="20"/>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9A68E4" w:rsidRDefault="00F15CB7">
            <w:pPr>
              <w:widowControl w:val="0"/>
              <w:spacing w:before="15" w:after="15"/>
              <w:jc w:val="center"/>
              <w:rPr>
                <w:b/>
                <w:noProof/>
                <w:sz w:val="20"/>
                <w:szCs w:val="20"/>
              </w:rPr>
            </w:pPr>
            <w:r>
              <w:rPr>
                <w:b/>
                <w:noProof/>
                <w:sz w:val="20"/>
              </w:rPr>
              <w:t>Бюджетни кредити за поети задължения</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9A68E4" w:rsidRDefault="00F15CB7">
            <w:pPr>
              <w:widowControl w:val="0"/>
              <w:spacing w:before="15" w:after="15"/>
              <w:jc w:val="center"/>
              <w:rPr>
                <w:b/>
                <w:noProof/>
                <w:sz w:val="20"/>
                <w:szCs w:val="20"/>
              </w:rPr>
            </w:pPr>
            <w:r>
              <w:rPr>
                <w:b/>
                <w:noProof/>
                <w:sz w:val="20"/>
              </w:rPr>
              <w:t>Бюджетни кредити за плащания</w:t>
            </w:r>
          </w:p>
        </w:tc>
      </w:tr>
      <w:tr w:rsidR="009A68E4">
        <w:tc>
          <w:tcPr>
            <w:tcW w:w="1276"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ind w:right="-113"/>
              <w:jc w:val="both"/>
              <w:rPr>
                <w:noProof/>
                <w:sz w:val="20"/>
                <w:szCs w:val="20"/>
              </w:rPr>
            </w:pPr>
            <w:r>
              <w:rPr>
                <w:noProof/>
                <w:sz w:val="20"/>
              </w:rPr>
              <w:t>17 04 02</w:t>
            </w:r>
          </w:p>
        </w:tc>
        <w:tc>
          <w:tcPr>
            <w:tcW w:w="5245" w:type="dxa"/>
            <w:tcBorders>
              <w:top w:val="single" w:sz="4" w:space="0" w:color="auto"/>
              <w:left w:val="single" w:sz="4" w:space="0" w:color="auto"/>
              <w:bottom w:val="single" w:sz="4" w:space="0" w:color="auto"/>
              <w:right w:val="single" w:sz="4" w:space="0" w:color="auto"/>
            </w:tcBorders>
          </w:tcPr>
          <w:p w:rsidR="009A68E4" w:rsidRDefault="00F15CB7">
            <w:pPr>
              <w:widowControl w:val="0"/>
              <w:tabs>
                <w:tab w:val="left" w:pos="1350"/>
              </w:tabs>
              <w:spacing w:before="15" w:after="15"/>
              <w:jc w:val="both"/>
              <w:rPr>
                <w:noProof/>
                <w:sz w:val="20"/>
                <w:szCs w:val="20"/>
              </w:rPr>
            </w:pPr>
            <w:r>
              <w:rPr>
                <w:noProof/>
                <w:sz w:val="20"/>
              </w:rPr>
              <w:t>Осигуряване на навременно откриване и ликвидиране на вредителите по растенията</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right"/>
              <w:rPr>
                <w:noProof/>
                <w:sz w:val="20"/>
                <w:szCs w:val="20"/>
              </w:rPr>
            </w:pPr>
            <w:r>
              <w:rPr>
                <w:noProof/>
                <w:sz w:val="20"/>
              </w:rPr>
              <w:t>-2 400 000</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right"/>
              <w:rPr>
                <w:noProof/>
                <w:sz w:val="20"/>
                <w:szCs w:val="20"/>
              </w:rPr>
            </w:pPr>
            <w:r>
              <w:rPr>
                <w:noProof/>
                <w:sz w:val="20"/>
              </w:rPr>
              <w:t>-</w:t>
            </w:r>
          </w:p>
        </w:tc>
      </w:tr>
      <w:tr w:rsidR="009A68E4">
        <w:tc>
          <w:tcPr>
            <w:tcW w:w="1276"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ind w:right="-113"/>
              <w:jc w:val="both"/>
              <w:rPr>
                <w:noProof/>
                <w:sz w:val="20"/>
                <w:szCs w:val="20"/>
              </w:rPr>
            </w:pPr>
            <w:r>
              <w:rPr>
                <w:noProof/>
                <w:sz w:val="20"/>
              </w:rPr>
              <w:t>17 04 04</w:t>
            </w:r>
          </w:p>
        </w:tc>
        <w:tc>
          <w:tcPr>
            <w:tcW w:w="5245" w:type="dxa"/>
            <w:tcBorders>
              <w:top w:val="single" w:sz="4" w:space="0" w:color="auto"/>
              <w:left w:val="single" w:sz="4" w:space="0" w:color="auto"/>
              <w:bottom w:val="single" w:sz="4" w:space="0" w:color="auto"/>
              <w:right w:val="single" w:sz="4" w:space="0" w:color="auto"/>
            </w:tcBorders>
          </w:tcPr>
          <w:p w:rsidR="009A68E4" w:rsidRDefault="00F15CB7">
            <w:pPr>
              <w:widowControl w:val="0"/>
              <w:tabs>
                <w:tab w:val="left" w:pos="1350"/>
              </w:tabs>
              <w:spacing w:before="15" w:after="15"/>
              <w:jc w:val="both"/>
              <w:rPr>
                <w:noProof/>
                <w:sz w:val="20"/>
                <w:szCs w:val="20"/>
              </w:rPr>
            </w:pPr>
            <w:r>
              <w:rPr>
                <w:noProof/>
                <w:sz w:val="20"/>
              </w:rPr>
              <w:t xml:space="preserve">Фонд за спешни мерки, свързани със здравето на животните и </w:t>
            </w:r>
            <w:r>
              <w:rPr>
                <w:noProof/>
                <w:sz w:val="20"/>
              </w:rPr>
              <w:t>растенията</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right"/>
              <w:rPr>
                <w:noProof/>
                <w:sz w:val="20"/>
                <w:szCs w:val="20"/>
              </w:rPr>
            </w:pPr>
            <w:r>
              <w:rPr>
                <w:noProof/>
                <w:sz w:val="20"/>
              </w:rPr>
              <w:t>-9 600 000</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right"/>
              <w:rPr>
                <w:noProof/>
                <w:sz w:val="20"/>
                <w:szCs w:val="20"/>
              </w:rPr>
            </w:pPr>
            <w:r>
              <w:rPr>
                <w:noProof/>
                <w:sz w:val="20"/>
              </w:rPr>
              <w:t>-3 500 000</w:t>
            </w:r>
          </w:p>
        </w:tc>
      </w:tr>
      <w:tr w:rsidR="009A68E4">
        <w:tc>
          <w:tcPr>
            <w:tcW w:w="6521" w:type="dxa"/>
            <w:gridSpan w:val="2"/>
            <w:tcBorders>
              <w:top w:val="single" w:sz="4" w:space="0" w:color="auto"/>
              <w:left w:val="single" w:sz="4" w:space="0" w:color="auto"/>
              <w:bottom w:val="single" w:sz="4" w:space="0" w:color="auto"/>
              <w:right w:val="single" w:sz="4" w:space="0" w:color="auto"/>
            </w:tcBorders>
            <w:shd w:val="clear" w:color="auto" w:fill="D9D9D9"/>
          </w:tcPr>
          <w:p w:rsidR="009A68E4" w:rsidRDefault="00F15CB7">
            <w:pPr>
              <w:widowControl w:val="0"/>
              <w:tabs>
                <w:tab w:val="left" w:pos="975"/>
              </w:tabs>
              <w:spacing w:before="15" w:after="15"/>
              <w:jc w:val="both"/>
              <w:rPr>
                <w:b/>
                <w:noProof/>
                <w:sz w:val="20"/>
                <w:szCs w:val="20"/>
              </w:rPr>
            </w:pPr>
            <w:r>
              <w:rPr>
                <w:b/>
                <w:noProof/>
                <w:sz w:val="20"/>
              </w:rPr>
              <w:t>Общо</w:t>
            </w:r>
            <w:r>
              <w:rPr>
                <w:noProof/>
              </w:rPr>
              <w:tab/>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9A68E4" w:rsidRDefault="00F15CB7">
            <w:pPr>
              <w:widowControl w:val="0"/>
              <w:spacing w:before="15" w:after="15"/>
              <w:jc w:val="right"/>
              <w:rPr>
                <w:b/>
                <w:noProof/>
                <w:sz w:val="20"/>
                <w:szCs w:val="20"/>
              </w:rPr>
            </w:pPr>
            <w:r>
              <w:rPr>
                <w:b/>
                <w:noProof/>
                <w:sz w:val="20"/>
              </w:rPr>
              <w:t>-12 000 000</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9A68E4" w:rsidRDefault="00F15CB7">
            <w:pPr>
              <w:widowControl w:val="0"/>
              <w:spacing w:before="15" w:after="15"/>
              <w:jc w:val="right"/>
              <w:rPr>
                <w:b/>
                <w:noProof/>
                <w:sz w:val="20"/>
                <w:szCs w:val="20"/>
              </w:rPr>
            </w:pPr>
            <w:r>
              <w:rPr>
                <w:b/>
                <w:noProof/>
                <w:sz w:val="20"/>
              </w:rPr>
              <w:t>-3 500 000</w:t>
            </w:r>
          </w:p>
        </w:tc>
      </w:tr>
    </w:tbl>
    <w:p w:rsidR="009A68E4" w:rsidRDefault="00F15CB7">
      <w:pPr>
        <w:spacing w:before="120" w:after="120"/>
        <w:jc w:val="both"/>
        <w:rPr>
          <w:i/>
          <w:noProof/>
        </w:rPr>
      </w:pPr>
      <w:r>
        <w:rPr>
          <w:i/>
          <w:noProof/>
        </w:rPr>
        <w:t>3.3.5</w:t>
      </w:r>
      <w:r>
        <w:rPr>
          <w:noProof/>
        </w:rPr>
        <w:tab/>
      </w:r>
      <w:r>
        <w:rPr>
          <w:i/>
          <w:noProof/>
        </w:rPr>
        <w:t>Фонд „Солидарност“ на Европейския съюз</w:t>
      </w:r>
    </w:p>
    <w:bookmarkEnd w:id="26"/>
    <w:bookmarkEnd w:id="27"/>
    <w:p w:rsidR="009A68E4" w:rsidRDefault="00F15CB7">
      <w:pPr>
        <w:spacing w:after="120"/>
        <w:jc w:val="both"/>
        <w:rPr>
          <w:noProof/>
        </w:rPr>
      </w:pPr>
      <w:r>
        <w:rPr>
          <w:noProof/>
        </w:rPr>
        <w:t xml:space="preserve">Понастоящем няма подадени заявления за фонд „Солидарност“ на ЕС (ФСЕС), които да са в процес на разглеждане. Въз основа на наличната понастоящем </w:t>
      </w:r>
      <w:r>
        <w:rPr>
          <w:noProof/>
        </w:rPr>
        <w:t>информация за природните бедствия и поради момента на обработка на неочакваните заявления, които ще бъдат получени още през 2015 г., остатъкът от 33,7 млн. EUR бюджетни кредити за поети задължения и бюджетни кредити за плащания от авансовите средства на фо</w:t>
      </w:r>
      <w:r>
        <w:rPr>
          <w:noProof/>
        </w:rPr>
        <w:t>нд „Солидарност“ на ЕС за 2015 г. може да бъде предоставен за преразпределяне.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245"/>
        <w:gridCol w:w="1701"/>
        <w:gridCol w:w="1701"/>
      </w:tblGrid>
      <w:tr w:rsidR="009A68E4">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9A68E4" w:rsidRDefault="00F15CB7">
            <w:pPr>
              <w:widowControl w:val="0"/>
              <w:spacing w:before="15" w:after="15"/>
              <w:jc w:val="center"/>
              <w:rPr>
                <w:b/>
                <w:noProof/>
                <w:sz w:val="20"/>
                <w:szCs w:val="20"/>
              </w:rPr>
            </w:pPr>
            <w:r>
              <w:rPr>
                <w:b/>
                <w:noProof/>
                <w:sz w:val="20"/>
              </w:rPr>
              <w:t>Бюджетен ред</w:t>
            </w:r>
          </w:p>
        </w:tc>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9A68E4" w:rsidRDefault="00F15CB7">
            <w:pPr>
              <w:widowControl w:val="0"/>
              <w:spacing w:before="15" w:after="15"/>
              <w:jc w:val="center"/>
              <w:rPr>
                <w:b/>
                <w:noProof/>
                <w:sz w:val="20"/>
                <w:szCs w:val="20"/>
              </w:rPr>
            </w:pPr>
            <w:r>
              <w:rPr>
                <w:b/>
                <w:noProof/>
                <w:sz w:val="20"/>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9A68E4" w:rsidRDefault="00F15CB7">
            <w:pPr>
              <w:widowControl w:val="0"/>
              <w:spacing w:before="15" w:after="15"/>
              <w:jc w:val="center"/>
              <w:rPr>
                <w:b/>
                <w:noProof/>
                <w:sz w:val="20"/>
                <w:szCs w:val="20"/>
              </w:rPr>
            </w:pPr>
            <w:r>
              <w:rPr>
                <w:b/>
                <w:noProof/>
                <w:sz w:val="20"/>
              </w:rPr>
              <w:t>Бюджетни кредити за поети задължения</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9A68E4" w:rsidRDefault="00F15CB7">
            <w:pPr>
              <w:widowControl w:val="0"/>
              <w:spacing w:before="15" w:after="15"/>
              <w:jc w:val="center"/>
              <w:rPr>
                <w:b/>
                <w:noProof/>
                <w:sz w:val="20"/>
                <w:szCs w:val="20"/>
              </w:rPr>
            </w:pPr>
            <w:r>
              <w:rPr>
                <w:b/>
                <w:noProof/>
                <w:sz w:val="20"/>
              </w:rPr>
              <w:t>Бюджетни кредити за плащания</w:t>
            </w:r>
          </w:p>
        </w:tc>
      </w:tr>
      <w:tr w:rsidR="009A68E4">
        <w:tc>
          <w:tcPr>
            <w:tcW w:w="1276"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ind w:right="-113"/>
              <w:jc w:val="both"/>
              <w:rPr>
                <w:noProof/>
                <w:sz w:val="20"/>
                <w:szCs w:val="20"/>
              </w:rPr>
            </w:pPr>
            <w:r>
              <w:rPr>
                <w:noProof/>
                <w:sz w:val="20"/>
              </w:rPr>
              <w:t>13 06 01</w:t>
            </w:r>
          </w:p>
        </w:tc>
        <w:tc>
          <w:tcPr>
            <w:tcW w:w="5245" w:type="dxa"/>
            <w:tcBorders>
              <w:top w:val="single" w:sz="4" w:space="0" w:color="auto"/>
              <w:left w:val="single" w:sz="4" w:space="0" w:color="auto"/>
              <w:bottom w:val="single" w:sz="4" w:space="0" w:color="auto"/>
              <w:right w:val="single" w:sz="4" w:space="0" w:color="auto"/>
            </w:tcBorders>
          </w:tcPr>
          <w:p w:rsidR="009A68E4" w:rsidRDefault="00F15CB7">
            <w:pPr>
              <w:widowControl w:val="0"/>
              <w:tabs>
                <w:tab w:val="left" w:pos="1350"/>
              </w:tabs>
              <w:spacing w:before="15" w:after="15"/>
              <w:jc w:val="both"/>
              <w:rPr>
                <w:noProof/>
                <w:sz w:val="20"/>
                <w:szCs w:val="20"/>
              </w:rPr>
            </w:pPr>
            <w:r>
              <w:rPr>
                <w:noProof/>
                <w:sz w:val="20"/>
              </w:rPr>
              <w:t xml:space="preserve">Подпомагане на държавите членки в случай на мащабно природно бедствие със </w:t>
            </w:r>
            <w:r>
              <w:rPr>
                <w:noProof/>
                <w:sz w:val="20"/>
              </w:rPr>
              <w:t>сериозно отражение върху условията на живот, околната среда или икономиката</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right"/>
              <w:rPr>
                <w:noProof/>
                <w:sz w:val="20"/>
                <w:szCs w:val="20"/>
              </w:rPr>
            </w:pPr>
            <w:r>
              <w:rPr>
                <w:noProof/>
                <w:sz w:val="20"/>
              </w:rPr>
              <w:t>-33 725 235</w:t>
            </w:r>
          </w:p>
        </w:tc>
        <w:tc>
          <w:tcPr>
            <w:tcW w:w="1701" w:type="dxa"/>
            <w:tcBorders>
              <w:top w:val="single" w:sz="4" w:space="0" w:color="auto"/>
              <w:left w:val="single" w:sz="4" w:space="0" w:color="auto"/>
              <w:bottom w:val="single" w:sz="4" w:space="0" w:color="auto"/>
              <w:right w:val="single" w:sz="4" w:space="0" w:color="auto"/>
            </w:tcBorders>
          </w:tcPr>
          <w:p w:rsidR="009A68E4" w:rsidRDefault="00F15CB7">
            <w:pPr>
              <w:widowControl w:val="0"/>
              <w:spacing w:before="15" w:after="15"/>
              <w:jc w:val="right"/>
              <w:rPr>
                <w:noProof/>
                <w:sz w:val="20"/>
                <w:szCs w:val="20"/>
              </w:rPr>
            </w:pPr>
            <w:r>
              <w:rPr>
                <w:noProof/>
                <w:sz w:val="20"/>
              </w:rPr>
              <w:t>-33 725 235</w:t>
            </w:r>
          </w:p>
        </w:tc>
      </w:tr>
      <w:tr w:rsidR="009A68E4">
        <w:tc>
          <w:tcPr>
            <w:tcW w:w="6521" w:type="dxa"/>
            <w:gridSpan w:val="2"/>
            <w:tcBorders>
              <w:top w:val="single" w:sz="4" w:space="0" w:color="auto"/>
              <w:left w:val="single" w:sz="4" w:space="0" w:color="auto"/>
              <w:bottom w:val="single" w:sz="4" w:space="0" w:color="auto"/>
              <w:right w:val="single" w:sz="4" w:space="0" w:color="auto"/>
            </w:tcBorders>
            <w:shd w:val="clear" w:color="auto" w:fill="D9D9D9"/>
          </w:tcPr>
          <w:p w:rsidR="009A68E4" w:rsidRDefault="00F15CB7">
            <w:pPr>
              <w:widowControl w:val="0"/>
              <w:tabs>
                <w:tab w:val="left" w:pos="975"/>
              </w:tabs>
              <w:spacing w:before="15" w:after="15"/>
              <w:jc w:val="both"/>
              <w:rPr>
                <w:b/>
                <w:noProof/>
                <w:sz w:val="20"/>
                <w:szCs w:val="20"/>
              </w:rPr>
            </w:pPr>
            <w:r>
              <w:rPr>
                <w:b/>
                <w:noProof/>
                <w:sz w:val="20"/>
              </w:rPr>
              <w:t>Общо</w:t>
            </w:r>
            <w:r>
              <w:rPr>
                <w:noProof/>
              </w:rPr>
              <w:tab/>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9A68E4" w:rsidRDefault="00F15CB7">
            <w:pPr>
              <w:widowControl w:val="0"/>
              <w:spacing w:before="15" w:after="15"/>
              <w:jc w:val="right"/>
              <w:rPr>
                <w:b/>
                <w:noProof/>
                <w:sz w:val="20"/>
                <w:szCs w:val="20"/>
              </w:rPr>
            </w:pPr>
            <w:r>
              <w:rPr>
                <w:b/>
                <w:noProof/>
                <w:sz w:val="20"/>
              </w:rPr>
              <w:t>-33 725 235</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9A68E4" w:rsidRDefault="00F15CB7">
            <w:pPr>
              <w:widowControl w:val="0"/>
              <w:spacing w:before="15" w:after="15"/>
              <w:jc w:val="right"/>
              <w:rPr>
                <w:b/>
                <w:noProof/>
                <w:sz w:val="20"/>
                <w:szCs w:val="20"/>
              </w:rPr>
            </w:pPr>
            <w:r>
              <w:rPr>
                <w:b/>
                <w:noProof/>
                <w:sz w:val="20"/>
              </w:rPr>
              <w:t>-33 725 235</w:t>
            </w:r>
          </w:p>
        </w:tc>
      </w:tr>
    </w:tbl>
    <w:p w:rsidR="009A68E4" w:rsidRDefault="00F15CB7">
      <w:pPr>
        <w:spacing w:before="120" w:after="120"/>
        <w:jc w:val="both"/>
        <w:rPr>
          <w:bCs/>
          <w:noProof/>
        </w:rPr>
      </w:pPr>
      <w:r>
        <w:rPr>
          <w:noProof/>
        </w:rPr>
        <w:t xml:space="preserve">След като бъдат взети предвид всички посочени по-горе преразпределения на средства и необходимите увеличения на средствата, </w:t>
      </w:r>
      <w:r>
        <w:rPr>
          <w:noProof/>
        </w:rPr>
        <w:t>Комисията предлага да се мобилизира Инструментът за гъвкавост за сума от 66,1 млн. EUR по функция 3 (Сигурност и гражданство), след като бъде използван изцяло наличният марж (23,2 млн. EUR), за финансиране на спешните мерки по линия на ФУМИ и ФВС. Мобилизи</w:t>
      </w:r>
      <w:r>
        <w:rPr>
          <w:noProof/>
        </w:rPr>
        <w:t>рането на Инструмента за гъвкавост се предлага в отделен акт.</w:t>
      </w:r>
    </w:p>
    <w:p w:rsidR="009A68E4" w:rsidRDefault="00F15CB7">
      <w:pPr>
        <w:spacing w:before="120" w:after="120"/>
        <w:jc w:val="both"/>
        <w:rPr>
          <w:noProof/>
        </w:rPr>
      </w:pPr>
      <w:r>
        <w:rPr>
          <w:noProof/>
        </w:rPr>
        <w:t>Наличният марж под тавана за разходите по функция 4 (Глобална Европа) е достатъчен за покриване на допълнителните бюджетни кредити за поети задължения за Европейския инструмент за съседство.</w:t>
      </w:r>
    </w:p>
    <w:p w:rsidR="009A68E4" w:rsidRDefault="00F15CB7">
      <w:pPr>
        <w:rPr>
          <w:b/>
          <w:smallCaps/>
          <w:noProof/>
        </w:rPr>
      </w:pPr>
      <w:bookmarkStart w:id="28" w:name="_Toc400011652"/>
      <w:bookmarkStart w:id="29" w:name="_Toc418618202"/>
      <w:bookmarkStart w:id="30" w:name="_Toc430865954"/>
      <w:bookmarkStart w:id="31" w:name="_Toc430867532"/>
      <w:r>
        <w:rPr>
          <w:noProof/>
        </w:rPr>
        <w:br w:type="page"/>
      </w:r>
    </w:p>
    <w:p w:rsidR="009A68E4" w:rsidRDefault="00F15CB7">
      <w:pPr>
        <w:pStyle w:val="ManualHeading1"/>
        <w:spacing w:before="120"/>
        <w:ind w:left="0" w:firstLine="0"/>
        <w:rPr>
          <w:noProof/>
        </w:rPr>
      </w:pPr>
      <w:bookmarkStart w:id="32" w:name="_Toc430951515"/>
      <w:bookmarkStart w:id="33" w:name="_Toc431553533"/>
      <w:r w:rsidRPr="00F15CB7">
        <w:rPr>
          <w:noProof/>
        </w:rPr>
        <w:t>4</w:t>
      </w:r>
      <w:r>
        <w:rPr>
          <w:noProof/>
        </w:rPr>
        <w:t>.</w:t>
      </w:r>
      <w:r>
        <w:rPr>
          <w:noProof/>
        </w:rPr>
        <w:tab/>
        <w:t>Обобщаваща таблица по функции от МФР</w:t>
      </w:r>
      <w:bookmarkEnd w:id="28"/>
      <w:bookmarkEnd w:id="29"/>
      <w:bookmarkEnd w:id="30"/>
      <w:bookmarkEnd w:id="31"/>
      <w:bookmarkEnd w:id="32"/>
      <w:bookmarkEnd w:id="33"/>
    </w:p>
    <w:tbl>
      <w:tblPr>
        <w:tblW w:w="10504" w:type="dxa"/>
        <w:jc w:val="center"/>
        <w:tblInd w:w="93" w:type="dxa"/>
        <w:tblLook w:val="04A0" w:firstRow="1" w:lastRow="0" w:firstColumn="1" w:lastColumn="0" w:noHBand="0" w:noVBand="1"/>
      </w:tblPr>
      <w:tblGrid>
        <w:gridCol w:w="378"/>
        <w:gridCol w:w="2473"/>
        <w:gridCol w:w="1365"/>
        <w:gridCol w:w="1327"/>
        <w:gridCol w:w="1134"/>
        <w:gridCol w:w="1134"/>
        <w:gridCol w:w="1366"/>
        <w:gridCol w:w="1327"/>
      </w:tblGrid>
      <w:tr w:rsidR="009A68E4">
        <w:trPr>
          <w:trHeight w:val="300"/>
          <w:jc w:val="center"/>
        </w:trPr>
        <w:tc>
          <w:tcPr>
            <w:tcW w:w="2850"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rsidR="009A68E4" w:rsidRDefault="00F15CB7">
            <w:pPr>
              <w:jc w:val="center"/>
              <w:rPr>
                <w:b/>
                <w:bCs/>
                <w:noProof/>
                <w:color w:val="000000"/>
                <w:sz w:val="16"/>
                <w:szCs w:val="16"/>
              </w:rPr>
            </w:pPr>
            <w:r>
              <w:rPr>
                <w:b/>
                <w:noProof/>
                <w:color w:val="000000"/>
                <w:sz w:val="16"/>
              </w:rPr>
              <w:t>Функция</w:t>
            </w:r>
          </w:p>
        </w:tc>
        <w:tc>
          <w:tcPr>
            <w:tcW w:w="2693" w:type="dxa"/>
            <w:gridSpan w:val="2"/>
            <w:tcBorders>
              <w:top w:val="single" w:sz="4" w:space="0" w:color="auto"/>
              <w:left w:val="nil"/>
              <w:bottom w:val="nil"/>
              <w:right w:val="single" w:sz="4" w:space="0" w:color="000000"/>
            </w:tcBorders>
            <w:shd w:val="clear" w:color="000000" w:fill="D9D9D9"/>
            <w:vAlign w:val="center"/>
            <w:hideMark/>
          </w:tcPr>
          <w:p w:rsidR="009A68E4" w:rsidRDefault="00F15CB7">
            <w:pPr>
              <w:jc w:val="center"/>
              <w:rPr>
                <w:b/>
                <w:bCs/>
                <w:noProof/>
                <w:color w:val="000000"/>
                <w:sz w:val="16"/>
                <w:szCs w:val="16"/>
              </w:rPr>
            </w:pPr>
            <w:r>
              <w:rPr>
                <w:b/>
                <w:noProof/>
                <w:color w:val="000000"/>
                <w:sz w:val="16"/>
              </w:rPr>
              <w:t>Бюджет за 2015 г.</w:t>
            </w:r>
          </w:p>
        </w:tc>
        <w:tc>
          <w:tcPr>
            <w:tcW w:w="2268"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9A68E4" w:rsidRDefault="00F15CB7">
            <w:pPr>
              <w:jc w:val="center"/>
              <w:rPr>
                <w:b/>
                <w:bCs/>
                <w:noProof/>
                <w:color w:val="000000"/>
                <w:sz w:val="16"/>
                <w:szCs w:val="16"/>
              </w:rPr>
            </w:pPr>
            <w:r>
              <w:rPr>
                <w:b/>
                <w:noProof/>
                <w:color w:val="000000"/>
                <w:sz w:val="16"/>
              </w:rPr>
              <w:t>Проект на коригиращ бюджет 7/2015</w:t>
            </w:r>
          </w:p>
        </w:tc>
        <w:tc>
          <w:tcPr>
            <w:tcW w:w="2693" w:type="dxa"/>
            <w:gridSpan w:val="2"/>
            <w:tcBorders>
              <w:top w:val="single" w:sz="4" w:space="0" w:color="auto"/>
              <w:left w:val="nil"/>
              <w:bottom w:val="nil"/>
              <w:right w:val="single" w:sz="4" w:space="0" w:color="000000"/>
            </w:tcBorders>
            <w:shd w:val="clear" w:color="000000" w:fill="D9D9D9"/>
            <w:vAlign w:val="center"/>
            <w:hideMark/>
          </w:tcPr>
          <w:p w:rsidR="009A68E4" w:rsidRDefault="00F15CB7">
            <w:pPr>
              <w:jc w:val="center"/>
              <w:rPr>
                <w:b/>
                <w:bCs/>
                <w:noProof/>
                <w:color w:val="000000"/>
                <w:sz w:val="16"/>
                <w:szCs w:val="16"/>
              </w:rPr>
            </w:pPr>
            <w:r>
              <w:rPr>
                <w:b/>
                <w:noProof/>
                <w:color w:val="000000"/>
                <w:sz w:val="16"/>
              </w:rPr>
              <w:t>Бюджет за 2015 г.</w:t>
            </w:r>
          </w:p>
        </w:tc>
      </w:tr>
      <w:tr w:rsidR="009A68E4">
        <w:trPr>
          <w:trHeight w:val="255"/>
          <w:jc w:val="center"/>
        </w:trPr>
        <w:tc>
          <w:tcPr>
            <w:tcW w:w="2850" w:type="dxa"/>
            <w:gridSpan w:val="2"/>
            <w:vMerge/>
            <w:tcBorders>
              <w:top w:val="single" w:sz="4" w:space="0" w:color="auto"/>
              <w:left w:val="single" w:sz="4" w:space="0" w:color="auto"/>
              <w:bottom w:val="nil"/>
              <w:right w:val="single" w:sz="4" w:space="0" w:color="000000"/>
            </w:tcBorders>
            <w:vAlign w:val="center"/>
            <w:hideMark/>
          </w:tcPr>
          <w:p w:rsidR="009A68E4" w:rsidRDefault="009A68E4">
            <w:pPr>
              <w:rPr>
                <w:b/>
                <w:bCs/>
                <w:noProof/>
                <w:color w:val="000000"/>
                <w:sz w:val="16"/>
                <w:szCs w:val="16"/>
              </w:rPr>
            </w:pPr>
          </w:p>
        </w:tc>
        <w:tc>
          <w:tcPr>
            <w:tcW w:w="2693" w:type="dxa"/>
            <w:gridSpan w:val="2"/>
            <w:tcBorders>
              <w:top w:val="nil"/>
              <w:left w:val="nil"/>
              <w:bottom w:val="single" w:sz="4" w:space="0" w:color="auto"/>
              <w:right w:val="single" w:sz="4" w:space="0" w:color="000000"/>
            </w:tcBorders>
            <w:shd w:val="clear" w:color="000000" w:fill="D9D9D9"/>
            <w:vAlign w:val="center"/>
            <w:hideMark/>
          </w:tcPr>
          <w:p w:rsidR="009A68E4" w:rsidRDefault="00F15CB7">
            <w:pPr>
              <w:jc w:val="center"/>
              <w:rPr>
                <w:b/>
                <w:bCs/>
                <w:noProof/>
                <w:color w:val="000000"/>
                <w:sz w:val="16"/>
                <w:szCs w:val="16"/>
              </w:rPr>
            </w:pPr>
            <w:r>
              <w:rPr>
                <w:b/>
                <w:noProof/>
                <w:color w:val="000000"/>
                <w:sz w:val="16"/>
              </w:rPr>
              <w:t>(вкл. КБ 1—5 и ПКБ 6/2015)</w:t>
            </w:r>
          </w:p>
        </w:tc>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rsidR="009A68E4" w:rsidRDefault="009A68E4">
            <w:pPr>
              <w:rPr>
                <w:b/>
                <w:bCs/>
                <w:noProof/>
                <w:color w:val="000000"/>
                <w:sz w:val="16"/>
                <w:szCs w:val="16"/>
              </w:rPr>
            </w:pPr>
          </w:p>
        </w:tc>
        <w:tc>
          <w:tcPr>
            <w:tcW w:w="2693" w:type="dxa"/>
            <w:gridSpan w:val="2"/>
            <w:tcBorders>
              <w:top w:val="nil"/>
              <w:left w:val="nil"/>
              <w:bottom w:val="single" w:sz="4" w:space="0" w:color="auto"/>
              <w:right w:val="single" w:sz="4" w:space="0" w:color="000000"/>
            </w:tcBorders>
            <w:shd w:val="clear" w:color="000000" w:fill="D9D9D9"/>
            <w:vAlign w:val="center"/>
            <w:hideMark/>
          </w:tcPr>
          <w:p w:rsidR="009A68E4" w:rsidRDefault="00F15CB7">
            <w:pPr>
              <w:jc w:val="center"/>
              <w:rPr>
                <w:b/>
                <w:bCs/>
                <w:noProof/>
                <w:color w:val="000000"/>
                <w:sz w:val="16"/>
                <w:szCs w:val="16"/>
              </w:rPr>
            </w:pPr>
            <w:r>
              <w:rPr>
                <w:b/>
                <w:noProof/>
                <w:color w:val="000000"/>
                <w:sz w:val="16"/>
              </w:rPr>
              <w:t>(вкл. КБ 1—5, ПКБ 6 и 7/2015)</w:t>
            </w:r>
          </w:p>
        </w:tc>
      </w:tr>
      <w:tr w:rsidR="009A68E4">
        <w:trPr>
          <w:trHeight w:val="300"/>
          <w:jc w:val="center"/>
        </w:trPr>
        <w:tc>
          <w:tcPr>
            <w:tcW w:w="2850" w:type="dxa"/>
            <w:gridSpan w:val="2"/>
            <w:vMerge/>
            <w:tcBorders>
              <w:top w:val="single" w:sz="4" w:space="0" w:color="auto"/>
              <w:left w:val="single" w:sz="4" w:space="0" w:color="auto"/>
              <w:bottom w:val="nil"/>
              <w:right w:val="single" w:sz="4" w:space="0" w:color="000000"/>
            </w:tcBorders>
            <w:vAlign w:val="center"/>
            <w:hideMark/>
          </w:tcPr>
          <w:p w:rsidR="009A68E4" w:rsidRDefault="009A68E4">
            <w:pPr>
              <w:rPr>
                <w:b/>
                <w:bCs/>
                <w:noProof/>
                <w:color w:val="000000"/>
                <w:sz w:val="16"/>
                <w:szCs w:val="16"/>
              </w:rPr>
            </w:pPr>
          </w:p>
        </w:tc>
        <w:tc>
          <w:tcPr>
            <w:tcW w:w="1366" w:type="dxa"/>
            <w:tcBorders>
              <w:top w:val="nil"/>
              <w:left w:val="nil"/>
              <w:bottom w:val="nil"/>
              <w:right w:val="single" w:sz="4" w:space="0" w:color="auto"/>
            </w:tcBorders>
            <w:shd w:val="clear" w:color="000000" w:fill="D9D9D9"/>
            <w:vAlign w:val="center"/>
            <w:hideMark/>
          </w:tcPr>
          <w:p w:rsidR="009A68E4" w:rsidRDefault="00F15CB7">
            <w:pPr>
              <w:jc w:val="center"/>
              <w:rPr>
                <w:b/>
                <w:bCs/>
                <w:noProof/>
                <w:color w:val="000000"/>
                <w:sz w:val="16"/>
                <w:szCs w:val="16"/>
              </w:rPr>
            </w:pPr>
            <w:r>
              <w:rPr>
                <w:b/>
                <w:noProof/>
                <w:color w:val="000000"/>
                <w:sz w:val="16"/>
              </w:rPr>
              <w:t>БКПЗ</w:t>
            </w:r>
          </w:p>
        </w:tc>
        <w:tc>
          <w:tcPr>
            <w:tcW w:w="1327" w:type="dxa"/>
            <w:tcBorders>
              <w:top w:val="nil"/>
              <w:left w:val="nil"/>
              <w:bottom w:val="single" w:sz="4" w:space="0" w:color="auto"/>
              <w:right w:val="single" w:sz="4" w:space="0" w:color="auto"/>
            </w:tcBorders>
            <w:shd w:val="clear" w:color="000000" w:fill="D9D9D9"/>
            <w:vAlign w:val="center"/>
            <w:hideMark/>
          </w:tcPr>
          <w:p w:rsidR="009A68E4" w:rsidRDefault="00F15CB7">
            <w:pPr>
              <w:jc w:val="center"/>
              <w:rPr>
                <w:b/>
                <w:bCs/>
                <w:noProof/>
                <w:color w:val="000000"/>
                <w:sz w:val="16"/>
                <w:szCs w:val="16"/>
              </w:rPr>
            </w:pPr>
            <w:r>
              <w:rPr>
                <w:b/>
                <w:noProof/>
                <w:color w:val="000000"/>
                <w:sz w:val="16"/>
              </w:rPr>
              <w:t>БКП</w:t>
            </w:r>
          </w:p>
        </w:tc>
        <w:tc>
          <w:tcPr>
            <w:tcW w:w="1134" w:type="dxa"/>
            <w:tcBorders>
              <w:top w:val="nil"/>
              <w:left w:val="nil"/>
              <w:bottom w:val="single" w:sz="4" w:space="0" w:color="auto"/>
              <w:right w:val="single" w:sz="4" w:space="0" w:color="auto"/>
            </w:tcBorders>
            <w:shd w:val="clear" w:color="000000" w:fill="D9D9D9"/>
            <w:vAlign w:val="center"/>
            <w:hideMark/>
          </w:tcPr>
          <w:p w:rsidR="009A68E4" w:rsidRDefault="00F15CB7">
            <w:pPr>
              <w:jc w:val="center"/>
              <w:rPr>
                <w:b/>
                <w:bCs/>
                <w:noProof/>
                <w:color w:val="000000"/>
                <w:sz w:val="16"/>
                <w:szCs w:val="16"/>
              </w:rPr>
            </w:pPr>
            <w:r>
              <w:rPr>
                <w:b/>
                <w:noProof/>
                <w:color w:val="000000"/>
                <w:sz w:val="16"/>
              </w:rPr>
              <w:t>БКПЗ</w:t>
            </w:r>
          </w:p>
        </w:tc>
        <w:tc>
          <w:tcPr>
            <w:tcW w:w="1134" w:type="dxa"/>
            <w:tcBorders>
              <w:top w:val="nil"/>
              <w:left w:val="nil"/>
              <w:bottom w:val="single" w:sz="4" w:space="0" w:color="auto"/>
              <w:right w:val="single" w:sz="4" w:space="0" w:color="auto"/>
            </w:tcBorders>
            <w:shd w:val="clear" w:color="000000" w:fill="D9D9D9"/>
            <w:vAlign w:val="center"/>
            <w:hideMark/>
          </w:tcPr>
          <w:p w:rsidR="009A68E4" w:rsidRDefault="00F15CB7">
            <w:pPr>
              <w:jc w:val="center"/>
              <w:rPr>
                <w:b/>
                <w:bCs/>
                <w:noProof/>
                <w:color w:val="000000"/>
                <w:sz w:val="16"/>
                <w:szCs w:val="16"/>
              </w:rPr>
            </w:pPr>
            <w:r>
              <w:rPr>
                <w:b/>
                <w:noProof/>
                <w:color w:val="000000"/>
                <w:sz w:val="16"/>
              </w:rPr>
              <w:t>БКП</w:t>
            </w:r>
          </w:p>
        </w:tc>
        <w:tc>
          <w:tcPr>
            <w:tcW w:w="1366" w:type="dxa"/>
            <w:tcBorders>
              <w:top w:val="nil"/>
              <w:left w:val="nil"/>
              <w:bottom w:val="single" w:sz="4" w:space="0" w:color="auto"/>
              <w:right w:val="single" w:sz="4" w:space="0" w:color="auto"/>
            </w:tcBorders>
            <w:shd w:val="clear" w:color="000000" w:fill="D9D9D9"/>
            <w:vAlign w:val="center"/>
            <w:hideMark/>
          </w:tcPr>
          <w:p w:rsidR="009A68E4" w:rsidRDefault="00F15CB7">
            <w:pPr>
              <w:jc w:val="center"/>
              <w:rPr>
                <w:b/>
                <w:bCs/>
                <w:noProof/>
                <w:color w:val="000000"/>
                <w:sz w:val="16"/>
                <w:szCs w:val="16"/>
              </w:rPr>
            </w:pPr>
            <w:r>
              <w:rPr>
                <w:b/>
                <w:noProof/>
                <w:color w:val="000000"/>
                <w:sz w:val="16"/>
              </w:rPr>
              <w:t>БКПЗ</w:t>
            </w:r>
          </w:p>
        </w:tc>
        <w:tc>
          <w:tcPr>
            <w:tcW w:w="1327" w:type="dxa"/>
            <w:tcBorders>
              <w:top w:val="nil"/>
              <w:left w:val="nil"/>
              <w:bottom w:val="single" w:sz="4" w:space="0" w:color="auto"/>
              <w:right w:val="single" w:sz="4" w:space="0" w:color="auto"/>
            </w:tcBorders>
            <w:shd w:val="clear" w:color="000000" w:fill="D9D9D9"/>
            <w:vAlign w:val="center"/>
            <w:hideMark/>
          </w:tcPr>
          <w:p w:rsidR="009A68E4" w:rsidRDefault="00F15CB7">
            <w:pPr>
              <w:jc w:val="center"/>
              <w:rPr>
                <w:b/>
                <w:bCs/>
                <w:noProof/>
                <w:color w:val="000000"/>
                <w:sz w:val="16"/>
                <w:szCs w:val="16"/>
              </w:rPr>
            </w:pPr>
            <w:r>
              <w:rPr>
                <w:b/>
                <w:noProof/>
                <w:color w:val="000000"/>
                <w:sz w:val="16"/>
              </w:rPr>
              <w:t>БКП</w:t>
            </w:r>
          </w:p>
        </w:tc>
      </w:tr>
      <w:tr w:rsidR="009A68E4">
        <w:trPr>
          <w:trHeight w:val="270"/>
          <w:jc w:val="center"/>
        </w:trPr>
        <w:tc>
          <w:tcPr>
            <w:tcW w:w="376" w:type="dxa"/>
            <w:tcBorders>
              <w:top w:val="single" w:sz="4" w:space="0" w:color="auto"/>
              <w:left w:val="single" w:sz="4" w:space="0" w:color="auto"/>
              <w:bottom w:val="dotted" w:sz="4" w:space="0" w:color="auto"/>
              <w:right w:val="nil"/>
            </w:tcBorders>
            <w:shd w:val="clear" w:color="auto" w:fill="auto"/>
            <w:vAlign w:val="bottom"/>
            <w:hideMark/>
          </w:tcPr>
          <w:p w:rsidR="009A68E4" w:rsidRDefault="00F15CB7">
            <w:pPr>
              <w:rPr>
                <w:b/>
                <w:bCs/>
                <w:noProof/>
                <w:color w:val="000000"/>
                <w:sz w:val="16"/>
                <w:szCs w:val="16"/>
              </w:rPr>
            </w:pPr>
            <w:r>
              <w:rPr>
                <w:b/>
                <w:noProof/>
                <w:color w:val="000000"/>
                <w:sz w:val="16"/>
              </w:rPr>
              <w:t>1.</w:t>
            </w:r>
          </w:p>
        </w:tc>
        <w:tc>
          <w:tcPr>
            <w:tcW w:w="2474" w:type="dxa"/>
            <w:tcBorders>
              <w:top w:val="single" w:sz="4" w:space="0" w:color="auto"/>
              <w:left w:val="nil"/>
              <w:bottom w:val="dotted" w:sz="4" w:space="0" w:color="auto"/>
              <w:right w:val="single" w:sz="4" w:space="0" w:color="auto"/>
            </w:tcBorders>
            <w:shd w:val="clear" w:color="auto" w:fill="auto"/>
            <w:vAlign w:val="bottom"/>
            <w:hideMark/>
          </w:tcPr>
          <w:p w:rsidR="009A68E4" w:rsidRDefault="00F15CB7">
            <w:pPr>
              <w:rPr>
                <w:b/>
                <w:bCs/>
                <w:noProof/>
                <w:color w:val="000000"/>
                <w:sz w:val="16"/>
                <w:szCs w:val="16"/>
              </w:rPr>
            </w:pPr>
            <w:r>
              <w:rPr>
                <w:b/>
                <w:noProof/>
                <w:color w:val="000000"/>
                <w:sz w:val="16"/>
              </w:rPr>
              <w:t>Интелигентен и приобщаващ растеж</w:t>
            </w:r>
          </w:p>
        </w:tc>
        <w:tc>
          <w:tcPr>
            <w:tcW w:w="1366" w:type="dxa"/>
            <w:tcBorders>
              <w:top w:val="single" w:sz="4" w:space="0" w:color="auto"/>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 xml:space="preserve">77 954 679 </w:t>
            </w:r>
            <w:r>
              <w:rPr>
                <w:b/>
                <w:noProof/>
                <w:color w:val="000000"/>
                <w:sz w:val="16"/>
              </w:rPr>
              <w:t>684</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66 853 308 910</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 xml:space="preserve">   </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77 954 679 684</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66 853 308 910</w:t>
            </w:r>
          </w:p>
        </w:tc>
      </w:tr>
      <w:tr w:rsidR="009A68E4">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9A68E4" w:rsidRDefault="00F15CB7">
            <w:pPr>
              <w:jc w:val="right"/>
              <w:rPr>
                <w:i/>
                <w:iCs/>
                <w:noProof/>
                <w:color w:val="000000"/>
                <w:sz w:val="16"/>
                <w:szCs w:val="16"/>
              </w:rPr>
            </w:pPr>
            <w:r>
              <w:rPr>
                <w:i/>
                <w:noProof/>
                <w:color w:val="000000"/>
                <w:sz w:val="16"/>
              </w:rPr>
              <w:t>От които по Инструмента за гъвкавост</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xml:space="preserve"> 83 285 595</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xml:space="preserve"> 83 285 595</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r>
      <w:tr w:rsidR="009A68E4">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9A68E4" w:rsidRDefault="00F15CB7">
            <w:pPr>
              <w:jc w:val="right"/>
              <w:rPr>
                <w:i/>
                <w:iCs/>
                <w:noProof/>
                <w:color w:val="000000"/>
                <w:sz w:val="16"/>
                <w:szCs w:val="16"/>
              </w:rPr>
            </w:pPr>
            <w:r>
              <w:rPr>
                <w:i/>
                <w:noProof/>
                <w:color w:val="000000"/>
                <w:sz w:val="16"/>
              </w:rPr>
              <w:t xml:space="preserve">Таван </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77 986 000 000</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77 986 000 000</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r>
      <w:tr w:rsidR="009A68E4">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9A68E4" w:rsidRDefault="00F15CB7">
            <w:pPr>
              <w:jc w:val="right"/>
              <w:rPr>
                <w:i/>
                <w:iCs/>
                <w:noProof/>
                <w:color w:val="000000"/>
                <w:sz w:val="16"/>
                <w:szCs w:val="16"/>
              </w:rPr>
            </w:pPr>
            <w:r>
              <w:rPr>
                <w:i/>
                <w:noProof/>
                <w:color w:val="000000"/>
                <w:sz w:val="16"/>
              </w:rPr>
              <w:t>Марж</w:t>
            </w:r>
          </w:p>
        </w:tc>
        <w:tc>
          <w:tcPr>
            <w:tcW w:w="1366"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xml:space="preserve"> 114 605 911</w:t>
            </w:r>
          </w:p>
        </w:tc>
        <w:tc>
          <w:tcPr>
            <w:tcW w:w="1327"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366"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xml:space="preserve"> 114 605 911</w:t>
            </w:r>
          </w:p>
        </w:tc>
        <w:tc>
          <w:tcPr>
            <w:tcW w:w="1327"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r>
      <w:tr w:rsidR="009A68E4">
        <w:trPr>
          <w:trHeight w:val="270"/>
          <w:jc w:val="center"/>
        </w:trPr>
        <w:tc>
          <w:tcPr>
            <w:tcW w:w="376" w:type="dxa"/>
            <w:tcBorders>
              <w:top w:val="nil"/>
              <w:left w:val="single" w:sz="4" w:space="0" w:color="auto"/>
              <w:bottom w:val="dotted" w:sz="4" w:space="0" w:color="auto"/>
              <w:right w:val="nil"/>
            </w:tcBorders>
            <w:shd w:val="clear" w:color="auto" w:fill="auto"/>
            <w:vAlign w:val="bottom"/>
            <w:hideMark/>
          </w:tcPr>
          <w:p w:rsidR="009A68E4" w:rsidRDefault="00F15CB7">
            <w:pPr>
              <w:rPr>
                <w:noProof/>
                <w:color w:val="000000"/>
                <w:sz w:val="16"/>
                <w:szCs w:val="16"/>
              </w:rPr>
            </w:pPr>
            <w:r>
              <w:rPr>
                <w:noProof/>
                <w:color w:val="000000"/>
                <w:sz w:val="16"/>
              </w:rPr>
              <w:t>1a</w:t>
            </w:r>
          </w:p>
        </w:tc>
        <w:tc>
          <w:tcPr>
            <w:tcW w:w="2474" w:type="dxa"/>
            <w:tcBorders>
              <w:top w:val="nil"/>
              <w:left w:val="nil"/>
              <w:bottom w:val="dotted" w:sz="4" w:space="0" w:color="auto"/>
              <w:right w:val="single" w:sz="4" w:space="0" w:color="auto"/>
            </w:tcBorders>
            <w:shd w:val="clear" w:color="auto" w:fill="auto"/>
            <w:vAlign w:val="bottom"/>
            <w:hideMark/>
          </w:tcPr>
          <w:p w:rsidR="009A68E4" w:rsidRDefault="00F15CB7">
            <w:pPr>
              <w:rPr>
                <w:noProof/>
                <w:color w:val="000000"/>
                <w:sz w:val="16"/>
                <w:szCs w:val="16"/>
              </w:rPr>
            </w:pPr>
            <w:r>
              <w:rPr>
                <w:noProof/>
                <w:color w:val="000000"/>
                <w:sz w:val="16"/>
              </w:rPr>
              <w:t xml:space="preserve">Конкурентоспособност за растеж и работни </w:t>
            </w:r>
            <w:r>
              <w:rPr>
                <w:noProof/>
                <w:color w:val="000000"/>
                <w:sz w:val="16"/>
              </w:rPr>
              <w:t>места</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noProof/>
                <w:color w:val="000000"/>
                <w:sz w:val="16"/>
                <w:szCs w:val="16"/>
              </w:rPr>
            </w:pPr>
            <w:r>
              <w:rPr>
                <w:noProof/>
                <w:color w:val="000000"/>
                <w:sz w:val="16"/>
              </w:rPr>
              <w:t>17 551 688 425</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noProof/>
                <w:color w:val="000000"/>
                <w:sz w:val="16"/>
                <w:szCs w:val="16"/>
              </w:rPr>
            </w:pPr>
            <w:r>
              <w:rPr>
                <w:noProof/>
                <w:color w:val="000000"/>
                <w:sz w:val="16"/>
              </w:rPr>
              <w:t>15 728 578 894</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noProof/>
                <w:color w:val="000000"/>
                <w:sz w:val="16"/>
                <w:szCs w:val="16"/>
              </w:rPr>
            </w:pPr>
            <w:r>
              <w:rPr>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 </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noProof/>
                <w:color w:val="000000"/>
                <w:sz w:val="16"/>
                <w:szCs w:val="16"/>
              </w:rPr>
            </w:pPr>
            <w:r>
              <w:rPr>
                <w:noProof/>
                <w:color w:val="000000"/>
                <w:sz w:val="16"/>
              </w:rPr>
              <w:t>17 551 688 425</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noProof/>
                <w:color w:val="000000"/>
                <w:sz w:val="16"/>
                <w:szCs w:val="16"/>
              </w:rPr>
            </w:pPr>
            <w:r>
              <w:rPr>
                <w:noProof/>
                <w:color w:val="000000"/>
                <w:sz w:val="16"/>
              </w:rPr>
              <w:t>15 728 578 894</w:t>
            </w:r>
          </w:p>
        </w:tc>
      </w:tr>
      <w:tr w:rsidR="009A68E4">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9A68E4" w:rsidRDefault="00F15CB7">
            <w:pPr>
              <w:jc w:val="right"/>
              <w:rPr>
                <w:i/>
                <w:iCs/>
                <w:noProof/>
                <w:color w:val="000000"/>
                <w:sz w:val="16"/>
                <w:szCs w:val="16"/>
              </w:rPr>
            </w:pPr>
            <w:r>
              <w:rPr>
                <w:i/>
                <w:noProof/>
                <w:color w:val="000000"/>
                <w:sz w:val="16"/>
              </w:rPr>
              <w:t>Таван</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17 666 000 000</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17 666 000 000</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r>
      <w:tr w:rsidR="009A68E4">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9A68E4" w:rsidRDefault="00F15CB7">
            <w:pPr>
              <w:jc w:val="right"/>
              <w:rPr>
                <w:i/>
                <w:iCs/>
                <w:noProof/>
                <w:color w:val="000000"/>
                <w:sz w:val="16"/>
                <w:szCs w:val="16"/>
              </w:rPr>
            </w:pPr>
            <w:r>
              <w:rPr>
                <w:i/>
                <w:noProof/>
                <w:color w:val="000000"/>
                <w:sz w:val="16"/>
              </w:rPr>
              <w:t>Марж</w:t>
            </w:r>
          </w:p>
        </w:tc>
        <w:tc>
          <w:tcPr>
            <w:tcW w:w="1366"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xml:space="preserve"> 114 311 575</w:t>
            </w:r>
          </w:p>
        </w:tc>
        <w:tc>
          <w:tcPr>
            <w:tcW w:w="1327"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366"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xml:space="preserve"> 114 311 575</w:t>
            </w:r>
          </w:p>
        </w:tc>
        <w:tc>
          <w:tcPr>
            <w:tcW w:w="1327"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r>
      <w:tr w:rsidR="009A68E4">
        <w:trPr>
          <w:trHeight w:val="270"/>
          <w:jc w:val="center"/>
        </w:trPr>
        <w:tc>
          <w:tcPr>
            <w:tcW w:w="376" w:type="dxa"/>
            <w:tcBorders>
              <w:top w:val="nil"/>
              <w:left w:val="single" w:sz="4" w:space="0" w:color="auto"/>
              <w:bottom w:val="dotted" w:sz="4" w:space="0" w:color="auto"/>
              <w:right w:val="nil"/>
            </w:tcBorders>
            <w:shd w:val="clear" w:color="auto" w:fill="auto"/>
            <w:vAlign w:val="bottom"/>
            <w:hideMark/>
          </w:tcPr>
          <w:p w:rsidR="009A68E4" w:rsidRDefault="00F15CB7">
            <w:pPr>
              <w:rPr>
                <w:noProof/>
                <w:color w:val="000000"/>
                <w:sz w:val="16"/>
                <w:szCs w:val="16"/>
              </w:rPr>
            </w:pPr>
            <w:r>
              <w:rPr>
                <w:noProof/>
                <w:color w:val="000000"/>
                <w:sz w:val="16"/>
              </w:rPr>
              <w:t xml:space="preserve">1б </w:t>
            </w:r>
          </w:p>
        </w:tc>
        <w:tc>
          <w:tcPr>
            <w:tcW w:w="2474" w:type="dxa"/>
            <w:tcBorders>
              <w:top w:val="nil"/>
              <w:left w:val="nil"/>
              <w:bottom w:val="dotted" w:sz="4" w:space="0" w:color="auto"/>
              <w:right w:val="single" w:sz="4" w:space="0" w:color="auto"/>
            </w:tcBorders>
            <w:shd w:val="clear" w:color="auto" w:fill="auto"/>
            <w:vAlign w:val="bottom"/>
            <w:hideMark/>
          </w:tcPr>
          <w:p w:rsidR="009A68E4" w:rsidRDefault="00F15CB7">
            <w:pPr>
              <w:rPr>
                <w:noProof/>
                <w:color w:val="000000"/>
                <w:sz w:val="16"/>
                <w:szCs w:val="16"/>
              </w:rPr>
            </w:pPr>
            <w:r>
              <w:rPr>
                <w:noProof/>
                <w:color w:val="000000"/>
                <w:sz w:val="16"/>
              </w:rPr>
              <w:t>Икономическо, социално и териториално сближаване</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noProof/>
                <w:color w:val="000000"/>
                <w:sz w:val="16"/>
                <w:szCs w:val="16"/>
              </w:rPr>
            </w:pPr>
            <w:r>
              <w:rPr>
                <w:noProof/>
                <w:color w:val="000000"/>
                <w:sz w:val="16"/>
              </w:rPr>
              <w:t>60 402 991 259</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noProof/>
                <w:color w:val="000000"/>
                <w:sz w:val="16"/>
                <w:szCs w:val="16"/>
              </w:rPr>
            </w:pPr>
            <w:r>
              <w:rPr>
                <w:noProof/>
                <w:color w:val="000000"/>
                <w:sz w:val="16"/>
              </w:rPr>
              <w:t>51 124 730 016</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noProof/>
                <w:color w:val="000000"/>
                <w:sz w:val="16"/>
                <w:szCs w:val="16"/>
              </w:rPr>
            </w:pPr>
            <w:r>
              <w:rPr>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noProof/>
                <w:color w:val="000000"/>
                <w:sz w:val="16"/>
                <w:szCs w:val="16"/>
              </w:rPr>
            </w:pPr>
            <w:r>
              <w:rPr>
                <w:noProof/>
                <w:color w:val="000000"/>
                <w:sz w:val="16"/>
              </w:rPr>
              <w:t> </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noProof/>
                <w:color w:val="000000"/>
                <w:sz w:val="16"/>
                <w:szCs w:val="16"/>
              </w:rPr>
            </w:pPr>
            <w:r>
              <w:rPr>
                <w:noProof/>
                <w:color w:val="000000"/>
                <w:sz w:val="16"/>
              </w:rPr>
              <w:t xml:space="preserve">60 402 991 </w:t>
            </w:r>
            <w:r>
              <w:rPr>
                <w:noProof/>
                <w:color w:val="000000"/>
                <w:sz w:val="16"/>
              </w:rPr>
              <w:t>259</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noProof/>
                <w:color w:val="000000"/>
                <w:sz w:val="16"/>
                <w:szCs w:val="16"/>
              </w:rPr>
            </w:pPr>
            <w:r>
              <w:rPr>
                <w:noProof/>
                <w:color w:val="000000"/>
                <w:sz w:val="16"/>
              </w:rPr>
              <w:t>51 124 730 016</w:t>
            </w:r>
          </w:p>
        </w:tc>
      </w:tr>
      <w:tr w:rsidR="009A68E4">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9A68E4" w:rsidRDefault="00F15CB7">
            <w:pPr>
              <w:jc w:val="right"/>
              <w:rPr>
                <w:i/>
                <w:iCs/>
                <w:noProof/>
                <w:color w:val="000000"/>
                <w:sz w:val="16"/>
                <w:szCs w:val="16"/>
              </w:rPr>
            </w:pPr>
            <w:r>
              <w:rPr>
                <w:i/>
                <w:noProof/>
                <w:color w:val="000000"/>
                <w:sz w:val="16"/>
              </w:rPr>
              <w:t>От които по Инструмента за гъвкавост</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xml:space="preserve"> 83 285 595</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xml:space="preserve"> 83 285 595</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r>
      <w:tr w:rsidR="009A68E4">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9A68E4" w:rsidRDefault="00F15CB7">
            <w:pPr>
              <w:jc w:val="right"/>
              <w:rPr>
                <w:i/>
                <w:iCs/>
                <w:noProof/>
                <w:color w:val="000000"/>
                <w:sz w:val="16"/>
                <w:szCs w:val="16"/>
              </w:rPr>
            </w:pPr>
            <w:r>
              <w:rPr>
                <w:i/>
                <w:noProof/>
                <w:color w:val="000000"/>
                <w:sz w:val="16"/>
              </w:rPr>
              <w:t>Таван</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60 320 000 000</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60 320 000 000</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r>
      <w:tr w:rsidR="009A68E4">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9A68E4" w:rsidRDefault="00F15CB7">
            <w:pPr>
              <w:jc w:val="right"/>
              <w:rPr>
                <w:i/>
                <w:iCs/>
                <w:noProof/>
                <w:color w:val="000000"/>
                <w:sz w:val="16"/>
                <w:szCs w:val="16"/>
              </w:rPr>
            </w:pPr>
            <w:r>
              <w:rPr>
                <w:i/>
                <w:noProof/>
                <w:color w:val="000000"/>
                <w:sz w:val="16"/>
              </w:rPr>
              <w:t>Марж</w:t>
            </w:r>
          </w:p>
        </w:tc>
        <w:tc>
          <w:tcPr>
            <w:tcW w:w="1366"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xml:space="preserve">  294 336</w:t>
            </w:r>
          </w:p>
        </w:tc>
        <w:tc>
          <w:tcPr>
            <w:tcW w:w="1327"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366"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xml:space="preserve">  294 336</w:t>
            </w:r>
          </w:p>
        </w:tc>
        <w:tc>
          <w:tcPr>
            <w:tcW w:w="1327"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r>
      <w:tr w:rsidR="009A68E4">
        <w:trPr>
          <w:trHeight w:val="270"/>
          <w:jc w:val="center"/>
        </w:trPr>
        <w:tc>
          <w:tcPr>
            <w:tcW w:w="376" w:type="dxa"/>
            <w:tcBorders>
              <w:top w:val="nil"/>
              <w:left w:val="single" w:sz="4" w:space="0" w:color="auto"/>
              <w:bottom w:val="dotted" w:sz="4" w:space="0" w:color="auto"/>
              <w:right w:val="nil"/>
            </w:tcBorders>
            <w:shd w:val="clear" w:color="auto" w:fill="auto"/>
            <w:vAlign w:val="bottom"/>
            <w:hideMark/>
          </w:tcPr>
          <w:p w:rsidR="009A68E4" w:rsidRDefault="00F15CB7">
            <w:pPr>
              <w:rPr>
                <w:b/>
                <w:bCs/>
                <w:noProof/>
                <w:color w:val="000000"/>
                <w:sz w:val="16"/>
                <w:szCs w:val="16"/>
              </w:rPr>
            </w:pPr>
            <w:r>
              <w:rPr>
                <w:b/>
                <w:noProof/>
                <w:color w:val="000000"/>
                <w:sz w:val="16"/>
              </w:rPr>
              <w:t>2.</w:t>
            </w:r>
          </w:p>
        </w:tc>
        <w:tc>
          <w:tcPr>
            <w:tcW w:w="2474" w:type="dxa"/>
            <w:tcBorders>
              <w:top w:val="nil"/>
              <w:left w:val="nil"/>
              <w:bottom w:val="dotted" w:sz="4" w:space="0" w:color="auto"/>
              <w:right w:val="single" w:sz="4" w:space="0" w:color="auto"/>
            </w:tcBorders>
            <w:shd w:val="clear" w:color="auto" w:fill="auto"/>
            <w:vAlign w:val="bottom"/>
            <w:hideMark/>
          </w:tcPr>
          <w:p w:rsidR="009A68E4" w:rsidRDefault="00F15CB7">
            <w:pPr>
              <w:rPr>
                <w:b/>
                <w:bCs/>
                <w:noProof/>
                <w:color w:val="000000"/>
                <w:sz w:val="16"/>
                <w:szCs w:val="16"/>
              </w:rPr>
            </w:pPr>
            <w:r>
              <w:rPr>
                <w:b/>
                <w:noProof/>
                <w:color w:val="000000"/>
                <w:sz w:val="16"/>
              </w:rPr>
              <w:t>Устойчив растеж: природни ресурси</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63 901 960 185</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55 998 594 804</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- 24 841 765</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 xml:space="preserve">- 19 </w:t>
            </w:r>
            <w:r>
              <w:rPr>
                <w:b/>
                <w:noProof/>
                <w:color w:val="000000"/>
                <w:sz w:val="16"/>
              </w:rPr>
              <w:t>810 765</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63 877 118 420</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55 978 784 039</w:t>
            </w:r>
          </w:p>
        </w:tc>
      </w:tr>
      <w:tr w:rsidR="009A68E4">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9A68E4" w:rsidRDefault="00F15CB7">
            <w:pPr>
              <w:jc w:val="right"/>
              <w:rPr>
                <w:i/>
                <w:iCs/>
                <w:noProof/>
                <w:color w:val="000000"/>
                <w:sz w:val="16"/>
                <w:szCs w:val="16"/>
              </w:rPr>
            </w:pPr>
            <w:r>
              <w:rPr>
                <w:i/>
                <w:noProof/>
                <w:color w:val="000000"/>
                <w:sz w:val="16"/>
              </w:rPr>
              <w:t>Таван</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64 692 000 000</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64 692 000 000</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r>
      <w:tr w:rsidR="009A68E4">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9A68E4" w:rsidRDefault="00F15CB7">
            <w:pPr>
              <w:jc w:val="right"/>
              <w:rPr>
                <w:i/>
                <w:iCs/>
                <w:noProof/>
                <w:color w:val="000000"/>
                <w:sz w:val="16"/>
                <w:szCs w:val="16"/>
              </w:rPr>
            </w:pPr>
            <w:r>
              <w:rPr>
                <w:i/>
                <w:noProof/>
                <w:color w:val="000000"/>
                <w:sz w:val="16"/>
              </w:rPr>
              <w:t>Марж</w:t>
            </w:r>
          </w:p>
        </w:tc>
        <w:tc>
          <w:tcPr>
            <w:tcW w:w="1366"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xml:space="preserve"> 790 039 815</w:t>
            </w:r>
          </w:p>
        </w:tc>
        <w:tc>
          <w:tcPr>
            <w:tcW w:w="1327"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366"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xml:space="preserve"> 814 881 580</w:t>
            </w:r>
          </w:p>
        </w:tc>
        <w:tc>
          <w:tcPr>
            <w:tcW w:w="1327"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r>
      <w:tr w:rsidR="009A68E4">
        <w:trPr>
          <w:trHeight w:val="705"/>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9A68E4" w:rsidRDefault="00F15CB7">
            <w:pPr>
              <w:rPr>
                <w:noProof/>
                <w:color w:val="000000"/>
                <w:sz w:val="16"/>
                <w:szCs w:val="16"/>
              </w:rPr>
            </w:pPr>
            <w:r>
              <w:rPr>
                <w:noProof/>
                <w:color w:val="000000"/>
                <w:sz w:val="16"/>
              </w:rPr>
              <w:t>От които: Европейски фонд за гарантиране на земеделието (ЕФГЗ) — Разходи, свързани с пазара, и преки плащания</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noProof/>
                <w:color w:val="000000"/>
                <w:sz w:val="16"/>
                <w:szCs w:val="16"/>
              </w:rPr>
            </w:pPr>
            <w:r>
              <w:rPr>
                <w:noProof/>
                <w:color w:val="000000"/>
                <w:sz w:val="16"/>
              </w:rPr>
              <w:t>43 455 780 762</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noProof/>
                <w:color w:val="000000"/>
                <w:sz w:val="16"/>
                <w:szCs w:val="16"/>
              </w:rPr>
            </w:pPr>
            <w:r>
              <w:rPr>
                <w:noProof/>
                <w:color w:val="000000"/>
                <w:sz w:val="16"/>
              </w:rPr>
              <w:t xml:space="preserve">43 447 </w:t>
            </w:r>
            <w:r>
              <w:rPr>
                <w:noProof/>
                <w:color w:val="000000"/>
                <w:sz w:val="16"/>
              </w:rPr>
              <w:t>624 585</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noProof/>
                <w:color w:val="000000"/>
                <w:sz w:val="16"/>
                <w:szCs w:val="16"/>
              </w:rPr>
            </w:pPr>
            <w:r>
              <w:rPr>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noProof/>
                <w:color w:val="000000"/>
                <w:sz w:val="16"/>
                <w:szCs w:val="16"/>
              </w:rPr>
            </w:pPr>
            <w:r>
              <w:rPr>
                <w:noProof/>
                <w:color w:val="000000"/>
                <w:sz w:val="16"/>
              </w:rPr>
              <w:t> </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noProof/>
                <w:color w:val="000000"/>
                <w:sz w:val="16"/>
                <w:szCs w:val="16"/>
              </w:rPr>
            </w:pPr>
            <w:r>
              <w:rPr>
                <w:noProof/>
                <w:color w:val="000000"/>
                <w:sz w:val="16"/>
              </w:rPr>
              <w:t>43 455 780 762</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noProof/>
                <w:color w:val="000000"/>
                <w:sz w:val="16"/>
                <w:szCs w:val="16"/>
              </w:rPr>
            </w:pPr>
            <w:r>
              <w:rPr>
                <w:noProof/>
                <w:color w:val="000000"/>
                <w:sz w:val="16"/>
              </w:rPr>
              <w:t>43 447 624 585</w:t>
            </w:r>
          </w:p>
        </w:tc>
      </w:tr>
      <w:tr w:rsidR="009A68E4">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9A68E4" w:rsidRDefault="00F15CB7">
            <w:pPr>
              <w:jc w:val="right"/>
              <w:rPr>
                <w:i/>
                <w:iCs/>
                <w:noProof/>
                <w:color w:val="000000"/>
                <w:sz w:val="16"/>
                <w:szCs w:val="16"/>
              </w:rPr>
            </w:pPr>
            <w:r>
              <w:rPr>
                <w:i/>
                <w:noProof/>
                <w:color w:val="000000"/>
                <w:sz w:val="16"/>
              </w:rPr>
              <w:t>Подтаван</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44 313 000 000</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44 313 000 000</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r>
      <w:tr w:rsidR="009A68E4">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9A68E4" w:rsidRDefault="00F15CB7">
            <w:pPr>
              <w:jc w:val="right"/>
              <w:rPr>
                <w:i/>
                <w:iCs/>
                <w:noProof/>
                <w:color w:val="000000"/>
                <w:sz w:val="16"/>
                <w:szCs w:val="16"/>
              </w:rPr>
            </w:pPr>
            <w:r>
              <w:rPr>
                <w:i/>
                <w:noProof/>
                <w:color w:val="000000"/>
                <w:sz w:val="16"/>
              </w:rPr>
              <w:t>Нетен трансфер между ЕФГЗ и ЕЗФРСР</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xml:space="preserve"> 123 215 000</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xml:space="preserve"> 123 215 000</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r>
      <w:tr w:rsidR="009A68E4">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9A68E4" w:rsidRDefault="00F15CB7">
            <w:pPr>
              <w:jc w:val="right"/>
              <w:rPr>
                <w:i/>
                <w:iCs/>
                <w:noProof/>
                <w:color w:val="000000"/>
                <w:sz w:val="16"/>
                <w:szCs w:val="16"/>
              </w:rPr>
            </w:pPr>
            <w:r>
              <w:rPr>
                <w:i/>
                <w:noProof/>
                <w:color w:val="000000"/>
                <w:sz w:val="16"/>
              </w:rPr>
              <w:t>Марж</w:t>
            </w:r>
          </w:p>
        </w:tc>
        <w:tc>
          <w:tcPr>
            <w:tcW w:w="1366"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xml:space="preserve"> 734 004 238</w:t>
            </w:r>
          </w:p>
        </w:tc>
        <w:tc>
          <w:tcPr>
            <w:tcW w:w="1327"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366"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xml:space="preserve"> 734 004 238</w:t>
            </w:r>
          </w:p>
        </w:tc>
        <w:tc>
          <w:tcPr>
            <w:tcW w:w="1327"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r>
      <w:tr w:rsidR="009A68E4">
        <w:trPr>
          <w:trHeight w:val="270"/>
          <w:jc w:val="center"/>
        </w:trPr>
        <w:tc>
          <w:tcPr>
            <w:tcW w:w="376" w:type="dxa"/>
            <w:tcBorders>
              <w:top w:val="nil"/>
              <w:left w:val="single" w:sz="4" w:space="0" w:color="auto"/>
              <w:bottom w:val="dotted" w:sz="4" w:space="0" w:color="auto"/>
              <w:right w:val="nil"/>
            </w:tcBorders>
            <w:shd w:val="clear" w:color="auto" w:fill="auto"/>
            <w:vAlign w:val="bottom"/>
            <w:hideMark/>
          </w:tcPr>
          <w:p w:rsidR="009A68E4" w:rsidRDefault="00F15CB7">
            <w:pPr>
              <w:rPr>
                <w:b/>
                <w:bCs/>
                <w:noProof/>
                <w:color w:val="000000"/>
                <w:sz w:val="16"/>
                <w:szCs w:val="16"/>
              </w:rPr>
            </w:pPr>
            <w:r>
              <w:rPr>
                <w:b/>
                <w:noProof/>
                <w:color w:val="000000"/>
                <w:sz w:val="16"/>
              </w:rPr>
              <w:t>3.</w:t>
            </w:r>
          </w:p>
        </w:tc>
        <w:tc>
          <w:tcPr>
            <w:tcW w:w="2474" w:type="dxa"/>
            <w:tcBorders>
              <w:top w:val="nil"/>
              <w:left w:val="nil"/>
              <w:bottom w:val="dotted" w:sz="4" w:space="0" w:color="auto"/>
              <w:right w:val="single" w:sz="4" w:space="0" w:color="auto"/>
            </w:tcBorders>
            <w:shd w:val="clear" w:color="auto" w:fill="auto"/>
            <w:vAlign w:val="bottom"/>
            <w:hideMark/>
          </w:tcPr>
          <w:p w:rsidR="009A68E4" w:rsidRDefault="00F15CB7">
            <w:pPr>
              <w:rPr>
                <w:b/>
                <w:bCs/>
                <w:noProof/>
                <w:color w:val="000000"/>
                <w:sz w:val="16"/>
                <w:szCs w:val="16"/>
              </w:rPr>
            </w:pPr>
            <w:r>
              <w:rPr>
                <w:b/>
                <w:noProof/>
                <w:color w:val="000000"/>
                <w:sz w:val="16"/>
              </w:rPr>
              <w:t>Сигурност и гражданство</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2 432 848 847</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1 929 165 795</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 xml:space="preserve"> 89 300 000</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- 2 200 000</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2 522 148 847</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1 926 965 795</w:t>
            </w:r>
          </w:p>
        </w:tc>
      </w:tr>
      <w:tr w:rsidR="009A68E4">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9A68E4" w:rsidRDefault="00F15CB7">
            <w:pPr>
              <w:jc w:val="right"/>
              <w:rPr>
                <w:i/>
                <w:iCs/>
                <w:noProof/>
                <w:color w:val="000000"/>
                <w:sz w:val="16"/>
                <w:szCs w:val="16"/>
              </w:rPr>
            </w:pPr>
            <w:r>
              <w:rPr>
                <w:i/>
                <w:noProof/>
                <w:color w:val="000000"/>
                <w:sz w:val="16"/>
              </w:rPr>
              <w:t>От които по Инструмента за гъвкавост</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xml:space="preserve">   </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xml:space="preserve"> 66 148 847</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xml:space="preserve"> 66 148 847</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r>
      <w:tr w:rsidR="009A68E4">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9A68E4" w:rsidRDefault="00F15CB7">
            <w:pPr>
              <w:jc w:val="right"/>
              <w:rPr>
                <w:i/>
                <w:iCs/>
                <w:noProof/>
                <w:color w:val="000000"/>
                <w:sz w:val="16"/>
                <w:szCs w:val="16"/>
              </w:rPr>
            </w:pPr>
            <w:r>
              <w:rPr>
                <w:i/>
                <w:noProof/>
                <w:color w:val="000000"/>
                <w:sz w:val="16"/>
              </w:rPr>
              <w:t>Таван</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2 456 000 000</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2 456 000 000</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r>
      <w:tr w:rsidR="009A68E4">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9A68E4" w:rsidRDefault="00F15CB7">
            <w:pPr>
              <w:jc w:val="right"/>
              <w:rPr>
                <w:i/>
                <w:iCs/>
                <w:noProof/>
                <w:color w:val="000000"/>
                <w:sz w:val="16"/>
                <w:szCs w:val="16"/>
              </w:rPr>
            </w:pPr>
            <w:r>
              <w:rPr>
                <w:i/>
                <w:noProof/>
                <w:color w:val="000000"/>
                <w:sz w:val="16"/>
              </w:rPr>
              <w:t>Марж</w:t>
            </w:r>
          </w:p>
        </w:tc>
        <w:tc>
          <w:tcPr>
            <w:tcW w:w="1366"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xml:space="preserve"> 23 151 153</w:t>
            </w:r>
          </w:p>
        </w:tc>
        <w:tc>
          <w:tcPr>
            <w:tcW w:w="1327"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366"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xml:space="preserve">   </w:t>
            </w:r>
          </w:p>
        </w:tc>
        <w:tc>
          <w:tcPr>
            <w:tcW w:w="1327"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r>
      <w:tr w:rsidR="009A68E4">
        <w:trPr>
          <w:trHeight w:val="270"/>
          <w:jc w:val="center"/>
        </w:trPr>
        <w:tc>
          <w:tcPr>
            <w:tcW w:w="376" w:type="dxa"/>
            <w:tcBorders>
              <w:top w:val="nil"/>
              <w:left w:val="single" w:sz="4" w:space="0" w:color="auto"/>
              <w:bottom w:val="dotted" w:sz="4" w:space="0" w:color="auto"/>
              <w:right w:val="nil"/>
            </w:tcBorders>
            <w:shd w:val="clear" w:color="auto" w:fill="auto"/>
            <w:vAlign w:val="bottom"/>
            <w:hideMark/>
          </w:tcPr>
          <w:p w:rsidR="009A68E4" w:rsidRDefault="00F15CB7">
            <w:pPr>
              <w:rPr>
                <w:b/>
                <w:bCs/>
                <w:noProof/>
                <w:color w:val="000000"/>
                <w:sz w:val="16"/>
                <w:szCs w:val="16"/>
              </w:rPr>
            </w:pPr>
            <w:r>
              <w:rPr>
                <w:b/>
                <w:noProof/>
                <w:color w:val="000000"/>
                <w:sz w:val="16"/>
              </w:rPr>
              <w:t>4.</w:t>
            </w:r>
          </w:p>
        </w:tc>
        <w:tc>
          <w:tcPr>
            <w:tcW w:w="2474" w:type="dxa"/>
            <w:tcBorders>
              <w:top w:val="nil"/>
              <w:left w:val="nil"/>
              <w:bottom w:val="dotted" w:sz="4" w:space="0" w:color="auto"/>
              <w:right w:val="single" w:sz="4" w:space="0" w:color="auto"/>
            </w:tcBorders>
            <w:shd w:val="clear" w:color="auto" w:fill="auto"/>
            <w:vAlign w:val="bottom"/>
            <w:hideMark/>
          </w:tcPr>
          <w:p w:rsidR="009A68E4" w:rsidRDefault="00F15CB7">
            <w:pPr>
              <w:rPr>
                <w:b/>
                <w:bCs/>
                <w:noProof/>
                <w:color w:val="000000"/>
                <w:sz w:val="16"/>
                <w:szCs w:val="16"/>
              </w:rPr>
            </w:pPr>
            <w:r>
              <w:rPr>
                <w:b/>
                <w:noProof/>
                <w:color w:val="000000"/>
                <w:sz w:val="16"/>
              </w:rPr>
              <w:t>Глобална Европа</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8 410 899 029</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7 422 489 907</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 xml:space="preserve"> 300 000 000</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 xml:space="preserve"> 55 736 000</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8 710 899 029</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7 478 225 907</w:t>
            </w:r>
          </w:p>
        </w:tc>
      </w:tr>
      <w:tr w:rsidR="009A68E4">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9A68E4" w:rsidRDefault="00F15CB7">
            <w:pPr>
              <w:jc w:val="right"/>
              <w:rPr>
                <w:i/>
                <w:iCs/>
                <w:noProof/>
                <w:color w:val="000000"/>
                <w:sz w:val="16"/>
                <w:szCs w:val="16"/>
              </w:rPr>
            </w:pPr>
            <w:r>
              <w:rPr>
                <w:i/>
                <w:noProof/>
                <w:color w:val="000000"/>
                <w:sz w:val="16"/>
              </w:rPr>
              <w:t>Таван</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noProof/>
                <w:color w:val="000000"/>
                <w:sz w:val="16"/>
                <w:szCs w:val="16"/>
              </w:rPr>
            </w:pPr>
            <w:r>
              <w:rPr>
                <w:noProof/>
                <w:color w:val="000000"/>
                <w:sz w:val="16"/>
              </w:rPr>
              <w:t>8 749 000 000</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noProof/>
                <w:color w:val="000000"/>
                <w:sz w:val="16"/>
                <w:szCs w:val="16"/>
              </w:rPr>
            </w:pPr>
            <w:r>
              <w:rPr>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noProof/>
                <w:color w:val="000000"/>
                <w:sz w:val="16"/>
                <w:szCs w:val="16"/>
              </w:rPr>
            </w:pPr>
            <w:r>
              <w:rPr>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noProof/>
                <w:color w:val="000000"/>
                <w:sz w:val="16"/>
                <w:szCs w:val="16"/>
              </w:rPr>
            </w:pPr>
            <w:r>
              <w:rPr>
                <w:noProof/>
                <w:color w:val="000000"/>
                <w:sz w:val="16"/>
              </w:rPr>
              <w:t> </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noProof/>
                <w:color w:val="000000"/>
                <w:sz w:val="16"/>
                <w:szCs w:val="16"/>
              </w:rPr>
            </w:pPr>
            <w:r>
              <w:rPr>
                <w:noProof/>
                <w:color w:val="000000"/>
                <w:sz w:val="16"/>
              </w:rPr>
              <w:t>8 749 000 000</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noProof/>
                <w:color w:val="000000"/>
                <w:sz w:val="16"/>
                <w:szCs w:val="16"/>
              </w:rPr>
            </w:pPr>
            <w:r>
              <w:rPr>
                <w:noProof/>
                <w:color w:val="000000"/>
                <w:sz w:val="16"/>
              </w:rPr>
              <w:t> </w:t>
            </w:r>
          </w:p>
        </w:tc>
      </w:tr>
      <w:tr w:rsidR="009A68E4">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9A68E4" w:rsidRDefault="00F15CB7">
            <w:pPr>
              <w:jc w:val="right"/>
              <w:rPr>
                <w:i/>
                <w:iCs/>
                <w:noProof/>
                <w:color w:val="000000"/>
                <w:sz w:val="16"/>
                <w:szCs w:val="16"/>
              </w:rPr>
            </w:pPr>
            <w:r>
              <w:rPr>
                <w:i/>
                <w:noProof/>
                <w:color w:val="000000"/>
                <w:sz w:val="16"/>
              </w:rPr>
              <w:t>Марж</w:t>
            </w:r>
          </w:p>
        </w:tc>
        <w:tc>
          <w:tcPr>
            <w:tcW w:w="1366"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xml:space="preserve"> 338 100 971</w:t>
            </w:r>
          </w:p>
        </w:tc>
        <w:tc>
          <w:tcPr>
            <w:tcW w:w="1327"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366"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xml:space="preserve"> 38 100 971</w:t>
            </w:r>
          </w:p>
        </w:tc>
        <w:tc>
          <w:tcPr>
            <w:tcW w:w="1327"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r>
      <w:tr w:rsidR="009A68E4">
        <w:trPr>
          <w:trHeight w:val="270"/>
          <w:jc w:val="center"/>
        </w:trPr>
        <w:tc>
          <w:tcPr>
            <w:tcW w:w="376" w:type="dxa"/>
            <w:tcBorders>
              <w:top w:val="nil"/>
              <w:left w:val="single" w:sz="4" w:space="0" w:color="auto"/>
              <w:bottom w:val="dotted" w:sz="4" w:space="0" w:color="auto"/>
              <w:right w:val="nil"/>
            </w:tcBorders>
            <w:shd w:val="clear" w:color="auto" w:fill="auto"/>
            <w:vAlign w:val="bottom"/>
            <w:hideMark/>
          </w:tcPr>
          <w:p w:rsidR="009A68E4" w:rsidRDefault="00F15CB7">
            <w:pPr>
              <w:rPr>
                <w:b/>
                <w:bCs/>
                <w:noProof/>
                <w:color w:val="000000"/>
                <w:sz w:val="16"/>
                <w:szCs w:val="16"/>
              </w:rPr>
            </w:pPr>
            <w:r>
              <w:rPr>
                <w:b/>
                <w:noProof/>
                <w:color w:val="000000"/>
                <w:sz w:val="16"/>
              </w:rPr>
              <w:t>5.</w:t>
            </w:r>
          </w:p>
        </w:tc>
        <w:tc>
          <w:tcPr>
            <w:tcW w:w="2474" w:type="dxa"/>
            <w:tcBorders>
              <w:top w:val="nil"/>
              <w:left w:val="nil"/>
              <w:bottom w:val="dotted" w:sz="4" w:space="0" w:color="auto"/>
              <w:right w:val="single" w:sz="4" w:space="0" w:color="auto"/>
            </w:tcBorders>
            <w:shd w:val="clear" w:color="auto" w:fill="auto"/>
            <w:vAlign w:val="bottom"/>
            <w:hideMark/>
          </w:tcPr>
          <w:p w:rsidR="009A68E4" w:rsidRDefault="00F15CB7">
            <w:pPr>
              <w:rPr>
                <w:b/>
                <w:bCs/>
                <w:noProof/>
                <w:color w:val="000000"/>
                <w:sz w:val="16"/>
                <w:szCs w:val="16"/>
              </w:rPr>
            </w:pPr>
            <w:r>
              <w:rPr>
                <w:b/>
                <w:noProof/>
                <w:color w:val="000000"/>
                <w:sz w:val="16"/>
              </w:rPr>
              <w:t>Администрация</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8 660 469 063</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8 658 756 179</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 </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8 660 469 063</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8 658 756 179</w:t>
            </w:r>
          </w:p>
        </w:tc>
      </w:tr>
      <w:tr w:rsidR="009A68E4">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9A68E4" w:rsidRDefault="00F15CB7">
            <w:pPr>
              <w:jc w:val="right"/>
              <w:rPr>
                <w:i/>
                <w:iCs/>
                <w:noProof/>
                <w:color w:val="000000"/>
                <w:sz w:val="16"/>
                <w:szCs w:val="16"/>
              </w:rPr>
            </w:pPr>
            <w:r>
              <w:rPr>
                <w:i/>
                <w:noProof/>
                <w:color w:val="000000"/>
                <w:sz w:val="16"/>
              </w:rPr>
              <w:t>Таван</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9 076 000 000</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9 076 000 000</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r>
      <w:tr w:rsidR="009A68E4">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9A68E4" w:rsidRDefault="00F15CB7">
            <w:pPr>
              <w:jc w:val="right"/>
              <w:rPr>
                <w:i/>
                <w:iCs/>
                <w:noProof/>
                <w:color w:val="000000"/>
                <w:sz w:val="16"/>
                <w:szCs w:val="16"/>
              </w:rPr>
            </w:pPr>
            <w:r>
              <w:rPr>
                <w:i/>
                <w:noProof/>
                <w:color w:val="000000"/>
                <w:sz w:val="16"/>
              </w:rPr>
              <w:t>Марж</w:t>
            </w:r>
          </w:p>
        </w:tc>
        <w:tc>
          <w:tcPr>
            <w:tcW w:w="1366"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xml:space="preserve"> 415 530 937</w:t>
            </w:r>
          </w:p>
        </w:tc>
        <w:tc>
          <w:tcPr>
            <w:tcW w:w="1327"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366"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xml:space="preserve"> 415 530 937</w:t>
            </w:r>
          </w:p>
        </w:tc>
        <w:tc>
          <w:tcPr>
            <w:tcW w:w="1327"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r>
      <w:tr w:rsidR="009A68E4">
        <w:trPr>
          <w:trHeight w:val="525"/>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9A68E4" w:rsidRDefault="00F15CB7">
            <w:pPr>
              <w:rPr>
                <w:noProof/>
                <w:color w:val="000000"/>
                <w:sz w:val="16"/>
                <w:szCs w:val="16"/>
              </w:rPr>
            </w:pPr>
            <w:r>
              <w:rPr>
                <w:noProof/>
                <w:color w:val="000000"/>
                <w:sz w:val="16"/>
              </w:rPr>
              <w:t>От които: Административни разходи на институциите</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noProof/>
                <w:color w:val="000000"/>
                <w:sz w:val="16"/>
                <w:szCs w:val="16"/>
              </w:rPr>
            </w:pPr>
            <w:r>
              <w:rPr>
                <w:noProof/>
                <w:color w:val="000000"/>
                <w:sz w:val="16"/>
              </w:rPr>
              <w:t>6 941 188 663</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noProof/>
                <w:color w:val="000000"/>
                <w:sz w:val="16"/>
                <w:szCs w:val="16"/>
              </w:rPr>
            </w:pPr>
            <w:r>
              <w:rPr>
                <w:noProof/>
                <w:color w:val="000000"/>
                <w:sz w:val="16"/>
              </w:rPr>
              <w:t>6 939 475 779</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noProof/>
                <w:color w:val="000000"/>
                <w:sz w:val="16"/>
                <w:szCs w:val="16"/>
              </w:rPr>
            </w:pPr>
            <w:r>
              <w:rPr>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noProof/>
                <w:color w:val="000000"/>
                <w:sz w:val="16"/>
                <w:szCs w:val="16"/>
              </w:rPr>
            </w:pPr>
            <w:r>
              <w:rPr>
                <w:noProof/>
                <w:color w:val="000000"/>
                <w:sz w:val="16"/>
              </w:rPr>
              <w:t> </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noProof/>
                <w:color w:val="000000"/>
                <w:sz w:val="16"/>
                <w:szCs w:val="16"/>
              </w:rPr>
            </w:pPr>
            <w:r>
              <w:rPr>
                <w:noProof/>
                <w:color w:val="000000"/>
                <w:sz w:val="16"/>
              </w:rPr>
              <w:t>6 941 188 663</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noProof/>
                <w:color w:val="000000"/>
                <w:sz w:val="16"/>
                <w:szCs w:val="16"/>
              </w:rPr>
            </w:pPr>
            <w:r>
              <w:rPr>
                <w:noProof/>
                <w:color w:val="000000"/>
                <w:sz w:val="16"/>
              </w:rPr>
              <w:t>6 939 475 779</w:t>
            </w:r>
          </w:p>
        </w:tc>
      </w:tr>
      <w:tr w:rsidR="009A68E4">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9A68E4" w:rsidRDefault="00F15CB7">
            <w:pPr>
              <w:jc w:val="right"/>
              <w:rPr>
                <w:i/>
                <w:iCs/>
                <w:noProof/>
                <w:color w:val="000000"/>
                <w:sz w:val="16"/>
                <w:szCs w:val="16"/>
              </w:rPr>
            </w:pPr>
            <w:r>
              <w:rPr>
                <w:i/>
                <w:noProof/>
                <w:color w:val="000000"/>
                <w:sz w:val="16"/>
              </w:rPr>
              <w:t>Подтаван</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7 056 000 000</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7 056 000 000</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r>
      <w:tr w:rsidR="009A68E4">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9A68E4" w:rsidRDefault="00F15CB7">
            <w:pPr>
              <w:jc w:val="right"/>
              <w:rPr>
                <w:i/>
                <w:iCs/>
                <w:noProof/>
                <w:color w:val="000000"/>
                <w:sz w:val="16"/>
                <w:szCs w:val="16"/>
              </w:rPr>
            </w:pPr>
            <w:r>
              <w:rPr>
                <w:i/>
                <w:noProof/>
                <w:color w:val="000000"/>
                <w:sz w:val="16"/>
              </w:rPr>
              <w:t>Марж</w:t>
            </w:r>
          </w:p>
        </w:tc>
        <w:tc>
          <w:tcPr>
            <w:tcW w:w="1366"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xml:space="preserve"> 114 811 337</w:t>
            </w:r>
          </w:p>
        </w:tc>
        <w:tc>
          <w:tcPr>
            <w:tcW w:w="1327"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366"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xml:space="preserve"> 114 811 337</w:t>
            </w:r>
          </w:p>
        </w:tc>
        <w:tc>
          <w:tcPr>
            <w:tcW w:w="1327"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r>
      <w:tr w:rsidR="009A68E4">
        <w:trPr>
          <w:trHeight w:val="270"/>
          <w:jc w:val="center"/>
        </w:trPr>
        <w:tc>
          <w:tcPr>
            <w:tcW w:w="376" w:type="dxa"/>
            <w:tcBorders>
              <w:top w:val="nil"/>
              <w:left w:val="single" w:sz="4" w:space="0" w:color="auto"/>
              <w:bottom w:val="dotted" w:sz="4" w:space="0" w:color="auto"/>
              <w:right w:val="nil"/>
            </w:tcBorders>
            <w:shd w:val="clear" w:color="auto" w:fill="auto"/>
            <w:vAlign w:val="bottom"/>
            <w:hideMark/>
          </w:tcPr>
          <w:p w:rsidR="009A68E4" w:rsidRDefault="00F15CB7">
            <w:pPr>
              <w:rPr>
                <w:b/>
                <w:bCs/>
                <w:noProof/>
                <w:color w:val="000000"/>
                <w:sz w:val="16"/>
                <w:szCs w:val="16"/>
              </w:rPr>
            </w:pPr>
            <w:r>
              <w:rPr>
                <w:b/>
                <w:noProof/>
                <w:color w:val="000000"/>
                <w:sz w:val="16"/>
              </w:rPr>
              <w:t>6.</w:t>
            </w:r>
          </w:p>
        </w:tc>
        <w:tc>
          <w:tcPr>
            <w:tcW w:w="2474" w:type="dxa"/>
            <w:tcBorders>
              <w:top w:val="nil"/>
              <w:left w:val="nil"/>
              <w:bottom w:val="dotted" w:sz="4" w:space="0" w:color="auto"/>
              <w:right w:val="single" w:sz="4" w:space="0" w:color="auto"/>
            </w:tcBorders>
            <w:shd w:val="clear" w:color="auto" w:fill="auto"/>
            <w:vAlign w:val="bottom"/>
            <w:hideMark/>
          </w:tcPr>
          <w:p w:rsidR="009A68E4" w:rsidRDefault="00F15CB7">
            <w:pPr>
              <w:rPr>
                <w:b/>
                <w:bCs/>
                <w:noProof/>
                <w:color w:val="000000"/>
                <w:sz w:val="16"/>
                <w:szCs w:val="16"/>
              </w:rPr>
            </w:pPr>
            <w:r>
              <w:rPr>
                <w:b/>
                <w:noProof/>
                <w:color w:val="000000"/>
                <w:sz w:val="16"/>
              </w:rPr>
              <w:t>Компенсации</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 xml:space="preserve">   </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 xml:space="preserve">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 </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 xml:space="preserve">   </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 xml:space="preserve">   </w:t>
            </w:r>
          </w:p>
        </w:tc>
      </w:tr>
      <w:tr w:rsidR="009A68E4">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9A68E4" w:rsidRDefault="00F15CB7">
            <w:pPr>
              <w:jc w:val="right"/>
              <w:rPr>
                <w:i/>
                <w:iCs/>
                <w:noProof/>
                <w:color w:val="000000"/>
                <w:sz w:val="16"/>
                <w:szCs w:val="16"/>
              </w:rPr>
            </w:pPr>
            <w:r>
              <w:rPr>
                <w:i/>
                <w:noProof/>
                <w:color w:val="000000"/>
                <w:sz w:val="16"/>
              </w:rPr>
              <w:t>Таван</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xml:space="preserve">   </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366"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327" w:type="dxa"/>
            <w:tcBorders>
              <w:top w:val="nil"/>
              <w:left w:val="nil"/>
              <w:bottom w:val="dotted"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r>
      <w:tr w:rsidR="009A68E4">
        <w:trPr>
          <w:trHeight w:val="270"/>
          <w:jc w:val="center"/>
        </w:trPr>
        <w:tc>
          <w:tcPr>
            <w:tcW w:w="2850" w:type="dxa"/>
            <w:gridSpan w:val="2"/>
            <w:tcBorders>
              <w:top w:val="dotted" w:sz="4" w:space="0" w:color="auto"/>
              <w:left w:val="single" w:sz="4" w:space="0" w:color="auto"/>
              <w:bottom w:val="single" w:sz="4" w:space="0" w:color="auto"/>
              <w:right w:val="single" w:sz="4" w:space="0" w:color="000000"/>
            </w:tcBorders>
            <w:shd w:val="clear" w:color="auto" w:fill="auto"/>
            <w:vAlign w:val="bottom"/>
            <w:hideMark/>
          </w:tcPr>
          <w:p w:rsidR="009A68E4" w:rsidRDefault="00F15CB7">
            <w:pPr>
              <w:jc w:val="right"/>
              <w:rPr>
                <w:i/>
                <w:iCs/>
                <w:noProof/>
                <w:color w:val="000000"/>
                <w:sz w:val="16"/>
                <w:szCs w:val="16"/>
              </w:rPr>
            </w:pPr>
            <w:r>
              <w:rPr>
                <w:i/>
                <w:noProof/>
                <w:color w:val="000000"/>
                <w:sz w:val="16"/>
              </w:rPr>
              <w:t>Марж</w:t>
            </w:r>
          </w:p>
        </w:tc>
        <w:tc>
          <w:tcPr>
            <w:tcW w:w="1366"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xml:space="preserve">   </w:t>
            </w:r>
          </w:p>
        </w:tc>
        <w:tc>
          <w:tcPr>
            <w:tcW w:w="1327"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c>
          <w:tcPr>
            <w:tcW w:w="1366"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xml:space="preserve">   </w:t>
            </w:r>
          </w:p>
        </w:tc>
        <w:tc>
          <w:tcPr>
            <w:tcW w:w="1327"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i/>
                <w:iCs/>
                <w:noProof/>
                <w:color w:val="000000"/>
                <w:sz w:val="16"/>
                <w:szCs w:val="16"/>
              </w:rPr>
            </w:pPr>
            <w:r>
              <w:rPr>
                <w:i/>
                <w:noProof/>
                <w:color w:val="000000"/>
                <w:sz w:val="16"/>
              </w:rPr>
              <w:t> </w:t>
            </w:r>
          </w:p>
        </w:tc>
      </w:tr>
      <w:tr w:rsidR="009A68E4">
        <w:trPr>
          <w:trHeight w:val="270"/>
          <w:jc w:val="center"/>
        </w:trPr>
        <w:tc>
          <w:tcPr>
            <w:tcW w:w="2850" w:type="dxa"/>
            <w:gridSpan w:val="2"/>
            <w:tcBorders>
              <w:top w:val="single" w:sz="4" w:space="0" w:color="auto"/>
              <w:left w:val="single" w:sz="4" w:space="0" w:color="auto"/>
              <w:bottom w:val="dotted" w:sz="4" w:space="0" w:color="auto"/>
              <w:right w:val="single" w:sz="4" w:space="0" w:color="000000"/>
            </w:tcBorders>
            <w:shd w:val="clear" w:color="000000" w:fill="D9D9D9"/>
            <w:vAlign w:val="bottom"/>
            <w:hideMark/>
          </w:tcPr>
          <w:p w:rsidR="009A68E4" w:rsidRDefault="00F15CB7">
            <w:pPr>
              <w:jc w:val="right"/>
              <w:rPr>
                <w:b/>
                <w:bCs/>
                <w:noProof/>
                <w:color w:val="000000"/>
                <w:sz w:val="16"/>
                <w:szCs w:val="16"/>
              </w:rPr>
            </w:pPr>
            <w:r>
              <w:rPr>
                <w:b/>
                <w:noProof/>
                <w:color w:val="000000"/>
                <w:sz w:val="16"/>
              </w:rPr>
              <w:t>Общо</w:t>
            </w:r>
          </w:p>
        </w:tc>
        <w:tc>
          <w:tcPr>
            <w:tcW w:w="1366" w:type="dxa"/>
            <w:tcBorders>
              <w:top w:val="nil"/>
              <w:left w:val="nil"/>
              <w:bottom w:val="dotted" w:sz="4" w:space="0" w:color="auto"/>
              <w:right w:val="single" w:sz="4" w:space="0" w:color="auto"/>
            </w:tcBorders>
            <w:shd w:val="clear" w:color="000000" w:fill="D9D9D9"/>
            <w:vAlign w:val="bottom"/>
            <w:hideMark/>
          </w:tcPr>
          <w:p w:rsidR="009A68E4" w:rsidRDefault="00F15CB7">
            <w:pPr>
              <w:jc w:val="right"/>
              <w:rPr>
                <w:b/>
                <w:bCs/>
                <w:noProof/>
                <w:color w:val="000000"/>
                <w:sz w:val="16"/>
                <w:szCs w:val="16"/>
              </w:rPr>
            </w:pPr>
            <w:r>
              <w:rPr>
                <w:b/>
                <w:noProof/>
                <w:color w:val="000000"/>
                <w:sz w:val="16"/>
              </w:rPr>
              <w:t>161 360 856 808</w:t>
            </w:r>
          </w:p>
        </w:tc>
        <w:tc>
          <w:tcPr>
            <w:tcW w:w="1327" w:type="dxa"/>
            <w:tcBorders>
              <w:top w:val="nil"/>
              <w:left w:val="nil"/>
              <w:bottom w:val="dotted" w:sz="4" w:space="0" w:color="auto"/>
              <w:right w:val="single" w:sz="4" w:space="0" w:color="auto"/>
            </w:tcBorders>
            <w:shd w:val="clear" w:color="000000" w:fill="D9D9D9"/>
            <w:vAlign w:val="bottom"/>
            <w:hideMark/>
          </w:tcPr>
          <w:p w:rsidR="009A68E4" w:rsidRDefault="00F15CB7">
            <w:pPr>
              <w:jc w:val="right"/>
              <w:rPr>
                <w:b/>
                <w:bCs/>
                <w:noProof/>
                <w:color w:val="000000"/>
                <w:sz w:val="16"/>
                <w:szCs w:val="16"/>
              </w:rPr>
            </w:pPr>
            <w:r>
              <w:rPr>
                <w:b/>
                <w:noProof/>
                <w:color w:val="000000"/>
                <w:sz w:val="16"/>
              </w:rPr>
              <w:t>140 862 315 595</w:t>
            </w:r>
          </w:p>
        </w:tc>
        <w:tc>
          <w:tcPr>
            <w:tcW w:w="1134" w:type="dxa"/>
            <w:tcBorders>
              <w:top w:val="nil"/>
              <w:left w:val="nil"/>
              <w:bottom w:val="dotted" w:sz="4" w:space="0" w:color="auto"/>
              <w:right w:val="single" w:sz="4" w:space="0" w:color="auto"/>
            </w:tcBorders>
            <w:shd w:val="clear" w:color="000000" w:fill="D9D9D9"/>
            <w:vAlign w:val="bottom"/>
            <w:hideMark/>
          </w:tcPr>
          <w:p w:rsidR="009A68E4" w:rsidRDefault="00F15CB7">
            <w:pPr>
              <w:jc w:val="right"/>
              <w:rPr>
                <w:b/>
                <w:bCs/>
                <w:noProof/>
                <w:color w:val="000000"/>
                <w:sz w:val="16"/>
                <w:szCs w:val="16"/>
              </w:rPr>
            </w:pPr>
            <w:r>
              <w:rPr>
                <w:b/>
                <w:noProof/>
                <w:color w:val="000000"/>
                <w:sz w:val="16"/>
              </w:rPr>
              <w:t xml:space="preserve"> 364 458 235</w:t>
            </w:r>
          </w:p>
        </w:tc>
        <w:tc>
          <w:tcPr>
            <w:tcW w:w="1134" w:type="dxa"/>
            <w:tcBorders>
              <w:top w:val="nil"/>
              <w:left w:val="nil"/>
              <w:bottom w:val="dotted" w:sz="4" w:space="0" w:color="auto"/>
              <w:right w:val="single" w:sz="4" w:space="0" w:color="auto"/>
            </w:tcBorders>
            <w:shd w:val="clear" w:color="000000" w:fill="D9D9D9"/>
            <w:vAlign w:val="bottom"/>
            <w:hideMark/>
          </w:tcPr>
          <w:p w:rsidR="009A68E4" w:rsidRDefault="00F15CB7">
            <w:pPr>
              <w:jc w:val="right"/>
              <w:rPr>
                <w:b/>
                <w:bCs/>
                <w:noProof/>
                <w:color w:val="000000"/>
                <w:sz w:val="16"/>
                <w:szCs w:val="16"/>
              </w:rPr>
            </w:pPr>
            <w:r>
              <w:rPr>
                <w:b/>
                <w:noProof/>
                <w:color w:val="000000"/>
                <w:sz w:val="16"/>
              </w:rPr>
              <w:t xml:space="preserve"> 33 725 235</w:t>
            </w:r>
          </w:p>
        </w:tc>
        <w:tc>
          <w:tcPr>
            <w:tcW w:w="1366" w:type="dxa"/>
            <w:tcBorders>
              <w:top w:val="nil"/>
              <w:left w:val="nil"/>
              <w:bottom w:val="dotted" w:sz="4" w:space="0" w:color="auto"/>
              <w:right w:val="single" w:sz="4" w:space="0" w:color="auto"/>
            </w:tcBorders>
            <w:shd w:val="clear" w:color="000000" w:fill="D9D9D9"/>
            <w:vAlign w:val="bottom"/>
            <w:hideMark/>
          </w:tcPr>
          <w:p w:rsidR="009A68E4" w:rsidRDefault="00F15CB7">
            <w:pPr>
              <w:jc w:val="right"/>
              <w:rPr>
                <w:b/>
                <w:bCs/>
                <w:noProof/>
                <w:color w:val="000000"/>
                <w:sz w:val="16"/>
                <w:szCs w:val="16"/>
              </w:rPr>
            </w:pPr>
            <w:r>
              <w:rPr>
                <w:b/>
                <w:noProof/>
                <w:color w:val="000000"/>
                <w:sz w:val="16"/>
              </w:rPr>
              <w:t>161 725 315 043</w:t>
            </w:r>
          </w:p>
        </w:tc>
        <w:tc>
          <w:tcPr>
            <w:tcW w:w="1327" w:type="dxa"/>
            <w:tcBorders>
              <w:top w:val="nil"/>
              <w:left w:val="nil"/>
              <w:bottom w:val="dotted" w:sz="4" w:space="0" w:color="auto"/>
              <w:right w:val="single" w:sz="4" w:space="0" w:color="auto"/>
            </w:tcBorders>
            <w:shd w:val="clear" w:color="000000" w:fill="D9D9D9"/>
            <w:vAlign w:val="bottom"/>
            <w:hideMark/>
          </w:tcPr>
          <w:p w:rsidR="009A68E4" w:rsidRDefault="00F15CB7">
            <w:pPr>
              <w:jc w:val="right"/>
              <w:rPr>
                <w:b/>
                <w:bCs/>
                <w:noProof/>
                <w:color w:val="000000"/>
                <w:sz w:val="16"/>
                <w:szCs w:val="16"/>
              </w:rPr>
            </w:pPr>
            <w:r>
              <w:rPr>
                <w:b/>
                <w:noProof/>
                <w:color w:val="000000"/>
                <w:sz w:val="16"/>
              </w:rPr>
              <w:t>140 896 040 830</w:t>
            </w:r>
          </w:p>
        </w:tc>
      </w:tr>
      <w:tr w:rsidR="009A68E4">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000000" w:fill="D9D9D9"/>
            <w:vAlign w:val="bottom"/>
            <w:hideMark/>
          </w:tcPr>
          <w:p w:rsidR="009A68E4" w:rsidRDefault="00F15CB7">
            <w:pPr>
              <w:jc w:val="right"/>
              <w:rPr>
                <w:b/>
                <w:bCs/>
                <w:i/>
                <w:iCs/>
                <w:noProof/>
                <w:color w:val="000000"/>
                <w:sz w:val="16"/>
                <w:szCs w:val="16"/>
              </w:rPr>
            </w:pPr>
            <w:r>
              <w:rPr>
                <w:b/>
                <w:i/>
                <w:noProof/>
                <w:color w:val="000000"/>
                <w:sz w:val="16"/>
              </w:rPr>
              <w:t>От които по Инструмента за гъвкавост</w:t>
            </w:r>
          </w:p>
        </w:tc>
        <w:tc>
          <w:tcPr>
            <w:tcW w:w="1366" w:type="dxa"/>
            <w:tcBorders>
              <w:top w:val="nil"/>
              <w:left w:val="nil"/>
              <w:bottom w:val="dotted" w:sz="4" w:space="0" w:color="auto"/>
              <w:right w:val="single" w:sz="4" w:space="0" w:color="auto"/>
            </w:tcBorders>
            <w:shd w:val="clear" w:color="000000" w:fill="D9D9D9"/>
            <w:vAlign w:val="bottom"/>
            <w:hideMark/>
          </w:tcPr>
          <w:p w:rsidR="009A68E4" w:rsidRDefault="00F15CB7">
            <w:pPr>
              <w:jc w:val="right"/>
              <w:rPr>
                <w:b/>
                <w:bCs/>
                <w:i/>
                <w:iCs/>
                <w:noProof/>
                <w:color w:val="000000"/>
                <w:sz w:val="16"/>
                <w:szCs w:val="16"/>
              </w:rPr>
            </w:pPr>
            <w:r>
              <w:rPr>
                <w:b/>
                <w:i/>
                <w:noProof/>
                <w:color w:val="000000"/>
                <w:sz w:val="16"/>
              </w:rPr>
              <w:t xml:space="preserve"> 83 285 595</w:t>
            </w:r>
          </w:p>
        </w:tc>
        <w:tc>
          <w:tcPr>
            <w:tcW w:w="1327" w:type="dxa"/>
            <w:tcBorders>
              <w:top w:val="nil"/>
              <w:left w:val="nil"/>
              <w:bottom w:val="dotted" w:sz="4" w:space="0" w:color="auto"/>
              <w:right w:val="single" w:sz="4" w:space="0" w:color="auto"/>
            </w:tcBorders>
            <w:shd w:val="clear" w:color="000000" w:fill="D9D9D9"/>
            <w:vAlign w:val="bottom"/>
            <w:hideMark/>
          </w:tcPr>
          <w:p w:rsidR="009A68E4" w:rsidRDefault="00F15CB7">
            <w:pPr>
              <w:jc w:val="right"/>
              <w:rPr>
                <w:b/>
                <w:bCs/>
                <w:i/>
                <w:iCs/>
                <w:noProof/>
                <w:color w:val="000000"/>
                <w:sz w:val="16"/>
                <w:szCs w:val="16"/>
              </w:rPr>
            </w:pPr>
            <w:r>
              <w:rPr>
                <w:b/>
                <w:i/>
                <w:noProof/>
                <w:color w:val="000000"/>
                <w:sz w:val="16"/>
              </w:rPr>
              <w:t xml:space="preserve"> 11 315 595</w:t>
            </w:r>
          </w:p>
        </w:tc>
        <w:tc>
          <w:tcPr>
            <w:tcW w:w="1134" w:type="dxa"/>
            <w:tcBorders>
              <w:top w:val="nil"/>
              <w:left w:val="nil"/>
              <w:bottom w:val="dotted" w:sz="4" w:space="0" w:color="auto"/>
              <w:right w:val="single" w:sz="4" w:space="0" w:color="auto"/>
            </w:tcBorders>
            <w:shd w:val="clear" w:color="000000" w:fill="D9D9D9"/>
            <w:vAlign w:val="bottom"/>
            <w:hideMark/>
          </w:tcPr>
          <w:p w:rsidR="009A68E4" w:rsidRDefault="00F15CB7">
            <w:pPr>
              <w:jc w:val="right"/>
              <w:rPr>
                <w:b/>
                <w:bCs/>
                <w:i/>
                <w:iCs/>
                <w:noProof/>
                <w:color w:val="000000"/>
                <w:sz w:val="16"/>
                <w:szCs w:val="16"/>
              </w:rPr>
            </w:pPr>
            <w:r>
              <w:rPr>
                <w:b/>
                <w:i/>
                <w:noProof/>
                <w:color w:val="000000"/>
                <w:sz w:val="16"/>
              </w:rPr>
              <w:t xml:space="preserve"> 66 148 847</w:t>
            </w:r>
          </w:p>
        </w:tc>
        <w:tc>
          <w:tcPr>
            <w:tcW w:w="1134" w:type="dxa"/>
            <w:tcBorders>
              <w:top w:val="nil"/>
              <w:left w:val="nil"/>
              <w:bottom w:val="dotted" w:sz="4" w:space="0" w:color="auto"/>
              <w:right w:val="single" w:sz="4" w:space="0" w:color="auto"/>
            </w:tcBorders>
            <w:shd w:val="clear" w:color="000000" w:fill="D9D9D9"/>
            <w:vAlign w:val="bottom"/>
            <w:hideMark/>
          </w:tcPr>
          <w:p w:rsidR="009A68E4" w:rsidRDefault="00F15CB7">
            <w:pPr>
              <w:jc w:val="right"/>
              <w:rPr>
                <w:b/>
                <w:bCs/>
                <w:i/>
                <w:iCs/>
                <w:noProof/>
                <w:color w:val="000000"/>
                <w:sz w:val="16"/>
                <w:szCs w:val="16"/>
              </w:rPr>
            </w:pPr>
            <w:r>
              <w:rPr>
                <w:b/>
                <w:i/>
                <w:noProof/>
                <w:color w:val="000000"/>
                <w:sz w:val="16"/>
              </w:rPr>
              <w:t> </w:t>
            </w:r>
          </w:p>
        </w:tc>
        <w:tc>
          <w:tcPr>
            <w:tcW w:w="1366" w:type="dxa"/>
            <w:tcBorders>
              <w:top w:val="nil"/>
              <w:left w:val="nil"/>
              <w:bottom w:val="dotted" w:sz="4" w:space="0" w:color="auto"/>
              <w:right w:val="single" w:sz="4" w:space="0" w:color="auto"/>
            </w:tcBorders>
            <w:shd w:val="clear" w:color="000000" w:fill="D9D9D9"/>
            <w:vAlign w:val="bottom"/>
            <w:hideMark/>
          </w:tcPr>
          <w:p w:rsidR="009A68E4" w:rsidRDefault="00F15CB7">
            <w:pPr>
              <w:jc w:val="right"/>
              <w:rPr>
                <w:b/>
                <w:bCs/>
                <w:i/>
                <w:iCs/>
                <w:noProof/>
                <w:color w:val="000000"/>
                <w:sz w:val="16"/>
                <w:szCs w:val="16"/>
              </w:rPr>
            </w:pPr>
            <w:r>
              <w:rPr>
                <w:b/>
                <w:i/>
                <w:noProof/>
                <w:color w:val="000000"/>
                <w:sz w:val="16"/>
              </w:rPr>
              <w:t xml:space="preserve"> 149 434 442</w:t>
            </w:r>
          </w:p>
        </w:tc>
        <w:tc>
          <w:tcPr>
            <w:tcW w:w="1327" w:type="dxa"/>
            <w:tcBorders>
              <w:top w:val="nil"/>
              <w:left w:val="nil"/>
              <w:bottom w:val="dotted" w:sz="4" w:space="0" w:color="auto"/>
              <w:right w:val="single" w:sz="4" w:space="0" w:color="auto"/>
            </w:tcBorders>
            <w:shd w:val="clear" w:color="000000" w:fill="D9D9D9"/>
            <w:vAlign w:val="bottom"/>
            <w:hideMark/>
          </w:tcPr>
          <w:p w:rsidR="009A68E4" w:rsidRDefault="00F15CB7">
            <w:pPr>
              <w:jc w:val="right"/>
              <w:rPr>
                <w:b/>
                <w:bCs/>
                <w:i/>
                <w:iCs/>
                <w:noProof/>
                <w:color w:val="000000"/>
                <w:sz w:val="16"/>
                <w:szCs w:val="16"/>
              </w:rPr>
            </w:pPr>
            <w:r>
              <w:rPr>
                <w:b/>
                <w:i/>
                <w:noProof/>
                <w:color w:val="000000"/>
                <w:sz w:val="16"/>
              </w:rPr>
              <w:t xml:space="preserve"> 11 315 595</w:t>
            </w:r>
          </w:p>
        </w:tc>
      </w:tr>
      <w:tr w:rsidR="009A68E4">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000000" w:fill="D9D9D9"/>
            <w:vAlign w:val="bottom"/>
            <w:hideMark/>
          </w:tcPr>
          <w:p w:rsidR="009A68E4" w:rsidRDefault="00F15CB7">
            <w:pPr>
              <w:jc w:val="right"/>
              <w:rPr>
                <w:b/>
                <w:bCs/>
                <w:i/>
                <w:iCs/>
                <w:noProof/>
                <w:color w:val="000000"/>
                <w:sz w:val="16"/>
                <w:szCs w:val="16"/>
              </w:rPr>
            </w:pPr>
            <w:r>
              <w:rPr>
                <w:b/>
                <w:i/>
                <w:noProof/>
                <w:color w:val="000000"/>
                <w:sz w:val="16"/>
              </w:rPr>
              <w:t>Таван</w:t>
            </w:r>
          </w:p>
        </w:tc>
        <w:tc>
          <w:tcPr>
            <w:tcW w:w="1366" w:type="dxa"/>
            <w:tcBorders>
              <w:top w:val="nil"/>
              <w:left w:val="nil"/>
              <w:bottom w:val="dotted" w:sz="4" w:space="0" w:color="auto"/>
              <w:right w:val="single" w:sz="4" w:space="0" w:color="auto"/>
            </w:tcBorders>
            <w:shd w:val="clear" w:color="000000" w:fill="D9D9D9"/>
            <w:vAlign w:val="bottom"/>
            <w:hideMark/>
          </w:tcPr>
          <w:p w:rsidR="009A68E4" w:rsidRDefault="00F15CB7">
            <w:pPr>
              <w:jc w:val="right"/>
              <w:rPr>
                <w:b/>
                <w:bCs/>
                <w:i/>
                <w:iCs/>
                <w:noProof/>
                <w:color w:val="000000"/>
                <w:sz w:val="16"/>
                <w:szCs w:val="16"/>
              </w:rPr>
            </w:pPr>
            <w:r>
              <w:rPr>
                <w:b/>
                <w:i/>
                <w:noProof/>
                <w:color w:val="000000"/>
                <w:sz w:val="16"/>
              </w:rPr>
              <w:t>162 959 000 000</w:t>
            </w:r>
          </w:p>
        </w:tc>
        <w:tc>
          <w:tcPr>
            <w:tcW w:w="1327" w:type="dxa"/>
            <w:tcBorders>
              <w:top w:val="nil"/>
              <w:left w:val="nil"/>
              <w:bottom w:val="dotted" w:sz="4" w:space="0" w:color="auto"/>
              <w:right w:val="single" w:sz="4" w:space="0" w:color="auto"/>
            </w:tcBorders>
            <w:shd w:val="clear" w:color="000000" w:fill="D9D9D9"/>
            <w:vAlign w:val="bottom"/>
            <w:hideMark/>
          </w:tcPr>
          <w:p w:rsidR="009A68E4" w:rsidRDefault="00F15CB7">
            <w:pPr>
              <w:jc w:val="right"/>
              <w:rPr>
                <w:b/>
                <w:bCs/>
                <w:i/>
                <w:iCs/>
                <w:noProof/>
                <w:color w:val="000000"/>
                <w:sz w:val="16"/>
                <w:szCs w:val="16"/>
              </w:rPr>
            </w:pPr>
            <w:r>
              <w:rPr>
                <w:b/>
                <w:i/>
                <w:noProof/>
                <w:color w:val="000000"/>
                <w:sz w:val="16"/>
              </w:rPr>
              <w:t>142 007 000 000</w:t>
            </w:r>
          </w:p>
        </w:tc>
        <w:tc>
          <w:tcPr>
            <w:tcW w:w="1134" w:type="dxa"/>
            <w:tcBorders>
              <w:top w:val="nil"/>
              <w:left w:val="nil"/>
              <w:bottom w:val="dotted" w:sz="4" w:space="0" w:color="auto"/>
              <w:right w:val="single" w:sz="4" w:space="0" w:color="auto"/>
            </w:tcBorders>
            <w:shd w:val="clear" w:color="000000" w:fill="D9D9D9"/>
            <w:vAlign w:val="bottom"/>
            <w:hideMark/>
          </w:tcPr>
          <w:p w:rsidR="009A68E4" w:rsidRDefault="00F15CB7">
            <w:pPr>
              <w:jc w:val="right"/>
              <w:rPr>
                <w:b/>
                <w:bCs/>
                <w:i/>
                <w:iCs/>
                <w:noProof/>
                <w:color w:val="000000"/>
                <w:sz w:val="16"/>
                <w:szCs w:val="16"/>
              </w:rPr>
            </w:pPr>
            <w:r>
              <w:rPr>
                <w:b/>
                <w:i/>
                <w:noProof/>
                <w:color w:val="000000"/>
                <w:sz w:val="16"/>
              </w:rPr>
              <w:t> </w:t>
            </w:r>
          </w:p>
        </w:tc>
        <w:tc>
          <w:tcPr>
            <w:tcW w:w="1134" w:type="dxa"/>
            <w:tcBorders>
              <w:top w:val="nil"/>
              <w:left w:val="nil"/>
              <w:bottom w:val="dotted" w:sz="4" w:space="0" w:color="auto"/>
              <w:right w:val="single" w:sz="4" w:space="0" w:color="auto"/>
            </w:tcBorders>
            <w:shd w:val="clear" w:color="000000" w:fill="D9D9D9"/>
            <w:vAlign w:val="bottom"/>
            <w:hideMark/>
          </w:tcPr>
          <w:p w:rsidR="009A68E4" w:rsidRDefault="00F15CB7">
            <w:pPr>
              <w:jc w:val="right"/>
              <w:rPr>
                <w:b/>
                <w:bCs/>
                <w:i/>
                <w:iCs/>
                <w:noProof/>
                <w:color w:val="000000"/>
                <w:sz w:val="16"/>
                <w:szCs w:val="16"/>
              </w:rPr>
            </w:pPr>
            <w:r>
              <w:rPr>
                <w:b/>
                <w:i/>
                <w:noProof/>
                <w:color w:val="000000"/>
                <w:sz w:val="16"/>
              </w:rPr>
              <w:t> </w:t>
            </w:r>
          </w:p>
        </w:tc>
        <w:tc>
          <w:tcPr>
            <w:tcW w:w="1366" w:type="dxa"/>
            <w:tcBorders>
              <w:top w:val="nil"/>
              <w:left w:val="nil"/>
              <w:bottom w:val="dotted" w:sz="4" w:space="0" w:color="auto"/>
              <w:right w:val="single" w:sz="4" w:space="0" w:color="auto"/>
            </w:tcBorders>
            <w:shd w:val="clear" w:color="000000" w:fill="D9D9D9"/>
            <w:vAlign w:val="bottom"/>
            <w:hideMark/>
          </w:tcPr>
          <w:p w:rsidR="009A68E4" w:rsidRDefault="00F15CB7">
            <w:pPr>
              <w:jc w:val="right"/>
              <w:rPr>
                <w:b/>
                <w:bCs/>
                <w:i/>
                <w:iCs/>
                <w:noProof/>
                <w:color w:val="000000"/>
                <w:sz w:val="16"/>
                <w:szCs w:val="16"/>
              </w:rPr>
            </w:pPr>
            <w:r>
              <w:rPr>
                <w:b/>
                <w:i/>
                <w:noProof/>
                <w:color w:val="000000"/>
                <w:sz w:val="16"/>
              </w:rPr>
              <w:t>162 959 000 000</w:t>
            </w:r>
          </w:p>
        </w:tc>
        <w:tc>
          <w:tcPr>
            <w:tcW w:w="1327" w:type="dxa"/>
            <w:tcBorders>
              <w:top w:val="nil"/>
              <w:left w:val="nil"/>
              <w:bottom w:val="dotted" w:sz="4" w:space="0" w:color="auto"/>
              <w:right w:val="single" w:sz="4" w:space="0" w:color="auto"/>
            </w:tcBorders>
            <w:shd w:val="clear" w:color="000000" w:fill="D9D9D9"/>
            <w:vAlign w:val="bottom"/>
            <w:hideMark/>
          </w:tcPr>
          <w:p w:rsidR="009A68E4" w:rsidRDefault="00F15CB7">
            <w:pPr>
              <w:jc w:val="right"/>
              <w:rPr>
                <w:b/>
                <w:bCs/>
                <w:i/>
                <w:iCs/>
                <w:noProof/>
                <w:color w:val="000000"/>
                <w:sz w:val="16"/>
                <w:szCs w:val="16"/>
              </w:rPr>
            </w:pPr>
            <w:r>
              <w:rPr>
                <w:b/>
                <w:i/>
                <w:noProof/>
                <w:color w:val="000000"/>
                <w:sz w:val="16"/>
              </w:rPr>
              <w:t>142 007 000 000</w:t>
            </w:r>
          </w:p>
        </w:tc>
      </w:tr>
      <w:tr w:rsidR="009A68E4">
        <w:trPr>
          <w:trHeight w:val="270"/>
          <w:jc w:val="center"/>
        </w:trPr>
        <w:tc>
          <w:tcPr>
            <w:tcW w:w="2850" w:type="dxa"/>
            <w:gridSpan w:val="2"/>
            <w:tcBorders>
              <w:top w:val="dotted" w:sz="4" w:space="0" w:color="auto"/>
              <w:left w:val="single" w:sz="4" w:space="0" w:color="auto"/>
              <w:bottom w:val="nil"/>
              <w:right w:val="single" w:sz="4" w:space="0" w:color="000000"/>
            </w:tcBorders>
            <w:shd w:val="clear" w:color="000000" w:fill="D9D9D9"/>
            <w:vAlign w:val="bottom"/>
            <w:hideMark/>
          </w:tcPr>
          <w:p w:rsidR="009A68E4" w:rsidRDefault="00F15CB7">
            <w:pPr>
              <w:jc w:val="right"/>
              <w:rPr>
                <w:b/>
                <w:bCs/>
                <w:i/>
                <w:iCs/>
                <w:noProof/>
                <w:color w:val="000000"/>
                <w:sz w:val="16"/>
                <w:szCs w:val="16"/>
              </w:rPr>
            </w:pPr>
            <w:r>
              <w:rPr>
                <w:b/>
                <w:i/>
                <w:noProof/>
                <w:color w:val="000000"/>
                <w:sz w:val="16"/>
              </w:rPr>
              <w:t>Марж</w:t>
            </w:r>
          </w:p>
        </w:tc>
        <w:tc>
          <w:tcPr>
            <w:tcW w:w="1366" w:type="dxa"/>
            <w:tcBorders>
              <w:top w:val="nil"/>
              <w:left w:val="nil"/>
              <w:bottom w:val="single" w:sz="4" w:space="0" w:color="auto"/>
              <w:right w:val="single" w:sz="4" w:space="0" w:color="auto"/>
            </w:tcBorders>
            <w:shd w:val="clear" w:color="000000" w:fill="D9D9D9"/>
            <w:vAlign w:val="bottom"/>
            <w:hideMark/>
          </w:tcPr>
          <w:p w:rsidR="009A68E4" w:rsidRDefault="00F15CB7">
            <w:pPr>
              <w:jc w:val="right"/>
              <w:rPr>
                <w:b/>
                <w:bCs/>
                <w:i/>
                <w:iCs/>
                <w:noProof/>
                <w:color w:val="000000"/>
                <w:sz w:val="16"/>
                <w:szCs w:val="16"/>
              </w:rPr>
            </w:pPr>
            <w:r>
              <w:rPr>
                <w:b/>
                <w:i/>
                <w:noProof/>
                <w:color w:val="000000"/>
                <w:sz w:val="16"/>
              </w:rPr>
              <w:t>1 681 428 787</w:t>
            </w:r>
          </w:p>
        </w:tc>
        <w:tc>
          <w:tcPr>
            <w:tcW w:w="1327" w:type="dxa"/>
            <w:tcBorders>
              <w:top w:val="nil"/>
              <w:left w:val="nil"/>
              <w:bottom w:val="single" w:sz="4" w:space="0" w:color="auto"/>
              <w:right w:val="single" w:sz="4" w:space="0" w:color="auto"/>
            </w:tcBorders>
            <w:shd w:val="clear" w:color="000000" w:fill="D9D9D9"/>
            <w:vAlign w:val="bottom"/>
            <w:hideMark/>
          </w:tcPr>
          <w:p w:rsidR="009A68E4" w:rsidRDefault="00F15CB7">
            <w:pPr>
              <w:jc w:val="right"/>
              <w:rPr>
                <w:b/>
                <w:bCs/>
                <w:i/>
                <w:iCs/>
                <w:noProof/>
                <w:color w:val="000000"/>
                <w:sz w:val="16"/>
                <w:szCs w:val="16"/>
              </w:rPr>
            </w:pPr>
            <w:r>
              <w:rPr>
                <w:b/>
                <w:i/>
                <w:noProof/>
                <w:color w:val="000000"/>
                <w:sz w:val="16"/>
              </w:rPr>
              <w:t>1 156 000 000</w:t>
            </w:r>
          </w:p>
        </w:tc>
        <w:tc>
          <w:tcPr>
            <w:tcW w:w="1134" w:type="dxa"/>
            <w:tcBorders>
              <w:top w:val="nil"/>
              <w:left w:val="nil"/>
              <w:bottom w:val="single" w:sz="4" w:space="0" w:color="auto"/>
              <w:right w:val="single" w:sz="4" w:space="0" w:color="auto"/>
            </w:tcBorders>
            <w:shd w:val="clear" w:color="000000" w:fill="D9D9D9"/>
            <w:vAlign w:val="bottom"/>
            <w:hideMark/>
          </w:tcPr>
          <w:p w:rsidR="009A68E4" w:rsidRDefault="00F15CB7">
            <w:pPr>
              <w:jc w:val="right"/>
              <w:rPr>
                <w:b/>
                <w:bCs/>
                <w:i/>
                <w:iCs/>
                <w:noProof/>
                <w:color w:val="000000"/>
                <w:sz w:val="16"/>
                <w:szCs w:val="16"/>
              </w:rPr>
            </w:pPr>
            <w:r>
              <w:rPr>
                <w:b/>
                <w:i/>
                <w:noProof/>
                <w:color w:val="000000"/>
                <w:sz w:val="16"/>
              </w:rPr>
              <w:t> </w:t>
            </w:r>
          </w:p>
        </w:tc>
        <w:tc>
          <w:tcPr>
            <w:tcW w:w="1134" w:type="dxa"/>
            <w:tcBorders>
              <w:top w:val="nil"/>
              <w:left w:val="nil"/>
              <w:bottom w:val="single" w:sz="4" w:space="0" w:color="auto"/>
              <w:right w:val="single" w:sz="4" w:space="0" w:color="auto"/>
            </w:tcBorders>
            <w:shd w:val="clear" w:color="000000" w:fill="D9D9D9"/>
            <w:vAlign w:val="bottom"/>
            <w:hideMark/>
          </w:tcPr>
          <w:p w:rsidR="009A68E4" w:rsidRDefault="00F15CB7">
            <w:pPr>
              <w:jc w:val="right"/>
              <w:rPr>
                <w:b/>
                <w:bCs/>
                <w:i/>
                <w:iCs/>
                <w:noProof/>
                <w:color w:val="000000"/>
                <w:sz w:val="16"/>
                <w:szCs w:val="16"/>
              </w:rPr>
            </w:pPr>
            <w:r>
              <w:rPr>
                <w:b/>
                <w:i/>
                <w:noProof/>
                <w:color w:val="000000"/>
                <w:sz w:val="16"/>
              </w:rPr>
              <w:t> </w:t>
            </w:r>
          </w:p>
        </w:tc>
        <w:tc>
          <w:tcPr>
            <w:tcW w:w="1366" w:type="dxa"/>
            <w:tcBorders>
              <w:top w:val="nil"/>
              <w:left w:val="nil"/>
              <w:bottom w:val="single" w:sz="4" w:space="0" w:color="auto"/>
              <w:right w:val="single" w:sz="4" w:space="0" w:color="auto"/>
            </w:tcBorders>
            <w:shd w:val="clear" w:color="000000" w:fill="D9D9D9"/>
            <w:vAlign w:val="bottom"/>
            <w:hideMark/>
          </w:tcPr>
          <w:p w:rsidR="009A68E4" w:rsidRDefault="00F15CB7">
            <w:pPr>
              <w:jc w:val="right"/>
              <w:rPr>
                <w:b/>
                <w:bCs/>
                <w:i/>
                <w:iCs/>
                <w:noProof/>
                <w:color w:val="000000"/>
                <w:sz w:val="16"/>
                <w:szCs w:val="16"/>
              </w:rPr>
            </w:pPr>
            <w:r>
              <w:rPr>
                <w:b/>
                <w:i/>
                <w:noProof/>
                <w:color w:val="000000"/>
                <w:sz w:val="16"/>
              </w:rPr>
              <w:t>1 383 119 399</w:t>
            </w:r>
          </w:p>
        </w:tc>
        <w:tc>
          <w:tcPr>
            <w:tcW w:w="1327" w:type="dxa"/>
            <w:tcBorders>
              <w:top w:val="nil"/>
              <w:left w:val="nil"/>
              <w:bottom w:val="single" w:sz="4" w:space="0" w:color="auto"/>
              <w:right w:val="single" w:sz="4" w:space="0" w:color="auto"/>
            </w:tcBorders>
            <w:shd w:val="clear" w:color="000000" w:fill="D9D9D9"/>
            <w:vAlign w:val="bottom"/>
            <w:hideMark/>
          </w:tcPr>
          <w:p w:rsidR="009A68E4" w:rsidRDefault="00F15CB7">
            <w:pPr>
              <w:jc w:val="right"/>
              <w:rPr>
                <w:b/>
                <w:bCs/>
                <w:i/>
                <w:iCs/>
                <w:noProof/>
                <w:color w:val="000000"/>
                <w:sz w:val="16"/>
                <w:szCs w:val="16"/>
              </w:rPr>
            </w:pPr>
            <w:r>
              <w:rPr>
                <w:b/>
                <w:i/>
                <w:noProof/>
                <w:color w:val="000000"/>
                <w:sz w:val="16"/>
              </w:rPr>
              <w:t>1 122 274 765</w:t>
            </w:r>
          </w:p>
        </w:tc>
      </w:tr>
      <w:tr w:rsidR="009A68E4">
        <w:trPr>
          <w:trHeight w:val="270"/>
          <w:jc w:val="center"/>
        </w:trPr>
        <w:tc>
          <w:tcPr>
            <w:tcW w:w="376" w:type="dxa"/>
            <w:tcBorders>
              <w:top w:val="single" w:sz="4" w:space="0" w:color="auto"/>
              <w:left w:val="single" w:sz="4" w:space="0" w:color="auto"/>
              <w:bottom w:val="single" w:sz="4" w:space="0" w:color="auto"/>
              <w:right w:val="nil"/>
            </w:tcBorders>
            <w:shd w:val="clear" w:color="auto" w:fill="auto"/>
            <w:vAlign w:val="bottom"/>
            <w:hideMark/>
          </w:tcPr>
          <w:p w:rsidR="009A68E4" w:rsidRDefault="00F15CB7">
            <w:pPr>
              <w:rPr>
                <w:noProof/>
                <w:color w:val="000000"/>
                <w:sz w:val="16"/>
                <w:szCs w:val="16"/>
              </w:rPr>
            </w:pPr>
            <w:r>
              <w:rPr>
                <w:noProof/>
                <w:color w:val="000000"/>
                <w:sz w:val="16"/>
              </w:rPr>
              <w:t> </w:t>
            </w:r>
          </w:p>
        </w:tc>
        <w:tc>
          <w:tcPr>
            <w:tcW w:w="2474" w:type="dxa"/>
            <w:tcBorders>
              <w:top w:val="single" w:sz="4" w:space="0" w:color="auto"/>
              <w:left w:val="nil"/>
              <w:bottom w:val="single" w:sz="4" w:space="0" w:color="auto"/>
              <w:right w:val="single" w:sz="4" w:space="0" w:color="auto"/>
            </w:tcBorders>
            <w:shd w:val="clear" w:color="auto" w:fill="auto"/>
            <w:vAlign w:val="bottom"/>
            <w:hideMark/>
          </w:tcPr>
          <w:p w:rsidR="009A68E4" w:rsidRDefault="00F15CB7">
            <w:pPr>
              <w:rPr>
                <w:b/>
                <w:bCs/>
                <w:noProof/>
                <w:color w:val="000000"/>
                <w:sz w:val="16"/>
                <w:szCs w:val="16"/>
              </w:rPr>
            </w:pPr>
            <w:r>
              <w:rPr>
                <w:b/>
                <w:noProof/>
                <w:color w:val="000000"/>
                <w:sz w:val="16"/>
              </w:rPr>
              <w:t>Други специални инструменти</w:t>
            </w:r>
          </w:p>
        </w:tc>
        <w:tc>
          <w:tcPr>
            <w:tcW w:w="1366"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 xml:space="preserve"> 581 870 850</w:t>
            </w:r>
          </w:p>
        </w:tc>
        <w:tc>
          <w:tcPr>
            <w:tcW w:w="1327"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 xml:space="preserve"> 418 230 818</w:t>
            </w:r>
          </w:p>
        </w:tc>
        <w:tc>
          <w:tcPr>
            <w:tcW w:w="1134"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- 33 725 235</w:t>
            </w:r>
          </w:p>
        </w:tc>
        <w:tc>
          <w:tcPr>
            <w:tcW w:w="1134"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- 33 725 235</w:t>
            </w:r>
          </w:p>
        </w:tc>
        <w:tc>
          <w:tcPr>
            <w:tcW w:w="1366"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 xml:space="preserve"> 548 145 615</w:t>
            </w:r>
          </w:p>
        </w:tc>
        <w:tc>
          <w:tcPr>
            <w:tcW w:w="1327" w:type="dxa"/>
            <w:tcBorders>
              <w:top w:val="nil"/>
              <w:left w:val="nil"/>
              <w:bottom w:val="single" w:sz="4" w:space="0" w:color="auto"/>
              <w:right w:val="single" w:sz="4" w:space="0" w:color="auto"/>
            </w:tcBorders>
            <w:shd w:val="clear" w:color="auto" w:fill="auto"/>
            <w:vAlign w:val="bottom"/>
            <w:hideMark/>
          </w:tcPr>
          <w:p w:rsidR="009A68E4" w:rsidRDefault="00F15CB7">
            <w:pPr>
              <w:jc w:val="right"/>
              <w:rPr>
                <w:b/>
                <w:bCs/>
                <w:noProof/>
                <w:color w:val="000000"/>
                <w:sz w:val="16"/>
                <w:szCs w:val="16"/>
              </w:rPr>
            </w:pPr>
            <w:r>
              <w:rPr>
                <w:b/>
                <w:noProof/>
                <w:color w:val="000000"/>
                <w:sz w:val="16"/>
              </w:rPr>
              <w:t xml:space="preserve"> 384 505 583</w:t>
            </w:r>
          </w:p>
        </w:tc>
      </w:tr>
      <w:tr w:rsidR="009A68E4">
        <w:trPr>
          <w:trHeight w:val="270"/>
          <w:jc w:val="center"/>
        </w:trPr>
        <w:tc>
          <w:tcPr>
            <w:tcW w:w="2850" w:type="dxa"/>
            <w:gridSpan w:val="2"/>
            <w:tcBorders>
              <w:top w:val="nil"/>
              <w:left w:val="single" w:sz="4" w:space="0" w:color="auto"/>
              <w:bottom w:val="single" w:sz="4" w:space="0" w:color="auto"/>
              <w:right w:val="single" w:sz="4" w:space="0" w:color="000000"/>
            </w:tcBorders>
            <w:shd w:val="clear" w:color="000000" w:fill="D9D9D9"/>
            <w:vAlign w:val="bottom"/>
            <w:hideMark/>
          </w:tcPr>
          <w:p w:rsidR="009A68E4" w:rsidRDefault="00F15CB7">
            <w:pPr>
              <w:jc w:val="right"/>
              <w:rPr>
                <w:b/>
                <w:bCs/>
                <w:noProof/>
                <w:color w:val="000000"/>
                <w:sz w:val="16"/>
                <w:szCs w:val="16"/>
              </w:rPr>
            </w:pPr>
            <w:r>
              <w:rPr>
                <w:b/>
                <w:noProof/>
                <w:color w:val="000000"/>
                <w:sz w:val="16"/>
              </w:rPr>
              <w:t xml:space="preserve">Общо </w:t>
            </w:r>
            <w:r>
              <w:rPr>
                <w:b/>
                <w:noProof/>
                <w:color w:val="000000"/>
                <w:sz w:val="16"/>
              </w:rPr>
              <w:t>всичко</w:t>
            </w:r>
          </w:p>
        </w:tc>
        <w:tc>
          <w:tcPr>
            <w:tcW w:w="1366" w:type="dxa"/>
            <w:tcBorders>
              <w:top w:val="nil"/>
              <w:left w:val="nil"/>
              <w:bottom w:val="single" w:sz="4" w:space="0" w:color="auto"/>
              <w:right w:val="single" w:sz="4" w:space="0" w:color="auto"/>
            </w:tcBorders>
            <w:shd w:val="clear" w:color="000000" w:fill="D9D9D9"/>
            <w:vAlign w:val="bottom"/>
            <w:hideMark/>
          </w:tcPr>
          <w:p w:rsidR="009A68E4" w:rsidRDefault="00F15CB7">
            <w:pPr>
              <w:jc w:val="right"/>
              <w:rPr>
                <w:b/>
                <w:bCs/>
                <w:noProof/>
                <w:color w:val="000000"/>
                <w:sz w:val="16"/>
                <w:szCs w:val="16"/>
              </w:rPr>
            </w:pPr>
            <w:r>
              <w:rPr>
                <w:b/>
                <w:noProof/>
                <w:color w:val="000000"/>
                <w:sz w:val="16"/>
              </w:rPr>
              <w:t>161 942 727 658</w:t>
            </w:r>
          </w:p>
        </w:tc>
        <w:tc>
          <w:tcPr>
            <w:tcW w:w="1327" w:type="dxa"/>
            <w:tcBorders>
              <w:top w:val="nil"/>
              <w:left w:val="nil"/>
              <w:bottom w:val="single" w:sz="4" w:space="0" w:color="auto"/>
              <w:right w:val="single" w:sz="4" w:space="0" w:color="auto"/>
            </w:tcBorders>
            <w:shd w:val="clear" w:color="000000" w:fill="D9D9D9"/>
            <w:vAlign w:val="bottom"/>
            <w:hideMark/>
          </w:tcPr>
          <w:p w:rsidR="009A68E4" w:rsidRDefault="00F15CB7">
            <w:pPr>
              <w:jc w:val="right"/>
              <w:rPr>
                <w:b/>
                <w:bCs/>
                <w:noProof/>
                <w:color w:val="000000"/>
                <w:sz w:val="16"/>
                <w:szCs w:val="16"/>
              </w:rPr>
            </w:pPr>
            <w:r>
              <w:rPr>
                <w:b/>
                <w:noProof/>
                <w:color w:val="000000"/>
                <w:sz w:val="16"/>
              </w:rPr>
              <w:t>141 280 546 413</w:t>
            </w:r>
          </w:p>
        </w:tc>
        <w:tc>
          <w:tcPr>
            <w:tcW w:w="1134" w:type="dxa"/>
            <w:tcBorders>
              <w:top w:val="nil"/>
              <w:left w:val="nil"/>
              <w:bottom w:val="single" w:sz="4" w:space="0" w:color="auto"/>
              <w:right w:val="single" w:sz="4" w:space="0" w:color="auto"/>
            </w:tcBorders>
            <w:shd w:val="clear" w:color="000000" w:fill="D9D9D9"/>
            <w:vAlign w:val="bottom"/>
            <w:hideMark/>
          </w:tcPr>
          <w:p w:rsidR="009A68E4" w:rsidRDefault="00F15CB7">
            <w:pPr>
              <w:jc w:val="right"/>
              <w:rPr>
                <w:b/>
                <w:bCs/>
                <w:noProof/>
                <w:color w:val="000000"/>
                <w:sz w:val="16"/>
                <w:szCs w:val="16"/>
              </w:rPr>
            </w:pPr>
            <w:r>
              <w:rPr>
                <w:b/>
                <w:noProof/>
                <w:color w:val="000000"/>
                <w:sz w:val="16"/>
              </w:rPr>
              <w:t xml:space="preserve"> 330 733 000</w:t>
            </w:r>
          </w:p>
        </w:tc>
        <w:tc>
          <w:tcPr>
            <w:tcW w:w="1134" w:type="dxa"/>
            <w:tcBorders>
              <w:top w:val="nil"/>
              <w:left w:val="nil"/>
              <w:bottom w:val="single" w:sz="4" w:space="0" w:color="auto"/>
              <w:right w:val="single" w:sz="4" w:space="0" w:color="auto"/>
            </w:tcBorders>
            <w:shd w:val="clear" w:color="000000" w:fill="D9D9D9"/>
            <w:vAlign w:val="bottom"/>
            <w:hideMark/>
          </w:tcPr>
          <w:p w:rsidR="009A68E4" w:rsidRDefault="00F15CB7">
            <w:pPr>
              <w:jc w:val="right"/>
              <w:rPr>
                <w:b/>
                <w:bCs/>
                <w:noProof/>
                <w:color w:val="000000"/>
                <w:sz w:val="16"/>
                <w:szCs w:val="16"/>
              </w:rPr>
            </w:pPr>
            <w:r>
              <w:rPr>
                <w:b/>
                <w:noProof/>
                <w:color w:val="000000"/>
                <w:sz w:val="16"/>
              </w:rPr>
              <w:t xml:space="preserve">   </w:t>
            </w:r>
          </w:p>
        </w:tc>
        <w:tc>
          <w:tcPr>
            <w:tcW w:w="1366" w:type="dxa"/>
            <w:tcBorders>
              <w:top w:val="nil"/>
              <w:left w:val="nil"/>
              <w:bottom w:val="single" w:sz="4" w:space="0" w:color="auto"/>
              <w:right w:val="single" w:sz="4" w:space="0" w:color="auto"/>
            </w:tcBorders>
            <w:shd w:val="clear" w:color="000000" w:fill="D9D9D9"/>
            <w:vAlign w:val="bottom"/>
            <w:hideMark/>
          </w:tcPr>
          <w:p w:rsidR="009A68E4" w:rsidRDefault="00F15CB7">
            <w:pPr>
              <w:jc w:val="right"/>
              <w:rPr>
                <w:b/>
                <w:bCs/>
                <w:noProof/>
                <w:color w:val="000000"/>
                <w:sz w:val="16"/>
                <w:szCs w:val="16"/>
              </w:rPr>
            </w:pPr>
            <w:r>
              <w:rPr>
                <w:b/>
                <w:noProof/>
                <w:color w:val="000000"/>
                <w:sz w:val="16"/>
              </w:rPr>
              <w:t>162 273 460 658</w:t>
            </w:r>
          </w:p>
        </w:tc>
        <w:tc>
          <w:tcPr>
            <w:tcW w:w="1327" w:type="dxa"/>
            <w:tcBorders>
              <w:top w:val="nil"/>
              <w:left w:val="nil"/>
              <w:bottom w:val="single" w:sz="4" w:space="0" w:color="auto"/>
              <w:right w:val="single" w:sz="4" w:space="0" w:color="auto"/>
            </w:tcBorders>
            <w:shd w:val="clear" w:color="000000" w:fill="D9D9D9"/>
            <w:vAlign w:val="bottom"/>
            <w:hideMark/>
          </w:tcPr>
          <w:p w:rsidR="009A68E4" w:rsidRDefault="00F15CB7">
            <w:pPr>
              <w:jc w:val="right"/>
              <w:rPr>
                <w:b/>
                <w:bCs/>
                <w:noProof/>
                <w:color w:val="000000"/>
                <w:sz w:val="16"/>
                <w:szCs w:val="16"/>
              </w:rPr>
            </w:pPr>
            <w:r>
              <w:rPr>
                <w:b/>
                <w:noProof/>
                <w:color w:val="000000"/>
                <w:sz w:val="16"/>
              </w:rPr>
              <w:t>141 280 546 413</w:t>
            </w:r>
          </w:p>
        </w:tc>
      </w:tr>
      <w:bookmarkEnd w:id="1"/>
      <w:bookmarkEnd w:id="2"/>
      <w:bookmarkEnd w:id="3"/>
      <w:bookmarkEnd w:id="4"/>
      <w:bookmarkEnd w:id="5"/>
      <w:bookmarkEnd w:id="6"/>
      <w:bookmarkEnd w:id="12"/>
      <w:bookmarkEnd w:id="13"/>
    </w:tbl>
    <w:p w:rsidR="009A68E4" w:rsidRDefault="009A68E4">
      <w:pPr>
        <w:spacing w:before="120" w:after="120"/>
        <w:jc w:val="both"/>
        <w:rPr>
          <w:noProof/>
        </w:rPr>
      </w:pPr>
    </w:p>
    <w:sectPr w:rsidR="009A68E4">
      <w:headerReference w:type="even" r:id="rId29"/>
      <w:headerReference w:type="default" r:id="rId30"/>
      <w:footerReference w:type="even" r:id="rId31"/>
      <w:footerReference w:type="default" r:id="rId32"/>
      <w:headerReference w:type="first" r:id="rId33"/>
      <w:footerReference w:type="first" r:id="rId34"/>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8E4" w:rsidRDefault="00F15CB7">
      <w:r>
        <w:separator/>
      </w:r>
    </w:p>
  </w:endnote>
  <w:endnote w:type="continuationSeparator" w:id="0">
    <w:p w:rsidR="009A68E4" w:rsidRDefault="00F15CB7">
      <w:r>
        <w:continuationSeparator/>
      </w:r>
    </w:p>
  </w:endnote>
  <w:endnote w:type="continuationNotice" w:id="1">
    <w:p w:rsidR="009A68E4" w:rsidRDefault="009A6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E4" w:rsidRDefault="009A68E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E4" w:rsidRDefault="009A68E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E4" w:rsidRDefault="00F15CB7">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E4" w:rsidRDefault="009A68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E4" w:rsidRDefault="00F15CB7">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E4" w:rsidRDefault="009A68E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E4" w:rsidRDefault="009A68E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E4" w:rsidRDefault="00F15CB7">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E4" w:rsidRDefault="009A68E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E4" w:rsidRDefault="009A68E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E4" w:rsidRDefault="00F15CB7">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E4" w:rsidRDefault="009A68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8E4" w:rsidRDefault="00F15CB7">
      <w:r>
        <w:separator/>
      </w:r>
    </w:p>
  </w:footnote>
  <w:footnote w:type="continuationSeparator" w:id="0">
    <w:p w:rsidR="009A68E4" w:rsidRDefault="00F15CB7">
      <w:r>
        <w:continuationSeparator/>
      </w:r>
    </w:p>
  </w:footnote>
  <w:footnote w:type="continuationNotice" w:id="1">
    <w:p w:rsidR="009A68E4" w:rsidRDefault="009A68E4"/>
  </w:footnote>
  <w:footnote w:id="2">
    <w:p w:rsidR="009A68E4" w:rsidRDefault="00F15CB7">
      <w:pPr>
        <w:pStyle w:val="FootnoteText"/>
        <w:rPr>
          <w:lang w:val="pl-PL"/>
        </w:rPr>
      </w:pPr>
      <w:r>
        <w:rPr>
          <w:rStyle w:val="FootnoteReference"/>
        </w:rPr>
        <w:footnoteRef/>
      </w:r>
      <w:r>
        <w:tab/>
      </w:r>
      <w:r>
        <w:rPr>
          <w:sz w:val="18"/>
        </w:rPr>
        <w:t>ОВ L 298, 26.10.2012 г., стр. 1.</w:t>
      </w:r>
    </w:p>
  </w:footnote>
  <w:footnote w:id="3">
    <w:p w:rsidR="009A68E4" w:rsidRDefault="00F15CB7">
      <w:pPr>
        <w:pStyle w:val="FootnoteText"/>
        <w:rPr>
          <w:lang w:val="pl-PL"/>
        </w:rPr>
      </w:pPr>
      <w:r>
        <w:rPr>
          <w:rStyle w:val="FootnoteReference"/>
        </w:rPr>
        <w:footnoteRef/>
      </w:r>
      <w:r>
        <w:tab/>
      </w:r>
      <w:r>
        <w:rPr>
          <w:sz w:val="18"/>
        </w:rPr>
        <w:t>ОВ L 69, 13.3.2015 г., стр. 1.</w:t>
      </w:r>
    </w:p>
  </w:footnote>
  <w:footnote w:id="4">
    <w:p w:rsidR="009A68E4" w:rsidRDefault="00F15CB7">
      <w:pPr>
        <w:pStyle w:val="FootnoteText"/>
        <w:rPr>
          <w:sz w:val="18"/>
          <w:szCs w:val="18"/>
          <w:lang w:val="pl-PL"/>
        </w:rPr>
      </w:pPr>
      <w:r>
        <w:rPr>
          <w:rStyle w:val="FootnoteReference"/>
          <w:sz w:val="18"/>
        </w:rPr>
        <w:footnoteRef/>
      </w:r>
      <w:r>
        <w:rPr>
          <w:sz w:val="18"/>
        </w:rPr>
        <w:t xml:space="preserve"> </w:t>
      </w:r>
      <w:r>
        <w:tab/>
      </w:r>
      <w:r>
        <w:rPr>
          <w:sz w:val="18"/>
        </w:rPr>
        <w:t>OВ L</w:t>
      </w:r>
      <w:r>
        <w:rPr>
          <w:sz w:val="18"/>
        </w:rPr>
        <w:t xml:space="preserve"> 190, 17.7.2015 г.</w:t>
      </w:r>
    </w:p>
  </w:footnote>
  <w:footnote w:id="5">
    <w:p w:rsidR="009A68E4" w:rsidRDefault="00F15CB7">
      <w:pPr>
        <w:pStyle w:val="FootnoteText"/>
        <w:rPr>
          <w:sz w:val="18"/>
          <w:szCs w:val="18"/>
          <w:lang w:val="pl-PL"/>
        </w:rPr>
      </w:pPr>
      <w:r>
        <w:rPr>
          <w:rStyle w:val="FootnoteReference"/>
          <w:sz w:val="18"/>
        </w:rPr>
        <w:footnoteRef/>
      </w:r>
      <w:r>
        <w:rPr>
          <w:sz w:val="18"/>
        </w:rPr>
        <w:t xml:space="preserve"> </w:t>
      </w:r>
      <w:r>
        <w:tab/>
      </w:r>
      <w:r>
        <w:rPr>
          <w:sz w:val="18"/>
        </w:rPr>
        <w:t>OВ L XX, XX.XX.2015 г.</w:t>
      </w:r>
    </w:p>
  </w:footnote>
  <w:footnote w:id="6">
    <w:p w:rsidR="009A68E4" w:rsidRDefault="00F15CB7">
      <w:pPr>
        <w:pStyle w:val="FootnoteText"/>
        <w:rPr>
          <w:sz w:val="18"/>
          <w:szCs w:val="18"/>
          <w:lang w:val="pl-PL"/>
        </w:rPr>
      </w:pPr>
      <w:r>
        <w:rPr>
          <w:rStyle w:val="FootnoteReference"/>
          <w:sz w:val="18"/>
        </w:rPr>
        <w:footnoteRef/>
      </w:r>
      <w:r>
        <w:rPr>
          <w:sz w:val="18"/>
        </w:rPr>
        <w:t xml:space="preserve"> </w:t>
      </w:r>
      <w:r>
        <w:tab/>
      </w:r>
      <w:r>
        <w:rPr>
          <w:sz w:val="18"/>
        </w:rPr>
        <w:t>OВ L XX, XX.XX.2015 г.</w:t>
      </w:r>
    </w:p>
  </w:footnote>
  <w:footnote w:id="7">
    <w:p w:rsidR="009A68E4" w:rsidRDefault="00F15CB7">
      <w:pPr>
        <w:pStyle w:val="FootnoteText"/>
        <w:rPr>
          <w:sz w:val="18"/>
          <w:szCs w:val="18"/>
          <w:lang w:val="pl-PL"/>
        </w:rPr>
      </w:pPr>
      <w:r>
        <w:rPr>
          <w:rStyle w:val="FootnoteReference"/>
          <w:sz w:val="18"/>
        </w:rPr>
        <w:footnoteRef/>
      </w:r>
      <w:r>
        <w:rPr>
          <w:sz w:val="18"/>
        </w:rPr>
        <w:t xml:space="preserve"> </w:t>
      </w:r>
      <w:r>
        <w:tab/>
      </w:r>
      <w:r>
        <w:rPr>
          <w:sz w:val="18"/>
        </w:rPr>
        <w:t>OВ L XX, XX.XX.2015 г.</w:t>
      </w:r>
    </w:p>
  </w:footnote>
  <w:footnote w:id="8">
    <w:p w:rsidR="009A68E4" w:rsidRDefault="00F15CB7">
      <w:pPr>
        <w:pStyle w:val="FootnoteText"/>
        <w:rPr>
          <w:sz w:val="18"/>
          <w:szCs w:val="18"/>
          <w:lang w:val="pl-PL"/>
        </w:rPr>
      </w:pPr>
      <w:r>
        <w:rPr>
          <w:rStyle w:val="FootnoteReference"/>
          <w:sz w:val="18"/>
        </w:rPr>
        <w:footnoteRef/>
      </w:r>
      <w:r>
        <w:rPr>
          <w:sz w:val="18"/>
        </w:rPr>
        <w:t xml:space="preserve"> </w:t>
      </w:r>
      <w:r>
        <w:tab/>
      </w:r>
      <w:r>
        <w:rPr>
          <w:sz w:val="18"/>
        </w:rPr>
        <w:t>OВ L XX, XX.XX.2015 г.</w:t>
      </w:r>
    </w:p>
  </w:footnote>
  <w:footnote w:id="9">
    <w:p w:rsidR="009A68E4" w:rsidRDefault="00F15CB7">
      <w:pPr>
        <w:pStyle w:val="FootnoteText"/>
        <w:rPr>
          <w:lang w:val="pt-PT"/>
        </w:rPr>
      </w:pPr>
      <w:r>
        <w:rPr>
          <w:rStyle w:val="FootnoteReference"/>
          <w:sz w:val="18"/>
        </w:rPr>
        <w:footnoteRef/>
      </w:r>
      <w:r>
        <w:rPr>
          <w:sz w:val="18"/>
        </w:rPr>
        <w:t xml:space="preserve"> </w:t>
      </w:r>
      <w:r>
        <w:tab/>
      </w:r>
      <w:r>
        <w:rPr>
          <w:sz w:val="18"/>
        </w:rPr>
        <w:t>COM(2015) 351 final от 15.7.2015 г</w:t>
      </w:r>
      <w:r>
        <w:t>.</w:t>
      </w:r>
    </w:p>
  </w:footnote>
  <w:footnote w:id="10">
    <w:p w:rsidR="009A68E4" w:rsidRDefault="00F15CB7">
      <w:pPr>
        <w:pStyle w:val="FootnoteText"/>
        <w:rPr>
          <w:lang w:val="pt-PT"/>
        </w:rPr>
      </w:pPr>
      <w:r>
        <w:rPr>
          <w:rStyle w:val="FootnoteReference"/>
        </w:rPr>
        <w:footnoteRef/>
      </w:r>
      <w:r>
        <w:t xml:space="preserve"> </w:t>
      </w:r>
      <w:r>
        <w:tab/>
        <w:t>COM(2015) 490, 23.9.2015 г.</w:t>
      </w:r>
    </w:p>
  </w:footnote>
  <w:footnote w:id="11">
    <w:p w:rsidR="009A68E4" w:rsidRDefault="00F15CB7">
      <w:pPr>
        <w:pStyle w:val="FootnoteText"/>
        <w:rPr>
          <w:lang w:val="pt-PT"/>
        </w:rPr>
      </w:pPr>
      <w:r>
        <w:rPr>
          <w:rStyle w:val="FootnoteReference"/>
        </w:rPr>
        <w:footnoteRef/>
      </w:r>
      <w:r>
        <w:t xml:space="preserve"> </w:t>
      </w:r>
      <w:r>
        <w:tab/>
        <w:t>COM(2015) 241, 13.5.2015 г.</w:t>
      </w:r>
    </w:p>
  </w:footnote>
  <w:footnote w:id="12">
    <w:p w:rsidR="009A68E4" w:rsidRDefault="00F15CB7">
      <w:pPr>
        <w:pStyle w:val="FootnoteText"/>
        <w:rPr>
          <w:lang w:val="pt-PT"/>
        </w:rPr>
      </w:pPr>
      <w:r>
        <w:rPr>
          <w:rStyle w:val="FootnoteReference"/>
        </w:rPr>
        <w:footnoteRef/>
      </w:r>
      <w:r>
        <w:t xml:space="preserve"> </w:t>
      </w:r>
      <w:r>
        <w:tab/>
        <w:t>COM(2015) 240, 13.5.2015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E4" w:rsidRDefault="009A68E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E4" w:rsidRDefault="009A68E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E4" w:rsidRDefault="009A68E4">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E4" w:rsidRDefault="009A68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E4" w:rsidRDefault="009A68E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E4" w:rsidRDefault="009A68E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E4" w:rsidRDefault="009A68E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E4" w:rsidRDefault="009A68E4">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E4" w:rsidRDefault="009A68E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E4" w:rsidRDefault="009A68E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E4" w:rsidRDefault="009A68E4">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E4" w:rsidRDefault="009A6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nsid w:val="07C07363"/>
    <w:multiLevelType w:val="hybridMultilevel"/>
    <w:tmpl w:val="DCAA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AF6847"/>
    <w:multiLevelType w:val="hybridMultilevel"/>
    <w:tmpl w:val="30268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1F651385"/>
    <w:multiLevelType w:val="hybridMultilevel"/>
    <w:tmpl w:val="B254CC5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7F7D8F"/>
    <w:multiLevelType w:val="hybridMultilevel"/>
    <w:tmpl w:val="6930D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0">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461760D"/>
    <w:multiLevelType w:val="hybridMultilevel"/>
    <w:tmpl w:val="56F42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F8A0706"/>
    <w:multiLevelType w:val="hybridMultilevel"/>
    <w:tmpl w:val="5C50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5">
    <w:nsid w:val="6ADF30C2"/>
    <w:multiLevelType w:val="hybridMultilevel"/>
    <w:tmpl w:val="62DE6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num w:numId="1">
    <w:abstractNumId w:val="7"/>
  </w:num>
  <w:num w:numId="2">
    <w:abstractNumId w:val="9"/>
  </w:num>
  <w:num w:numId="3">
    <w:abstractNumId w:val="16"/>
  </w:num>
  <w:num w:numId="4">
    <w:abstractNumId w:val="8"/>
  </w:num>
  <w:num w:numId="5">
    <w:abstractNumId w:val="6"/>
  </w:num>
  <w:num w:numId="6">
    <w:abstractNumId w:val="13"/>
  </w:num>
  <w:num w:numId="7">
    <w:abstractNumId w:val="3"/>
  </w:num>
  <w:num w:numId="8">
    <w:abstractNumId w:val="14"/>
  </w:num>
  <w:num w:numId="9">
    <w:abstractNumId w:val="15"/>
  </w:num>
  <w:num w:numId="10">
    <w:abstractNumId w:val="1"/>
  </w:num>
  <w:num w:numId="11">
    <w:abstractNumId w:val="12"/>
  </w:num>
  <w:num w:numId="12">
    <w:abstractNumId w:val="4"/>
  </w:num>
  <w:num w:numId="13">
    <w:abstractNumId w:val="2"/>
  </w:num>
  <w:num w:numId="14">
    <w:abstractNumId w:val="5"/>
  </w:num>
  <w:num w:numId="15">
    <w:abstractNumId w:val="0"/>
  </w:num>
  <w:num w:numId="16">
    <w:abstractNumId w:val="11"/>
  </w:num>
  <w:num w:numId="1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BDECFC23EF6486F88541B7127165753"/>
    <w:docVar w:name="LW_CROSSREFERENCE" w:val="&lt;UNUSED&gt;"/>
    <w:docVar w:name="LW_DocType" w:val="NORMAL"/>
    <w:docVar w:name="LW_EMISSION" w:val="30.9.2015"/>
    <w:docVar w:name="LW_EMISSION_ISODATE" w:val="2015-09-30"/>
    <w:docVar w:name="LW_EMISSION_LOCATION" w:val="BRX"/>
    <w:docVar w:name="LW_EMISSION_PREFIX" w:val="Брюксел,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485"/>
    <w:docVar w:name="LW_REF.INTERNE" w:val="&lt;UNUSED&gt;"/>
    <w:docVar w:name="LW_SOUS.TITRE.OBJ.CP" w:val="&lt;UNUSED&gt;"/>
    <w:docVar w:name="LW_SUPERTITRE" w:val="&lt;UNUSED&gt;"/>
    <w:docVar w:name="LW_TITRE.OBJ.CP" w:val="\u1059?\u1087?\u1088?\u1072?\u1074?\u1083?\u1077?\u1085?\u1080?\u1077? \u1085?\u1072? \u1082?\u1088?\u1080?\u1079?\u1072?\u1090?\u1072? \u1089? \u1073?\u1077?\u1078?\u1072?\u1085?\u1094?\u1080?\u1090?\u1077?: \u1085?\u1077?\u1079?\u1072?\u1073?\u1072?\u1074?\u1085?\u1080? \u1073?\u1102?\u1076?\u1078?\u1077?\u1090?\u1085?\u1080? \u1084?\u1077?\u1088?\u1082?\u1080? \u1087?\u1086? \u1045?\u1074?\u1088?\u1086?\u1087?\u1077?\u1081?\u1089?\u1082?\u1072?\u1090?\u1072? \u1087?\u1088?\u1086?\u1075?\u1088?\u1072?\u1084?\u1072? \u1079?\u1072? \u1084?\u1080?\u1075?\u1088?\u1072?\u1094?\u1080?\u1103?\u1090?\u1072?"/>
    <w:docVar w:name="LW_TITRE.OBJ.CP_PREVIOUS" w:val="&lt;UNUSED&gt;"/>
    <w:docVar w:name="LW_TYPE.DOC.CP" w:val="\u1055?\u1056?\u1054?\u1045?\u1050?\u1058? \u1053?\u1040? \u1050?\u1054?\u1056?\u1048?\u1043?\u1048?\u1056?\u1040?\u1065? \u1041?\u1070?\u1044?\u1046?\u1045?\u1058? \u8470? 7_x000b_\u1050?\u1066?\u1052? \u1054?\u1041?\u1065?\u1048?\u1071? \u1041?\u1070?\u1044?\u1046?\u1045?\u1058? \u1047?\u1040? 2015 \u1043?\u1054?\u1044?\u1048?\u1053?\u1040?"/>
  </w:docVars>
  <w:rsids>
    <w:rsidRoot w:val="009A68E4"/>
    <w:rsid w:val="009A68E4"/>
    <w:rsid w:val="00F15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5"/>
        <w:tab w:val="right" w:pos="9071"/>
        <w:tab w:val="right" w:pos="9921"/>
      </w:tabs>
      <w:spacing w:before="360"/>
      <w:ind w:left="-850" w:right="-850"/>
    </w:pPr>
  </w:style>
  <w:style w:type="paragraph" w:styleId="FootnoteText">
    <w:name w:val="footnote text"/>
    <w:basedOn w:val="Normal"/>
    <w:link w:val="FootnoteTextChar"/>
    <w:uiPriority w:val="99"/>
    <w:pPr>
      <w:ind w:left="720" w:hanging="720"/>
      <w:jc w:val="both"/>
    </w:pPr>
    <w:rPr>
      <w:sz w:val="20"/>
      <w:szCs w:val="20"/>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rPr>
  </w:style>
  <w:style w:type="paragraph" w:customStyle="1" w:styleId="ListDash">
    <w:name w:val="List Dash"/>
    <w:basedOn w:val="Normal"/>
    <w:link w:val="ListDashChar"/>
    <w:pPr>
      <w:numPr>
        <w:numId w:val="2"/>
      </w:num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ind w:left="240"/>
    </w:pPr>
    <w:rPr>
      <w:smallCaps/>
      <w:sz w:val="20"/>
      <w:szCs w:val="20"/>
    </w:rPr>
  </w:style>
  <w:style w:type="paragraph" w:styleId="TOC3">
    <w:name w:val="toc 3"/>
    <w:basedOn w:val="Normal"/>
    <w:next w:val="Normal"/>
    <w:autoRedefine/>
    <w:uiPriority w:val="39"/>
    <w:semiHidden/>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4"/>
      </w:numPr>
      <w:spacing w:before="0" w:after="240"/>
    </w:pPr>
    <w:rPr>
      <w:szCs w:val="20"/>
    </w:rPr>
  </w:style>
  <w:style w:type="paragraph" w:styleId="ListBullet2">
    <w:name w:val="List Bullet 2"/>
    <w:basedOn w:val="Normal"/>
    <w:pPr>
      <w:numPr>
        <w:numId w:val="5"/>
      </w:numPr>
      <w:spacing w:after="240"/>
      <w:jc w:val="both"/>
    </w:pPr>
    <w:rPr>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6"/>
      </w:numPr>
      <w:spacing w:before="120" w:after="120"/>
      <w:jc w:val="both"/>
    </w:pPr>
  </w:style>
  <w:style w:type="paragraph" w:customStyle="1" w:styleId="ListNumberLevel2">
    <w:name w:val="List Number (Level 2)"/>
    <w:basedOn w:val="Normal"/>
    <w:pPr>
      <w:numPr>
        <w:ilvl w:val="1"/>
        <w:numId w:val="6"/>
      </w:numPr>
      <w:spacing w:before="120" w:after="120"/>
      <w:jc w:val="both"/>
    </w:pPr>
  </w:style>
  <w:style w:type="paragraph" w:customStyle="1" w:styleId="ListNumberLevel3">
    <w:name w:val="List Number (Level 3)"/>
    <w:basedOn w:val="Normal"/>
    <w:pPr>
      <w:numPr>
        <w:ilvl w:val="2"/>
        <w:numId w:val="6"/>
      </w:numPr>
      <w:spacing w:before="120" w:after="120"/>
      <w:jc w:val="both"/>
    </w:pPr>
  </w:style>
  <w:style w:type="paragraph" w:customStyle="1" w:styleId="ListNumberLevel4">
    <w:name w:val="List Number (Level 4)"/>
    <w:basedOn w:val="Normal"/>
    <w:pPr>
      <w:numPr>
        <w:ilvl w:val="3"/>
        <w:numId w:val="6"/>
      </w:numPr>
      <w:spacing w:before="120" w:after="120"/>
      <w:jc w:val="both"/>
    </w:pPr>
  </w:style>
  <w:style w:type="character" w:customStyle="1" w:styleId="ListDashChar">
    <w:name w:val="List Dash Char"/>
    <w:link w:val="ListDash"/>
    <w:rPr>
      <w:sz w:val="24"/>
      <w:szCs w:val="24"/>
      <w:lang w:eastAsia="bg-BG"/>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uiPriority w:val="99"/>
    <w:rPr>
      <w:lang w:eastAsia="bg-BG"/>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1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5"/>
        <w:tab w:val="right" w:pos="9071"/>
        <w:tab w:val="right" w:pos="9921"/>
      </w:tabs>
      <w:spacing w:before="360"/>
      <w:ind w:left="-850" w:right="-850"/>
    </w:pPr>
  </w:style>
  <w:style w:type="paragraph" w:styleId="FootnoteText">
    <w:name w:val="footnote text"/>
    <w:basedOn w:val="Normal"/>
    <w:link w:val="FootnoteTextChar"/>
    <w:uiPriority w:val="99"/>
    <w:pPr>
      <w:ind w:left="720" w:hanging="720"/>
      <w:jc w:val="both"/>
    </w:pPr>
    <w:rPr>
      <w:sz w:val="20"/>
      <w:szCs w:val="20"/>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rPr>
  </w:style>
  <w:style w:type="paragraph" w:customStyle="1" w:styleId="ListDash">
    <w:name w:val="List Dash"/>
    <w:basedOn w:val="Normal"/>
    <w:link w:val="ListDashChar"/>
    <w:pPr>
      <w:numPr>
        <w:numId w:val="2"/>
      </w:num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ind w:left="240"/>
    </w:pPr>
    <w:rPr>
      <w:smallCaps/>
      <w:sz w:val="20"/>
      <w:szCs w:val="20"/>
    </w:rPr>
  </w:style>
  <w:style w:type="paragraph" w:styleId="TOC3">
    <w:name w:val="toc 3"/>
    <w:basedOn w:val="Normal"/>
    <w:next w:val="Normal"/>
    <w:autoRedefine/>
    <w:uiPriority w:val="39"/>
    <w:semiHidden/>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4"/>
      </w:numPr>
      <w:spacing w:before="0" w:after="240"/>
    </w:pPr>
    <w:rPr>
      <w:szCs w:val="20"/>
    </w:rPr>
  </w:style>
  <w:style w:type="paragraph" w:styleId="ListBullet2">
    <w:name w:val="List Bullet 2"/>
    <w:basedOn w:val="Normal"/>
    <w:pPr>
      <w:numPr>
        <w:numId w:val="5"/>
      </w:numPr>
      <w:spacing w:after="240"/>
      <w:jc w:val="both"/>
    </w:pPr>
    <w:rPr>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6"/>
      </w:numPr>
      <w:spacing w:before="120" w:after="120"/>
      <w:jc w:val="both"/>
    </w:pPr>
  </w:style>
  <w:style w:type="paragraph" w:customStyle="1" w:styleId="ListNumberLevel2">
    <w:name w:val="List Number (Level 2)"/>
    <w:basedOn w:val="Normal"/>
    <w:pPr>
      <w:numPr>
        <w:ilvl w:val="1"/>
        <w:numId w:val="6"/>
      </w:numPr>
      <w:spacing w:before="120" w:after="120"/>
      <w:jc w:val="both"/>
    </w:pPr>
  </w:style>
  <w:style w:type="paragraph" w:customStyle="1" w:styleId="ListNumberLevel3">
    <w:name w:val="List Number (Level 3)"/>
    <w:basedOn w:val="Normal"/>
    <w:pPr>
      <w:numPr>
        <w:ilvl w:val="2"/>
        <w:numId w:val="6"/>
      </w:numPr>
      <w:spacing w:before="120" w:after="120"/>
      <w:jc w:val="both"/>
    </w:pPr>
  </w:style>
  <w:style w:type="paragraph" w:customStyle="1" w:styleId="ListNumberLevel4">
    <w:name w:val="List Number (Level 4)"/>
    <w:basedOn w:val="Normal"/>
    <w:pPr>
      <w:numPr>
        <w:ilvl w:val="3"/>
        <w:numId w:val="6"/>
      </w:numPr>
      <w:spacing w:before="120" w:after="120"/>
      <w:jc w:val="both"/>
    </w:pPr>
  </w:style>
  <w:style w:type="character" w:customStyle="1" w:styleId="ListDashChar">
    <w:name w:val="List Dash Char"/>
    <w:link w:val="ListDash"/>
    <w:rPr>
      <w:sz w:val="24"/>
      <w:szCs w:val="24"/>
      <w:lang w:eastAsia="bg-BG"/>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uiPriority w:val="99"/>
    <w:rPr>
      <w:lang w:eastAsia="bg-BG"/>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6090">
      <w:bodyDiv w:val="1"/>
      <w:marLeft w:val="0"/>
      <w:marRight w:val="0"/>
      <w:marTop w:val="0"/>
      <w:marBottom w:val="0"/>
      <w:divBdr>
        <w:top w:val="none" w:sz="0" w:space="0" w:color="auto"/>
        <w:left w:val="none" w:sz="0" w:space="0" w:color="auto"/>
        <w:bottom w:val="none" w:sz="0" w:space="0" w:color="auto"/>
        <w:right w:val="none" w:sz="0" w:space="0" w:color="auto"/>
      </w:divBdr>
      <w:divsChild>
        <w:div w:id="1952855758">
          <w:marLeft w:val="0"/>
          <w:marRight w:val="0"/>
          <w:marTop w:val="0"/>
          <w:marBottom w:val="0"/>
          <w:divBdr>
            <w:top w:val="none" w:sz="0" w:space="0" w:color="auto"/>
            <w:left w:val="none" w:sz="0" w:space="0" w:color="auto"/>
            <w:bottom w:val="none" w:sz="0" w:space="0" w:color="auto"/>
            <w:right w:val="none" w:sz="0" w:space="0" w:color="auto"/>
          </w:divBdr>
          <w:divsChild>
            <w:div w:id="1936203364">
              <w:marLeft w:val="0"/>
              <w:marRight w:val="0"/>
              <w:marTop w:val="0"/>
              <w:marBottom w:val="0"/>
              <w:divBdr>
                <w:top w:val="none" w:sz="0" w:space="0" w:color="auto"/>
                <w:left w:val="none" w:sz="0" w:space="0" w:color="auto"/>
                <w:bottom w:val="none" w:sz="0" w:space="0" w:color="auto"/>
                <w:right w:val="none" w:sz="0" w:space="0" w:color="auto"/>
              </w:divBdr>
              <w:divsChild>
                <w:div w:id="1099984863">
                  <w:marLeft w:val="0"/>
                  <w:marRight w:val="0"/>
                  <w:marTop w:val="0"/>
                  <w:marBottom w:val="0"/>
                  <w:divBdr>
                    <w:top w:val="none" w:sz="0" w:space="0" w:color="auto"/>
                    <w:left w:val="none" w:sz="0" w:space="0" w:color="auto"/>
                    <w:bottom w:val="none" w:sz="0" w:space="0" w:color="auto"/>
                    <w:right w:val="none" w:sz="0" w:space="0" w:color="auto"/>
                  </w:divBdr>
                  <w:divsChild>
                    <w:div w:id="1203328141">
                      <w:marLeft w:val="1"/>
                      <w:marRight w:val="1"/>
                      <w:marTop w:val="0"/>
                      <w:marBottom w:val="0"/>
                      <w:divBdr>
                        <w:top w:val="none" w:sz="0" w:space="0" w:color="auto"/>
                        <w:left w:val="none" w:sz="0" w:space="0" w:color="auto"/>
                        <w:bottom w:val="none" w:sz="0" w:space="0" w:color="auto"/>
                        <w:right w:val="none" w:sz="0" w:space="0" w:color="auto"/>
                      </w:divBdr>
                      <w:divsChild>
                        <w:div w:id="1936546657">
                          <w:marLeft w:val="0"/>
                          <w:marRight w:val="0"/>
                          <w:marTop w:val="0"/>
                          <w:marBottom w:val="0"/>
                          <w:divBdr>
                            <w:top w:val="none" w:sz="0" w:space="0" w:color="auto"/>
                            <w:left w:val="none" w:sz="0" w:space="0" w:color="auto"/>
                            <w:bottom w:val="none" w:sz="0" w:space="0" w:color="auto"/>
                            <w:right w:val="none" w:sz="0" w:space="0" w:color="auto"/>
                          </w:divBdr>
                          <w:divsChild>
                            <w:div w:id="1022240160">
                              <w:marLeft w:val="0"/>
                              <w:marRight w:val="0"/>
                              <w:marTop w:val="0"/>
                              <w:marBottom w:val="360"/>
                              <w:divBdr>
                                <w:top w:val="none" w:sz="0" w:space="0" w:color="auto"/>
                                <w:left w:val="none" w:sz="0" w:space="0" w:color="auto"/>
                                <w:bottom w:val="none" w:sz="0" w:space="0" w:color="auto"/>
                                <w:right w:val="none" w:sz="0" w:space="0" w:color="auto"/>
                              </w:divBdr>
                              <w:divsChild>
                                <w:div w:id="1375350455">
                                  <w:marLeft w:val="0"/>
                                  <w:marRight w:val="0"/>
                                  <w:marTop w:val="0"/>
                                  <w:marBottom w:val="0"/>
                                  <w:divBdr>
                                    <w:top w:val="none" w:sz="0" w:space="0" w:color="auto"/>
                                    <w:left w:val="none" w:sz="0" w:space="0" w:color="auto"/>
                                    <w:bottom w:val="none" w:sz="0" w:space="0" w:color="auto"/>
                                    <w:right w:val="none" w:sz="0" w:space="0" w:color="auto"/>
                                  </w:divBdr>
                                  <w:divsChild>
                                    <w:div w:id="15473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861079">
      <w:bodyDiv w:val="1"/>
      <w:marLeft w:val="0"/>
      <w:marRight w:val="0"/>
      <w:marTop w:val="0"/>
      <w:marBottom w:val="0"/>
      <w:divBdr>
        <w:top w:val="none" w:sz="0" w:space="0" w:color="auto"/>
        <w:left w:val="none" w:sz="0" w:space="0" w:color="auto"/>
        <w:bottom w:val="none" w:sz="0" w:space="0" w:color="auto"/>
        <w:right w:val="none" w:sz="0" w:space="0" w:color="auto"/>
      </w:divBdr>
    </w:div>
    <w:div w:id="354623949">
      <w:bodyDiv w:val="1"/>
      <w:marLeft w:val="0"/>
      <w:marRight w:val="0"/>
      <w:marTop w:val="0"/>
      <w:marBottom w:val="0"/>
      <w:divBdr>
        <w:top w:val="none" w:sz="0" w:space="0" w:color="auto"/>
        <w:left w:val="none" w:sz="0" w:space="0" w:color="auto"/>
        <w:bottom w:val="none" w:sz="0" w:space="0" w:color="auto"/>
        <w:right w:val="none" w:sz="0" w:space="0" w:color="auto"/>
      </w:divBdr>
    </w:div>
    <w:div w:id="370612037">
      <w:bodyDiv w:val="1"/>
      <w:marLeft w:val="0"/>
      <w:marRight w:val="0"/>
      <w:marTop w:val="0"/>
      <w:marBottom w:val="0"/>
      <w:divBdr>
        <w:top w:val="none" w:sz="0" w:space="0" w:color="auto"/>
        <w:left w:val="none" w:sz="0" w:space="0" w:color="auto"/>
        <w:bottom w:val="none" w:sz="0" w:space="0" w:color="auto"/>
        <w:right w:val="none" w:sz="0" w:space="0" w:color="auto"/>
      </w:divBdr>
    </w:div>
    <w:div w:id="390540002">
      <w:bodyDiv w:val="1"/>
      <w:marLeft w:val="0"/>
      <w:marRight w:val="0"/>
      <w:marTop w:val="0"/>
      <w:marBottom w:val="0"/>
      <w:divBdr>
        <w:top w:val="none" w:sz="0" w:space="0" w:color="auto"/>
        <w:left w:val="none" w:sz="0" w:space="0" w:color="auto"/>
        <w:bottom w:val="none" w:sz="0" w:space="0" w:color="auto"/>
        <w:right w:val="none" w:sz="0" w:space="0" w:color="auto"/>
      </w:divBdr>
    </w:div>
    <w:div w:id="471752386">
      <w:bodyDiv w:val="1"/>
      <w:marLeft w:val="0"/>
      <w:marRight w:val="0"/>
      <w:marTop w:val="0"/>
      <w:marBottom w:val="0"/>
      <w:divBdr>
        <w:top w:val="none" w:sz="0" w:space="0" w:color="auto"/>
        <w:left w:val="none" w:sz="0" w:space="0" w:color="auto"/>
        <w:bottom w:val="none" w:sz="0" w:space="0" w:color="auto"/>
        <w:right w:val="none" w:sz="0" w:space="0" w:color="auto"/>
      </w:divBdr>
    </w:div>
    <w:div w:id="476648652">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93187629">
      <w:bodyDiv w:val="1"/>
      <w:marLeft w:val="0"/>
      <w:marRight w:val="0"/>
      <w:marTop w:val="0"/>
      <w:marBottom w:val="0"/>
      <w:divBdr>
        <w:top w:val="none" w:sz="0" w:space="0" w:color="auto"/>
        <w:left w:val="none" w:sz="0" w:space="0" w:color="auto"/>
        <w:bottom w:val="none" w:sz="0" w:space="0" w:color="auto"/>
        <w:right w:val="none" w:sz="0" w:space="0" w:color="auto"/>
      </w:divBdr>
    </w:div>
    <w:div w:id="703360353">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967663377">
      <w:bodyDiv w:val="1"/>
      <w:marLeft w:val="0"/>
      <w:marRight w:val="0"/>
      <w:marTop w:val="0"/>
      <w:marBottom w:val="0"/>
      <w:divBdr>
        <w:top w:val="none" w:sz="0" w:space="0" w:color="auto"/>
        <w:left w:val="none" w:sz="0" w:space="0" w:color="auto"/>
        <w:bottom w:val="none" w:sz="0" w:space="0" w:color="auto"/>
        <w:right w:val="none" w:sz="0" w:space="0" w:color="auto"/>
      </w:divBdr>
    </w:div>
    <w:div w:id="1019045255">
      <w:bodyDiv w:val="1"/>
      <w:marLeft w:val="0"/>
      <w:marRight w:val="0"/>
      <w:marTop w:val="0"/>
      <w:marBottom w:val="0"/>
      <w:divBdr>
        <w:top w:val="none" w:sz="0" w:space="0" w:color="auto"/>
        <w:left w:val="none" w:sz="0" w:space="0" w:color="auto"/>
        <w:bottom w:val="none" w:sz="0" w:space="0" w:color="auto"/>
        <w:right w:val="none" w:sz="0" w:space="0" w:color="auto"/>
      </w:divBdr>
    </w:div>
    <w:div w:id="1092891715">
      <w:bodyDiv w:val="1"/>
      <w:marLeft w:val="0"/>
      <w:marRight w:val="0"/>
      <w:marTop w:val="0"/>
      <w:marBottom w:val="0"/>
      <w:divBdr>
        <w:top w:val="none" w:sz="0" w:space="0" w:color="auto"/>
        <w:left w:val="none" w:sz="0" w:space="0" w:color="auto"/>
        <w:bottom w:val="none" w:sz="0" w:space="0" w:color="auto"/>
        <w:right w:val="none" w:sz="0" w:space="0" w:color="auto"/>
      </w:divBdr>
    </w:div>
    <w:div w:id="1237476849">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331906149">
      <w:bodyDiv w:val="1"/>
      <w:marLeft w:val="0"/>
      <w:marRight w:val="0"/>
      <w:marTop w:val="0"/>
      <w:marBottom w:val="0"/>
      <w:divBdr>
        <w:top w:val="none" w:sz="0" w:space="0" w:color="auto"/>
        <w:left w:val="none" w:sz="0" w:space="0" w:color="auto"/>
        <w:bottom w:val="none" w:sz="0" w:space="0" w:color="auto"/>
        <w:right w:val="none" w:sz="0" w:space="0" w:color="auto"/>
      </w:divBdr>
    </w:div>
    <w:div w:id="1536893397">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899397083">
      <w:bodyDiv w:val="1"/>
      <w:marLeft w:val="0"/>
      <w:marRight w:val="0"/>
      <w:marTop w:val="0"/>
      <w:marBottom w:val="0"/>
      <w:divBdr>
        <w:top w:val="none" w:sz="0" w:space="0" w:color="auto"/>
        <w:left w:val="none" w:sz="0" w:space="0" w:color="auto"/>
        <w:bottom w:val="none" w:sz="0" w:space="0" w:color="auto"/>
        <w:right w:val="none" w:sz="0" w:space="0" w:color="auto"/>
      </w:divBdr>
    </w:div>
    <w:div w:id="1906259906">
      <w:bodyDiv w:val="1"/>
      <w:marLeft w:val="0"/>
      <w:marRight w:val="0"/>
      <w:marTop w:val="0"/>
      <w:marBottom w:val="0"/>
      <w:divBdr>
        <w:top w:val="none" w:sz="0" w:space="0" w:color="auto"/>
        <w:left w:val="none" w:sz="0" w:space="0" w:color="auto"/>
        <w:bottom w:val="none" w:sz="0" w:space="0" w:color="auto"/>
        <w:right w:val="none" w:sz="0" w:space="0" w:color="auto"/>
      </w:divBdr>
    </w:div>
    <w:div w:id="2134711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eur-lex.europa.eu/budget/www/index-bg.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148F0-6445-4660-B87B-2E45D6275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21</TotalTime>
  <Pages>12</Pages>
  <Words>4278</Words>
  <Characters>24385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28606</CharactersWithSpaces>
  <SharedDoc>false</SharedDoc>
  <HLinks>
    <vt:vector size="72" baseType="variant">
      <vt:variant>
        <vt:i4>1245239</vt:i4>
      </vt:variant>
      <vt:variant>
        <vt:i4>59</vt:i4>
      </vt:variant>
      <vt:variant>
        <vt:i4>0</vt:i4>
      </vt:variant>
      <vt:variant>
        <vt:i4>5</vt:i4>
      </vt:variant>
      <vt:variant>
        <vt:lpwstr/>
      </vt:variant>
      <vt:variant>
        <vt:lpwstr>_Toc421700214</vt:lpwstr>
      </vt:variant>
      <vt:variant>
        <vt:i4>1245239</vt:i4>
      </vt:variant>
      <vt:variant>
        <vt:i4>53</vt:i4>
      </vt:variant>
      <vt:variant>
        <vt:i4>0</vt:i4>
      </vt:variant>
      <vt:variant>
        <vt:i4>5</vt:i4>
      </vt:variant>
      <vt:variant>
        <vt:lpwstr/>
      </vt:variant>
      <vt:variant>
        <vt:lpwstr>_Toc421700213</vt:lpwstr>
      </vt:variant>
      <vt:variant>
        <vt:i4>1245239</vt:i4>
      </vt:variant>
      <vt:variant>
        <vt:i4>47</vt:i4>
      </vt:variant>
      <vt:variant>
        <vt:i4>0</vt:i4>
      </vt:variant>
      <vt:variant>
        <vt:i4>5</vt:i4>
      </vt:variant>
      <vt:variant>
        <vt:lpwstr/>
      </vt:variant>
      <vt:variant>
        <vt:lpwstr>_Toc421700212</vt:lpwstr>
      </vt:variant>
      <vt:variant>
        <vt:i4>1245239</vt:i4>
      </vt:variant>
      <vt:variant>
        <vt:i4>41</vt:i4>
      </vt:variant>
      <vt:variant>
        <vt:i4>0</vt:i4>
      </vt:variant>
      <vt:variant>
        <vt:i4>5</vt:i4>
      </vt:variant>
      <vt:variant>
        <vt:lpwstr/>
      </vt:variant>
      <vt:variant>
        <vt:lpwstr>_Toc421700211</vt:lpwstr>
      </vt:variant>
      <vt:variant>
        <vt:i4>1245239</vt:i4>
      </vt:variant>
      <vt:variant>
        <vt:i4>35</vt:i4>
      </vt:variant>
      <vt:variant>
        <vt:i4>0</vt:i4>
      </vt:variant>
      <vt:variant>
        <vt:i4>5</vt:i4>
      </vt:variant>
      <vt:variant>
        <vt:lpwstr/>
      </vt:variant>
      <vt:variant>
        <vt:lpwstr>_Toc421700210</vt:lpwstr>
      </vt:variant>
      <vt:variant>
        <vt:i4>1179703</vt:i4>
      </vt:variant>
      <vt:variant>
        <vt:i4>29</vt:i4>
      </vt:variant>
      <vt:variant>
        <vt:i4>0</vt:i4>
      </vt:variant>
      <vt:variant>
        <vt:i4>5</vt:i4>
      </vt:variant>
      <vt:variant>
        <vt:lpwstr/>
      </vt:variant>
      <vt:variant>
        <vt:lpwstr>_Toc421700209</vt:lpwstr>
      </vt:variant>
      <vt:variant>
        <vt:i4>1179703</vt:i4>
      </vt:variant>
      <vt:variant>
        <vt:i4>23</vt:i4>
      </vt:variant>
      <vt:variant>
        <vt:i4>0</vt:i4>
      </vt:variant>
      <vt:variant>
        <vt:i4>5</vt:i4>
      </vt:variant>
      <vt:variant>
        <vt:lpwstr/>
      </vt:variant>
      <vt:variant>
        <vt:lpwstr>_Toc421700208</vt:lpwstr>
      </vt:variant>
      <vt:variant>
        <vt:i4>1179703</vt:i4>
      </vt:variant>
      <vt:variant>
        <vt:i4>17</vt:i4>
      </vt:variant>
      <vt:variant>
        <vt:i4>0</vt:i4>
      </vt:variant>
      <vt:variant>
        <vt:i4>5</vt:i4>
      </vt:variant>
      <vt:variant>
        <vt:lpwstr/>
      </vt:variant>
      <vt:variant>
        <vt:lpwstr>_Toc421700207</vt:lpwstr>
      </vt:variant>
      <vt:variant>
        <vt:i4>1179703</vt:i4>
      </vt:variant>
      <vt:variant>
        <vt:i4>11</vt:i4>
      </vt:variant>
      <vt:variant>
        <vt:i4>0</vt:i4>
      </vt:variant>
      <vt:variant>
        <vt:i4>5</vt:i4>
      </vt:variant>
      <vt:variant>
        <vt:lpwstr/>
      </vt:variant>
      <vt:variant>
        <vt:lpwstr>_Toc421700206</vt:lpwstr>
      </vt:variant>
      <vt:variant>
        <vt:i4>1179703</vt:i4>
      </vt:variant>
      <vt:variant>
        <vt:i4>5</vt:i4>
      </vt:variant>
      <vt:variant>
        <vt:i4>0</vt:i4>
      </vt:variant>
      <vt:variant>
        <vt:i4>5</vt:i4>
      </vt:variant>
      <vt:variant>
        <vt:lpwstr/>
      </vt:variant>
      <vt:variant>
        <vt:lpwstr>_Toc421700205</vt:lpwstr>
      </vt:variant>
      <vt:variant>
        <vt:i4>5046279</vt:i4>
      </vt:variant>
      <vt:variant>
        <vt:i4>0</vt:i4>
      </vt:variant>
      <vt:variant>
        <vt:i4>0</vt:i4>
      </vt:variant>
      <vt:variant>
        <vt:i4>5</vt:i4>
      </vt:variant>
      <vt:variant>
        <vt:lpwstr>http://eur-lex.europa.eu/budget/www/index-en.htm</vt:lpwstr>
      </vt:variant>
      <vt:variant>
        <vt:lpwstr/>
      </vt:variant>
      <vt:variant>
        <vt:i4>5111875</vt:i4>
      </vt:variant>
      <vt:variant>
        <vt:i4>0</vt:i4>
      </vt:variant>
      <vt:variant>
        <vt:i4>0</vt:i4>
      </vt:variant>
      <vt:variant>
        <vt:i4>5</vt:i4>
      </vt:variant>
      <vt:variant>
        <vt:lpwstr>http://ec.europa.eu/budget/library/biblio/documents/financing/calc_own_res_2007_en.pdf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36</cp:revision>
  <cp:lastPrinted>2015-09-25T16:24:00Z</cp:lastPrinted>
  <dcterms:created xsi:type="dcterms:W3CDTF">2015-09-29T08:15:00Z</dcterms:created>
  <dcterms:modified xsi:type="dcterms:W3CDTF">2015-10-02T10:50:00Z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ELDocType">
    <vt:lpwstr>NOT.DOT</vt:lpwstr>
  </property>
</Properties>
</file>