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279EEE681664ECE948C82A8FE77F6F4" style="width:450.45pt;height:383.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to the</w:t>
      </w:r>
    </w:p>
    <w:p>
      <w:pPr>
        <w:pStyle w:val="Typeacteprincipal"/>
        <w:rPr>
          <w:noProof/>
        </w:rPr>
      </w:pPr>
      <w:r>
        <w:rPr>
          <w:noProof/>
        </w:rPr>
        <w:t>Proposal for a Council Regulation</w:t>
      </w:r>
    </w:p>
    <w:p>
      <w:pPr>
        <w:pStyle w:val="Objetacteprincipal"/>
        <w:rPr>
          <w:noProof/>
        </w:rPr>
      </w:pPr>
      <w:r>
        <w:rPr>
          <w:noProof/>
        </w:rPr>
        <w:t>fixing for 2016 the fishing opportunities for certain fish stocks and groups of fish stocks, applicable in Union waters and, for Union vessels, in certain non-Union waters</w:t>
      </w:r>
    </w:p>
    <w:p>
      <w:pPr>
        <w:pStyle w:val="Annexetitre"/>
        <w:rPr>
          <w:rFonts w:eastAsia="Calibri"/>
          <w:noProof/>
        </w:rPr>
      </w:pPr>
      <w:r>
        <w:rPr>
          <w:rFonts w:eastAsia="Calibri"/>
          <w:noProof/>
        </w:rPr>
        <w:t>ANNEX IIA</w:t>
      </w:r>
    </w:p>
    <w:p>
      <w:pPr>
        <w:pStyle w:val="NormalCentered"/>
        <w:rPr>
          <w:rFonts w:eastAsia="Calibri"/>
          <w:noProof/>
        </w:rPr>
      </w:pPr>
      <w:r>
        <w:rPr>
          <w:rFonts w:eastAsia="Calibri"/>
          <w:noProof/>
        </w:rPr>
        <w:t>FISHING EFFORT FOR VESSELS</w:t>
      </w:r>
      <w:r>
        <w:rPr>
          <w:rFonts w:eastAsia="Calibri"/>
          <w:noProof/>
        </w:rPr>
        <w:br/>
        <w:t>IN THE CONTEXT OF THE MANAGEMENT OF CERTAIN COD,</w:t>
      </w:r>
      <w:r>
        <w:rPr>
          <w:rFonts w:eastAsia="Calibri"/>
          <w:noProof/>
        </w:rPr>
        <w:br/>
        <w:t>PLAICE AND SOLE STOCKS IN ICES DIVISIONS IIIa, VIa, VIIa, VIId,</w:t>
      </w:r>
      <w:r>
        <w:rPr>
          <w:rFonts w:eastAsia="Calibri"/>
          <w:noProof/>
        </w:rPr>
        <w:br/>
        <w:t>ICES SUBAREA IV AND UNION WATERS OF ICES DIVISIONS IIa AND Vb</w:t>
      </w:r>
    </w:p>
    <w:p>
      <w:pPr>
        <w:pStyle w:val="Point0"/>
        <w:rPr>
          <w:rFonts w:eastAsia="Calibri"/>
          <w:noProof/>
        </w:rPr>
      </w:pPr>
      <w:r>
        <w:rPr>
          <w:rFonts w:eastAsia="Calibri"/>
          <w:noProof/>
        </w:rPr>
        <w:t>1.</w:t>
      </w:r>
      <w:r>
        <w:rPr>
          <w:rFonts w:eastAsia="Calibri"/>
          <w:noProof/>
        </w:rPr>
        <w:tab/>
        <w:t>SCOPE</w:t>
      </w:r>
    </w:p>
    <w:p>
      <w:pPr>
        <w:pStyle w:val="Point0"/>
        <w:rPr>
          <w:rFonts w:eastAsia="Calibri"/>
          <w:noProof/>
        </w:rPr>
      </w:pPr>
      <w:r>
        <w:rPr>
          <w:rFonts w:eastAsia="Calibri"/>
          <w:noProof/>
        </w:rPr>
        <w:t>1.1.</w:t>
      </w:r>
      <w:r>
        <w:rPr>
          <w:rFonts w:eastAsia="Calibri"/>
          <w:noProof/>
        </w:rPr>
        <w:tab/>
        <w:t>This Annex shall apply to Union vessels carrying on board or deploying any of the gears referred to in point 1 of Annex I to Regulation (EC) No 1342/2008 and present in any of the geographical areas specified in point 2 of this Annex.</w:t>
      </w:r>
    </w:p>
    <w:p>
      <w:pPr>
        <w:pStyle w:val="Point0"/>
        <w:rPr>
          <w:rFonts w:eastAsia="Calibri"/>
          <w:noProof/>
        </w:rPr>
      </w:pPr>
      <w:r>
        <w:rPr>
          <w:rFonts w:eastAsia="Calibri"/>
          <w:noProof/>
        </w:rPr>
        <w:t>1.2.</w:t>
      </w:r>
      <w:r>
        <w:rPr>
          <w:rFonts w:eastAsia="Calibri"/>
          <w:noProof/>
        </w:rPr>
        <w:tab/>
        <w:t>This Annex shall not apply to vessels of less than 10 metres’ length overall. Those vessels shall not be required to carry fishing authorisations issued in accordance with Article 7 of Regulation (EC) No 1224/2009. Member States concerned shall assess the fishing effort of those vessels by effort groups to which they belong, using appropriate sampling methods. During the management period specified in Article 8 of this Regulation the Commission shall seek scientific advice for evaluating the effort deployment of those vessels, with a view to their future inclusion into the effort regime.</w:t>
      </w:r>
    </w:p>
    <w:p>
      <w:pPr>
        <w:pStyle w:val="Point0"/>
        <w:rPr>
          <w:rFonts w:eastAsia="Calibri"/>
          <w:noProof/>
        </w:rPr>
      </w:pPr>
      <w:r>
        <w:rPr>
          <w:rFonts w:eastAsia="Calibri"/>
          <w:noProof/>
        </w:rPr>
        <w:t>2.</w:t>
      </w:r>
      <w:r>
        <w:rPr>
          <w:rFonts w:eastAsia="Calibri"/>
          <w:noProof/>
        </w:rPr>
        <w:tab/>
        <w:t>REGULATED GEARS AND GEOGRAPHICAL AREAS</w:t>
      </w:r>
    </w:p>
    <w:p>
      <w:pPr>
        <w:pStyle w:val="Text1"/>
        <w:rPr>
          <w:rFonts w:eastAsia="Calibri"/>
          <w:noProof/>
        </w:rPr>
      </w:pPr>
      <w:r>
        <w:rPr>
          <w:rFonts w:eastAsia="Calibri"/>
          <w:noProof/>
        </w:rPr>
        <w:t>For the purposes of this Annex, the gear groupings referred to in point 1 of Annex I to Regulation (EC) No 1342/2008 (‘regulated gear’) and the groupings of geographical areas referred to in point 2 of that Annex shall apply.</w:t>
      </w:r>
    </w:p>
    <w:p>
      <w:pPr>
        <w:pStyle w:val="Point0"/>
        <w:rPr>
          <w:rFonts w:eastAsia="Calibri"/>
          <w:noProof/>
        </w:rPr>
      </w:pPr>
      <w:r>
        <w:rPr>
          <w:rFonts w:eastAsia="Calibri"/>
          <w:noProof/>
        </w:rPr>
        <w:t>3.</w:t>
      </w:r>
      <w:r>
        <w:rPr>
          <w:rFonts w:eastAsia="Calibri"/>
          <w:noProof/>
        </w:rPr>
        <w:tab/>
        <w:t>AUTHORISATIONS</w:t>
      </w:r>
    </w:p>
    <w:p>
      <w:pPr>
        <w:pStyle w:val="Text1"/>
        <w:rPr>
          <w:rFonts w:eastAsia="Calibri"/>
          <w:noProof/>
        </w:rPr>
      </w:pPr>
      <w:r>
        <w:rPr>
          <w:rFonts w:eastAsia="Calibri"/>
          <w:noProof/>
        </w:rPr>
        <w:t>If a Member State deems it appropriate in order to reinforce the sustainable implementation of this effort regime, it may introduce a prohibition to fish with regulated gear in any of the geographical areas to which this Annex applies by any of vessels flying its flag which has no record of such fishing activity, unless it ensures that equivalent capacity, measured in kilowatts, is prevented from fishing in that area.</w:t>
      </w:r>
    </w:p>
    <w:p>
      <w:pPr>
        <w:pStyle w:val="Point0"/>
        <w:rPr>
          <w:rFonts w:eastAsia="Calibri"/>
          <w:noProof/>
        </w:rPr>
      </w:pPr>
      <w:r>
        <w:rPr>
          <w:rFonts w:eastAsia="Calibri"/>
          <w:noProof/>
        </w:rPr>
        <w:t>4.</w:t>
      </w:r>
      <w:r>
        <w:rPr>
          <w:rFonts w:eastAsia="Calibri"/>
          <w:noProof/>
        </w:rPr>
        <w:tab/>
        <w:t>MAXIMUM ALLOWABLE FISHING EFFORT</w:t>
      </w:r>
    </w:p>
    <w:p>
      <w:pPr>
        <w:pStyle w:val="Point0"/>
        <w:rPr>
          <w:rFonts w:eastAsia="Calibri"/>
          <w:noProof/>
        </w:rPr>
      </w:pPr>
      <w:r>
        <w:rPr>
          <w:rFonts w:eastAsia="Calibri"/>
          <w:noProof/>
        </w:rPr>
        <w:t>4.1.</w:t>
      </w:r>
      <w:r>
        <w:rPr>
          <w:rFonts w:eastAsia="Calibri"/>
          <w:noProof/>
        </w:rPr>
        <w:tab/>
        <w:t>The maximum allowable effort referred to in Article 12(1) of Regulation (EC) No 1342/2008 and in Article 9(2) of Regulation (EC) No 676/2007 for the management period specified in Article 8 of this Regulation, for each of the effort groups of each Member State is set out in Appendix 1 to this Annex.</w:t>
      </w:r>
    </w:p>
    <w:p>
      <w:pPr>
        <w:pStyle w:val="Point0"/>
        <w:rPr>
          <w:rFonts w:eastAsia="Calibri"/>
          <w:noProof/>
        </w:rPr>
      </w:pPr>
      <w:r>
        <w:rPr>
          <w:rFonts w:eastAsia="Calibri"/>
          <w:noProof/>
        </w:rPr>
        <w:lastRenderedPageBreak/>
        <w:t>4.2.</w:t>
      </w:r>
      <w:r>
        <w:rPr>
          <w:rFonts w:eastAsia="Calibri"/>
          <w:noProof/>
        </w:rPr>
        <w:tab/>
        <w:t>The maximum levels of annual fishing effort set in accordance with Council Regulation (EC) No 1954/2003</w:t>
      </w:r>
      <w:r>
        <w:rPr>
          <w:rStyle w:val="FootnoteReference"/>
          <w:rFonts w:eastAsia="Calibri"/>
          <w:noProof/>
        </w:rPr>
        <w:footnoteReference w:id="1"/>
      </w:r>
      <w:r>
        <w:rPr>
          <w:rFonts w:eastAsia="Calibri"/>
          <w:noProof/>
        </w:rPr>
        <w:t xml:space="preserve"> shall not affect the maximum allowable fishing effort set in this Annex.</w:t>
      </w:r>
    </w:p>
    <w:p>
      <w:pPr>
        <w:pStyle w:val="Point0"/>
        <w:rPr>
          <w:rFonts w:eastAsia="Calibri"/>
          <w:noProof/>
        </w:rPr>
      </w:pPr>
      <w:r>
        <w:rPr>
          <w:rFonts w:eastAsia="Calibri"/>
          <w:noProof/>
        </w:rPr>
        <w:t>5.</w:t>
      </w:r>
      <w:r>
        <w:rPr>
          <w:rFonts w:eastAsia="Calibri"/>
          <w:noProof/>
        </w:rPr>
        <w:tab/>
        <w:t>MANAGEMENT</w:t>
      </w:r>
    </w:p>
    <w:p>
      <w:pPr>
        <w:pStyle w:val="Point0"/>
        <w:rPr>
          <w:rFonts w:eastAsia="Calibri"/>
          <w:noProof/>
        </w:rPr>
      </w:pPr>
      <w:r>
        <w:rPr>
          <w:rFonts w:eastAsia="Calibri"/>
          <w:noProof/>
        </w:rPr>
        <w:t>5.1.</w:t>
      </w:r>
      <w:r>
        <w:rPr>
          <w:rFonts w:eastAsia="Calibri"/>
          <w:noProof/>
        </w:rPr>
        <w:tab/>
        <w:t>Member States shall manage the maximum allowable effort in accordance with the conditions laid down in Article 9 of Regulation (EC) No 676/2007, Article 4 and Articles 13 to 17 of Regulation (EC) No 1342/2008 and Articles 26 to 35 of Regulation (EC) No 1224/2009.</w:t>
      </w:r>
    </w:p>
    <w:p>
      <w:pPr>
        <w:pStyle w:val="Point0"/>
        <w:rPr>
          <w:rFonts w:eastAsia="Calibri"/>
          <w:noProof/>
        </w:rPr>
      </w:pPr>
      <w:r>
        <w:rPr>
          <w:rFonts w:eastAsia="Calibri"/>
          <w:noProof/>
        </w:rPr>
        <w:t>5.2.</w:t>
      </w:r>
      <w:r>
        <w:rPr>
          <w:rFonts w:eastAsia="Calibri"/>
          <w:noProof/>
        </w:rPr>
        <w:tab/>
        <w:t>A Member State may establish management periods for allocating all or parts of the maximum allowable effort to individual vessels or groups of vessels. In such case, the number of days or hours for which a vessel may be present within the area during a management period shall be fixed at the discretion of the Member State concerned. During any such management periods, the Member State concerned may reallocate effort between individual vessels or groups of vessels.</w:t>
      </w:r>
    </w:p>
    <w:p>
      <w:pPr>
        <w:pStyle w:val="Point0"/>
        <w:rPr>
          <w:rFonts w:eastAsia="Calibri"/>
          <w:noProof/>
        </w:rPr>
      </w:pPr>
      <w:r>
        <w:rPr>
          <w:rFonts w:eastAsia="Calibri"/>
          <w:noProof/>
        </w:rPr>
        <w:t>5.3.</w:t>
      </w:r>
      <w:r>
        <w:rPr>
          <w:rFonts w:eastAsia="Calibri"/>
          <w:noProof/>
        </w:rPr>
        <w:tab/>
        <w:t>If a Member State authorises vessels flying its flag to be present within an area by hours, it shall continue measuring the consumption of days in accordance with the conditions referred to in point 5.1. Upon request by the Commission, the Member State concerned shall demonstrate its precautionary measures taken to avoid an excessive consumption of effort within the area due to a vessel terminating presences in the area before the end of a 24</w:t>
      </w:r>
      <w:r>
        <w:rPr>
          <w:rFonts w:eastAsia="Calibri"/>
          <w:noProof/>
        </w:rPr>
        <w:noBreakHyphen/>
        <w:t>hour period.</w:t>
      </w:r>
    </w:p>
    <w:p>
      <w:pPr>
        <w:pStyle w:val="Point0"/>
        <w:rPr>
          <w:rFonts w:eastAsia="Calibri"/>
          <w:noProof/>
        </w:rPr>
      </w:pPr>
      <w:r>
        <w:rPr>
          <w:rFonts w:eastAsia="Calibri"/>
          <w:noProof/>
        </w:rPr>
        <w:t>6.</w:t>
      </w:r>
      <w:r>
        <w:rPr>
          <w:rFonts w:eastAsia="Calibri"/>
          <w:noProof/>
        </w:rPr>
        <w:tab/>
        <w:t>FISHING EFFORT REPORT</w:t>
      </w:r>
    </w:p>
    <w:p>
      <w:pPr>
        <w:pStyle w:val="Text1"/>
        <w:rPr>
          <w:rFonts w:eastAsia="Calibri"/>
          <w:noProof/>
        </w:rPr>
      </w:pPr>
      <w:r>
        <w:rPr>
          <w:rFonts w:eastAsia="Calibri"/>
          <w:noProof/>
        </w:rPr>
        <w:t>Article 28 of Regulation (EC) No 1224/2009 shall apply to vessels falling under the scope of this Annex. The geographical area referred to in that Article shall be understood, for the purpose of cod management, as each of the geographical areas referred to in point 2 of this Annex.</w:t>
      </w:r>
    </w:p>
    <w:p>
      <w:pPr>
        <w:pStyle w:val="Point0"/>
        <w:rPr>
          <w:rFonts w:eastAsia="Calibri"/>
          <w:noProof/>
        </w:rPr>
      </w:pPr>
      <w:r>
        <w:rPr>
          <w:rFonts w:eastAsia="Calibri"/>
          <w:noProof/>
        </w:rPr>
        <w:t>7.</w:t>
      </w:r>
      <w:r>
        <w:rPr>
          <w:rFonts w:eastAsia="Calibri"/>
          <w:noProof/>
        </w:rPr>
        <w:tab/>
        <w:t>COMMUNICATION OF RELEVANT DATA</w:t>
      </w:r>
    </w:p>
    <w:p>
      <w:pPr>
        <w:pStyle w:val="Text1"/>
        <w:rPr>
          <w:rFonts w:eastAsia="Calibri"/>
          <w:noProof/>
        </w:rPr>
      </w:pPr>
      <w:r>
        <w:rPr>
          <w:rFonts w:eastAsia="Calibri"/>
          <w:noProof/>
        </w:rPr>
        <w:t>Member States shall transmit to the Commission the data on fishing effort deployed by their fishing vessels in accordance with Articles 33 and 34 of Regulation (EC) No 1224/2009. These data shall be transmitted via the Fisheries Data Exchange System or any future data collection system implemented by the Commission.</w:t>
      </w:r>
    </w:p>
    <w:p>
      <w:pPr>
        <w:rPr>
          <w:rFonts w:eastAsia="Calibri"/>
          <w:noProof/>
        </w:rPr>
        <w:sectPr>
          <w:footerReference w:type="default" r:id="rId15"/>
          <w:footerReference w:type="first" r:id="rId16"/>
          <w:footnotePr>
            <w:numRestart w:val="eachPage"/>
          </w:footnotePr>
          <w:pgSz w:w="11906" w:h="16838"/>
          <w:pgMar w:top="1134" w:right="1134" w:bottom="1134" w:left="1134" w:header="720" w:footer="567" w:gutter="0"/>
          <w:pgNumType w:start="2"/>
          <w:cols w:space="720"/>
          <w:docGrid w:linePitch="326"/>
        </w:sectPr>
      </w:pPr>
    </w:p>
    <w:p>
      <w:pPr>
        <w:pStyle w:val="NormalRight"/>
        <w:rPr>
          <w:rFonts w:eastAsia="Calibri"/>
          <w:b/>
          <w:bCs/>
          <w:noProof/>
          <w:u w:val="single"/>
        </w:rPr>
      </w:pPr>
      <w:r>
        <w:rPr>
          <w:rFonts w:eastAsia="Calibri"/>
          <w:b/>
          <w:bCs/>
          <w:noProof/>
          <w:u w:val="single"/>
        </w:rPr>
        <w:lastRenderedPageBreak/>
        <w:t>Appendix 1 to Annex IIA</w:t>
      </w:r>
    </w:p>
    <w:p>
      <w:pPr>
        <w:pStyle w:val="NormalCentered"/>
        <w:rPr>
          <w:rFonts w:eastAsia="Calibri"/>
          <w:noProof/>
        </w:rPr>
      </w:pPr>
      <w:r>
        <w:rPr>
          <w:rFonts w:eastAsia="Calibri"/>
          <w:noProof/>
        </w:rPr>
        <w:t>Maximum allowable fishing effort in kilowatt days</w:t>
      </w:r>
    </w:p>
    <w:p>
      <w:pPr>
        <w:pStyle w:val="Point0"/>
        <w:rPr>
          <w:rFonts w:eastAsia="Calibri"/>
          <w:noProof/>
        </w:rPr>
      </w:pPr>
      <w:r>
        <w:rPr>
          <w:rFonts w:eastAsia="Calibri"/>
          <w:noProof/>
        </w:rPr>
        <w:t>(a)</w:t>
      </w:r>
      <w:r>
        <w:rPr>
          <w:rFonts w:eastAsia="Calibri"/>
          <w:noProof/>
        </w:rPr>
        <w:tab/>
        <w:t>Kattegat:</w:t>
      </w:r>
    </w:p>
    <w:tbl>
      <w:tblPr>
        <w:tblW w:w="5000" w:type="pct"/>
        <w:tblCellMar>
          <w:top w:w="28" w:type="dxa"/>
          <w:left w:w="28" w:type="dxa"/>
          <w:bottom w:w="28" w:type="dxa"/>
          <w:right w:w="28" w:type="dxa"/>
        </w:tblCellMar>
        <w:tblLook w:val="0000" w:firstRow="0" w:lastRow="0" w:firstColumn="0" w:lastColumn="0" w:noHBand="0" w:noVBand="0"/>
      </w:tblPr>
      <w:tblGrid>
        <w:gridCol w:w="2423"/>
        <w:gridCol w:w="2423"/>
        <w:gridCol w:w="2424"/>
        <w:gridCol w:w="2424"/>
      </w:tblGrid>
      <w:tr>
        <w:trPr>
          <w:trHeight w:val="20"/>
        </w:trPr>
        <w:tc>
          <w:tcPr>
            <w:tcW w:w="1250" w:type="pct"/>
            <w:tcBorders>
              <w:top w:val="single" w:sz="4" w:space="0" w:color="000000"/>
              <w:left w:val="single" w:sz="4" w:space="0" w:color="000000"/>
              <w:bottom w:val="single" w:sz="2" w:space="0" w:color="000000"/>
            </w:tcBorders>
            <w:shd w:val="clear" w:color="auto" w:fill="auto"/>
          </w:tcPr>
          <w:p>
            <w:pPr>
              <w:spacing w:before="60" w:after="60"/>
              <w:jc w:val="center"/>
              <w:rPr>
                <w:rFonts w:eastAsia="Calibri"/>
                <w:noProof/>
                <w:sz w:val="20"/>
                <w:szCs w:val="20"/>
              </w:rPr>
            </w:pPr>
            <w:r>
              <w:rPr>
                <w:rFonts w:eastAsia="Calibri"/>
                <w:noProof/>
                <w:sz w:val="20"/>
                <w:szCs w:val="20"/>
              </w:rPr>
              <w:t>Regulated gear</w:t>
            </w:r>
          </w:p>
        </w:tc>
        <w:tc>
          <w:tcPr>
            <w:tcW w:w="1250" w:type="pct"/>
            <w:tcBorders>
              <w:top w:val="single" w:sz="4" w:space="0" w:color="000000"/>
              <w:left w:val="single" w:sz="2" w:space="0" w:color="000000"/>
              <w:bottom w:val="single" w:sz="2" w:space="0" w:color="000000"/>
            </w:tcBorders>
            <w:shd w:val="clear" w:color="auto" w:fill="auto"/>
          </w:tcPr>
          <w:p>
            <w:pPr>
              <w:spacing w:before="60" w:after="60"/>
              <w:jc w:val="center"/>
              <w:rPr>
                <w:rFonts w:eastAsia="Calibri"/>
                <w:noProof/>
                <w:sz w:val="20"/>
                <w:szCs w:val="20"/>
              </w:rPr>
            </w:pPr>
            <w:r>
              <w:rPr>
                <w:rFonts w:eastAsia="Calibri"/>
                <w:noProof/>
                <w:sz w:val="20"/>
                <w:szCs w:val="20"/>
              </w:rPr>
              <w:t>DK</w:t>
            </w:r>
          </w:p>
        </w:tc>
        <w:tc>
          <w:tcPr>
            <w:tcW w:w="1250" w:type="pct"/>
            <w:tcBorders>
              <w:top w:val="single" w:sz="4" w:space="0" w:color="000000"/>
              <w:left w:val="single" w:sz="2" w:space="0" w:color="000000"/>
              <w:bottom w:val="single" w:sz="2" w:space="0" w:color="000000"/>
            </w:tcBorders>
            <w:shd w:val="clear" w:color="auto" w:fill="auto"/>
          </w:tcPr>
          <w:p>
            <w:pPr>
              <w:spacing w:before="60" w:after="60"/>
              <w:jc w:val="center"/>
              <w:rPr>
                <w:rFonts w:eastAsia="Calibri"/>
                <w:noProof/>
                <w:sz w:val="20"/>
                <w:szCs w:val="20"/>
              </w:rPr>
            </w:pPr>
            <w:r>
              <w:rPr>
                <w:rFonts w:eastAsia="Calibri"/>
                <w:noProof/>
                <w:sz w:val="20"/>
                <w:szCs w:val="20"/>
              </w:rPr>
              <w:t>DE</w:t>
            </w:r>
          </w:p>
        </w:tc>
        <w:tc>
          <w:tcPr>
            <w:tcW w:w="1250" w:type="pct"/>
            <w:tcBorders>
              <w:top w:val="single" w:sz="4"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SE</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rFonts w:eastAsia="Calibri"/>
                <w:noProof/>
                <w:sz w:val="20"/>
                <w:szCs w:val="20"/>
              </w:rPr>
              <w:t>TR1</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rFonts w:eastAsia="Calibri"/>
                <w:noProof/>
                <w:sz w:val="20"/>
                <w:szCs w:val="20"/>
              </w:rPr>
              <w:t>TR2</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rFonts w:eastAsia="Calibri"/>
                <w:noProof/>
                <w:sz w:val="20"/>
                <w:szCs w:val="20"/>
              </w:rPr>
              <w:t>TR3</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rFonts w:eastAsia="Calibri"/>
                <w:noProof/>
                <w:sz w:val="20"/>
                <w:szCs w:val="20"/>
              </w:rPr>
              <w:t>BT1</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rFonts w:eastAsia="Calibri"/>
                <w:noProof/>
                <w:sz w:val="20"/>
                <w:szCs w:val="20"/>
              </w:rPr>
              <w:t>BT2</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rFonts w:eastAsia="Calibri"/>
                <w:noProof/>
                <w:sz w:val="20"/>
                <w:szCs w:val="20"/>
              </w:rPr>
              <w:t>GN</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r>
      <w:tr>
        <w:trPr>
          <w:trHeight w:val="20"/>
        </w:trPr>
        <w:tc>
          <w:tcPr>
            <w:tcW w:w="1250" w:type="pct"/>
            <w:tcBorders>
              <w:top w:val="single" w:sz="2" w:space="0" w:color="000000"/>
              <w:left w:val="single" w:sz="4" w:space="0" w:color="000000"/>
              <w:bottom w:val="single" w:sz="2" w:space="0" w:color="000000"/>
            </w:tcBorders>
            <w:shd w:val="clear" w:color="auto" w:fill="auto"/>
          </w:tcPr>
          <w:p>
            <w:pPr>
              <w:spacing w:before="60" w:after="60"/>
              <w:rPr>
                <w:rFonts w:eastAsia="Calibri"/>
                <w:noProof/>
                <w:sz w:val="20"/>
                <w:szCs w:val="20"/>
              </w:rPr>
            </w:pPr>
            <w:r>
              <w:rPr>
                <w:rFonts w:eastAsia="Calibri"/>
                <w:noProof/>
                <w:sz w:val="20"/>
                <w:szCs w:val="20"/>
              </w:rPr>
              <w:t>GT</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r>
      <w:tr>
        <w:trPr>
          <w:trHeight w:val="20"/>
        </w:trPr>
        <w:tc>
          <w:tcPr>
            <w:tcW w:w="1250" w:type="pct"/>
            <w:tcBorders>
              <w:top w:val="single" w:sz="2"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rFonts w:eastAsia="Calibri"/>
                <w:noProof/>
                <w:sz w:val="20"/>
                <w:szCs w:val="20"/>
              </w:rPr>
              <w:t>LL</w:t>
            </w:r>
          </w:p>
        </w:tc>
        <w:tc>
          <w:tcPr>
            <w:tcW w:w="1250" w:type="pct"/>
            <w:tcBorders>
              <w:top w:val="single" w:sz="2" w:space="0" w:color="000000"/>
              <w:left w:val="single" w:sz="2" w:space="0" w:color="000000"/>
              <w:bottom w:val="single" w:sz="4"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4"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c>
          <w:tcPr>
            <w:tcW w:w="1250" w:type="pct"/>
            <w:tcBorders>
              <w:top w:val="single" w:sz="2" w:space="0" w:color="000000"/>
              <w:left w:val="single" w:sz="2"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noProof/>
                <w:color w:val="000000"/>
                <w:sz w:val="18"/>
                <w:szCs w:val="18"/>
              </w:rPr>
              <w:t>pm</w:t>
            </w:r>
          </w:p>
        </w:tc>
      </w:tr>
    </w:tbl>
    <w:p>
      <w:pPr>
        <w:rPr>
          <w:rFonts w:eastAsia="Calibri"/>
          <w:noProof/>
        </w:rPr>
      </w:pPr>
    </w:p>
    <w:p>
      <w:pPr>
        <w:pStyle w:val="Point0"/>
        <w:rPr>
          <w:rFonts w:eastAsia="Calibri"/>
          <w:noProof/>
        </w:rPr>
      </w:pPr>
      <w:r>
        <w:rPr>
          <w:rFonts w:eastAsia="Calibri"/>
          <w:noProof/>
        </w:rPr>
        <w:t>(b)</w:t>
      </w:r>
      <w:r>
        <w:rPr>
          <w:rFonts w:eastAsia="Calibri"/>
          <w:noProof/>
        </w:rPr>
        <w:tab/>
        <w:t>Skagerrak, that part of ICES division IIIa not covered by the Skagerrak and the Kattegat; ICES subarea IV and Union waters of ICES division IIa; ICES division VIId:</w:t>
      </w:r>
    </w:p>
    <w:tbl>
      <w:tblPr>
        <w:tblW w:w="5000" w:type="pct"/>
        <w:tblLook w:val="0000" w:firstRow="0" w:lastRow="0" w:firstColumn="0" w:lastColumn="0" w:noHBand="0" w:noVBand="0"/>
      </w:tblPr>
      <w:tblGrid>
        <w:gridCol w:w="1065"/>
        <w:gridCol w:w="1053"/>
        <w:gridCol w:w="1052"/>
        <w:gridCol w:w="1052"/>
        <w:gridCol w:w="686"/>
        <w:gridCol w:w="1052"/>
        <w:gridCol w:w="790"/>
        <w:gridCol w:w="1157"/>
        <w:gridCol w:w="895"/>
        <w:gridCol w:w="1052"/>
      </w:tblGrid>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Regulated gear</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BE</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DK</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DE</w:t>
            </w:r>
          </w:p>
        </w:tc>
        <w:tc>
          <w:tcPr>
            <w:tcW w:w="34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ES</w:t>
            </w:r>
          </w:p>
        </w:tc>
        <w:tc>
          <w:tcPr>
            <w:tcW w:w="53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FR</w:t>
            </w:r>
          </w:p>
        </w:tc>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IE</w:t>
            </w:r>
          </w:p>
        </w:tc>
        <w:tc>
          <w:tcPr>
            <w:tcW w:w="58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NL</w:t>
            </w:r>
          </w:p>
        </w:tc>
        <w:tc>
          <w:tcPr>
            <w:tcW w:w="45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SE</w:t>
            </w:r>
          </w:p>
        </w:tc>
        <w:tc>
          <w:tcPr>
            <w:tcW w:w="53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UK</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rFonts w:eastAsia="Calibri"/>
                <w:noProof/>
                <w:sz w:val="20"/>
                <w:szCs w:val="20"/>
              </w:rPr>
              <w:t>TR1</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rFonts w:eastAsia="Calibri"/>
                <w:noProof/>
                <w:sz w:val="20"/>
                <w:szCs w:val="20"/>
              </w:rPr>
              <w:t>TR2</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rFonts w:eastAsia="Calibri"/>
                <w:noProof/>
                <w:sz w:val="20"/>
                <w:szCs w:val="20"/>
              </w:rPr>
              <w:t>TR3</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rFonts w:eastAsia="Calibri"/>
                <w:noProof/>
                <w:sz w:val="20"/>
                <w:szCs w:val="20"/>
              </w:rPr>
              <w:t>BT1</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rFonts w:eastAsia="Calibri"/>
                <w:noProof/>
                <w:sz w:val="20"/>
                <w:szCs w:val="20"/>
              </w:rPr>
              <w:t>BT2</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rFonts w:eastAsia="Calibri"/>
                <w:noProof/>
                <w:sz w:val="20"/>
                <w:szCs w:val="20"/>
              </w:rPr>
              <w:t>GN</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rFonts w:eastAsia="Calibri"/>
                <w:noProof/>
                <w:sz w:val="20"/>
                <w:szCs w:val="20"/>
              </w:rPr>
              <w:t>GT</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rPr>
          <w:trHeight w:val="20"/>
        </w:trPr>
        <w:tc>
          <w:tcPr>
            <w:tcW w:w="540" w:type="pct"/>
            <w:tcBorders>
              <w:top w:val="single" w:sz="4" w:space="0" w:color="000000"/>
              <w:left w:val="single" w:sz="4" w:space="0" w:color="000000"/>
              <w:bottom w:val="single" w:sz="4" w:space="0" w:color="000000"/>
            </w:tcBorders>
            <w:shd w:val="clear" w:color="auto" w:fill="auto"/>
            <w:vAlign w:val="center"/>
          </w:tcPr>
          <w:p>
            <w:pPr>
              <w:spacing w:before="60" w:after="60"/>
              <w:rPr>
                <w:rFonts w:eastAsia="Calibri"/>
                <w:noProof/>
                <w:sz w:val="20"/>
                <w:szCs w:val="20"/>
              </w:rPr>
            </w:pPr>
            <w:r>
              <w:rPr>
                <w:rFonts w:eastAsia="Calibri"/>
                <w:noProof/>
                <w:sz w:val="20"/>
                <w:szCs w:val="20"/>
              </w:rPr>
              <w:t>LL</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348"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01"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45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bl>
    <w:p>
      <w:pPr>
        <w:rPr>
          <w:rFonts w:eastAsia="Calibri"/>
          <w:noProof/>
        </w:rPr>
      </w:pPr>
    </w:p>
    <w:p>
      <w:pPr>
        <w:pStyle w:val="Point0"/>
        <w:rPr>
          <w:rFonts w:eastAsia="Calibri"/>
          <w:noProof/>
        </w:rPr>
      </w:pPr>
      <w:r>
        <w:rPr>
          <w:rFonts w:eastAsia="Calibri"/>
          <w:noProof/>
        </w:rPr>
        <w:br w:type="page"/>
      </w:r>
      <w:r>
        <w:rPr>
          <w:rFonts w:eastAsia="Calibri"/>
          <w:noProof/>
        </w:rPr>
        <w:lastRenderedPageBreak/>
        <w:t>(c)</w:t>
      </w:r>
      <w:r>
        <w:rPr>
          <w:rFonts w:eastAsia="Calibri"/>
          <w:noProof/>
        </w:rPr>
        <w:tab/>
        <w:t>ICES division VIIa:</w:t>
      </w:r>
    </w:p>
    <w:tbl>
      <w:tblPr>
        <w:tblW w:w="5000" w:type="pct"/>
        <w:tblBorders>
          <w:top w:val="single" w:sz="4" w:space="0" w:color="000000"/>
          <w:left w:val="single" w:sz="4" w:space="0" w:color="auto"/>
          <w:bottom w:val="single" w:sz="4" w:space="0" w:color="000000"/>
          <w:insideH w:val="single" w:sz="4" w:space="0" w:color="000000"/>
          <w:insideV w:val="single" w:sz="4" w:space="0" w:color="000000"/>
        </w:tblBorders>
        <w:tblLook w:val="0000" w:firstRow="0" w:lastRow="0" w:firstColumn="0" w:lastColumn="0" w:noHBand="0" w:noVBand="0"/>
      </w:tblPr>
      <w:tblGrid>
        <w:gridCol w:w="1641"/>
        <w:gridCol w:w="1641"/>
        <w:gridCol w:w="1644"/>
        <w:gridCol w:w="1642"/>
        <w:gridCol w:w="1642"/>
        <w:gridCol w:w="1644"/>
      </w:tblGrid>
      <w:tr>
        <w:tc>
          <w:tcPr>
            <w:tcW w:w="833" w:type="pct"/>
            <w:vAlign w:val="center"/>
          </w:tcPr>
          <w:p>
            <w:pPr>
              <w:spacing w:before="60" w:after="60"/>
              <w:jc w:val="center"/>
              <w:rPr>
                <w:rFonts w:eastAsia="Calibri"/>
                <w:noProof/>
                <w:sz w:val="20"/>
                <w:szCs w:val="20"/>
              </w:rPr>
            </w:pPr>
            <w:r>
              <w:rPr>
                <w:rFonts w:eastAsia="Calibri"/>
                <w:noProof/>
                <w:sz w:val="20"/>
                <w:szCs w:val="20"/>
              </w:rPr>
              <w:t>Regulated gear</w:t>
            </w:r>
          </w:p>
        </w:tc>
        <w:tc>
          <w:tcPr>
            <w:tcW w:w="833" w:type="pct"/>
            <w:vAlign w:val="center"/>
          </w:tcPr>
          <w:p>
            <w:pPr>
              <w:spacing w:before="60" w:after="60"/>
              <w:jc w:val="center"/>
              <w:rPr>
                <w:rFonts w:eastAsia="Calibri"/>
                <w:noProof/>
                <w:sz w:val="20"/>
                <w:szCs w:val="20"/>
              </w:rPr>
            </w:pPr>
            <w:r>
              <w:rPr>
                <w:rFonts w:eastAsia="Calibri"/>
                <w:noProof/>
                <w:sz w:val="20"/>
                <w:szCs w:val="20"/>
              </w:rPr>
              <w:t>BE</w:t>
            </w:r>
          </w:p>
        </w:tc>
        <w:tc>
          <w:tcPr>
            <w:tcW w:w="834" w:type="pct"/>
            <w:vAlign w:val="center"/>
          </w:tcPr>
          <w:p>
            <w:pPr>
              <w:spacing w:before="60" w:after="60"/>
              <w:jc w:val="center"/>
              <w:rPr>
                <w:rFonts w:eastAsia="Calibri"/>
                <w:noProof/>
                <w:sz w:val="20"/>
                <w:szCs w:val="20"/>
              </w:rPr>
            </w:pPr>
            <w:r>
              <w:rPr>
                <w:rFonts w:eastAsia="Calibri"/>
                <w:noProof/>
                <w:sz w:val="20"/>
                <w:szCs w:val="20"/>
              </w:rPr>
              <w:t>FR</w:t>
            </w:r>
          </w:p>
        </w:tc>
        <w:tc>
          <w:tcPr>
            <w:tcW w:w="833" w:type="pct"/>
            <w:vAlign w:val="center"/>
          </w:tcPr>
          <w:p>
            <w:pPr>
              <w:spacing w:before="60" w:after="60"/>
              <w:jc w:val="center"/>
              <w:rPr>
                <w:rFonts w:eastAsia="Calibri"/>
                <w:noProof/>
                <w:sz w:val="20"/>
                <w:szCs w:val="20"/>
              </w:rPr>
            </w:pPr>
            <w:r>
              <w:rPr>
                <w:rFonts w:eastAsia="Calibri"/>
                <w:noProof/>
                <w:sz w:val="20"/>
                <w:szCs w:val="20"/>
              </w:rPr>
              <w:t>IE</w:t>
            </w:r>
          </w:p>
        </w:tc>
        <w:tc>
          <w:tcPr>
            <w:tcW w:w="833" w:type="pct"/>
            <w:vAlign w:val="center"/>
          </w:tcPr>
          <w:p>
            <w:pPr>
              <w:spacing w:before="60" w:after="60"/>
              <w:jc w:val="center"/>
              <w:rPr>
                <w:rFonts w:eastAsia="Calibri"/>
                <w:noProof/>
                <w:sz w:val="20"/>
                <w:szCs w:val="20"/>
              </w:rPr>
            </w:pPr>
            <w:r>
              <w:rPr>
                <w:rFonts w:eastAsia="Calibri"/>
                <w:noProof/>
                <w:sz w:val="20"/>
                <w:szCs w:val="20"/>
              </w:rPr>
              <w:t>NL</w:t>
            </w:r>
          </w:p>
        </w:tc>
        <w:tc>
          <w:tcPr>
            <w:tcW w:w="834" w:type="pct"/>
            <w:tcBorders>
              <w:right w:val="single" w:sz="4" w:space="0" w:color="auto"/>
            </w:tcBorders>
            <w:vAlign w:val="center"/>
          </w:tcPr>
          <w:p>
            <w:pPr>
              <w:spacing w:before="60" w:after="60"/>
              <w:jc w:val="center"/>
              <w:rPr>
                <w:rFonts w:eastAsia="Calibri"/>
                <w:noProof/>
                <w:sz w:val="20"/>
                <w:szCs w:val="20"/>
              </w:rPr>
            </w:pPr>
            <w:r>
              <w:rPr>
                <w:rFonts w:eastAsia="Calibri"/>
                <w:noProof/>
                <w:sz w:val="20"/>
                <w:szCs w:val="20"/>
              </w:rPr>
              <w:t>UK</w:t>
            </w:r>
          </w:p>
        </w:tc>
      </w:tr>
      <w:tr>
        <w:tc>
          <w:tcPr>
            <w:tcW w:w="833" w:type="pct"/>
          </w:tcPr>
          <w:p>
            <w:pPr>
              <w:spacing w:before="60" w:after="60"/>
              <w:rPr>
                <w:rFonts w:eastAsia="Calibri"/>
                <w:noProof/>
                <w:sz w:val="20"/>
                <w:szCs w:val="20"/>
              </w:rPr>
            </w:pPr>
            <w:r>
              <w:rPr>
                <w:rFonts w:eastAsia="Calibri"/>
                <w:noProof/>
                <w:sz w:val="20"/>
                <w:szCs w:val="20"/>
              </w:rPr>
              <w:t>TR1</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Borders>
              <w:right w:val="single" w:sz="4" w:space="0" w:color="auto"/>
            </w:tcBorders>
          </w:tcPr>
          <w:p>
            <w:pPr>
              <w:spacing w:before="60" w:after="60"/>
              <w:jc w:val="right"/>
              <w:rPr>
                <w:rFonts w:eastAsia="Calibri"/>
                <w:noProof/>
                <w:sz w:val="20"/>
                <w:szCs w:val="20"/>
              </w:rPr>
            </w:pPr>
            <w:r>
              <w:rPr>
                <w:rFonts w:eastAsia="Calibri"/>
                <w:noProof/>
                <w:sz w:val="20"/>
                <w:szCs w:val="20"/>
              </w:rPr>
              <w:t>pm</w:t>
            </w:r>
          </w:p>
        </w:tc>
      </w:tr>
      <w:tr>
        <w:tc>
          <w:tcPr>
            <w:tcW w:w="833" w:type="pct"/>
          </w:tcPr>
          <w:p>
            <w:pPr>
              <w:spacing w:before="60" w:after="60"/>
              <w:rPr>
                <w:rFonts w:eastAsia="Calibri"/>
                <w:noProof/>
                <w:sz w:val="20"/>
                <w:szCs w:val="20"/>
              </w:rPr>
            </w:pPr>
            <w:r>
              <w:rPr>
                <w:rFonts w:eastAsia="Calibri"/>
                <w:noProof/>
                <w:sz w:val="20"/>
                <w:szCs w:val="20"/>
              </w:rPr>
              <w:t>TR2</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Borders>
              <w:right w:val="single" w:sz="4" w:space="0" w:color="auto"/>
            </w:tcBorders>
          </w:tcPr>
          <w:p>
            <w:pPr>
              <w:spacing w:before="60" w:after="60"/>
              <w:jc w:val="right"/>
              <w:rPr>
                <w:rFonts w:eastAsia="Calibri"/>
                <w:noProof/>
                <w:sz w:val="20"/>
                <w:szCs w:val="20"/>
              </w:rPr>
            </w:pPr>
            <w:r>
              <w:rPr>
                <w:rFonts w:eastAsia="Calibri"/>
                <w:noProof/>
                <w:sz w:val="20"/>
                <w:szCs w:val="20"/>
              </w:rPr>
              <w:t>pm</w:t>
            </w:r>
          </w:p>
        </w:tc>
      </w:tr>
      <w:tr>
        <w:tc>
          <w:tcPr>
            <w:tcW w:w="833" w:type="pct"/>
          </w:tcPr>
          <w:p>
            <w:pPr>
              <w:spacing w:before="60" w:after="60"/>
              <w:rPr>
                <w:rFonts w:eastAsia="Calibri"/>
                <w:noProof/>
                <w:sz w:val="20"/>
                <w:szCs w:val="20"/>
              </w:rPr>
            </w:pPr>
            <w:r>
              <w:rPr>
                <w:rFonts w:eastAsia="Calibri"/>
                <w:noProof/>
                <w:sz w:val="20"/>
                <w:szCs w:val="20"/>
              </w:rPr>
              <w:t>TR3</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Borders>
              <w:right w:val="single" w:sz="4" w:space="0" w:color="auto"/>
            </w:tcBorders>
          </w:tcPr>
          <w:p>
            <w:pPr>
              <w:spacing w:before="60" w:after="60"/>
              <w:jc w:val="right"/>
              <w:rPr>
                <w:rFonts w:eastAsia="Calibri"/>
                <w:noProof/>
                <w:sz w:val="20"/>
                <w:szCs w:val="20"/>
              </w:rPr>
            </w:pPr>
            <w:r>
              <w:rPr>
                <w:rFonts w:eastAsia="Calibri"/>
                <w:noProof/>
                <w:sz w:val="20"/>
                <w:szCs w:val="20"/>
              </w:rPr>
              <w:t>pm</w:t>
            </w:r>
          </w:p>
        </w:tc>
      </w:tr>
      <w:tr>
        <w:tc>
          <w:tcPr>
            <w:tcW w:w="833" w:type="pct"/>
          </w:tcPr>
          <w:p>
            <w:pPr>
              <w:spacing w:before="60" w:after="60"/>
              <w:rPr>
                <w:rFonts w:eastAsia="Calibri"/>
                <w:noProof/>
                <w:sz w:val="20"/>
                <w:szCs w:val="20"/>
              </w:rPr>
            </w:pPr>
            <w:r>
              <w:rPr>
                <w:rFonts w:eastAsia="Calibri"/>
                <w:noProof/>
                <w:sz w:val="20"/>
                <w:szCs w:val="20"/>
              </w:rPr>
              <w:t>BT1</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Borders>
              <w:right w:val="single" w:sz="4" w:space="0" w:color="auto"/>
            </w:tcBorders>
          </w:tcPr>
          <w:p>
            <w:pPr>
              <w:spacing w:before="60" w:after="60"/>
              <w:jc w:val="right"/>
              <w:rPr>
                <w:rFonts w:eastAsia="Calibri"/>
                <w:noProof/>
                <w:sz w:val="20"/>
                <w:szCs w:val="20"/>
              </w:rPr>
            </w:pPr>
            <w:r>
              <w:rPr>
                <w:rFonts w:eastAsia="Calibri"/>
                <w:noProof/>
                <w:sz w:val="20"/>
                <w:szCs w:val="20"/>
              </w:rPr>
              <w:t>pm</w:t>
            </w:r>
          </w:p>
        </w:tc>
      </w:tr>
      <w:tr>
        <w:tc>
          <w:tcPr>
            <w:tcW w:w="833" w:type="pct"/>
          </w:tcPr>
          <w:p>
            <w:pPr>
              <w:spacing w:before="60" w:after="60"/>
              <w:rPr>
                <w:rFonts w:eastAsia="Calibri"/>
                <w:noProof/>
                <w:sz w:val="20"/>
                <w:szCs w:val="20"/>
              </w:rPr>
            </w:pPr>
            <w:r>
              <w:rPr>
                <w:rFonts w:eastAsia="Calibri"/>
                <w:noProof/>
                <w:sz w:val="20"/>
                <w:szCs w:val="20"/>
              </w:rPr>
              <w:t>BT2</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Borders>
              <w:right w:val="single" w:sz="4" w:space="0" w:color="auto"/>
            </w:tcBorders>
          </w:tcPr>
          <w:p>
            <w:pPr>
              <w:spacing w:before="60" w:after="60"/>
              <w:jc w:val="right"/>
              <w:rPr>
                <w:rFonts w:eastAsia="Calibri"/>
                <w:noProof/>
                <w:sz w:val="20"/>
                <w:szCs w:val="20"/>
              </w:rPr>
            </w:pPr>
            <w:r>
              <w:rPr>
                <w:rFonts w:eastAsia="Calibri"/>
                <w:noProof/>
                <w:sz w:val="20"/>
                <w:szCs w:val="20"/>
              </w:rPr>
              <w:t>pm</w:t>
            </w:r>
          </w:p>
        </w:tc>
      </w:tr>
      <w:tr>
        <w:tc>
          <w:tcPr>
            <w:tcW w:w="833" w:type="pct"/>
          </w:tcPr>
          <w:p>
            <w:pPr>
              <w:spacing w:before="60" w:after="60"/>
              <w:rPr>
                <w:rFonts w:eastAsia="Calibri"/>
                <w:noProof/>
                <w:sz w:val="20"/>
                <w:szCs w:val="20"/>
              </w:rPr>
            </w:pPr>
            <w:r>
              <w:rPr>
                <w:rFonts w:eastAsia="Calibri"/>
                <w:noProof/>
                <w:sz w:val="20"/>
                <w:szCs w:val="20"/>
              </w:rPr>
              <w:t>GN</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Borders>
              <w:right w:val="single" w:sz="4" w:space="0" w:color="auto"/>
            </w:tcBorders>
          </w:tcPr>
          <w:p>
            <w:pPr>
              <w:spacing w:before="60" w:after="60"/>
              <w:jc w:val="right"/>
              <w:rPr>
                <w:rFonts w:eastAsia="Calibri"/>
                <w:noProof/>
                <w:sz w:val="20"/>
                <w:szCs w:val="20"/>
              </w:rPr>
            </w:pPr>
            <w:r>
              <w:rPr>
                <w:rFonts w:eastAsia="Calibri"/>
                <w:noProof/>
                <w:sz w:val="20"/>
                <w:szCs w:val="20"/>
              </w:rPr>
              <w:t>pm</w:t>
            </w:r>
          </w:p>
        </w:tc>
      </w:tr>
      <w:tr>
        <w:tc>
          <w:tcPr>
            <w:tcW w:w="833" w:type="pct"/>
          </w:tcPr>
          <w:p>
            <w:pPr>
              <w:spacing w:before="60" w:after="60"/>
              <w:rPr>
                <w:rFonts w:eastAsia="Calibri"/>
                <w:noProof/>
                <w:sz w:val="20"/>
                <w:szCs w:val="20"/>
              </w:rPr>
            </w:pPr>
            <w:r>
              <w:rPr>
                <w:rFonts w:eastAsia="Calibri"/>
                <w:noProof/>
                <w:sz w:val="20"/>
                <w:szCs w:val="20"/>
              </w:rPr>
              <w:t>GT</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Borders>
              <w:right w:val="single" w:sz="4" w:space="0" w:color="auto"/>
            </w:tcBorders>
          </w:tcPr>
          <w:p>
            <w:pPr>
              <w:spacing w:before="60" w:after="60"/>
              <w:jc w:val="right"/>
              <w:rPr>
                <w:rFonts w:eastAsia="Calibri"/>
                <w:noProof/>
                <w:sz w:val="20"/>
                <w:szCs w:val="20"/>
              </w:rPr>
            </w:pPr>
            <w:r>
              <w:rPr>
                <w:rFonts w:eastAsia="Calibri"/>
                <w:noProof/>
                <w:sz w:val="20"/>
                <w:szCs w:val="20"/>
              </w:rPr>
              <w:t>pm</w:t>
            </w:r>
          </w:p>
        </w:tc>
      </w:tr>
      <w:tr>
        <w:tc>
          <w:tcPr>
            <w:tcW w:w="833" w:type="pct"/>
          </w:tcPr>
          <w:p>
            <w:pPr>
              <w:spacing w:before="60" w:after="60"/>
              <w:rPr>
                <w:rFonts w:eastAsia="Calibri"/>
                <w:noProof/>
                <w:sz w:val="20"/>
                <w:szCs w:val="20"/>
              </w:rPr>
            </w:pPr>
            <w:r>
              <w:rPr>
                <w:rFonts w:eastAsia="Calibri"/>
                <w:noProof/>
                <w:sz w:val="20"/>
                <w:szCs w:val="20"/>
              </w:rPr>
              <w:t>LL</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3" w:type="pct"/>
          </w:tcPr>
          <w:p>
            <w:pPr>
              <w:spacing w:before="60" w:after="60"/>
              <w:jc w:val="right"/>
              <w:rPr>
                <w:rFonts w:eastAsia="Calibri"/>
                <w:noProof/>
                <w:sz w:val="20"/>
                <w:szCs w:val="20"/>
              </w:rPr>
            </w:pPr>
            <w:r>
              <w:rPr>
                <w:rFonts w:eastAsia="Calibri"/>
                <w:noProof/>
                <w:sz w:val="20"/>
                <w:szCs w:val="20"/>
              </w:rPr>
              <w:t>pm</w:t>
            </w:r>
          </w:p>
        </w:tc>
        <w:tc>
          <w:tcPr>
            <w:tcW w:w="834" w:type="pct"/>
            <w:tcBorders>
              <w:right w:val="single" w:sz="4" w:space="0" w:color="auto"/>
            </w:tcBorders>
          </w:tcPr>
          <w:p>
            <w:pPr>
              <w:spacing w:before="60" w:after="60"/>
              <w:jc w:val="right"/>
              <w:rPr>
                <w:rFonts w:eastAsia="Calibri"/>
                <w:noProof/>
                <w:sz w:val="20"/>
                <w:szCs w:val="20"/>
              </w:rPr>
            </w:pPr>
            <w:r>
              <w:rPr>
                <w:rFonts w:eastAsia="Calibri"/>
                <w:noProof/>
                <w:sz w:val="20"/>
                <w:szCs w:val="20"/>
              </w:rPr>
              <w:t>pm</w:t>
            </w:r>
          </w:p>
        </w:tc>
      </w:tr>
    </w:tbl>
    <w:p>
      <w:pPr>
        <w:rPr>
          <w:rFonts w:eastAsia="Calibri"/>
          <w:noProof/>
        </w:rPr>
      </w:pPr>
    </w:p>
    <w:p>
      <w:pPr>
        <w:pStyle w:val="Point0"/>
        <w:rPr>
          <w:rFonts w:eastAsia="Calibri"/>
          <w:noProof/>
        </w:rPr>
      </w:pPr>
      <w:r>
        <w:rPr>
          <w:rFonts w:eastAsia="Calibri"/>
          <w:noProof/>
        </w:rPr>
        <w:t>(d)</w:t>
      </w:r>
      <w:r>
        <w:rPr>
          <w:rFonts w:eastAsia="Calibri"/>
          <w:noProof/>
        </w:rPr>
        <w:tab/>
        <w:t>ICES division VIa and Union waters of ICES division Vb:</w:t>
      </w:r>
    </w:p>
    <w:tbl>
      <w:tblPr>
        <w:tblW w:w="5000" w:type="pct"/>
        <w:tblLook w:val="0000" w:firstRow="0" w:lastRow="0" w:firstColumn="0" w:lastColumn="0" w:noHBand="0" w:noVBand="0"/>
      </w:tblPr>
      <w:tblGrid>
        <w:gridCol w:w="1408"/>
        <w:gridCol w:w="1408"/>
        <w:gridCol w:w="1408"/>
        <w:gridCol w:w="1408"/>
        <w:gridCol w:w="1408"/>
        <w:gridCol w:w="1407"/>
        <w:gridCol w:w="1407"/>
      </w:tblGrid>
      <w:tr>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Regulated gear</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BE</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DE</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ES</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FR</w:t>
            </w:r>
          </w:p>
        </w:tc>
        <w:tc>
          <w:tcPr>
            <w:tcW w:w="71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IE</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UK</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rFonts w:eastAsia="Calibri"/>
                <w:noProof/>
                <w:sz w:val="20"/>
                <w:szCs w:val="20"/>
              </w:rPr>
              <w:t>TR1</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rFonts w:eastAsia="Calibri"/>
                <w:noProof/>
                <w:sz w:val="20"/>
                <w:szCs w:val="20"/>
              </w:rPr>
              <w:t>TR2</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rFonts w:eastAsia="Calibri"/>
                <w:noProof/>
                <w:sz w:val="20"/>
                <w:szCs w:val="20"/>
              </w:rPr>
              <w:t>TR3</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rFonts w:eastAsia="Calibri"/>
                <w:noProof/>
                <w:sz w:val="20"/>
                <w:szCs w:val="20"/>
              </w:rPr>
              <w:t>BT1</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rFonts w:eastAsia="Calibri"/>
                <w:noProof/>
                <w:sz w:val="20"/>
                <w:szCs w:val="20"/>
              </w:rPr>
              <w:t>BT2</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rFonts w:eastAsia="Calibri"/>
                <w:noProof/>
                <w:sz w:val="20"/>
                <w:szCs w:val="20"/>
              </w:rPr>
              <w:t>GN</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rFonts w:eastAsia="Calibri"/>
                <w:noProof/>
                <w:sz w:val="20"/>
                <w:szCs w:val="20"/>
              </w:rPr>
              <w:t>GT</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r>
        <w:tc>
          <w:tcPr>
            <w:tcW w:w="71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sz w:val="20"/>
                <w:szCs w:val="20"/>
              </w:rPr>
            </w:pPr>
            <w:r>
              <w:rPr>
                <w:rFonts w:eastAsia="Calibri"/>
                <w:noProof/>
                <w:sz w:val="20"/>
                <w:szCs w:val="20"/>
              </w:rPr>
              <w:t>LL</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right"/>
              <w:rPr>
                <w:rFonts w:eastAsia="Calibri"/>
                <w:noProof/>
                <w:sz w:val="20"/>
                <w:szCs w:val="20"/>
              </w:rPr>
            </w:pPr>
            <w:r>
              <w:rPr>
                <w:rFonts w:eastAsia="Calibri"/>
                <w:noProof/>
                <w:sz w:val="20"/>
                <w:szCs w:val="20"/>
              </w:rPr>
              <w:t>pm</w:t>
            </w:r>
          </w:p>
        </w:tc>
      </w:tr>
    </w:tbl>
    <w:p>
      <w:pPr>
        <w:pStyle w:val="Lignefinal"/>
        <w:rPr>
          <w:rFonts w:eastAsia="Calibri"/>
          <w:noProof/>
        </w:rPr>
      </w:pPr>
    </w:p>
    <w:p>
      <w:pPr>
        <w:rPr>
          <w:rFonts w:eastAsia="Calibri"/>
          <w:noProof/>
        </w:rPr>
        <w:sectPr>
          <w:footnotePr>
            <w:numRestart w:val="eachPage"/>
          </w:footnotePr>
          <w:pgSz w:w="11906" w:h="16838"/>
          <w:pgMar w:top="1134" w:right="1134" w:bottom="1134" w:left="1134" w:header="720" w:footer="567" w:gutter="0"/>
          <w:cols w:space="720"/>
          <w:docGrid w:linePitch="326"/>
        </w:sectPr>
      </w:pPr>
    </w:p>
    <w:p>
      <w:pPr>
        <w:pStyle w:val="Annexetitre"/>
        <w:rPr>
          <w:rFonts w:eastAsia="Calibri"/>
          <w:noProof/>
        </w:rPr>
      </w:pPr>
      <w:r>
        <w:rPr>
          <w:rFonts w:eastAsia="Calibri"/>
          <w:noProof/>
        </w:rPr>
        <w:lastRenderedPageBreak/>
        <w:t>ANNEX IIB</w:t>
      </w:r>
    </w:p>
    <w:p>
      <w:pPr>
        <w:pStyle w:val="NormalCentered"/>
        <w:rPr>
          <w:rFonts w:eastAsia="Calibri"/>
          <w:noProof/>
        </w:rPr>
      </w:pPr>
      <w:r>
        <w:rPr>
          <w:rFonts w:eastAsia="Calibri"/>
          <w:noProof/>
        </w:rPr>
        <w:t>FISHING EFFORT FOR VESSELS IN THE CONTEXT OF</w:t>
      </w:r>
      <w:r>
        <w:rPr>
          <w:rFonts w:eastAsia="Calibri"/>
          <w:noProof/>
        </w:rPr>
        <w:br/>
        <w:t>THE RECOVERY OF CERTAIN SOUTHERN HAKE</w:t>
      </w:r>
      <w:r>
        <w:rPr>
          <w:rFonts w:eastAsia="Calibri"/>
          <w:noProof/>
        </w:rPr>
        <w:br/>
        <w:t>AND NORWAY LOBSTER STOCKS</w:t>
      </w:r>
      <w:r>
        <w:rPr>
          <w:rFonts w:eastAsia="Calibri"/>
          <w:noProof/>
        </w:rPr>
        <w:br/>
        <w:t>IN ICES DIVISIONS VIIIc AND IXa EXCLUDING THE GULF OF CÁDIZ</w:t>
      </w:r>
    </w:p>
    <w:p>
      <w:pPr>
        <w:pStyle w:val="ChapterTitle"/>
        <w:rPr>
          <w:rFonts w:eastAsia="Calibri"/>
          <w:noProof/>
        </w:rPr>
      </w:pPr>
      <w:r>
        <w:rPr>
          <w:rFonts w:eastAsia="Calibri"/>
          <w:noProof/>
        </w:rPr>
        <w:t>Chapter I</w:t>
      </w:r>
      <w:r>
        <w:rPr>
          <w:rFonts w:eastAsia="Calibri"/>
          <w:noProof/>
        </w:rPr>
        <w:br/>
        <w:t>General Provisions</w:t>
      </w:r>
    </w:p>
    <w:p>
      <w:pPr>
        <w:pStyle w:val="Point0"/>
        <w:rPr>
          <w:rFonts w:eastAsia="Calibri"/>
          <w:noProof/>
        </w:rPr>
      </w:pPr>
      <w:r>
        <w:rPr>
          <w:rFonts w:eastAsia="Calibri"/>
          <w:noProof/>
        </w:rPr>
        <w:t>1.</w:t>
      </w:r>
      <w:r>
        <w:rPr>
          <w:rFonts w:eastAsia="Calibri"/>
          <w:noProof/>
        </w:rPr>
        <w:tab/>
        <w:t>SCOPE</w:t>
      </w:r>
    </w:p>
    <w:p>
      <w:pPr>
        <w:pStyle w:val="Text1"/>
        <w:rPr>
          <w:rFonts w:eastAsia="Calibri"/>
          <w:noProof/>
        </w:rPr>
      </w:pPr>
      <w:r>
        <w:rPr>
          <w:rFonts w:eastAsia="Calibri"/>
          <w:noProof/>
        </w:rPr>
        <w:t>This Annex shall apply to Union vessels of 10 metres’ length overall or more carrying on board or deploying trawls, Danish seines or similar gears of mesh size equal to or larger than 32 mm and gill</w:t>
      </w:r>
      <w:r>
        <w:rPr>
          <w:rFonts w:eastAsia="Calibri"/>
          <w:noProof/>
        </w:rPr>
        <w:noBreakHyphen/>
        <w:t>nets of mesh size equal to or larger than 60 mm or bottom longlines in accordance with Regulation (EC) No 2166/2005, and present in ICES divisions VIIIc and IXa excluding the Gulf of Cádiz.</w:t>
      </w:r>
    </w:p>
    <w:p>
      <w:pPr>
        <w:pStyle w:val="Point0"/>
        <w:rPr>
          <w:rFonts w:eastAsia="Calibri"/>
          <w:noProof/>
        </w:rPr>
      </w:pPr>
      <w:r>
        <w:rPr>
          <w:rFonts w:eastAsia="Calibri"/>
          <w:noProof/>
        </w:rPr>
        <w:t>2.</w:t>
      </w:r>
      <w:r>
        <w:rPr>
          <w:rFonts w:eastAsia="Calibri"/>
          <w:noProof/>
        </w:rPr>
        <w:tab/>
        <w:t>DEFINITIONS</w:t>
      </w:r>
    </w:p>
    <w:p>
      <w:pPr>
        <w:pStyle w:val="Text1"/>
        <w:rPr>
          <w:rFonts w:eastAsia="Calibri"/>
          <w:noProof/>
        </w:rPr>
      </w:pPr>
      <w:r>
        <w:rPr>
          <w:rFonts w:eastAsia="Calibri"/>
          <w:noProof/>
        </w:rPr>
        <w:t>For the purposes of this Annex:</w:t>
      </w:r>
    </w:p>
    <w:p>
      <w:pPr>
        <w:pStyle w:val="Point1"/>
        <w:rPr>
          <w:rFonts w:eastAsia="Calibri"/>
          <w:noProof/>
        </w:rPr>
      </w:pPr>
      <w:r>
        <w:rPr>
          <w:rFonts w:eastAsia="Calibri"/>
          <w:noProof/>
        </w:rPr>
        <w:t>(a)</w:t>
      </w:r>
      <w:r>
        <w:rPr>
          <w:rFonts w:eastAsia="Calibri"/>
          <w:noProof/>
        </w:rPr>
        <w:tab/>
        <w:t>‘gear grouping’ means the grouping consisting of the following two gear categories:</w:t>
      </w:r>
    </w:p>
    <w:p>
      <w:pPr>
        <w:pStyle w:val="Point2"/>
        <w:rPr>
          <w:rFonts w:eastAsia="Calibri"/>
          <w:noProof/>
        </w:rPr>
      </w:pPr>
      <w:r>
        <w:rPr>
          <w:rFonts w:eastAsia="Calibri"/>
          <w:noProof/>
        </w:rPr>
        <w:t>(i)</w:t>
      </w:r>
      <w:r>
        <w:rPr>
          <w:rFonts w:eastAsia="Calibri"/>
          <w:noProof/>
        </w:rPr>
        <w:tab/>
        <w:t>trawls, Danish seines or similar gears of mesh size equal to or larger than 32 mm and</w:t>
      </w:r>
    </w:p>
    <w:p>
      <w:pPr>
        <w:pStyle w:val="Point2"/>
        <w:rPr>
          <w:rFonts w:eastAsia="Calibri"/>
          <w:noProof/>
        </w:rPr>
      </w:pPr>
      <w:r>
        <w:rPr>
          <w:rFonts w:eastAsia="Calibri"/>
          <w:noProof/>
        </w:rPr>
        <w:t>(ii)</w:t>
      </w:r>
      <w:r>
        <w:rPr>
          <w:rFonts w:eastAsia="Calibri"/>
          <w:noProof/>
        </w:rPr>
        <w:tab/>
        <w:t>gill</w:t>
      </w:r>
      <w:r>
        <w:rPr>
          <w:rFonts w:eastAsia="Calibri"/>
          <w:noProof/>
        </w:rPr>
        <w:noBreakHyphen/>
        <w:t>nets of mesh size equal to or larger than 60 mm and bottom longlines;</w:t>
      </w:r>
    </w:p>
    <w:p>
      <w:pPr>
        <w:pStyle w:val="Point1"/>
        <w:rPr>
          <w:rFonts w:eastAsia="Calibri"/>
          <w:noProof/>
        </w:rPr>
      </w:pPr>
      <w:r>
        <w:rPr>
          <w:rFonts w:eastAsia="Calibri"/>
          <w:noProof/>
        </w:rPr>
        <w:t>(b)</w:t>
      </w:r>
      <w:r>
        <w:rPr>
          <w:rFonts w:eastAsia="Calibri"/>
          <w:noProof/>
        </w:rPr>
        <w:tab/>
        <w:t>‘regulated gear’ means any of the two gear categories belonging to the gear grouping;</w:t>
      </w:r>
    </w:p>
    <w:p>
      <w:pPr>
        <w:pStyle w:val="Point1"/>
        <w:rPr>
          <w:rFonts w:eastAsia="Calibri"/>
          <w:noProof/>
        </w:rPr>
      </w:pPr>
      <w:r>
        <w:rPr>
          <w:rFonts w:eastAsia="Calibri"/>
          <w:noProof/>
        </w:rPr>
        <w:t>(c)</w:t>
      </w:r>
      <w:r>
        <w:rPr>
          <w:rFonts w:eastAsia="Calibri"/>
          <w:noProof/>
        </w:rPr>
        <w:tab/>
        <w:t>‘area’ means ICES divisions VIIIc and IXa excluding the Gulf of Cádiz;</w:t>
      </w:r>
    </w:p>
    <w:p>
      <w:pPr>
        <w:pStyle w:val="Point1"/>
        <w:rPr>
          <w:rFonts w:eastAsia="Calibri"/>
          <w:noProof/>
        </w:rPr>
      </w:pPr>
      <w:r>
        <w:rPr>
          <w:rFonts w:eastAsia="Calibri"/>
          <w:noProof/>
        </w:rPr>
        <w:t>(d)</w:t>
      </w:r>
      <w:r>
        <w:rPr>
          <w:rFonts w:eastAsia="Calibri"/>
          <w:noProof/>
        </w:rPr>
        <w:tab/>
        <w:t>‘current management period’ means the period specified in Article 8;</w:t>
      </w:r>
    </w:p>
    <w:p>
      <w:pPr>
        <w:pStyle w:val="Point1"/>
        <w:rPr>
          <w:rFonts w:eastAsia="Calibri"/>
          <w:noProof/>
        </w:rPr>
      </w:pPr>
      <w:r>
        <w:rPr>
          <w:rFonts w:eastAsia="Calibri"/>
          <w:noProof/>
        </w:rPr>
        <w:t>(e)</w:t>
      </w:r>
      <w:r>
        <w:rPr>
          <w:rFonts w:eastAsia="Calibri"/>
          <w:noProof/>
        </w:rPr>
        <w:tab/>
        <w:t>‘special conditions’ means the special conditions set out in point 6.1.</w:t>
      </w:r>
    </w:p>
    <w:p>
      <w:pPr>
        <w:rPr>
          <w:rFonts w:eastAsia="Calibri"/>
          <w:noProof/>
        </w:rPr>
      </w:pPr>
      <w:r>
        <w:rPr>
          <w:rFonts w:eastAsia="Calibri"/>
          <w:noProof/>
        </w:rPr>
        <w:t>3.</w:t>
      </w:r>
      <w:r>
        <w:rPr>
          <w:rFonts w:eastAsia="Calibri"/>
          <w:noProof/>
        </w:rPr>
        <w:tab/>
        <w:t>LIMITATION IN ACTIVITY</w:t>
      </w:r>
    </w:p>
    <w:p>
      <w:pPr>
        <w:pStyle w:val="Text1"/>
        <w:rPr>
          <w:rFonts w:eastAsia="Calibri"/>
          <w:noProof/>
        </w:rPr>
      </w:pPr>
      <w:r>
        <w:rPr>
          <w:rFonts w:eastAsia="Calibri"/>
          <w:noProof/>
        </w:rPr>
        <w:t>Without prejudice to Article 29 of Regulation (EC) No 1224/2009, each Member State shall ensure that, when carrying on board any regulated gear, Union vessels flying its flag shall be present within the area for no more than the number of days specified in Chapter III of this Annex.</w:t>
      </w:r>
    </w:p>
    <w:p>
      <w:pPr>
        <w:pStyle w:val="ChapterTitle"/>
        <w:rPr>
          <w:rFonts w:eastAsia="Calibri"/>
          <w:noProof/>
        </w:rPr>
      </w:pPr>
      <w:r>
        <w:rPr>
          <w:rFonts w:eastAsia="Calibri"/>
          <w:noProof/>
        </w:rPr>
        <w:t>Chapter II</w:t>
      </w:r>
      <w:r>
        <w:rPr>
          <w:rFonts w:eastAsia="Calibri"/>
          <w:noProof/>
        </w:rPr>
        <w:br/>
        <w:t>Authorisations</w:t>
      </w:r>
    </w:p>
    <w:p>
      <w:pPr>
        <w:pStyle w:val="Point0"/>
        <w:rPr>
          <w:rFonts w:eastAsia="Calibri"/>
          <w:noProof/>
        </w:rPr>
      </w:pPr>
      <w:bookmarkStart w:id="1" w:name="OLE_LINK4"/>
      <w:r>
        <w:rPr>
          <w:rFonts w:eastAsia="Calibri"/>
          <w:noProof/>
        </w:rPr>
        <w:t>4.</w:t>
      </w:r>
      <w:r>
        <w:rPr>
          <w:rFonts w:eastAsia="Calibri"/>
          <w:noProof/>
        </w:rPr>
        <w:tab/>
        <w:t>AUTHORISED VESSELS</w:t>
      </w:r>
    </w:p>
    <w:p>
      <w:pPr>
        <w:pStyle w:val="Point0"/>
        <w:rPr>
          <w:rFonts w:eastAsia="Calibri"/>
          <w:noProof/>
        </w:rPr>
      </w:pPr>
      <w:r>
        <w:rPr>
          <w:rFonts w:eastAsia="Calibri"/>
          <w:noProof/>
        </w:rPr>
        <w:t>4.1.</w:t>
      </w:r>
      <w:r>
        <w:rPr>
          <w:rFonts w:eastAsia="Calibri"/>
          <w:noProof/>
        </w:rPr>
        <w:tab/>
        <w:t>A Member State shall not authorise fishing with regulated gear in the area by any vessel flying its flag which has no record of such fishing activity in the area in the period from 2002 to 2015, excluding the record of fishing activities as a result of transfer of days between fishing vessels, unless it ensures that equivalent capacity, measured in kilowatts, is prevented from fishing in the area.</w:t>
      </w:r>
    </w:p>
    <w:bookmarkEnd w:id="1"/>
    <w:p>
      <w:pPr>
        <w:pStyle w:val="Point0"/>
        <w:rPr>
          <w:rFonts w:eastAsia="Calibri"/>
          <w:noProof/>
        </w:rPr>
      </w:pPr>
      <w:r>
        <w:rPr>
          <w:rFonts w:eastAsia="Calibri"/>
          <w:noProof/>
        </w:rPr>
        <w:lastRenderedPageBreak/>
        <w:t>4.2.</w:t>
      </w:r>
      <w:r>
        <w:rPr>
          <w:rFonts w:eastAsia="Calibri"/>
          <w:noProof/>
        </w:rPr>
        <w:tab/>
        <w:t>A vessel flying the flag of a Member State having no quotas in the area shall not be authorised to fish in the area with regulated gear, unless the vessel is allocated a quota after a transfer as permitted in accordance with Article 16(8) of Regulation (EU) No 1380/2013 and is allocated days at sea in accordance with point 11 or 12 of this Annex.</w:t>
      </w:r>
    </w:p>
    <w:p>
      <w:pPr>
        <w:pStyle w:val="ChapterTitle"/>
        <w:rPr>
          <w:rFonts w:eastAsia="Calibri"/>
          <w:noProof/>
        </w:rPr>
      </w:pPr>
      <w:r>
        <w:rPr>
          <w:rFonts w:eastAsia="Calibri"/>
          <w:noProof/>
        </w:rPr>
        <w:t>Chapter III</w:t>
      </w:r>
      <w:r>
        <w:rPr>
          <w:rFonts w:eastAsia="Calibri"/>
          <w:noProof/>
        </w:rPr>
        <w:br/>
        <w:t xml:space="preserve">Number of days present within the area </w:t>
      </w:r>
      <w:r>
        <w:rPr>
          <w:rFonts w:eastAsia="Calibri"/>
          <w:noProof/>
        </w:rPr>
        <w:br/>
        <w:t>allocated to Union vessels</w:t>
      </w:r>
    </w:p>
    <w:p>
      <w:pPr>
        <w:pStyle w:val="Point0"/>
        <w:rPr>
          <w:rFonts w:eastAsia="Calibri"/>
          <w:noProof/>
        </w:rPr>
      </w:pPr>
      <w:r>
        <w:rPr>
          <w:rFonts w:eastAsia="Calibri"/>
          <w:noProof/>
        </w:rPr>
        <w:t>5.</w:t>
      </w:r>
      <w:r>
        <w:rPr>
          <w:rFonts w:eastAsia="Calibri"/>
          <w:noProof/>
        </w:rPr>
        <w:tab/>
        <w:t>MAXIMUM NUMBER OF DAYS</w:t>
      </w:r>
    </w:p>
    <w:p>
      <w:pPr>
        <w:pStyle w:val="Point0"/>
        <w:rPr>
          <w:rFonts w:eastAsia="Calibri"/>
          <w:noProof/>
        </w:rPr>
      </w:pPr>
      <w:r>
        <w:rPr>
          <w:rFonts w:eastAsia="Calibri"/>
          <w:noProof/>
        </w:rPr>
        <w:t>5.1.</w:t>
      </w:r>
      <w:r>
        <w:rPr>
          <w:rFonts w:eastAsia="Calibri"/>
          <w:noProof/>
        </w:rPr>
        <w:tab/>
        <w:t>During the current management period, the maximum number of days at sea for which a Member State may authorise a vessel flying its flag to be present within the area having carried on board any regulated gear is shown in Table I.</w:t>
      </w:r>
    </w:p>
    <w:p>
      <w:pPr>
        <w:pStyle w:val="Point0"/>
        <w:rPr>
          <w:rFonts w:eastAsia="Calibri"/>
          <w:noProof/>
        </w:rPr>
      </w:pPr>
      <w:r>
        <w:rPr>
          <w:rFonts w:eastAsia="Calibri"/>
          <w:noProof/>
        </w:rPr>
        <w:t>5.2.</w:t>
      </w:r>
      <w:r>
        <w:rPr>
          <w:rFonts w:eastAsia="Calibri"/>
          <w:noProof/>
        </w:rPr>
        <w:tab/>
        <w:t>If a vessel is able to demonstrate that its hake catches represent less than 8 % of the total live weight of fish caught in a given fishing trip, the flag Member State of the vessel shall be allowed not to count the days at sea associated with that fishing trip against the applicable maximum number of days at sea as set out in Table I.</w:t>
      </w:r>
    </w:p>
    <w:p>
      <w:pPr>
        <w:pStyle w:val="Point0"/>
        <w:rPr>
          <w:rFonts w:eastAsia="Calibri"/>
          <w:noProof/>
        </w:rPr>
      </w:pPr>
      <w:r>
        <w:rPr>
          <w:rFonts w:eastAsia="Calibri"/>
          <w:noProof/>
        </w:rPr>
        <w:t>6.</w:t>
      </w:r>
      <w:r>
        <w:rPr>
          <w:rFonts w:eastAsia="Calibri"/>
          <w:noProof/>
        </w:rPr>
        <w:tab/>
        <w:t>SPECIAL CONDITIONS FOR THE ALLOCATION OF DAYS</w:t>
      </w:r>
    </w:p>
    <w:p>
      <w:pPr>
        <w:pStyle w:val="Point0"/>
        <w:rPr>
          <w:rFonts w:eastAsia="Calibri"/>
          <w:noProof/>
        </w:rPr>
      </w:pPr>
      <w:r>
        <w:rPr>
          <w:rFonts w:eastAsia="Calibri"/>
          <w:noProof/>
        </w:rPr>
        <w:t>6.1.</w:t>
      </w:r>
      <w:r>
        <w:rPr>
          <w:rFonts w:eastAsia="Calibri"/>
          <w:noProof/>
        </w:rPr>
        <w:tab/>
        <w:t>For the purposes of fixing the maximum number of days at sea a Union vessel may be authorised by its flag Member State to be present within the area, and the following special conditions shall apply in accordance with Table I:</w:t>
      </w:r>
    </w:p>
    <w:p>
      <w:pPr>
        <w:pStyle w:val="Point1"/>
        <w:rPr>
          <w:rFonts w:eastAsia="Calibri"/>
          <w:noProof/>
        </w:rPr>
      </w:pPr>
      <w:r>
        <w:rPr>
          <w:rFonts w:eastAsia="Calibri"/>
          <w:noProof/>
        </w:rPr>
        <w:t>(a)</w:t>
      </w:r>
      <w:r>
        <w:rPr>
          <w:rFonts w:eastAsia="Calibri"/>
          <w:noProof/>
        </w:rPr>
        <w:tab/>
        <w:t>the total landings of hake in each of the two calendar years 2013 and 2014 made by the vessel concerned shall represent less than 5 tonnes according to the landings in live weight; and</w:t>
      </w:r>
    </w:p>
    <w:p>
      <w:pPr>
        <w:pStyle w:val="Point1"/>
        <w:rPr>
          <w:rFonts w:eastAsia="Calibri"/>
          <w:noProof/>
        </w:rPr>
      </w:pPr>
      <w:r>
        <w:rPr>
          <w:rFonts w:eastAsia="Calibri"/>
          <w:noProof/>
        </w:rPr>
        <w:t>(b)</w:t>
      </w:r>
      <w:r>
        <w:rPr>
          <w:rFonts w:eastAsia="Calibri"/>
          <w:noProof/>
        </w:rPr>
        <w:tab/>
        <w:t>the total landings of Norway lobster in the years specified in point (a) above made by the vessel concerned shall represent less than 2,5 tonnes according to the landings in live weight.</w:t>
      </w:r>
    </w:p>
    <w:p>
      <w:pPr>
        <w:pStyle w:val="Point0"/>
        <w:rPr>
          <w:rFonts w:eastAsia="Calibri"/>
          <w:noProof/>
        </w:rPr>
      </w:pPr>
      <w:r>
        <w:rPr>
          <w:rFonts w:eastAsia="Calibri"/>
          <w:noProof/>
        </w:rPr>
        <w:t>6.2.</w:t>
      </w:r>
      <w:r>
        <w:rPr>
          <w:rFonts w:eastAsia="Calibri"/>
          <w:noProof/>
        </w:rPr>
        <w:tab/>
        <w:t>If a vessel benefits from an unlimited number of days as a result of its compliance with the special conditions, the vessel’s landings in the current management period shall not exceed 5 tonnes of the total landings in live weight of hake and 2,5 tonnes of the total landings in live weight of Norway lobster.</w:t>
      </w:r>
    </w:p>
    <w:p>
      <w:pPr>
        <w:pStyle w:val="Point0"/>
        <w:rPr>
          <w:rFonts w:eastAsia="Calibri"/>
          <w:noProof/>
        </w:rPr>
      </w:pPr>
      <w:r>
        <w:rPr>
          <w:rFonts w:eastAsia="Calibri"/>
          <w:noProof/>
        </w:rPr>
        <w:t>6.3.</w:t>
      </w:r>
      <w:r>
        <w:rPr>
          <w:rFonts w:eastAsia="Calibri"/>
          <w:noProof/>
        </w:rPr>
        <w:tab/>
        <w:t>When either of the special conditions is not met by a vessel, that vessel shall, with immediate effect, no longer be entitled to the allocation of days corresponding to the given special condition.</w:t>
      </w:r>
    </w:p>
    <w:p>
      <w:pPr>
        <w:pStyle w:val="Point0"/>
        <w:rPr>
          <w:rFonts w:eastAsia="Calibri"/>
          <w:noProof/>
        </w:rPr>
      </w:pPr>
      <w:r>
        <w:rPr>
          <w:rFonts w:eastAsia="Calibri"/>
          <w:noProof/>
        </w:rPr>
        <w:t>6.4.</w:t>
      </w:r>
      <w:r>
        <w:rPr>
          <w:rFonts w:eastAsia="Calibri"/>
          <w:noProof/>
        </w:rPr>
        <w:tab/>
        <w:t>The application of the special conditions referred to in point 6.1. may be transferred from one vessel to one or more other vessels which replace that vessel in the fleet, provided that the replacing vessel uses similar gear and does not have in any year of its operation a record of landings of hake and Norway lobster higher than the quantities specified in point 6.1.</w:t>
      </w:r>
    </w:p>
    <w:p>
      <w:pPr>
        <w:pStyle w:val="NormalCentered"/>
        <w:rPr>
          <w:rFonts w:eastAsia="Calibri"/>
          <w:noProof/>
        </w:rPr>
      </w:pPr>
      <w:r>
        <w:rPr>
          <w:rFonts w:eastAsia="Calibri"/>
          <w:noProof/>
        </w:rPr>
        <w:br w:type="page"/>
      </w:r>
      <w:r>
        <w:rPr>
          <w:rFonts w:eastAsia="Calibri"/>
          <w:noProof/>
        </w:rPr>
        <w:lastRenderedPageBreak/>
        <w:t>Table I</w:t>
      </w:r>
      <w:r>
        <w:rPr>
          <w:rFonts w:eastAsia="Calibri"/>
          <w:noProof/>
        </w:rPr>
        <w:br/>
        <w:t>Maximum number of days a vessel may be present within the area by fishing gear per year</w:t>
      </w:r>
    </w:p>
    <w:tbl>
      <w:tblPr>
        <w:tblW w:w="0" w:type="auto"/>
        <w:tblLook w:val="0000" w:firstRow="0" w:lastRow="0" w:firstColumn="0" w:lastColumn="0" w:noHBand="0" w:noVBand="0"/>
      </w:tblPr>
      <w:tblGrid>
        <w:gridCol w:w="1951"/>
        <w:gridCol w:w="5103"/>
        <w:gridCol w:w="1400"/>
        <w:gridCol w:w="1400"/>
      </w:tblGrid>
      <w:tr>
        <w:tc>
          <w:tcPr>
            <w:tcW w:w="1951" w:type="dxa"/>
            <w:tcBorders>
              <w:top w:val="single" w:sz="2" w:space="0" w:color="000000"/>
              <w:left w:val="single" w:sz="4" w:space="0" w:color="000000"/>
              <w:bottom w:val="single" w:sz="2" w:space="0" w:color="000000"/>
            </w:tcBorders>
            <w:shd w:val="clear" w:color="auto" w:fill="auto"/>
            <w:vAlign w:val="center"/>
          </w:tcPr>
          <w:p>
            <w:pPr>
              <w:spacing w:before="60" w:after="60"/>
              <w:jc w:val="center"/>
              <w:rPr>
                <w:rFonts w:eastAsia="Calibri"/>
                <w:noProof/>
              </w:rPr>
            </w:pPr>
            <w:r>
              <w:rPr>
                <w:rFonts w:eastAsia="Calibri"/>
                <w:noProof/>
              </w:rPr>
              <w:t>Special condition</w:t>
            </w:r>
          </w:p>
        </w:tc>
        <w:tc>
          <w:tcPr>
            <w:tcW w:w="5103" w:type="dxa"/>
            <w:tcBorders>
              <w:top w:val="single" w:sz="2" w:space="0" w:color="000000"/>
              <w:left w:val="single" w:sz="2" w:space="0" w:color="000000"/>
              <w:bottom w:val="single" w:sz="2" w:space="0" w:color="000000"/>
            </w:tcBorders>
            <w:shd w:val="clear" w:color="auto" w:fill="auto"/>
            <w:vAlign w:val="center"/>
          </w:tcPr>
          <w:p>
            <w:pPr>
              <w:spacing w:before="60" w:after="60"/>
              <w:jc w:val="center"/>
              <w:rPr>
                <w:rFonts w:eastAsia="Calibri"/>
                <w:noProof/>
              </w:rPr>
            </w:pPr>
            <w:r>
              <w:rPr>
                <w:rFonts w:eastAsia="Calibri"/>
                <w:noProof/>
              </w:rPr>
              <w:t>Regulated gear</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Maximum number of days</w:t>
            </w:r>
          </w:p>
        </w:tc>
      </w:tr>
      <w:tr>
        <w:trPr>
          <w:trHeight w:val="365"/>
        </w:trPr>
        <w:tc>
          <w:tcPr>
            <w:tcW w:w="1951" w:type="dxa"/>
            <w:vMerge w:val="restart"/>
            <w:tcBorders>
              <w:top w:val="single" w:sz="2" w:space="0" w:color="000000"/>
              <w:left w:val="single" w:sz="4" w:space="0" w:color="000000"/>
            </w:tcBorders>
            <w:shd w:val="clear" w:color="auto" w:fill="auto"/>
          </w:tcPr>
          <w:p>
            <w:pPr>
              <w:spacing w:before="60" w:after="60"/>
              <w:rPr>
                <w:rFonts w:eastAsia="Calibri"/>
                <w:noProof/>
              </w:rPr>
            </w:pPr>
          </w:p>
        </w:tc>
        <w:tc>
          <w:tcPr>
            <w:tcW w:w="5103" w:type="dxa"/>
            <w:vMerge w:val="restart"/>
            <w:tcBorders>
              <w:top w:val="single" w:sz="2" w:space="0" w:color="000000"/>
              <w:left w:val="single" w:sz="2" w:space="0" w:color="000000"/>
            </w:tcBorders>
            <w:shd w:val="clear" w:color="auto" w:fill="auto"/>
          </w:tcPr>
          <w:p>
            <w:pPr>
              <w:spacing w:before="60" w:after="60"/>
              <w:rPr>
                <w:rFonts w:eastAsia="Calibri"/>
                <w:noProof/>
              </w:rPr>
            </w:pPr>
            <w:r>
              <w:rPr>
                <w:rFonts w:eastAsia="Calibri"/>
                <w:noProof/>
              </w:rPr>
              <w:t>Bottom trawls, Danish seines and similar trawls of mesh size ≥32 mm, gill</w:t>
            </w:r>
            <w:r>
              <w:rPr>
                <w:rFonts w:eastAsia="Calibri"/>
                <w:noProof/>
              </w:rPr>
              <w:noBreakHyphen/>
              <w:t>nets of mesh size ≥60 mm and bottom longlines</w:t>
            </w: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rFonts w:eastAsia="Calibri"/>
                <w:noProof/>
              </w:rPr>
              <w:t>ES</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rFonts w:eastAsia="Calibri"/>
                <w:noProof/>
              </w:rPr>
              <w:t>117</w:t>
            </w:r>
          </w:p>
        </w:tc>
      </w:tr>
      <w:tr>
        <w:trPr>
          <w:trHeight w:val="365"/>
        </w:trPr>
        <w:tc>
          <w:tcPr>
            <w:tcW w:w="1951" w:type="dxa"/>
            <w:vMerge/>
            <w:tcBorders>
              <w:left w:val="single" w:sz="4" w:space="0" w:color="000000"/>
            </w:tcBorders>
            <w:shd w:val="clear" w:color="auto" w:fill="auto"/>
          </w:tcPr>
          <w:p>
            <w:pPr>
              <w:spacing w:before="60" w:after="60"/>
              <w:rPr>
                <w:rFonts w:eastAsia="Calibri"/>
                <w:noProof/>
              </w:rPr>
            </w:pPr>
          </w:p>
        </w:tc>
        <w:tc>
          <w:tcPr>
            <w:tcW w:w="5103" w:type="dxa"/>
            <w:vMerge/>
            <w:tcBorders>
              <w:left w:val="single" w:sz="2" w:space="0" w:color="000000"/>
            </w:tcBorders>
            <w:shd w:val="clear" w:color="auto" w:fill="auto"/>
          </w:tcPr>
          <w:p>
            <w:pPr>
              <w:spacing w:before="60" w:after="60"/>
              <w:rPr>
                <w:rFonts w:eastAsia="Calibri"/>
                <w:noProof/>
              </w:rPr>
            </w:pP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rFonts w:eastAsia="Calibri"/>
                <w:noProof/>
              </w:rPr>
              <w:t>FR</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rFonts w:eastAsia="Calibri"/>
                <w:noProof/>
              </w:rPr>
              <w:t>109</w:t>
            </w:r>
          </w:p>
        </w:tc>
      </w:tr>
      <w:tr>
        <w:trPr>
          <w:trHeight w:val="365"/>
        </w:trPr>
        <w:tc>
          <w:tcPr>
            <w:tcW w:w="1951" w:type="dxa"/>
            <w:vMerge/>
            <w:tcBorders>
              <w:left w:val="single" w:sz="4" w:space="0" w:color="000000"/>
              <w:bottom w:val="single" w:sz="2" w:space="0" w:color="000000"/>
            </w:tcBorders>
            <w:shd w:val="clear" w:color="auto" w:fill="auto"/>
          </w:tcPr>
          <w:p>
            <w:pPr>
              <w:spacing w:before="60" w:after="60"/>
              <w:rPr>
                <w:rFonts w:eastAsia="Calibri"/>
                <w:noProof/>
              </w:rPr>
            </w:pPr>
          </w:p>
        </w:tc>
        <w:tc>
          <w:tcPr>
            <w:tcW w:w="5103" w:type="dxa"/>
            <w:vMerge/>
            <w:tcBorders>
              <w:left w:val="single" w:sz="2" w:space="0" w:color="000000"/>
              <w:bottom w:val="single" w:sz="2" w:space="0" w:color="000000"/>
            </w:tcBorders>
            <w:shd w:val="clear" w:color="auto" w:fill="auto"/>
          </w:tcPr>
          <w:p>
            <w:pPr>
              <w:spacing w:before="60" w:after="60"/>
              <w:rPr>
                <w:rFonts w:eastAsia="Calibri"/>
                <w:noProof/>
              </w:rPr>
            </w:pPr>
          </w:p>
        </w:tc>
        <w:tc>
          <w:tcPr>
            <w:tcW w:w="1400" w:type="dxa"/>
            <w:tcBorders>
              <w:top w:val="single" w:sz="2" w:space="0" w:color="000000"/>
              <w:left w:val="single" w:sz="2" w:space="0" w:color="000000"/>
              <w:bottom w:val="single" w:sz="2" w:space="0" w:color="000000"/>
            </w:tcBorders>
            <w:shd w:val="clear" w:color="auto" w:fill="auto"/>
          </w:tcPr>
          <w:p>
            <w:pPr>
              <w:spacing w:before="60" w:after="60"/>
              <w:jc w:val="center"/>
              <w:rPr>
                <w:rFonts w:eastAsia="Calibri"/>
                <w:noProof/>
              </w:rPr>
            </w:pPr>
            <w:r>
              <w:rPr>
                <w:rFonts w:eastAsia="Calibri"/>
                <w:noProof/>
              </w:rPr>
              <w:t>PT</w:t>
            </w:r>
          </w:p>
        </w:tc>
        <w:tc>
          <w:tcPr>
            <w:tcW w:w="1400" w:type="dxa"/>
            <w:tcBorders>
              <w:top w:val="single" w:sz="2" w:space="0" w:color="000000"/>
              <w:left w:val="single" w:sz="2" w:space="0" w:color="000000"/>
              <w:bottom w:val="single" w:sz="2" w:space="0" w:color="000000"/>
              <w:right w:val="single" w:sz="4" w:space="0" w:color="000000"/>
            </w:tcBorders>
            <w:shd w:val="clear" w:color="auto" w:fill="auto"/>
          </w:tcPr>
          <w:p>
            <w:pPr>
              <w:spacing w:before="60" w:after="60"/>
              <w:jc w:val="center"/>
              <w:rPr>
                <w:rFonts w:eastAsia="Calibri"/>
                <w:noProof/>
              </w:rPr>
            </w:pPr>
            <w:r>
              <w:rPr>
                <w:rFonts w:eastAsia="Calibri"/>
                <w:noProof/>
              </w:rPr>
              <w:t>113</w:t>
            </w:r>
          </w:p>
        </w:tc>
      </w:tr>
      <w:tr>
        <w:tc>
          <w:tcPr>
            <w:tcW w:w="1951" w:type="dxa"/>
            <w:tcBorders>
              <w:top w:val="single" w:sz="2" w:space="0" w:color="000000"/>
              <w:left w:val="single" w:sz="4" w:space="0" w:color="000000"/>
              <w:bottom w:val="single" w:sz="2" w:space="0" w:color="000000"/>
            </w:tcBorders>
            <w:shd w:val="clear" w:color="auto" w:fill="auto"/>
          </w:tcPr>
          <w:p>
            <w:pPr>
              <w:spacing w:before="60" w:after="60"/>
              <w:rPr>
                <w:rFonts w:eastAsia="Calibri"/>
                <w:noProof/>
              </w:rPr>
            </w:pPr>
            <w:r>
              <w:rPr>
                <w:rFonts w:eastAsia="Calibri"/>
                <w:noProof/>
              </w:rPr>
              <w:t>6.1.(a) and 6.1.(b)</w:t>
            </w:r>
          </w:p>
        </w:tc>
        <w:tc>
          <w:tcPr>
            <w:tcW w:w="5103" w:type="dxa"/>
            <w:tcBorders>
              <w:top w:val="single" w:sz="2" w:space="0" w:color="000000"/>
              <w:left w:val="single" w:sz="2" w:space="0" w:color="000000"/>
              <w:bottom w:val="single" w:sz="2" w:space="0" w:color="000000"/>
            </w:tcBorders>
            <w:shd w:val="clear" w:color="auto" w:fill="auto"/>
          </w:tcPr>
          <w:p>
            <w:pPr>
              <w:spacing w:before="60" w:after="60"/>
              <w:rPr>
                <w:rFonts w:eastAsia="Calibri"/>
                <w:noProof/>
              </w:rPr>
            </w:pPr>
            <w:r>
              <w:rPr>
                <w:rFonts w:eastAsia="Calibri"/>
                <w:noProof/>
              </w:rPr>
              <w:t>Bottom trawls, Danish seines and similar trawls of mesh size ≥32 mm, gill</w:t>
            </w:r>
            <w:r>
              <w:rPr>
                <w:rFonts w:eastAsia="Calibri"/>
                <w:noProof/>
              </w:rPr>
              <w:noBreakHyphen/>
              <w:t>nets of mesh size ≥60 mm and bottom longlines</w:t>
            </w:r>
          </w:p>
        </w:tc>
        <w:tc>
          <w:tcPr>
            <w:tcW w:w="2800" w:type="dxa"/>
            <w:gridSpan w:val="2"/>
            <w:tcBorders>
              <w:top w:val="single" w:sz="2" w:space="0" w:color="000000"/>
              <w:left w:val="single" w:sz="2" w:space="0" w:color="000000"/>
              <w:bottom w:val="single" w:sz="2"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Unlimited</w:t>
            </w:r>
          </w:p>
        </w:tc>
      </w:tr>
    </w:tbl>
    <w:p>
      <w:pPr>
        <w:rPr>
          <w:rFonts w:eastAsia="Calibri"/>
          <w:noProof/>
        </w:rPr>
      </w:pPr>
    </w:p>
    <w:p>
      <w:pPr>
        <w:pStyle w:val="Point0"/>
        <w:rPr>
          <w:rFonts w:eastAsia="Calibri"/>
          <w:noProof/>
        </w:rPr>
      </w:pPr>
      <w:r>
        <w:rPr>
          <w:rFonts w:eastAsia="Calibri"/>
          <w:noProof/>
        </w:rPr>
        <w:t>7.</w:t>
      </w:r>
      <w:r>
        <w:rPr>
          <w:rFonts w:eastAsia="Calibri"/>
          <w:noProof/>
        </w:rPr>
        <w:tab/>
        <w:t>KILOWATT DAY SYSTEM</w:t>
      </w:r>
    </w:p>
    <w:p>
      <w:pPr>
        <w:pStyle w:val="Point0"/>
        <w:rPr>
          <w:rFonts w:eastAsia="Calibri"/>
          <w:noProof/>
        </w:rPr>
      </w:pPr>
      <w:r>
        <w:rPr>
          <w:rFonts w:eastAsia="Calibri"/>
          <w:noProof/>
        </w:rPr>
        <w:t>7.1.</w:t>
      </w:r>
      <w:r>
        <w:rPr>
          <w:rFonts w:eastAsia="Calibri"/>
          <w:noProof/>
        </w:rPr>
        <w:tab/>
        <w:t>A Member State may manage its fishing effort allocations in accordance with a kilowatt days system. Through that system it may authorise any vessel concerned by any regulated gear and special conditions as set out in Table I to be present within the area for a maximum number of days which is different from that set out in that Table, provided that the overall amount of kilowatt days corresponding to the regulated gear and to the special conditions is respected.</w:t>
      </w:r>
    </w:p>
    <w:p>
      <w:pPr>
        <w:pStyle w:val="Point0"/>
        <w:rPr>
          <w:rFonts w:eastAsia="Calibri"/>
          <w:noProof/>
        </w:rPr>
      </w:pPr>
      <w:r>
        <w:rPr>
          <w:rFonts w:eastAsia="Calibri"/>
          <w:noProof/>
        </w:rPr>
        <w:t>7.2.</w:t>
      </w:r>
      <w:r>
        <w:rPr>
          <w:rFonts w:eastAsia="Calibri"/>
          <w:noProof/>
        </w:rPr>
        <w:tab/>
        <w:t>This overall amount of kilowatt days shall be the sum of all individual fishing efforts allocated to the vessels flying the flag of that Member State and qualified for the regulated gear and, where applicable, the special conditions. Such individual fishing efforts shall be calculated in kilowatt days by multiplying the engine power of each vessel by the number of days at sea it would benefit from, according to Table I, if point 7.1. were not applied. For as long as the number of days is unlimited according to Table I, the relevant number of days the vessel would benefit from is 360.</w:t>
      </w:r>
    </w:p>
    <w:p>
      <w:pPr>
        <w:pStyle w:val="Point0"/>
        <w:rPr>
          <w:rFonts w:eastAsia="Calibri"/>
          <w:noProof/>
        </w:rPr>
      </w:pPr>
      <w:r>
        <w:rPr>
          <w:rFonts w:eastAsia="Calibri"/>
          <w:noProof/>
        </w:rPr>
        <w:t>7.3.</w:t>
      </w:r>
      <w:r>
        <w:rPr>
          <w:rFonts w:eastAsia="Calibri"/>
          <w:noProof/>
        </w:rPr>
        <w:tab/>
        <w:t>A Member State wishing to benefit from the system referred to in point 7.1. shall submit a request to the Commission, for the regulated gear and special conditions as laid down in Table I, with reports in electronic format containing the details of the calculation based on:</w:t>
      </w:r>
    </w:p>
    <w:p>
      <w:pPr>
        <w:pStyle w:val="Point1"/>
        <w:rPr>
          <w:rFonts w:eastAsia="Calibri"/>
          <w:noProof/>
        </w:rPr>
      </w:pPr>
      <w:r>
        <w:rPr>
          <w:rFonts w:eastAsia="Calibri"/>
          <w:noProof/>
        </w:rPr>
        <w:t>(a)</w:t>
      </w:r>
      <w:r>
        <w:rPr>
          <w:rFonts w:eastAsia="Calibri"/>
          <w:noProof/>
        </w:rPr>
        <w:tab/>
        <w:t>the list of vessels authorised to fish by indicating their Union fishing fleet register number (CFR) and their engine power;</w:t>
      </w:r>
    </w:p>
    <w:p>
      <w:pPr>
        <w:pStyle w:val="Point1"/>
        <w:rPr>
          <w:rFonts w:eastAsia="Calibri"/>
          <w:noProof/>
        </w:rPr>
      </w:pPr>
      <w:r>
        <w:rPr>
          <w:rFonts w:eastAsia="Calibri"/>
          <w:noProof/>
        </w:rPr>
        <w:t>(b)</w:t>
      </w:r>
      <w:r>
        <w:rPr>
          <w:rFonts w:eastAsia="Calibri"/>
          <w:noProof/>
        </w:rPr>
        <w:tab/>
        <w:t>the track record of the years specified in point 6.1.(a) for such vessels reflecting the catch composition defined in the special condition referred to in point 6.1.(a) or (b), if these vessels are qualified for such special conditions;</w:t>
      </w:r>
    </w:p>
    <w:p>
      <w:pPr>
        <w:pStyle w:val="Point1"/>
        <w:rPr>
          <w:rFonts w:eastAsia="Calibri"/>
          <w:noProof/>
        </w:rPr>
      </w:pPr>
      <w:r>
        <w:rPr>
          <w:rFonts w:eastAsia="Calibri"/>
          <w:noProof/>
        </w:rPr>
        <w:t>(c)</w:t>
      </w:r>
      <w:r>
        <w:rPr>
          <w:rFonts w:eastAsia="Calibri"/>
          <w:noProof/>
        </w:rPr>
        <w:tab/>
        <w:t>the number of days at sea for which each vessel would have initially been authorised to fish according to Table I and the number of days at sea which each vessel would benefit from in application of point 7.1.</w:t>
      </w:r>
    </w:p>
    <w:p>
      <w:pPr>
        <w:pStyle w:val="Point0"/>
        <w:rPr>
          <w:rFonts w:eastAsia="Calibri"/>
          <w:noProof/>
        </w:rPr>
      </w:pPr>
      <w:r>
        <w:rPr>
          <w:rFonts w:eastAsia="Calibri"/>
          <w:noProof/>
        </w:rPr>
        <w:t>7.4.</w:t>
      </w:r>
      <w:r>
        <w:rPr>
          <w:rFonts w:eastAsia="Calibri"/>
          <w:noProof/>
        </w:rPr>
        <w:tab/>
        <w:t>On the basis of that request, the Commission shall assess whether the conditions referred to in point 7 are complied with and, where applicable, may authorise that Member State to benefit from the system referred to in point 7.1.</w:t>
      </w:r>
    </w:p>
    <w:p>
      <w:pPr>
        <w:pStyle w:val="Point0"/>
        <w:rPr>
          <w:rFonts w:eastAsia="Calibri"/>
          <w:noProof/>
        </w:rPr>
      </w:pPr>
      <w:r>
        <w:rPr>
          <w:rFonts w:eastAsia="Calibri"/>
          <w:noProof/>
        </w:rPr>
        <w:t>8.</w:t>
      </w:r>
      <w:r>
        <w:rPr>
          <w:rFonts w:eastAsia="Calibri"/>
          <w:noProof/>
        </w:rPr>
        <w:tab/>
        <w:t>ALLOCATION OF ADDITIONAL DAYS FOR PERMANENT CESSATION OF FISHING ACTIVITIES</w:t>
      </w:r>
    </w:p>
    <w:p>
      <w:pPr>
        <w:pStyle w:val="Point0"/>
        <w:rPr>
          <w:rFonts w:eastAsia="Calibri"/>
          <w:noProof/>
        </w:rPr>
      </w:pPr>
      <w:r>
        <w:rPr>
          <w:rFonts w:eastAsia="Calibri"/>
          <w:noProof/>
        </w:rPr>
        <w:t>8.1.</w:t>
      </w:r>
      <w:r>
        <w:rPr>
          <w:rFonts w:eastAsia="Calibri"/>
          <w:noProof/>
        </w:rPr>
        <w:tab/>
        <w:t xml:space="preserve">An additional number of days at sea on which a vessel may be authorised by its flag Member State to be present within the area when carrying on board any regulated gear may </w:t>
      </w:r>
      <w:r>
        <w:rPr>
          <w:rFonts w:eastAsia="Calibri"/>
          <w:noProof/>
        </w:rPr>
        <w:lastRenderedPageBreak/>
        <w:t>be allocated to a Member State by the Commission on the basis of permanent cessations of fishing activities that have taken place during the preceding management period, either in accordance with Article 23 of Council Regulation (EC) No 1198/2006</w:t>
      </w:r>
      <w:r>
        <w:rPr>
          <w:rStyle w:val="FootnoteReference"/>
          <w:rFonts w:eastAsia="Calibri"/>
          <w:noProof/>
        </w:rPr>
        <w:footnoteReference w:id="2"/>
      </w:r>
      <w:r>
        <w:rPr>
          <w:rFonts w:eastAsia="Calibri"/>
          <w:noProof/>
        </w:rPr>
        <w:t xml:space="preserve"> or Council Regulation (EC) No 744/2008</w:t>
      </w:r>
      <w:r>
        <w:rPr>
          <w:rStyle w:val="FootnoteReference"/>
          <w:rFonts w:eastAsia="Calibri"/>
          <w:noProof/>
        </w:rPr>
        <w:footnoteReference w:id="3"/>
      </w:r>
      <w:r>
        <w:rPr>
          <w:rFonts w:eastAsia="Calibri"/>
          <w:noProof/>
        </w:rPr>
        <w:t>. Permanent cessations resulting from any other circumstances may be considered by the Commission on a case</w:t>
      </w:r>
      <w:r>
        <w:rPr>
          <w:rFonts w:eastAsia="Calibri"/>
          <w:noProof/>
        </w:rPr>
        <w:noBreakHyphen/>
        <w:t>by</w:t>
      </w:r>
      <w:r>
        <w:rPr>
          <w:rFonts w:eastAsia="Calibri"/>
          <w:noProof/>
        </w:rPr>
        <w:noBreakHyphen/>
        <w:t>case basis, following a written and duly motivated request from the Member State concerned. Such written request shall identify the vessels concerned and confirm, for each of them, that they shall never return to fishing activities.</w:t>
      </w:r>
    </w:p>
    <w:p>
      <w:pPr>
        <w:pStyle w:val="Point0"/>
        <w:rPr>
          <w:rFonts w:eastAsia="Calibri"/>
          <w:noProof/>
        </w:rPr>
      </w:pPr>
      <w:r>
        <w:rPr>
          <w:rFonts w:eastAsia="Calibri"/>
          <w:noProof/>
        </w:rPr>
        <w:t>8.2.</w:t>
      </w:r>
      <w:r>
        <w:rPr>
          <w:rFonts w:eastAsia="Calibri"/>
          <w:noProof/>
        </w:rPr>
        <w:tab/>
        <w:t>The effort expended in 2003 measured in kilowatt days of the withdrawn vessels using the regulated gear shall be divided by the effort expended by all vessels using that gear during 2003. The additional number of days at sea shall be then calculated by multiplying the ratio so obtained by the number of days that would have been allocated according to Table I. Any part of a day resulting from that calculation shall be rounded to the nearest whole day.</w:t>
      </w:r>
    </w:p>
    <w:p>
      <w:pPr>
        <w:pStyle w:val="Point0"/>
        <w:rPr>
          <w:rFonts w:eastAsia="Calibri"/>
          <w:noProof/>
        </w:rPr>
      </w:pPr>
      <w:r>
        <w:rPr>
          <w:rFonts w:eastAsia="Calibri"/>
          <w:noProof/>
        </w:rPr>
        <w:t>8.3.</w:t>
      </w:r>
      <w:r>
        <w:rPr>
          <w:rFonts w:eastAsia="Calibri"/>
          <w:noProof/>
        </w:rPr>
        <w:tab/>
        <w:t>Points 8.1. and 8.2. shall not apply where a vessel has been replaced in accordance with point 3 or 6.4., or when the withdrawal has already been used in previous years to obtain additional days at sea.</w:t>
      </w:r>
    </w:p>
    <w:p>
      <w:pPr>
        <w:pStyle w:val="Point0"/>
        <w:rPr>
          <w:rFonts w:eastAsia="Calibri"/>
          <w:noProof/>
        </w:rPr>
      </w:pPr>
      <w:r>
        <w:rPr>
          <w:rFonts w:eastAsia="Calibri"/>
          <w:noProof/>
        </w:rPr>
        <w:t>8.4.</w:t>
      </w:r>
      <w:r>
        <w:rPr>
          <w:rFonts w:eastAsia="Calibri"/>
          <w:noProof/>
        </w:rPr>
        <w:tab/>
        <w:t>A Member State wishing to benefit from the allocations referred to in point 8.1. shall submit a request to the Commission, by 15 June of the current management period, with reports in electronic format containing, for the gear grouping and special conditions as laid down in Table I, the details of the calculation based on:</w:t>
      </w:r>
    </w:p>
    <w:p>
      <w:pPr>
        <w:pStyle w:val="Point1"/>
        <w:rPr>
          <w:rFonts w:eastAsia="Calibri"/>
          <w:noProof/>
        </w:rPr>
      </w:pPr>
      <w:r>
        <w:rPr>
          <w:rFonts w:eastAsia="Calibri"/>
          <w:noProof/>
        </w:rPr>
        <w:t>(a)</w:t>
      </w:r>
      <w:r>
        <w:rPr>
          <w:rFonts w:eastAsia="Calibri"/>
          <w:noProof/>
        </w:rPr>
        <w:tab/>
        <w:t>lists of withdrawn vessels with their Union fishing fleet register number (CFR) and their engine power;</w:t>
      </w:r>
    </w:p>
    <w:p>
      <w:pPr>
        <w:pStyle w:val="Point1"/>
        <w:rPr>
          <w:rFonts w:eastAsia="Calibri"/>
          <w:noProof/>
        </w:rPr>
      </w:pPr>
      <w:r>
        <w:rPr>
          <w:rFonts w:eastAsia="Calibri"/>
          <w:noProof/>
        </w:rPr>
        <w:t>(b)</w:t>
      </w:r>
      <w:r>
        <w:rPr>
          <w:rFonts w:eastAsia="Calibri"/>
          <w:noProof/>
        </w:rPr>
        <w:tab/>
        <w:t>the fishing activity deployed by such vessels in 2003 calculated in days at sea according to the grouping of fishing gears and, if necessary, special conditions.</w:t>
      </w:r>
    </w:p>
    <w:p>
      <w:pPr>
        <w:pStyle w:val="Point0"/>
        <w:rPr>
          <w:rFonts w:eastAsia="Calibri"/>
          <w:noProof/>
        </w:rPr>
      </w:pPr>
      <w:r>
        <w:rPr>
          <w:rFonts w:eastAsia="Calibri"/>
          <w:noProof/>
        </w:rPr>
        <w:t>8.5.</w:t>
      </w:r>
      <w:r>
        <w:rPr>
          <w:rFonts w:eastAsia="Calibri"/>
          <w:noProof/>
        </w:rPr>
        <w:tab/>
        <w:t>On the basis of such a request by a Member State the Commission may, by means of implementing acts, allocate that Member State a number of days additional to that referred to in point 5.1. for that Member State. Those implementing acts shall be adopted in accordance with the examination procedure referred to in Article 42(2).</w:t>
      </w:r>
    </w:p>
    <w:p>
      <w:pPr>
        <w:pStyle w:val="Point0"/>
        <w:rPr>
          <w:rFonts w:eastAsia="Calibri"/>
          <w:noProof/>
        </w:rPr>
      </w:pPr>
      <w:r>
        <w:rPr>
          <w:rFonts w:eastAsia="Calibri"/>
          <w:noProof/>
        </w:rPr>
        <w:t>8.6.</w:t>
      </w:r>
      <w:r>
        <w:rPr>
          <w:rFonts w:eastAsia="Calibri"/>
          <w:noProof/>
        </w:rPr>
        <w:tab/>
        <w:t>During the current management period, a Member State may re</w:t>
      </w:r>
      <w:r>
        <w:rPr>
          <w:rFonts w:eastAsia="Calibri"/>
          <w:noProof/>
        </w:rPr>
        <w:noBreakHyphen/>
        <w:t>allocate those additional days at sea to all or part of the vessels remaining in fleet and qualified for the regulated gears. Additional days stemming from a withdrawn vessel that benefited from a special condition referred to in point 6.1.(a) or (b) may not be allocated to a vessel remaining active that does not benefit from a special condition.</w:t>
      </w:r>
    </w:p>
    <w:p>
      <w:pPr>
        <w:pStyle w:val="Point0"/>
        <w:rPr>
          <w:rFonts w:eastAsia="Calibri"/>
          <w:noProof/>
        </w:rPr>
      </w:pPr>
      <w:r>
        <w:rPr>
          <w:rFonts w:eastAsia="Calibri"/>
          <w:noProof/>
        </w:rPr>
        <w:t>8.7.</w:t>
      </w:r>
      <w:r>
        <w:rPr>
          <w:rFonts w:eastAsia="Calibri"/>
          <w:noProof/>
        </w:rPr>
        <w:tab/>
        <w:t>When the Commission allocates additional days at sea due to a permanent cessation of fishing activities during the preceding management period, the maximum number of days per Member State and gear shown in Table I shall be adjusted accordingly for the current management period.</w:t>
      </w:r>
    </w:p>
    <w:p>
      <w:pPr>
        <w:pStyle w:val="Point0"/>
        <w:rPr>
          <w:rFonts w:eastAsia="Calibri"/>
          <w:noProof/>
        </w:rPr>
      </w:pPr>
      <w:r>
        <w:rPr>
          <w:rFonts w:eastAsia="Calibri"/>
          <w:noProof/>
        </w:rPr>
        <w:t>9.</w:t>
      </w:r>
      <w:r>
        <w:rPr>
          <w:rFonts w:eastAsia="Calibri"/>
          <w:noProof/>
        </w:rPr>
        <w:tab/>
        <w:t>ALLOCATION OF ADDITIONAL DAYS FOR ENHANCED SCIENTIFIC OBSERVER COVERAGE</w:t>
      </w:r>
    </w:p>
    <w:p>
      <w:pPr>
        <w:pStyle w:val="Point0"/>
        <w:rPr>
          <w:rFonts w:eastAsia="Calibri"/>
          <w:noProof/>
        </w:rPr>
      </w:pPr>
      <w:r>
        <w:rPr>
          <w:rFonts w:eastAsia="Calibri"/>
          <w:noProof/>
        </w:rPr>
        <w:lastRenderedPageBreak/>
        <w:t>9.1.</w:t>
      </w:r>
      <w:r>
        <w:rPr>
          <w:rFonts w:eastAsia="Calibri"/>
          <w:noProof/>
        </w:rPr>
        <w:tab/>
        <w:t>Three additional days on which a vessel may be present within the area when carrying on board any regulated gear may be allocated to a Member State by the Commission on the basis of an enhanced programme of scientific observer coverage in partnership between scientists and the fishing industry. Such a programme shall focus in particular on levels of discarding and on catch composition and shall go beyond the requirements on data collection, as laid down in Regulation (EC) No 199/2008</w:t>
      </w:r>
      <w:r>
        <w:rPr>
          <w:rStyle w:val="FootnoteReference"/>
          <w:rFonts w:eastAsia="Calibri"/>
          <w:noProof/>
        </w:rPr>
        <w:footnoteReference w:id="4"/>
      </w:r>
      <w:r>
        <w:rPr>
          <w:rFonts w:eastAsia="Calibri"/>
          <w:noProof/>
        </w:rPr>
        <w:t xml:space="preserve"> and its implementing rules for national programmes.</w:t>
      </w:r>
    </w:p>
    <w:p>
      <w:pPr>
        <w:pStyle w:val="Point0"/>
        <w:rPr>
          <w:rFonts w:eastAsia="Calibri"/>
          <w:noProof/>
        </w:rPr>
      </w:pPr>
      <w:r>
        <w:rPr>
          <w:rFonts w:eastAsia="Calibri"/>
          <w:noProof/>
        </w:rPr>
        <w:t>9.2.</w:t>
      </w:r>
      <w:r>
        <w:rPr>
          <w:rFonts w:eastAsia="Calibri"/>
          <w:noProof/>
        </w:rPr>
        <w:tab/>
        <w:t>Scientific observers shall be independent from the owner, the master of the vessel and any crew member.</w:t>
      </w:r>
    </w:p>
    <w:p>
      <w:pPr>
        <w:pStyle w:val="Point0"/>
        <w:rPr>
          <w:rFonts w:eastAsia="Calibri"/>
          <w:noProof/>
        </w:rPr>
      </w:pPr>
      <w:r>
        <w:rPr>
          <w:rFonts w:eastAsia="Calibri"/>
          <w:noProof/>
        </w:rPr>
        <w:t>9.3.</w:t>
      </w:r>
      <w:r>
        <w:rPr>
          <w:rFonts w:eastAsia="Calibri"/>
          <w:noProof/>
        </w:rPr>
        <w:tab/>
        <w:t>A Member State wishing to benefit from the allocations referred to in point 9.1. shall submit a description of its enhanced scientific observer coverage programme to the Commission for approval.</w:t>
      </w:r>
    </w:p>
    <w:p>
      <w:pPr>
        <w:pStyle w:val="Point0"/>
        <w:rPr>
          <w:rFonts w:eastAsia="Calibri"/>
          <w:noProof/>
        </w:rPr>
      </w:pPr>
      <w:r>
        <w:rPr>
          <w:rFonts w:eastAsia="Calibri"/>
          <w:noProof/>
        </w:rPr>
        <w:t>9.4.</w:t>
      </w:r>
      <w:r>
        <w:rPr>
          <w:rFonts w:eastAsia="Calibri"/>
          <w:noProof/>
        </w:rPr>
        <w:tab/>
        <w:t>On the basis of that description, and after consultation with STECF, the Commission may, by means of implementing acts, allocate the Member State concerned a number of days additional to that referred to in point 5.1. for that Member State and for the vessels, the area and gear concerned by the enhanced programme of scientific observers. Those implementing acts shall be adopted in accordance with the examination procedure referred to in Article 42(2).</w:t>
      </w:r>
    </w:p>
    <w:p>
      <w:pPr>
        <w:pStyle w:val="Point0"/>
        <w:rPr>
          <w:rFonts w:eastAsia="Calibri"/>
          <w:noProof/>
        </w:rPr>
      </w:pPr>
      <w:r>
        <w:rPr>
          <w:rFonts w:eastAsia="Calibri"/>
          <w:noProof/>
        </w:rPr>
        <w:t>9.5.</w:t>
      </w:r>
      <w:r>
        <w:rPr>
          <w:rFonts w:eastAsia="Calibri"/>
          <w:noProof/>
        </w:rPr>
        <w:tab/>
        <w:t>If an enhanced scientific observer coverage programme submitted by a Member State has been approved by the Commission in the past and the Member State concerned wishes to continue its application without changes, it shall inform the Commission of the continuation of that programme four weeks before the beginning of the period for which the programme applies.</w:t>
      </w:r>
    </w:p>
    <w:p>
      <w:pPr>
        <w:pStyle w:val="ChapterTitle"/>
        <w:rPr>
          <w:rFonts w:eastAsia="Calibri"/>
          <w:noProof/>
        </w:rPr>
      </w:pPr>
      <w:r>
        <w:rPr>
          <w:rFonts w:eastAsia="Calibri"/>
          <w:noProof/>
        </w:rPr>
        <w:t>Chapter IV</w:t>
      </w:r>
      <w:r>
        <w:rPr>
          <w:rFonts w:eastAsia="Calibri"/>
          <w:noProof/>
        </w:rPr>
        <w:br/>
        <w:t>Management</w:t>
      </w:r>
    </w:p>
    <w:p>
      <w:pPr>
        <w:pStyle w:val="Point0"/>
        <w:rPr>
          <w:rFonts w:eastAsia="Calibri"/>
          <w:noProof/>
        </w:rPr>
      </w:pPr>
      <w:r>
        <w:rPr>
          <w:rFonts w:eastAsia="Calibri"/>
          <w:noProof/>
        </w:rPr>
        <w:t>10.</w:t>
      </w:r>
      <w:r>
        <w:rPr>
          <w:rFonts w:eastAsia="Calibri"/>
          <w:noProof/>
        </w:rPr>
        <w:tab/>
        <w:t>GENERAL OBLIGATION</w:t>
      </w:r>
    </w:p>
    <w:p>
      <w:pPr>
        <w:pStyle w:val="Text1"/>
        <w:rPr>
          <w:rFonts w:eastAsia="Calibri"/>
          <w:noProof/>
        </w:rPr>
      </w:pPr>
      <w:r>
        <w:rPr>
          <w:rFonts w:eastAsia="Calibri"/>
          <w:noProof/>
        </w:rPr>
        <w:t>Member States shall manage the maximum allowable effort in accordance with the conditions laid down in Article 8 of Regulation (EC) No 2166/2005 and Articles 26 to 35 of Regulation (EC) No 1224/2009.</w:t>
      </w:r>
    </w:p>
    <w:p>
      <w:pPr>
        <w:pStyle w:val="Point0"/>
        <w:rPr>
          <w:rFonts w:eastAsia="Calibri"/>
          <w:noProof/>
        </w:rPr>
      </w:pPr>
      <w:r>
        <w:rPr>
          <w:rFonts w:eastAsia="Calibri"/>
          <w:noProof/>
        </w:rPr>
        <w:t>11.</w:t>
      </w:r>
      <w:r>
        <w:rPr>
          <w:rFonts w:eastAsia="Calibri"/>
          <w:noProof/>
        </w:rPr>
        <w:tab/>
        <w:t>MANAGEMENT PERIODS</w:t>
      </w:r>
    </w:p>
    <w:p>
      <w:pPr>
        <w:pStyle w:val="Point0"/>
        <w:rPr>
          <w:rFonts w:eastAsia="Calibri"/>
          <w:noProof/>
        </w:rPr>
      </w:pPr>
      <w:r>
        <w:rPr>
          <w:rFonts w:eastAsia="Calibri"/>
          <w:noProof/>
        </w:rPr>
        <w:t>11.1.</w:t>
      </w:r>
      <w:r>
        <w:rPr>
          <w:rFonts w:eastAsia="Calibri"/>
          <w:noProof/>
        </w:rPr>
        <w:tab/>
        <w:t>A Member State may divide the days present within the area set out in Table I into management periods of durations of one or more calendar months.</w:t>
      </w:r>
    </w:p>
    <w:p>
      <w:pPr>
        <w:pStyle w:val="Point0"/>
        <w:rPr>
          <w:rFonts w:eastAsia="Calibri"/>
          <w:noProof/>
        </w:rPr>
      </w:pPr>
      <w:r>
        <w:rPr>
          <w:rFonts w:eastAsia="Calibri"/>
          <w:noProof/>
        </w:rPr>
        <w:t>11.2.</w:t>
      </w:r>
      <w:r>
        <w:rPr>
          <w:rFonts w:eastAsia="Calibri"/>
          <w:noProof/>
        </w:rPr>
        <w:tab/>
        <w:t>The number of days or hours for which a vessel may be present within the area during a management period shall be fixed by the Member State concerned.</w:t>
      </w:r>
    </w:p>
    <w:p>
      <w:pPr>
        <w:pStyle w:val="Point0"/>
        <w:rPr>
          <w:rFonts w:eastAsia="Calibri"/>
          <w:noProof/>
        </w:rPr>
      </w:pPr>
      <w:r>
        <w:rPr>
          <w:rFonts w:eastAsia="Calibri"/>
          <w:noProof/>
        </w:rPr>
        <w:t>11.3.</w:t>
      </w:r>
      <w:r>
        <w:rPr>
          <w:rFonts w:eastAsia="Calibri"/>
          <w:noProof/>
        </w:rPr>
        <w:tab/>
        <w:t>Where a Member State authorises vessels flying its flag to be present within the area by hours, the Member State shall continue measuring the consumption of days as specified in point 10. Upon request by the Commission, the Member State shall demonstrate its precautionary measures taken to avoid an excessive consumption of days within the area due to a vessel terminating presences in the area before the end of a 24</w:t>
      </w:r>
      <w:r>
        <w:rPr>
          <w:rFonts w:eastAsia="Calibri"/>
          <w:noProof/>
        </w:rPr>
        <w:noBreakHyphen/>
        <w:t>hour period.</w:t>
      </w:r>
    </w:p>
    <w:p>
      <w:pPr>
        <w:pStyle w:val="ChapterTitle"/>
        <w:rPr>
          <w:rFonts w:eastAsia="Calibri"/>
          <w:noProof/>
        </w:rPr>
      </w:pPr>
      <w:r>
        <w:rPr>
          <w:rFonts w:eastAsia="Calibri"/>
          <w:noProof/>
        </w:rPr>
        <w:lastRenderedPageBreak/>
        <w:t>Chapter V</w:t>
      </w:r>
      <w:r>
        <w:rPr>
          <w:rFonts w:eastAsia="Calibri"/>
          <w:noProof/>
        </w:rPr>
        <w:br/>
        <w:t>Exchanges of fishing effort allocations</w:t>
      </w:r>
    </w:p>
    <w:p>
      <w:pPr>
        <w:pStyle w:val="Point0"/>
        <w:rPr>
          <w:rFonts w:eastAsia="Calibri"/>
          <w:noProof/>
        </w:rPr>
      </w:pPr>
      <w:r>
        <w:rPr>
          <w:rFonts w:eastAsia="Calibri"/>
          <w:noProof/>
        </w:rPr>
        <w:t>12.</w:t>
      </w:r>
      <w:r>
        <w:rPr>
          <w:rFonts w:eastAsia="Calibri"/>
          <w:noProof/>
        </w:rPr>
        <w:tab/>
        <w:t>TRANSFER OF DAYS BETWEEN FISHING VESSELS FLYING THE FLAG OF A MEMBER STATE</w:t>
      </w:r>
    </w:p>
    <w:p>
      <w:pPr>
        <w:pStyle w:val="Point0"/>
        <w:rPr>
          <w:rFonts w:eastAsia="Calibri"/>
          <w:noProof/>
        </w:rPr>
      </w:pPr>
      <w:r>
        <w:rPr>
          <w:rFonts w:eastAsia="Calibri"/>
          <w:noProof/>
        </w:rPr>
        <w:t>12.1.</w:t>
      </w:r>
      <w:r>
        <w:rPr>
          <w:rFonts w:eastAsia="Calibri"/>
          <w:noProof/>
        </w:rPr>
        <w:tab/>
        <w:t>A Member State may permit any fishing vessel flying its flag to transfer days present within the area for which it has been authorised to another vessel flying its flag within the area, provided that the product of the days received by a vessel multiplied by its engine power in kilowatts (kilowatt days) is equal to or less than the product of the days transferred by the donor vessel and the engine power in kilowatts of that vessel. The engine power in kilowatts of the vessels shall be that recorded for each vessel in the Union fishing fleet register.</w:t>
      </w:r>
    </w:p>
    <w:p>
      <w:pPr>
        <w:pStyle w:val="Point0"/>
        <w:rPr>
          <w:rFonts w:eastAsia="Calibri"/>
          <w:noProof/>
        </w:rPr>
      </w:pPr>
      <w:r>
        <w:rPr>
          <w:rFonts w:eastAsia="Calibri"/>
          <w:noProof/>
        </w:rPr>
        <w:t>12.2.</w:t>
      </w:r>
      <w:r>
        <w:rPr>
          <w:rFonts w:eastAsia="Calibri"/>
          <w:noProof/>
        </w:rPr>
        <w:tab/>
        <w:t>The total number of days present within the area transferred in accordance with point 12.1., multiplied by the engine power in kilowatts of the donor vessel, shall not be higher than the donor vessel’s average annual days track record in the area as verified by the fishing logbook in the years specified in point 6.1.(a) multiplied by the engine power in kilowatts of that vessel.</w:t>
      </w:r>
    </w:p>
    <w:p>
      <w:pPr>
        <w:pStyle w:val="Point0"/>
        <w:rPr>
          <w:rFonts w:eastAsia="Calibri"/>
          <w:noProof/>
        </w:rPr>
      </w:pPr>
      <w:r>
        <w:rPr>
          <w:rFonts w:eastAsia="Calibri"/>
          <w:noProof/>
        </w:rPr>
        <w:t>12.3.</w:t>
      </w:r>
      <w:r>
        <w:rPr>
          <w:rFonts w:eastAsia="Calibri"/>
          <w:noProof/>
        </w:rPr>
        <w:tab/>
        <w:t>The transfer of days as described in point 12.1. shall be permitted between vessels operating with any regulated gear and during the same management period.</w:t>
      </w:r>
    </w:p>
    <w:p>
      <w:pPr>
        <w:pStyle w:val="Point0"/>
        <w:rPr>
          <w:rFonts w:eastAsia="Calibri"/>
          <w:noProof/>
        </w:rPr>
      </w:pPr>
      <w:r>
        <w:rPr>
          <w:rFonts w:eastAsia="Calibri"/>
          <w:noProof/>
        </w:rPr>
        <w:t>12.4.</w:t>
      </w:r>
      <w:r>
        <w:rPr>
          <w:rFonts w:eastAsia="Calibri"/>
          <w:noProof/>
        </w:rPr>
        <w:tab/>
        <w:t>The transfer of days is only permitted for vessels benefiting from an allocation of fishing days without special conditions.</w:t>
      </w:r>
    </w:p>
    <w:p>
      <w:pPr>
        <w:pStyle w:val="Point0"/>
        <w:rPr>
          <w:rFonts w:eastAsia="Calibri"/>
          <w:noProof/>
        </w:rPr>
      </w:pPr>
      <w:r>
        <w:rPr>
          <w:rFonts w:eastAsia="Calibri"/>
          <w:noProof/>
        </w:rPr>
        <w:t>12.5.</w:t>
      </w:r>
      <w:r>
        <w:rPr>
          <w:rFonts w:eastAsia="Calibri"/>
          <w:noProof/>
        </w:rPr>
        <w:tab/>
        <w:t>On request from the Commission, Member States shall provide information on the transfers that have taken place. The format of spreadsheets for the collection and transmission of information referred to in this point may be established by the Commission, by means of implementing acts. Those implementing acts shall be adopted in accordance with the examination procedure referred to in Article 42(2).</w:t>
      </w:r>
    </w:p>
    <w:p>
      <w:pPr>
        <w:pStyle w:val="Point0"/>
        <w:rPr>
          <w:rFonts w:eastAsia="Calibri"/>
          <w:noProof/>
        </w:rPr>
      </w:pPr>
      <w:r>
        <w:rPr>
          <w:rFonts w:eastAsia="Calibri"/>
          <w:noProof/>
        </w:rPr>
        <w:t>13.</w:t>
      </w:r>
      <w:r>
        <w:rPr>
          <w:rFonts w:eastAsia="Calibri"/>
          <w:noProof/>
        </w:rPr>
        <w:tab/>
        <w:t>TRANSFER OF DAYS BETWEEN FISHING VESSELS FLYING THE FLAG OF DIFFERENT MEMBER STATES</w:t>
      </w:r>
    </w:p>
    <w:p>
      <w:pPr>
        <w:pStyle w:val="Text1"/>
        <w:rPr>
          <w:rFonts w:eastAsia="Calibri"/>
          <w:noProof/>
        </w:rPr>
      </w:pPr>
      <w:r>
        <w:rPr>
          <w:rFonts w:eastAsia="Calibri"/>
          <w:noProof/>
        </w:rPr>
        <w:t xml:space="preserve">Member States may permit the transfer of days present within the area for the same management period and within the area between any fishing vessels flying their flags provided that points 4.1. and 4.2. and 12 apply </w:t>
      </w:r>
      <w:r>
        <w:rPr>
          <w:rFonts w:eastAsia="Calibri"/>
          <w:i/>
          <w:noProof/>
        </w:rPr>
        <w:t>mutatis mutandis</w:t>
      </w:r>
      <w:r>
        <w:rPr>
          <w:rFonts w:eastAsia="Calibri"/>
          <w:noProof/>
        </w:rPr>
        <w:t>. Where Member States decide to authorise such a transfer, they shall notify the Commission, before the transfer takes place, of the details of the transfer, including the number of days to be transferred, the fishing effort and, where applicable, the fishing quotas relating thereto.</w:t>
      </w:r>
    </w:p>
    <w:p>
      <w:pPr>
        <w:pStyle w:val="ChapterTitle"/>
        <w:rPr>
          <w:rFonts w:eastAsia="Calibri"/>
          <w:noProof/>
        </w:rPr>
      </w:pPr>
      <w:r>
        <w:rPr>
          <w:rFonts w:eastAsia="Calibri"/>
          <w:noProof/>
        </w:rPr>
        <w:t>Chapter VI</w:t>
      </w:r>
      <w:r>
        <w:rPr>
          <w:rFonts w:eastAsia="Calibri"/>
          <w:noProof/>
        </w:rPr>
        <w:br/>
        <w:t>Reporting obligations</w:t>
      </w:r>
    </w:p>
    <w:p>
      <w:pPr>
        <w:pStyle w:val="Point0"/>
        <w:rPr>
          <w:rFonts w:eastAsia="Calibri"/>
          <w:noProof/>
        </w:rPr>
      </w:pPr>
      <w:r>
        <w:rPr>
          <w:rFonts w:eastAsia="Calibri"/>
          <w:noProof/>
        </w:rPr>
        <w:t>14.</w:t>
      </w:r>
      <w:r>
        <w:rPr>
          <w:rFonts w:eastAsia="Calibri"/>
          <w:noProof/>
        </w:rPr>
        <w:tab/>
        <w:t>FISHING EFFORT REPORT</w:t>
      </w:r>
    </w:p>
    <w:p>
      <w:pPr>
        <w:pStyle w:val="Text1"/>
        <w:rPr>
          <w:rFonts w:eastAsia="Calibri"/>
          <w:noProof/>
        </w:rPr>
      </w:pPr>
      <w:r>
        <w:rPr>
          <w:rFonts w:eastAsia="Calibri"/>
          <w:noProof/>
        </w:rPr>
        <w:t>Article 28 of Regulation (EC) No 1224/2009 shall apply to vessels falling under the scope of this Annex. The geographical area referred to in that Article shall be understood as the area specified in point 2 of this Annex.</w:t>
      </w:r>
    </w:p>
    <w:p>
      <w:pPr>
        <w:pStyle w:val="Point0"/>
        <w:rPr>
          <w:rFonts w:eastAsia="Calibri"/>
          <w:noProof/>
        </w:rPr>
      </w:pPr>
      <w:r>
        <w:rPr>
          <w:rFonts w:eastAsia="Calibri"/>
          <w:noProof/>
        </w:rPr>
        <w:t>15.</w:t>
      </w:r>
      <w:r>
        <w:rPr>
          <w:rFonts w:eastAsia="Calibri"/>
          <w:noProof/>
        </w:rPr>
        <w:tab/>
        <w:t>COLLECTION OF RELEVANT DATA</w:t>
      </w:r>
    </w:p>
    <w:p>
      <w:pPr>
        <w:pStyle w:val="Text1"/>
        <w:rPr>
          <w:rFonts w:eastAsia="Calibri"/>
          <w:noProof/>
        </w:rPr>
      </w:pPr>
      <w:r>
        <w:rPr>
          <w:rFonts w:eastAsia="Calibri"/>
          <w:noProof/>
        </w:rPr>
        <w:lastRenderedPageBreak/>
        <w:t>Member States shall collect on a quarterly basis the information about total fishing effort deployed within the area for towed gears and static gears, effort deployed by vessels using different types of gear in the area, and the engine power of those vessels in kilowatt days, on the basis of information used for the management of fishing days present within the area as set out in this Annex.</w:t>
      </w:r>
    </w:p>
    <w:p>
      <w:pPr>
        <w:pStyle w:val="Point0"/>
        <w:rPr>
          <w:rFonts w:eastAsia="Calibri"/>
          <w:noProof/>
        </w:rPr>
      </w:pPr>
      <w:r>
        <w:rPr>
          <w:rFonts w:eastAsia="Calibri"/>
          <w:noProof/>
        </w:rPr>
        <w:t>16.</w:t>
      </w:r>
      <w:r>
        <w:rPr>
          <w:rFonts w:eastAsia="Calibri"/>
          <w:noProof/>
        </w:rPr>
        <w:tab/>
        <w:t>COMMUNICATION OF RELEVANT DATA</w:t>
      </w:r>
    </w:p>
    <w:p>
      <w:pPr>
        <w:pStyle w:val="Text1"/>
        <w:rPr>
          <w:rFonts w:eastAsia="Calibri"/>
          <w:noProof/>
        </w:rPr>
        <w:sectPr>
          <w:footnotePr>
            <w:numRestart w:val="eachPage"/>
          </w:footnotePr>
          <w:pgSz w:w="11906" w:h="16838"/>
          <w:pgMar w:top="1134" w:right="1134" w:bottom="1134" w:left="1134" w:header="720" w:footer="567" w:gutter="0"/>
          <w:cols w:space="720"/>
          <w:docGrid w:linePitch="326"/>
        </w:sectPr>
      </w:pPr>
      <w:r>
        <w:rPr>
          <w:rFonts w:eastAsia="Calibri"/>
          <w:noProof/>
        </w:rPr>
        <w:t>Upon request from the Commission, Member States shall make available to the Commission a spreadsheet with data specified in point 15 in the format specified in Tables II and III by sending it to the appropriate electronic mailbox address, which shall be communicated to the Member States by the Commission. Member States shall, upon the Commission's request, send detailed information to the Commission on effort allocated and consumed covering all or parts of the current and the precedent management periods, using the data format specified in Tables IV and V.</w:t>
      </w:r>
    </w:p>
    <w:p>
      <w:pPr>
        <w:pStyle w:val="NormalCentered"/>
        <w:rPr>
          <w:rFonts w:eastAsia="Calibri"/>
          <w:noProof/>
        </w:rPr>
      </w:pPr>
      <w:r>
        <w:rPr>
          <w:rFonts w:eastAsia="Calibri"/>
          <w:noProof/>
        </w:rPr>
        <w:lastRenderedPageBreak/>
        <w:t>Table II</w:t>
      </w:r>
      <w:r>
        <w:rPr>
          <w:rFonts w:eastAsia="Calibri"/>
          <w:noProof/>
        </w:rPr>
        <w:br/>
        <w:t>Reporting format kW</w:t>
      </w:r>
      <w:r>
        <w:rPr>
          <w:rFonts w:eastAsia="Calibri"/>
          <w:noProof/>
        </w:rPr>
        <w:noBreakHyphen/>
        <w:t>day information by management period</w:t>
      </w:r>
    </w:p>
    <w:tbl>
      <w:tblPr>
        <w:tblW w:w="5000" w:type="pct"/>
        <w:tblLook w:val="0000" w:firstRow="0" w:lastRow="0" w:firstColumn="0" w:lastColumn="0" w:noHBand="0" w:noVBand="0"/>
      </w:tblPr>
      <w:tblGrid>
        <w:gridCol w:w="3696"/>
        <w:gridCol w:w="3696"/>
        <w:gridCol w:w="3697"/>
        <w:gridCol w:w="3697"/>
      </w:tblGrid>
      <w:tr>
        <w:trPr>
          <w:trHeight w:val="20"/>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Member State</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Gear</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Management period</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Cumulative effort declaration</w:t>
            </w:r>
          </w:p>
        </w:tc>
      </w:tr>
      <w:tr>
        <w:trPr>
          <w:trHeight w:val="20"/>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(4)</w:t>
            </w:r>
          </w:p>
        </w:tc>
      </w:tr>
    </w:tbl>
    <w:p>
      <w:pPr>
        <w:rPr>
          <w:rFonts w:eastAsia="Calibri"/>
          <w:noProof/>
        </w:rPr>
      </w:pPr>
    </w:p>
    <w:p>
      <w:pPr>
        <w:pStyle w:val="NormalCentered"/>
        <w:rPr>
          <w:rFonts w:eastAsia="Calibri"/>
          <w:noProof/>
        </w:rPr>
      </w:pPr>
      <w:r>
        <w:rPr>
          <w:rFonts w:eastAsia="Calibri"/>
          <w:noProof/>
        </w:rPr>
        <w:br w:type="page"/>
      </w:r>
      <w:r>
        <w:rPr>
          <w:rFonts w:eastAsia="Calibri"/>
          <w:noProof/>
        </w:rPr>
        <w:lastRenderedPageBreak/>
        <w:t>Table III</w:t>
      </w:r>
      <w:r>
        <w:rPr>
          <w:rFonts w:eastAsia="Calibri"/>
          <w:noProof/>
        </w:rPr>
        <w:br/>
        <w:t>Data format kW</w:t>
      </w:r>
      <w:r>
        <w:rPr>
          <w:rFonts w:eastAsia="Calibri"/>
          <w:noProof/>
        </w:rPr>
        <w:noBreakHyphen/>
        <w:t>day information by management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493"/>
        <w:gridCol w:w="2493"/>
        <w:gridCol w:w="7307"/>
      </w:tblGrid>
      <w:tr>
        <w:trPr>
          <w:tblHeader/>
        </w:trPr>
        <w:tc>
          <w:tcPr>
            <w:tcW w:w="843" w:type="pct"/>
            <w:shd w:val="clear" w:color="auto" w:fill="auto"/>
            <w:vAlign w:val="center"/>
          </w:tcPr>
          <w:p>
            <w:pPr>
              <w:spacing w:before="60" w:after="60"/>
              <w:jc w:val="center"/>
              <w:rPr>
                <w:rFonts w:eastAsia="Calibri"/>
                <w:noProof/>
              </w:rPr>
            </w:pPr>
            <w:r>
              <w:rPr>
                <w:rFonts w:eastAsia="Calibri"/>
                <w:noProof/>
              </w:rPr>
              <w:t>Name of field</w:t>
            </w:r>
          </w:p>
        </w:tc>
        <w:tc>
          <w:tcPr>
            <w:tcW w:w="843" w:type="pct"/>
            <w:shd w:val="clear" w:color="auto" w:fill="auto"/>
            <w:vAlign w:val="center"/>
          </w:tcPr>
          <w:p>
            <w:pPr>
              <w:spacing w:before="60" w:after="60"/>
              <w:jc w:val="center"/>
              <w:rPr>
                <w:rFonts w:eastAsia="Calibri"/>
                <w:noProof/>
              </w:rPr>
            </w:pPr>
            <w:r>
              <w:rPr>
                <w:rFonts w:eastAsia="Calibri"/>
                <w:noProof/>
              </w:rPr>
              <w:t>Maximum number of characters/digits</w:t>
            </w:r>
          </w:p>
        </w:tc>
        <w:tc>
          <w:tcPr>
            <w:tcW w:w="843" w:type="pct"/>
            <w:shd w:val="clear" w:color="auto" w:fill="auto"/>
            <w:vAlign w:val="center"/>
          </w:tcPr>
          <w:p>
            <w:pPr>
              <w:spacing w:before="60" w:after="60"/>
              <w:jc w:val="center"/>
              <w:rPr>
                <w:rFonts w:eastAsia="Calibri"/>
                <w:noProof/>
              </w:rPr>
            </w:pPr>
            <w:r>
              <w:rPr>
                <w:rFonts w:eastAsia="Calibri"/>
                <w:noProof/>
              </w:rPr>
              <w:t>Alignment</w:t>
            </w:r>
            <w:r>
              <w:rPr>
                <w:rFonts w:eastAsia="Calibri"/>
                <w:b/>
                <w:bCs/>
                <w:noProof/>
                <w:vertAlign w:val="superscript"/>
              </w:rPr>
              <w:t>(1)</w:t>
            </w:r>
            <w:r>
              <w:rPr>
                <w:rFonts w:eastAsia="Calibri"/>
                <w:noProof/>
              </w:rPr>
              <w:t xml:space="preserve"> L(eft)/R(ight)</w:t>
            </w:r>
          </w:p>
        </w:tc>
        <w:tc>
          <w:tcPr>
            <w:tcW w:w="2471" w:type="pct"/>
            <w:shd w:val="clear" w:color="auto" w:fill="auto"/>
            <w:vAlign w:val="center"/>
          </w:tcPr>
          <w:p>
            <w:pPr>
              <w:spacing w:before="60" w:after="60"/>
              <w:jc w:val="center"/>
              <w:rPr>
                <w:rFonts w:eastAsia="Calibri"/>
                <w:noProof/>
              </w:rPr>
            </w:pPr>
            <w:r>
              <w:rPr>
                <w:rFonts w:eastAsia="Calibri"/>
                <w:noProof/>
              </w:rPr>
              <w:t>Definition and comments</w:t>
            </w:r>
          </w:p>
        </w:tc>
      </w:tr>
      <w:tr>
        <w:tc>
          <w:tcPr>
            <w:tcW w:w="843" w:type="pct"/>
            <w:shd w:val="clear" w:color="auto" w:fill="auto"/>
          </w:tcPr>
          <w:p>
            <w:pPr>
              <w:spacing w:before="60" w:after="60"/>
              <w:ind w:left="397" w:hanging="397"/>
              <w:rPr>
                <w:rFonts w:eastAsia="Calibri"/>
                <w:noProof/>
              </w:rPr>
            </w:pPr>
            <w:r>
              <w:rPr>
                <w:rFonts w:eastAsia="Calibri"/>
                <w:noProof/>
              </w:rPr>
              <w:t>(1)</w:t>
            </w:r>
            <w:r>
              <w:rPr>
                <w:rFonts w:eastAsia="Calibri"/>
                <w:noProof/>
              </w:rPr>
              <w:tab/>
              <w:t>Member State</w:t>
            </w:r>
          </w:p>
        </w:tc>
        <w:tc>
          <w:tcPr>
            <w:tcW w:w="843" w:type="pct"/>
            <w:shd w:val="clear" w:color="auto" w:fill="auto"/>
          </w:tcPr>
          <w:p>
            <w:pPr>
              <w:spacing w:before="60" w:after="60"/>
              <w:jc w:val="center"/>
              <w:rPr>
                <w:rFonts w:eastAsia="Calibri"/>
                <w:noProof/>
              </w:rPr>
            </w:pPr>
            <w:r>
              <w:rPr>
                <w:rFonts w:eastAsia="Calibri"/>
                <w:noProof/>
              </w:rPr>
              <w:t>3</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rFonts w:eastAsia="Calibri"/>
                <w:noProof/>
              </w:rPr>
              <w:t>Member State (Alpha</w:t>
            </w:r>
            <w:r>
              <w:rPr>
                <w:rFonts w:eastAsia="Calibri"/>
                <w:noProof/>
              </w:rPr>
              <w:noBreakHyphen/>
              <w:t>3 ISO code) in which the vessel is registered</w:t>
            </w:r>
          </w:p>
        </w:tc>
      </w:tr>
      <w:tr>
        <w:tc>
          <w:tcPr>
            <w:tcW w:w="843" w:type="pct"/>
            <w:shd w:val="clear" w:color="auto" w:fill="auto"/>
          </w:tcPr>
          <w:p>
            <w:pPr>
              <w:spacing w:before="60" w:after="60"/>
              <w:ind w:left="397" w:hanging="397"/>
              <w:rPr>
                <w:rFonts w:eastAsia="Calibri"/>
                <w:noProof/>
              </w:rPr>
            </w:pPr>
            <w:r>
              <w:rPr>
                <w:rFonts w:eastAsia="Calibri"/>
                <w:noProof/>
              </w:rPr>
              <w:t>(2)</w:t>
            </w:r>
            <w:r>
              <w:rPr>
                <w:rFonts w:eastAsia="Calibri"/>
                <w:noProof/>
              </w:rPr>
              <w:tab/>
              <w:t>Gear</w:t>
            </w:r>
          </w:p>
        </w:tc>
        <w:tc>
          <w:tcPr>
            <w:tcW w:w="843" w:type="pct"/>
            <w:shd w:val="clear" w:color="auto" w:fill="auto"/>
          </w:tcPr>
          <w:p>
            <w:pPr>
              <w:spacing w:before="60" w:after="60"/>
              <w:jc w:val="center"/>
              <w:rPr>
                <w:rFonts w:eastAsia="Calibri"/>
                <w:noProof/>
              </w:rPr>
            </w:pPr>
            <w:r>
              <w:rPr>
                <w:rFonts w:eastAsia="Calibri"/>
                <w:noProof/>
              </w:rPr>
              <w:t>2</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rFonts w:eastAsia="Calibri"/>
                <w:noProof/>
              </w:rPr>
              <w:t>One of the following gear types:</w:t>
            </w:r>
          </w:p>
          <w:p>
            <w:pPr>
              <w:spacing w:before="60" w:after="60"/>
              <w:rPr>
                <w:rFonts w:eastAsia="Calibri"/>
                <w:noProof/>
              </w:rPr>
            </w:pPr>
            <w:r>
              <w:rPr>
                <w:rFonts w:eastAsia="Calibri"/>
                <w:noProof/>
              </w:rPr>
              <w:t>TR = trawls, Danish seines and similar gear ≥ 32 mm</w:t>
            </w:r>
          </w:p>
          <w:p>
            <w:pPr>
              <w:spacing w:before="60" w:after="60"/>
              <w:rPr>
                <w:rFonts w:eastAsia="Calibri"/>
                <w:noProof/>
                <w:lang w:val="sv-SE"/>
              </w:rPr>
            </w:pPr>
            <w:r>
              <w:rPr>
                <w:rFonts w:eastAsia="Calibri"/>
                <w:noProof/>
                <w:lang w:val="sv-SE"/>
              </w:rPr>
              <w:t>GN = gillnets ≥ 60 mm</w:t>
            </w:r>
          </w:p>
          <w:p>
            <w:pPr>
              <w:spacing w:before="60" w:after="60"/>
              <w:rPr>
                <w:rFonts w:eastAsia="Calibri"/>
                <w:noProof/>
                <w:lang w:val="sv-SE"/>
              </w:rPr>
            </w:pPr>
            <w:r>
              <w:rPr>
                <w:rFonts w:eastAsia="Calibri"/>
                <w:noProof/>
                <w:lang w:val="sv-SE"/>
              </w:rPr>
              <w:t>LL = bottom longlines</w:t>
            </w:r>
          </w:p>
        </w:tc>
      </w:tr>
      <w:tr>
        <w:tc>
          <w:tcPr>
            <w:tcW w:w="843" w:type="pct"/>
            <w:shd w:val="clear" w:color="auto" w:fill="auto"/>
          </w:tcPr>
          <w:p>
            <w:pPr>
              <w:spacing w:before="60" w:after="60"/>
              <w:ind w:left="397" w:hanging="397"/>
              <w:rPr>
                <w:rFonts w:eastAsia="Calibri"/>
                <w:noProof/>
              </w:rPr>
            </w:pPr>
            <w:r>
              <w:rPr>
                <w:rFonts w:eastAsia="Calibri"/>
                <w:noProof/>
              </w:rPr>
              <w:t>(3)</w:t>
            </w:r>
            <w:r>
              <w:rPr>
                <w:rFonts w:eastAsia="Calibri"/>
                <w:noProof/>
              </w:rPr>
              <w:tab/>
              <w:t>Management period</w:t>
            </w:r>
          </w:p>
        </w:tc>
        <w:tc>
          <w:tcPr>
            <w:tcW w:w="843" w:type="pct"/>
            <w:shd w:val="clear" w:color="auto" w:fill="auto"/>
          </w:tcPr>
          <w:p>
            <w:pPr>
              <w:spacing w:before="60" w:after="60"/>
              <w:jc w:val="center"/>
              <w:rPr>
                <w:rFonts w:eastAsia="Calibri"/>
                <w:noProof/>
              </w:rPr>
            </w:pPr>
            <w:r>
              <w:rPr>
                <w:rFonts w:eastAsia="Calibri"/>
                <w:noProof/>
              </w:rPr>
              <w:t>4</w:t>
            </w:r>
          </w:p>
        </w:tc>
        <w:tc>
          <w:tcPr>
            <w:tcW w:w="843" w:type="pct"/>
            <w:shd w:val="clear" w:color="auto" w:fill="auto"/>
          </w:tcPr>
          <w:p>
            <w:pPr>
              <w:spacing w:before="60" w:after="60"/>
              <w:jc w:val="center"/>
              <w:rPr>
                <w:rFonts w:eastAsia="Calibri"/>
                <w:noProof/>
              </w:rPr>
            </w:pPr>
          </w:p>
        </w:tc>
        <w:tc>
          <w:tcPr>
            <w:tcW w:w="2471" w:type="pct"/>
            <w:shd w:val="clear" w:color="auto" w:fill="auto"/>
          </w:tcPr>
          <w:p>
            <w:pPr>
              <w:spacing w:before="60" w:after="60"/>
              <w:rPr>
                <w:rFonts w:eastAsia="Calibri"/>
                <w:noProof/>
              </w:rPr>
            </w:pPr>
            <w:r>
              <w:rPr>
                <w:rFonts w:eastAsia="Calibri"/>
                <w:noProof/>
              </w:rPr>
              <w:t>One management period in the period from the 2006 management period to the current management period</w:t>
            </w:r>
          </w:p>
        </w:tc>
      </w:tr>
      <w:tr>
        <w:tc>
          <w:tcPr>
            <w:tcW w:w="843" w:type="pct"/>
            <w:shd w:val="clear" w:color="auto" w:fill="auto"/>
          </w:tcPr>
          <w:p>
            <w:pPr>
              <w:spacing w:before="60" w:after="60"/>
              <w:ind w:left="397" w:hanging="397"/>
              <w:rPr>
                <w:rFonts w:eastAsia="Calibri"/>
                <w:noProof/>
              </w:rPr>
            </w:pPr>
            <w:r>
              <w:rPr>
                <w:rFonts w:eastAsia="Calibri"/>
                <w:noProof/>
              </w:rPr>
              <w:t>(4)</w:t>
            </w:r>
            <w:r>
              <w:rPr>
                <w:rFonts w:eastAsia="Calibri"/>
                <w:noProof/>
              </w:rPr>
              <w:tab/>
              <w:t>Cumulative effort declaration</w:t>
            </w:r>
          </w:p>
        </w:tc>
        <w:tc>
          <w:tcPr>
            <w:tcW w:w="843" w:type="pct"/>
            <w:shd w:val="clear" w:color="auto" w:fill="auto"/>
          </w:tcPr>
          <w:p>
            <w:pPr>
              <w:spacing w:before="60" w:after="60"/>
              <w:jc w:val="center"/>
              <w:rPr>
                <w:rFonts w:eastAsia="Calibri"/>
                <w:noProof/>
              </w:rPr>
            </w:pPr>
            <w:r>
              <w:rPr>
                <w:rFonts w:eastAsia="Calibri"/>
                <w:noProof/>
              </w:rPr>
              <w:t>7</w:t>
            </w:r>
          </w:p>
        </w:tc>
        <w:tc>
          <w:tcPr>
            <w:tcW w:w="843" w:type="pct"/>
            <w:shd w:val="clear" w:color="auto" w:fill="auto"/>
          </w:tcPr>
          <w:p>
            <w:pPr>
              <w:spacing w:before="60" w:after="60"/>
              <w:jc w:val="center"/>
              <w:rPr>
                <w:rFonts w:eastAsia="Calibri"/>
                <w:noProof/>
              </w:rPr>
            </w:pPr>
            <w:r>
              <w:rPr>
                <w:rFonts w:eastAsia="Calibri"/>
                <w:noProof/>
              </w:rPr>
              <w:t>R</w:t>
            </w:r>
          </w:p>
        </w:tc>
        <w:tc>
          <w:tcPr>
            <w:tcW w:w="2471" w:type="pct"/>
            <w:shd w:val="clear" w:color="auto" w:fill="auto"/>
          </w:tcPr>
          <w:p>
            <w:pPr>
              <w:spacing w:before="60" w:after="60"/>
              <w:rPr>
                <w:rFonts w:eastAsia="Calibri"/>
                <w:noProof/>
              </w:rPr>
            </w:pPr>
            <w:r>
              <w:rPr>
                <w:rFonts w:eastAsia="Calibri"/>
                <w:noProof/>
              </w:rPr>
              <w:t>Cumulative amount of fishing effort expressed in kilowatt days deployed from 1 February until 31 January of the relevant management period</w:t>
            </w:r>
          </w:p>
        </w:tc>
      </w:tr>
      <w:tr>
        <w:tc>
          <w:tcPr>
            <w:tcW w:w="5000" w:type="pct"/>
            <w:gridSpan w:val="4"/>
            <w:shd w:val="clear" w:color="auto" w:fill="auto"/>
          </w:tcPr>
          <w:p>
            <w:pPr>
              <w:spacing w:before="60" w:after="60"/>
              <w:rPr>
                <w:rFonts w:eastAsia="Calibri"/>
                <w:noProof/>
              </w:rPr>
            </w:pPr>
            <w:r>
              <w:rPr>
                <w:b/>
                <w:bCs/>
                <w:noProof/>
                <w:vertAlign w:val="superscript"/>
              </w:rPr>
              <w:t>(1)</w:t>
            </w:r>
            <w:r>
              <w:rPr>
                <w:noProof/>
              </w:rPr>
              <w:tab/>
              <w:t>Information relevant for transmission of data by fixed-length formatting.</w:t>
            </w:r>
          </w:p>
        </w:tc>
      </w:tr>
    </w:tbl>
    <w:p>
      <w:pPr>
        <w:pStyle w:val="NormalCentered"/>
        <w:rPr>
          <w:rFonts w:eastAsia="Calibri"/>
          <w:noProof/>
        </w:rPr>
      </w:pPr>
    </w:p>
    <w:p>
      <w:pPr>
        <w:pStyle w:val="NormalCentered"/>
        <w:rPr>
          <w:rFonts w:eastAsia="Calibri"/>
          <w:noProof/>
        </w:rPr>
      </w:pPr>
      <w:r>
        <w:rPr>
          <w:rFonts w:eastAsia="Calibri"/>
          <w:noProof/>
        </w:rPr>
        <w:br w:type="page"/>
      </w:r>
      <w:r>
        <w:rPr>
          <w:rFonts w:eastAsia="Calibri"/>
          <w:noProof/>
        </w:rPr>
        <w:lastRenderedPageBreak/>
        <w:t>Table IV</w:t>
      </w:r>
      <w:r>
        <w:rPr>
          <w:rFonts w:eastAsia="Calibri"/>
          <w:noProof/>
        </w:rPr>
        <w:br/>
        <w:t>Reporting format for vessel</w:t>
      </w:r>
      <w:r>
        <w:rPr>
          <w:rFonts w:eastAsia="Calibri"/>
          <w:noProof/>
        </w:rPr>
        <w:noBreakHyphen/>
        <w:t>related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595"/>
        <w:gridCol w:w="940"/>
        <w:gridCol w:w="1238"/>
        <w:gridCol w:w="611"/>
        <w:gridCol w:w="893"/>
        <w:gridCol w:w="611"/>
        <w:gridCol w:w="546"/>
        <w:gridCol w:w="611"/>
        <w:gridCol w:w="611"/>
        <w:gridCol w:w="611"/>
        <w:gridCol w:w="542"/>
        <w:gridCol w:w="611"/>
        <w:gridCol w:w="611"/>
        <w:gridCol w:w="611"/>
        <w:gridCol w:w="450"/>
        <w:gridCol w:w="784"/>
        <w:gridCol w:w="611"/>
        <w:gridCol w:w="611"/>
        <w:gridCol w:w="450"/>
        <w:gridCol w:w="894"/>
      </w:tblGrid>
      <w:tr>
        <w:trPr>
          <w:trHeight w:val="20"/>
        </w:trPr>
        <w:tc>
          <w:tcPr>
            <w:tcW w:w="454" w:type="pct"/>
            <w:vMerge w:val="restart"/>
            <w:shd w:val="clear" w:color="auto" w:fill="auto"/>
            <w:vAlign w:val="center"/>
          </w:tcPr>
          <w:p>
            <w:pPr>
              <w:spacing w:before="60" w:after="60"/>
              <w:jc w:val="center"/>
              <w:rPr>
                <w:rFonts w:eastAsia="Calibri"/>
                <w:noProof/>
                <w:sz w:val="20"/>
                <w:szCs w:val="20"/>
              </w:rPr>
            </w:pPr>
            <w:r>
              <w:rPr>
                <w:rFonts w:eastAsia="Calibri"/>
                <w:noProof/>
                <w:sz w:val="20"/>
                <w:szCs w:val="20"/>
              </w:rPr>
              <w:t>Member State</w:t>
            </w:r>
          </w:p>
        </w:tc>
        <w:tc>
          <w:tcPr>
            <w:tcW w:w="201" w:type="pct"/>
            <w:vMerge w:val="restart"/>
            <w:shd w:val="clear" w:color="auto" w:fill="auto"/>
            <w:vAlign w:val="center"/>
          </w:tcPr>
          <w:p>
            <w:pPr>
              <w:spacing w:before="60" w:after="60"/>
              <w:jc w:val="center"/>
              <w:rPr>
                <w:rFonts w:eastAsia="Calibri"/>
                <w:noProof/>
                <w:sz w:val="20"/>
                <w:szCs w:val="20"/>
              </w:rPr>
            </w:pPr>
            <w:r>
              <w:rPr>
                <w:rFonts w:eastAsia="Calibri"/>
                <w:noProof/>
                <w:sz w:val="20"/>
                <w:szCs w:val="20"/>
              </w:rPr>
              <w:t>CFR</w:t>
            </w:r>
          </w:p>
        </w:tc>
        <w:tc>
          <w:tcPr>
            <w:tcW w:w="327" w:type="pct"/>
            <w:vMerge w:val="restart"/>
            <w:shd w:val="clear" w:color="auto" w:fill="auto"/>
            <w:vAlign w:val="center"/>
          </w:tcPr>
          <w:p>
            <w:pPr>
              <w:spacing w:before="60" w:after="60"/>
              <w:jc w:val="center"/>
              <w:rPr>
                <w:rFonts w:eastAsia="Calibri"/>
                <w:noProof/>
                <w:sz w:val="20"/>
                <w:szCs w:val="20"/>
              </w:rPr>
            </w:pPr>
            <w:r>
              <w:rPr>
                <w:rFonts w:eastAsia="Calibri"/>
                <w:noProof/>
                <w:sz w:val="20"/>
                <w:szCs w:val="20"/>
              </w:rPr>
              <w:t>External marking</w:t>
            </w:r>
          </w:p>
        </w:tc>
        <w:tc>
          <w:tcPr>
            <w:tcW w:w="397" w:type="pct"/>
            <w:vMerge w:val="restart"/>
            <w:shd w:val="clear" w:color="auto" w:fill="auto"/>
            <w:vAlign w:val="center"/>
          </w:tcPr>
          <w:p>
            <w:pPr>
              <w:spacing w:before="60" w:after="60"/>
              <w:jc w:val="center"/>
              <w:rPr>
                <w:rFonts w:eastAsia="Calibri"/>
                <w:noProof/>
                <w:sz w:val="20"/>
                <w:szCs w:val="20"/>
              </w:rPr>
            </w:pPr>
            <w:r>
              <w:rPr>
                <w:rFonts w:eastAsia="Calibri"/>
                <w:noProof/>
                <w:sz w:val="20"/>
                <w:szCs w:val="20"/>
              </w:rPr>
              <w:t>Length of management period</w:t>
            </w:r>
          </w:p>
        </w:tc>
        <w:tc>
          <w:tcPr>
            <w:tcW w:w="911" w:type="pct"/>
            <w:gridSpan w:val="4"/>
            <w:shd w:val="clear" w:color="auto" w:fill="auto"/>
            <w:vAlign w:val="center"/>
          </w:tcPr>
          <w:p>
            <w:pPr>
              <w:spacing w:before="60" w:after="60"/>
              <w:jc w:val="center"/>
              <w:rPr>
                <w:rFonts w:eastAsia="Calibri"/>
                <w:noProof/>
                <w:sz w:val="20"/>
                <w:szCs w:val="20"/>
              </w:rPr>
            </w:pPr>
            <w:r>
              <w:rPr>
                <w:rFonts w:eastAsia="Calibri"/>
                <w:noProof/>
                <w:sz w:val="20"/>
                <w:szCs w:val="20"/>
              </w:rPr>
              <w:t>Gear notified</w:t>
            </w:r>
          </w:p>
        </w:tc>
        <w:tc>
          <w:tcPr>
            <w:tcW w:w="815" w:type="pct"/>
            <w:gridSpan w:val="4"/>
            <w:shd w:val="clear" w:color="auto" w:fill="auto"/>
            <w:vAlign w:val="center"/>
          </w:tcPr>
          <w:p>
            <w:pPr>
              <w:spacing w:before="60" w:after="60"/>
              <w:jc w:val="center"/>
              <w:rPr>
                <w:rFonts w:eastAsia="Calibri"/>
                <w:noProof/>
                <w:sz w:val="20"/>
                <w:szCs w:val="20"/>
              </w:rPr>
            </w:pPr>
            <w:r>
              <w:rPr>
                <w:rFonts w:eastAsia="Calibri"/>
                <w:noProof/>
                <w:sz w:val="20"/>
                <w:szCs w:val="20"/>
              </w:rPr>
              <w:t>Special condition applying to notified gear(s)</w:t>
            </w:r>
          </w:p>
        </w:tc>
        <w:tc>
          <w:tcPr>
            <w:tcW w:w="766" w:type="pct"/>
            <w:gridSpan w:val="4"/>
            <w:shd w:val="clear" w:color="auto" w:fill="auto"/>
            <w:vAlign w:val="center"/>
          </w:tcPr>
          <w:p>
            <w:pPr>
              <w:spacing w:before="60" w:after="60"/>
              <w:jc w:val="center"/>
              <w:rPr>
                <w:rFonts w:eastAsia="Calibri"/>
                <w:noProof/>
                <w:sz w:val="20"/>
                <w:szCs w:val="20"/>
              </w:rPr>
            </w:pPr>
            <w:r>
              <w:rPr>
                <w:rFonts w:eastAsia="Calibri"/>
                <w:noProof/>
                <w:sz w:val="20"/>
                <w:szCs w:val="20"/>
              </w:rPr>
              <w:t>Days eligible using notified gear(s)</w:t>
            </w:r>
          </w:p>
        </w:tc>
        <w:tc>
          <w:tcPr>
            <w:tcW w:w="864" w:type="pct"/>
            <w:gridSpan w:val="4"/>
            <w:shd w:val="clear" w:color="auto" w:fill="auto"/>
            <w:vAlign w:val="center"/>
          </w:tcPr>
          <w:p>
            <w:pPr>
              <w:spacing w:before="60" w:after="60"/>
              <w:jc w:val="center"/>
              <w:rPr>
                <w:rFonts w:eastAsia="Calibri"/>
                <w:noProof/>
                <w:sz w:val="20"/>
                <w:szCs w:val="20"/>
              </w:rPr>
            </w:pPr>
            <w:r>
              <w:rPr>
                <w:rFonts w:eastAsia="Calibri"/>
                <w:noProof/>
                <w:sz w:val="20"/>
                <w:szCs w:val="20"/>
              </w:rPr>
              <w:t>Days spent with notified gear(s)</w:t>
            </w:r>
          </w:p>
        </w:tc>
        <w:tc>
          <w:tcPr>
            <w:tcW w:w="265" w:type="pct"/>
            <w:shd w:val="clear" w:color="auto" w:fill="auto"/>
            <w:vAlign w:val="center"/>
          </w:tcPr>
          <w:p>
            <w:pPr>
              <w:spacing w:before="60" w:after="60"/>
              <w:jc w:val="center"/>
              <w:rPr>
                <w:rFonts w:eastAsia="Calibri"/>
                <w:noProof/>
                <w:sz w:val="20"/>
                <w:szCs w:val="20"/>
              </w:rPr>
            </w:pPr>
            <w:r>
              <w:rPr>
                <w:rFonts w:eastAsia="Calibri"/>
                <w:noProof/>
                <w:sz w:val="20"/>
                <w:szCs w:val="20"/>
              </w:rPr>
              <w:t>Transfer of days</w:t>
            </w:r>
          </w:p>
        </w:tc>
      </w:tr>
      <w:tr>
        <w:trPr>
          <w:trHeight w:val="20"/>
        </w:trPr>
        <w:tc>
          <w:tcPr>
            <w:tcW w:w="454" w:type="pct"/>
            <w:vMerge/>
            <w:shd w:val="clear" w:color="auto" w:fill="auto"/>
            <w:vAlign w:val="center"/>
          </w:tcPr>
          <w:p>
            <w:pPr>
              <w:spacing w:before="60" w:after="60"/>
              <w:jc w:val="center"/>
              <w:rPr>
                <w:rFonts w:eastAsia="Calibri"/>
                <w:noProof/>
                <w:sz w:val="20"/>
                <w:szCs w:val="20"/>
              </w:rPr>
            </w:pPr>
          </w:p>
        </w:tc>
        <w:tc>
          <w:tcPr>
            <w:tcW w:w="201" w:type="pct"/>
            <w:vMerge/>
            <w:shd w:val="clear" w:color="auto" w:fill="auto"/>
            <w:vAlign w:val="center"/>
          </w:tcPr>
          <w:p>
            <w:pPr>
              <w:spacing w:before="60" w:after="60"/>
              <w:jc w:val="center"/>
              <w:rPr>
                <w:rFonts w:eastAsia="Calibri"/>
                <w:noProof/>
                <w:sz w:val="20"/>
                <w:szCs w:val="20"/>
              </w:rPr>
            </w:pPr>
          </w:p>
        </w:tc>
        <w:tc>
          <w:tcPr>
            <w:tcW w:w="327" w:type="pct"/>
            <w:vMerge/>
            <w:shd w:val="clear" w:color="auto" w:fill="auto"/>
            <w:vAlign w:val="center"/>
          </w:tcPr>
          <w:p>
            <w:pPr>
              <w:spacing w:before="60" w:after="60"/>
              <w:jc w:val="center"/>
              <w:rPr>
                <w:rFonts w:eastAsia="Calibri"/>
                <w:noProof/>
                <w:sz w:val="20"/>
                <w:szCs w:val="20"/>
              </w:rPr>
            </w:pPr>
          </w:p>
        </w:tc>
        <w:tc>
          <w:tcPr>
            <w:tcW w:w="397" w:type="pct"/>
            <w:vMerge/>
            <w:shd w:val="clear" w:color="auto" w:fill="auto"/>
            <w:vAlign w:val="center"/>
          </w:tcPr>
          <w:p>
            <w:pPr>
              <w:spacing w:before="60" w:after="60"/>
              <w:jc w:val="center"/>
              <w:rPr>
                <w:rFonts w:eastAsia="Calibri"/>
                <w:noProof/>
                <w:sz w:val="20"/>
                <w:szCs w:val="20"/>
              </w:rPr>
            </w:pPr>
          </w:p>
        </w:tc>
        <w:tc>
          <w:tcPr>
            <w:tcW w:w="191" w:type="pct"/>
            <w:shd w:val="clear" w:color="auto" w:fill="auto"/>
            <w:vAlign w:val="center"/>
          </w:tcPr>
          <w:p>
            <w:pPr>
              <w:spacing w:before="60" w:after="60"/>
              <w:jc w:val="center"/>
              <w:rPr>
                <w:rFonts w:eastAsia="Calibri"/>
                <w:noProof/>
                <w:sz w:val="20"/>
                <w:szCs w:val="20"/>
              </w:rPr>
            </w:pPr>
            <w:r>
              <w:rPr>
                <w:rFonts w:eastAsia="Calibri"/>
                <w:noProof/>
                <w:sz w:val="20"/>
                <w:szCs w:val="20"/>
              </w:rPr>
              <w:t>No 1</w:t>
            </w:r>
          </w:p>
        </w:tc>
        <w:tc>
          <w:tcPr>
            <w:tcW w:w="311" w:type="pct"/>
            <w:shd w:val="clear" w:color="auto" w:fill="auto"/>
            <w:vAlign w:val="center"/>
          </w:tcPr>
          <w:p>
            <w:pPr>
              <w:spacing w:before="60" w:after="60"/>
              <w:jc w:val="center"/>
              <w:rPr>
                <w:rFonts w:eastAsia="Calibri"/>
                <w:noProof/>
                <w:sz w:val="20"/>
                <w:szCs w:val="20"/>
              </w:rPr>
            </w:pPr>
            <w:r>
              <w:rPr>
                <w:rFonts w:eastAsia="Calibri"/>
                <w:noProof/>
                <w:sz w:val="20"/>
                <w:szCs w:val="20"/>
              </w:rPr>
              <w:t>No 2</w:t>
            </w:r>
          </w:p>
        </w:tc>
        <w:tc>
          <w:tcPr>
            <w:tcW w:w="207" w:type="pct"/>
            <w:shd w:val="clear" w:color="auto" w:fill="auto"/>
            <w:vAlign w:val="center"/>
          </w:tcPr>
          <w:p>
            <w:pPr>
              <w:spacing w:before="60" w:after="60"/>
              <w:jc w:val="center"/>
              <w:rPr>
                <w:noProof/>
                <w:sz w:val="20"/>
                <w:szCs w:val="20"/>
              </w:rPr>
            </w:pPr>
            <w:r>
              <w:rPr>
                <w:rFonts w:eastAsia="Calibri"/>
                <w:noProof/>
                <w:sz w:val="20"/>
                <w:szCs w:val="20"/>
              </w:rPr>
              <w:t>No 3</w:t>
            </w:r>
          </w:p>
        </w:tc>
        <w:tc>
          <w:tcPr>
            <w:tcW w:w="202" w:type="pct"/>
            <w:shd w:val="clear" w:color="auto" w:fill="auto"/>
            <w:vAlign w:val="center"/>
          </w:tcPr>
          <w:p>
            <w:pPr>
              <w:spacing w:before="60" w:after="60"/>
              <w:jc w:val="center"/>
              <w:rPr>
                <w:rFonts w:eastAsia="Calibri"/>
                <w:noProof/>
                <w:sz w:val="20"/>
                <w:szCs w:val="20"/>
              </w:rPr>
            </w:pPr>
            <w:r>
              <w:rPr>
                <w:noProof/>
                <w:sz w:val="20"/>
                <w:szCs w:val="20"/>
              </w:rPr>
              <w:t>…</w:t>
            </w:r>
          </w:p>
        </w:tc>
        <w:tc>
          <w:tcPr>
            <w:tcW w:w="193" w:type="pct"/>
            <w:shd w:val="clear" w:color="auto" w:fill="auto"/>
            <w:vAlign w:val="center"/>
          </w:tcPr>
          <w:p>
            <w:pPr>
              <w:spacing w:before="60" w:after="60"/>
              <w:jc w:val="center"/>
              <w:rPr>
                <w:rFonts w:eastAsia="Calibri"/>
                <w:noProof/>
                <w:sz w:val="20"/>
                <w:szCs w:val="20"/>
              </w:rPr>
            </w:pPr>
            <w:r>
              <w:rPr>
                <w:rFonts w:eastAsia="Calibri"/>
                <w:noProof/>
                <w:sz w:val="20"/>
                <w:szCs w:val="20"/>
              </w:rPr>
              <w:t>No 1</w:t>
            </w:r>
          </w:p>
        </w:tc>
        <w:tc>
          <w:tcPr>
            <w:tcW w:w="207" w:type="pct"/>
            <w:shd w:val="clear" w:color="auto" w:fill="auto"/>
            <w:vAlign w:val="center"/>
          </w:tcPr>
          <w:p>
            <w:pPr>
              <w:spacing w:before="60" w:after="60"/>
              <w:jc w:val="center"/>
              <w:rPr>
                <w:rFonts w:eastAsia="Calibri"/>
                <w:noProof/>
                <w:sz w:val="20"/>
                <w:szCs w:val="20"/>
              </w:rPr>
            </w:pPr>
            <w:r>
              <w:rPr>
                <w:rFonts w:eastAsia="Calibri"/>
                <w:noProof/>
                <w:sz w:val="20"/>
                <w:szCs w:val="20"/>
              </w:rPr>
              <w:t>No 2</w:t>
            </w:r>
          </w:p>
        </w:tc>
        <w:tc>
          <w:tcPr>
            <w:tcW w:w="218" w:type="pct"/>
            <w:shd w:val="clear" w:color="auto" w:fill="auto"/>
            <w:vAlign w:val="center"/>
          </w:tcPr>
          <w:p>
            <w:pPr>
              <w:spacing w:before="60" w:after="60"/>
              <w:jc w:val="center"/>
              <w:rPr>
                <w:noProof/>
                <w:sz w:val="20"/>
                <w:szCs w:val="20"/>
              </w:rPr>
            </w:pPr>
            <w:r>
              <w:rPr>
                <w:rFonts w:eastAsia="Calibri"/>
                <w:noProof/>
                <w:sz w:val="20"/>
                <w:szCs w:val="20"/>
              </w:rPr>
              <w:t>No 3</w:t>
            </w:r>
          </w:p>
        </w:tc>
        <w:tc>
          <w:tcPr>
            <w:tcW w:w="197" w:type="pct"/>
            <w:shd w:val="clear" w:color="auto" w:fill="auto"/>
            <w:vAlign w:val="center"/>
          </w:tcPr>
          <w:p>
            <w:pPr>
              <w:spacing w:before="60" w:after="60"/>
              <w:jc w:val="center"/>
              <w:rPr>
                <w:rFonts w:eastAsia="Calibri"/>
                <w:noProof/>
                <w:sz w:val="20"/>
                <w:szCs w:val="20"/>
              </w:rPr>
            </w:pPr>
            <w:r>
              <w:rPr>
                <w:noProof/>
                <w:sz w:val="20"/>
                <w:szCs w:val="20"/>
              </w:rPr>
              <w:t>…</w:t>
            </w:r>
          </w:p>
        </w:tc>
        <w:tc>
          <w:tcPr>
            <w:tcW w:w="200" w:type="pct"/>
            <w:shd w:val="clear" w:color="auto" w:fill="auto"/>
            <w:vAlign w:val="center"/>
          </w:tcPr>
          <w:p>
            <w:pPr>
              <w:spacing w:before="60" w:after="60"/>
              <w:jc w:val="center"/>
              <w:rPr>
                <w:rFonts w:eastAsia="Calibri"/>
                <w:noProof/>
                <w:sz w:val="20"/>
                <w:szCs w:val="20"/>
              </w:rPr>
            </w:pPr>
            <w:r>
              <w:rPr>
                <w:rFonts w:eastAsia="Calibri"/>
                <w:noProof/>
                <w:sz w:val="20"/>
                <w:szCs w:val="20"/>
              </w:rPr>
              <w:t>No 1</w:t>
            </w:r>
          </w:p>
        </w:tc>
        <w:tc>
          <w:tcPr>
            <w:tcW w:w="207" w:type="pct"/>
            <w:shd w:val="clear" w:color="auto" w:fill="auto"/>
            <w:vAlign w:val="center"/>
          </w:tcPr>
          <w:p>
            <w:pPr>
              <w:spacing w:before="60" w:after="60"/>
              <w:jc w:val="center"/>
              <w:rPr>
                <w:rFonts w:eastAsia="Calibri"/>
                <w:noProof/>
                <w:sz w:val="20"/>
                <w:szCs w:val="20"/>
              </w:rPr>
            </w:pPr>
            <w:r>
              <w:rPr>
                <w:rFonts w:eastAsia="Calibri"/>
                <w:noProof/>
                <w:sz w:val="20"/>
                <w:szCs w:val="20"/>
              </w:rPr>
              <w:t>No 2</w:t>
            </w:r>
          </w:p>
        </w:tc>
        <w:tc>
          <w:tcPr>
            <w:tcW w:w="219" w:type="pct"/>
            <w:shd w:val="clear" w:color="auto" w:fill="auto"/>
            <w:vAlign w:val="center"/>
          </w:tcPr>
          <w:p>
            <w:pPr>
              <w:spacing w:before="60" w:after="60"/>
              <w:jc w:val="center"/>
              <w:rPr>
                <w:noProof/>
                <w:sz w:val="20"/>
                <w:szCs w:val="20"/>
              </w:rPr>
            </w:pPr>
            <w:r>
              <w:rPr>
                <w:rFonts w:eastAsia="Calibri"/>
                <w:noProof/>
                <w:sz w:val="20"/>
                <w:szCs w:val="20"/>
              </w:rPr>
              <w:t>No 3</w:t>
            </w:r>
          </w:p>
        </w:tc>
        <w:tc>
          <w:tcPr>
            <w:tcW w:w="140" w:type="pct"/>
            <w:shd w:val="clear" w:color="auto" w:fill="auto"/>
            <w:vAlign w:val="center"/>
          </w:tcPr>
          <w:p>
            <w:pPr>
              <w:spacing w:before="60" w:after="60"/>
              <w:jc w:val="center"/>
              <w:rPr>
                <w:rFonts w:eastAsia="Calibri"/>
                <w:noProof/>
                <w:sz w:val="20"/>
                <w:szCs w:val="20"/>
              </w:rPr>
            </w:pPr>
            <w:r>
              <w:rPr>
                <w:noProof/>
                <w:sz w:val="20"/>
                <w:szCs w:val="20"/>
              </w:rPr>
              <w:t>…</w:t>
            </w:r>
          </w:p>
        </w:tc>
        <w:tc>
          <w:tcPr>
            <w:tcW w:w="277" w:type="pct"/>
            <w:shd w:val="clear" w:color="auto" w:fill="auto"/>
            <w:vAlign w:val="center"/>
          </w:tcPr>
          <w:p>
            <w:pPr>
              <w:spacing w:before="60" w:after="60"/>
              <w:jc w:val="center"/>
              <w:rPr>
                <w:rFonts w:eastAsia="Calibri"/>
                <w:noProof/>
                <w:sz w:val="20"/>
                <w:szCs w:val="20"/>
              </w:rPr>
            </w:pPr>
            <w:r>
              <w:rPr>
                <w:rFonts w:eastAsia="Calibri"/>
                <w:noProof/>
                <w:sz w:val="20"/>
                <w:szCs w:val="20"/>
              </w:rPr>
              <w:t>No 1</w:t>
            </w:r>
          </w:p>
        </w:tc>
        <w:tc>
          <w:tcPr>
            <w:tcW w:w="207" w:type="pct"/>
            <w:shd w:val="clear" w:color="auto" w:fill="auto"/>
            <w:vAlign w:val="center"/>
          </w:tcPr>
          <w:p>
            <w:pPr>
              <w:spacing w:before="60" w:after="60"/>
              <w:jc w:val="center"/>
              <w:rPr>
                <w:rFonts w:eastAsia="Calibri"/>
                <w:noProof/>
                <w:sz w:val="20"/>
                <w:szCs w:val="20"/>
              </w:rPr>
            </w:pPr>
            <w:r>
              <w:rPr>
                <w:rFonts w:eastAsia="Calibri"/>
                <w:noProof/>
                <w:sz w:val="20"/>
                <w:szCs w:val="20"/>
              </w:rPr>
              <w:t>No 2</w:t>
            </w:r>
          </w:p>
        </w:tc>
        <w:tc>
          <w:tcPr>
            <w:tcW w:w="207" w:type="pct"/>
            <w:shd w:val="clear" w:color="auto" w:fill="auto"/>
            <w:vAlign w:val="center"/>
          </w:tcPr>
          <w:p>
            <w:pPr>
              <w:spacing w:before="60" w:after="60"/>
              <w:jc w:val="center"/>
              <w:rPr>
                <w:noProof/>
                <w:sz w:val="20"/>
                <w:szCs w:val="20"/>
              </w:rPr>
            </w:pPr>
            <w:r>
              <w:rPr>
                <w:rFonts w:eastAsia="Calibri"/>
                <w:noProof/>
                <w:sz w:val="20"/>
                <w:szCs w:val="20"/>
              </w:rPr>
              <w:t>No 3</w:t>
            </w:r>
          </w:p>
        </w:tc>
        <w:tc>
          <w:tcPr>
            <w:tcW w:w="173" w:type="pct"/>
            <w:shd w:val="clear" w:color="auto" w:fill="auto"/>
            <w:vAlign w:val="center"/>
          </w:tcPr>
          <w:p>
            <w:pPr>
              <w:spacing w:before="60" w:after="60"/>
              <w:jc w:val="center"/>
              <w:rPr>
                <w:rFonts w:eastAsia="Calibri"/>
                <w:noProof/>
                <w:sz w:val="20"/>
                <w:szCs w:val="20"/>
              </w:rPr>
            </w:pPr>
            <w:r>
              <w:rPr>
                <w:noProof/>
                <w:sz w:val="20"/>
                <w:szCs w:val="20"/>
              </w:rPr>
              <w:t>…</w:t>
            </w:r>
          </w:p>
        </w:tc>
        <w:tc>
          <w:tcPr>
            <w:tcW w:w="265" w:type="pct"/>
            <w:shd w:val="clear" w:color="auto" w:fill="auto"/>
            <w:vAlign w:val="center"/>
          </w:tcPr>
          <w:p>
            <w:pPr>
              <w:spacing w:before="60" w:after="60"/>
              <w:jc w:val="center"/>
              <w:rPr>
                <w:rFonts w:eastAsia="Calibri"/>
                <w:noProof/>
                <w:sz w:val="20"/>
                <w:szCs w:val="20"/>
              </w:rPr>
            </w:pPr>
          </w:p>
        </w:tc>
      </w:tr>
      <w:tr>
        <w:trPr>
          <w:trHeight w:val="20"/>
        </w:trPr>
        <w:tc>
          <w:tcPr>
            <w:tcW w:w="454" w:type="pct"/>
            <w:shd w:val="clear" w:color="auto" w:fill="auto"/>
            <w:vAlign w:val="center"/>
          </w:tcPr>
          <w:p>
            <w:pPr>
              <w:spacing w:before="60" w:after="60"/>
              <w:jc w:val="center"/>
              <w:rPr>
                <w:rFonts w:eastAsia="Calibri"/>
                <w:noProof/>
                <w:sz w:val="20"/>
                <w:szCs w:val="20"/>
              </w:rPr>
            </w:pPr>
            <w:r>
              <w:rPr>
                <w:rFonts w:eastAsia="Calibri"/>
                <w:noProof/>
                <w:sz w:val="20"/>
                <w:szCs w:val="20"/>
              </w:rPr>
              <w:t>(1)</w:t>
            </w:r>
          </w:p>
        </w:tc>
        <w:tc>
          <w:tcPr>
            <w:tcW w:w="201" w:type="pct"/>
            <w:shd w:val="clear" w:color="auto" w:fill="auto"/>
            <w:vAlign w:val="center"/>
          </w:tcPr>
          <w:p>
            <w:pPr>
              <w:spacing w:before="60" w:after="60"/>
              <w:jc w:val="center"/>
              <w:rPr>
                <w:rFonts w:eastAsia="Calibri"/>
                <w:noProof/>
                <w:sz w:val="20"/>
                <w:szCs w:val="20"/>
              </w:rPr>
            </w:pPr>
            <w:r>
              <w:rPr>
                <w:rFonts w:eastAsia="Calibri"/>
                <w:noProof/>
                <w:sz w:val="20"/>
                <w:szCs w:val="20"/>
              </w:rPr>
              <w:t>(2)</w:t>
            </w:r>
          </w:p>
        </w:tc>
        <w:tc>
          <w:tcPr>
            <w:tcW w:w="327" w:type="pct"/>
            <w:shd w:val="clear" w:color="auto" w:fill="auto"/>
            <w:vAlign w:val="center"/>
          </w:tcPr>
          <w:p>
            <w:pPr>
              <w:spacing w:before="60" w:after="60"/>
              <w:jc w:val="center"/>
              <w:rPr>
                <w:rFonts w:eastAsia="Calibri"/>
                <w:noProof/>
                <w:sz w:val="20"/>
                <w:szCs w:val="20"/>
              </w:rPr>
            </w:pPr>
            <w:r>
              <w:rPr>
                <w:rFonts w:eastAsia="Calibri"/>
                <w:noProof/>
                <w:sz w:val="20"/>
                <w:szCs w:val="20"/>
              </w:rPr>
              <w:t>(3)</w:t>
            </w:r>
          </w:p>
        </w:tc>
        <w:tc>
          <w:tcPr>
            <w:tcW w:w="397" w:type="pct"/>
            <w:shd w:val="clear" w:color="auto" w:fill="auto"/>
            <w:vAlign w:val="center"/>
          </w:tcPr>
          <w:p>
            <w:pPr>
              <w:spacing w:before="60" w:after="60"/>
              <w:jc w:val="center"/>
              <w:rPr>
                <w:rFonts w:eastAsia="Calibri"/>
                <w:noProof/>
                <w:sz w:val="20"/>
                <w:szCs w:val="20"/>
              </w:rPr>
            </w:pPr>
            <w:r>
              <w:rPr>
                <w:rFonts w:eastAsia="Calibri"/>
                <w:noProof/>
                <w:sz w:val="20"/>
                <w:szCs w:val="20"/>
              </w:rPr>
              <w:t>(4)</w:t>
            </w:r>
          </w:p>
        </w:tc>
        <w:tc>
          <w:tcPr>
            <w:tcW w:w="191" w:type="pct"/>
            <w:shd w:val="clear" w:color="auto" w:fill="auto"/>
            <w:vAlign w:val="center"/>
          </w:tcPr>
          <w:p>
            <w:pPr>
              <w:spacing w:before="60" w:after="60"/>
              <w:jc w:val="center"/>
              <w:rPr>
                <w:rFonts w:eastAsia="Calibri"/>
                <w:noProof/>
                <w:sz w:val="20"/>
                <w:szCs w:val="20"/>
              </w:rPr>
            </w:pPr>
            <w:r>
              <w:rPr>
                <w:rFonts w:eastAsia="Calibri"/>
                <w:noProof/>
                <w:sz w:val="20"/>
                <w:szCs w:val="20"/>
              </w:rPr>
              <w:t>(5)</w:t>
            </w:r>
          </w:p>
        </w:tc>
        <w:tc>
          <w:tcPr>
            <w:tcW w:w="311" w:type="pct"/>
            <w:shd w:val="clear" w:color="auto" w:fill="auto"/>
            <w:vAlign w:val="center"/>
          </w:tcPr>
          <w:p>
            <w:pPr>
              <w:spacing w:before="60" w:after="60"/>
              <w:jc w:val="center"/>
              <w:rPr>
                <w:rFonts w:eastAsia="Calibri"/>
                <w:noProof/>
                <w:sz w:val="20"/>
                <w:szCs w:val="20"/>
              </w:rPr>
            </w:pPr>
            <w:r>
              <w:rPr>
                <w:rFonts w:eastAsia="Calibri"/>
                <w:noProof/>
                <w:sz w:val="20"/>
                <w:szCs w:val="20"/>
              </w:rPr>
              <w:t>(5)</w:t>
            </w:r>
          </w:p>
        </w:tc>
        <w:tc>
          <w:tcPr>
            <w:tcW w:w="207" w:type="pct"/>
            <w:shd w:val="clear" w:color="auto" w:fill="auto"/>
            <w:vAlign w:val="center"/>
          </w:tcPr>
          <w:p>
            <w:pPr>
              <w:spacing w:before="60" w:after="60"/>
              <w:jc w:val="center"/>
              <w:rPr>
                <w:rFonts w:eastAsia="Calibri"/>
                <w:noProof/>
                <w:sz w:val="20"/>
                <w:szCs w:val="20"/>
              </w:rPr>
            </w:pPr>
            <w:r>
              <w:rPr>
                <w:rFonts w:eastAsia="Calibri"/>
                <w:noProof/>
                <w:sz w:val="20"/>
                <w:szCs w:val="20"/>
              </w:rPr>
              <w:t>(5)</w:t>
            </w:r>
          </w:p>
        </w:tc>
        <w:tc>
          <w:tcPr>
            <w:tcW w:w="202" w:type="pct"/>
            <w:shd w:val="clear" w:color="auto" w:fill="auto"/>
            <w:vAlign w:val="center"/>
          </w:tcPr>
          <w:p>
            <w:pPr>
              <w:spacing w:before="60" w:after="60"/>
              <w:jc w:val="center"/>
              <w:rPr>
                <w:noProof/>
                <w:sz w:val="20"/>
                <w:szCs w:val="20"/>
              </w:rPr>
            </w:pPr>
            <w:r>
              <w:rPr>
                <w:rFonts w:eastAsia="Calibri"/>
                <w:noProof/>
                <w:sz w:val="20"/>
                <w:szCs w:val="20"/>
              </w:rPr>
              <w:t>(5)</w:t>
            </w:r>
          </w:p>
        </w:tc>
        <w:tc>
          <w:tcPr>
            <w:tcW w:w="193" w:type="pct"/>
            <w:shd w:val="clear" w:color="auto" w:fill="auto"/>
            <w:vAlign w:val="center"/>
          </w:tcPr>
          <w:p>
            <w:pPr>
              <w:spacing w:before="60" w:after="60"/>
              <w:jc w:val="center"/>
              <w:rPr>
                <w:rFonts w:eastAsia="Calibri"/>
                <w:noProof/>
                <w:sz w:val="20"/>
                <w:szCs w:val="20"/>
              </w:rPr>
            </w:pPr>
            <w:r>
              <w:rPr>
                <w:rFonts w:eastAsia="Calibri"/>
                <w:noProof/>
                <w:sz w:val="20"/>
                <w:szCs w:val="20"/>
              </w:rPr>
              <w:t>(6)</w:t>
            </w:r>
          </w:p>
        </w:tc>
        <w:tc>
          <w:tcPr>
            <w:tcW w:w="207" w:type="pct"/>
            <w:shd w:val="clear" w:color="auto" w:fill="auto"/>
            <w:vAlign w:val="center"/>
          </w:tcPr>
          <w:p>
            <w:pPr>
              <w:spacing w:before="60" w:after="60"/>
              <w:jc w:val="center"/>
              <w:rPr>
                <w:rFonts w:eastAsia="Calibri"/>
                <w:noProof/>
                <w:sz w:val="20"/>
                <w:szCs w:val="20"/>
              </w:rPr>
            </w:pPr>
            <w:r>
              <w:rPr>
                <w:rFonts w:eastAsia="Calibri"/>
                <w:noProof/>
                <w:sz w:val="20"/>
                <w:szCs w:val="20"/>
              </w:rPr>
              <w:t>(6)</w:t>
            </w:r>
          </w:p>
        </w:tc>
        <w:tc>
          <w:tcPr>
            <w:tcW w:w="218" w:type="pct"/>
            <w:shd w:val="clear" w:color="auto" w:fill="auto"/>
            <w:vAlign w:val="center"/>
          </w:tcPr>
          <w:p>
            <w:pPr>
              <w:spacing w:before="60" w:after="60"/>
              <w:jc w:val="center"/>
              <w:rPr>
                <w:rFonts w:eastAsia="Calibri"/>
                <w:noProof/>
                <w:sz w:val="20"/>
                <w:szCs w:val="20"/>
              </w:rPr>
            </w:pPr>
            <w:r>
              <w:rPr>
                <w:rFonts w:eastAsia="Calibri"/>
                <w:noProof/>
                <w:sz w:val="20"/>
                <w:szCs w:val="20"/>
              </w:rPr>
              <w:t>(6)</w:t>
            </w:r>
          </w:p>
        </w:tc>
        <w:tc>
          <w:tcPr>
            <w:tcW w:w="197" w:type="pct"/>
            <w:shd w:val="clear" w:color="auto" w:fill="auto"/>
            <w:vAlign w:val="center"/>
          </w:tcPr>
          <w:p>
            <w:pPr>
              <w:spacing w:before="60" w:after="60"/>
              <w:jc w:val="center"/>
              <w:rPr>
                <w:noProof/>
                <w:sz w:val="20"/>
                <w:szCs w:val="20"/>
              </w:rPr>
            </w:pPr>
            <w:r>
              <w:rPr>
                <w:rFonts w:eastAsia="Calibri"/>
                <w:noProof/>
                <w:sz w:val="20"/>
                <w:szCs w:val="20"/>
              </w:rPr>
              <w:t>(6)</w:t>
            </w:r>
          </w:p>
        </w:tc>
        <w:tc>
          <w:tcPr>
            <w:tcW w:w="200" w:type="pct"/>
            <w:shd w:val="clear" w:color="auto" w:fill="auto"/>
            <w:vAlign w:val="center"/>
          </w:tcPr>
          <w:p>
            <w:pPr>
              <w:spacing w:before="60" w:after="60"/>
              <w:jc w:val="center"/>
              <w:rPr>
                <w:rFonts w:eastAsia="Calibri"/>
                <w:noProof/>
                <w:sz w:val="20"/>
                <w:szCs w:val="20"/>
              </w:rPr>
            </w:pPr>
            <w:r>
              <w:rPr>
                <w:rFonts w:eastAsia="Calibri"/>
                <w:noProof/>
                <w:sz w:val="20"/>
                <w:szCs w:val="20"/>
              </w:rPr>
              <w:t>(7)</w:t>
            </w:r>
          </w:p>
        </w:tc>
        <w:tc>
          <w:tcPr>
            <w:tcW w:w="207" w:type="pct"/>
            <w:shd w:val="clear" w:color="auto" w:fill="auto"/>
            <w:vAlign w:val="center"/>
          </w:tcPr>
          <w:p>
            <w:pPr>
              <w:spacing w:before="60" w:after="60"/>
              <w:jc w:val="center"/>
              <w:rPr>
                <w:rFonts w:eastAsia="Calibri"/>
                <w:noProof/>
                <w:sz w:val="20"/>
                <w:szCs w:val="20"/>
              </w:rPr>
            </w:pPr>
            <w:r>
              <w:rPr>
                <w:rFonts w:eastAsia="Calibri"/>
                <w:noProof/>
                <w:sz w:val="20"/>
                <w:szCs w:val="20"/>
              </w:rPr>
              <w:t>(7)</w:t>
            </w:r>
          </w:p>
        </w:tc>
        <w:tc>
          <w:tcPr>
            <w:tcW w:w="219" w:type="pct"/>
            <w:shd w:val="clear" w:color="auto" w:fill="auto"/>
            <w:vAlign w:val="center"/>
          </w:tcPr>
          <w:p>
            <w:pPr>
              <w:spacing w:before="60" w:after="60"/>
              <w:jc w:val="center"/>
              <w:rPr>
                <w:rFonts w:eastAsia="Calibri"/>
                <w:noProof/>
                <w:sz w:val="20"/>
                <w:szCs w:val="20"/>
              </w:rPr>
            </w:pPr>
            <w:r>
              <w:rPr>
                <w:rFonts w:eastAsia="Calibri"/>
                <w:noProof/>
                <w:sz w:val="20"/>
                <w:szCs w:val="20"/>
              </w:rPr>
              <w:t>(7)</w:t>
            </w:r>
          </w:p>
        </w:tc>
        <w:tc>
          <w:tcPr>
            <w:tcW w:w="140" w:type="pct"/>
            <w:shd w:val="clear" w:color="auto" w:fill="auto"/>
            <w:vAlign w:val="center"/>
          </w:tcPr>
          <w:p>
            <w:pPr>
              <w:spacing w:before="60" w:after="60"/>
              <w:jc w:val="center"/>
              <w:rPr>
                <w:noProof/>
                <w:sz w:val="20"/>
                <w:szCs w:val="20"/>
              </w:rPr>
            </w:pPr>
            <w:r>
              <w:rPr>
                <w:rFonts w:eastAsia="Calibri"/>
                <w:noProof/>
                <w:sz w:val="20"/>
                <w:szCs w:val="20"/>
              </w:rPr>
              <w:t>(7)</w:t>
            </w:r>
          </w:p>
        </w:tc>
        <w:tc>
          <w:tcPr>
            <w:tcW w:w="277" w:type="pct"/>
            <w:shd w:val="clear" w:color="auto" w:fill="auto"/>
            <w:vAlign w:val="center"/>
          </w:tcPr>
          <w:p>
            <w:pPr>
              <w:spacing w:before="60" w:after="60"/>
              <w:jc w:val="center"/>
              <w:rPr>
                <w:rFonts w:eastAsia="Calibri"/>
                <w:noProof/>
                <w:sz w:val="20"/>
                <w:szCs w:val="20"/>
              </w:rPr>
            </w:pPr>
            <w:r>
              <w:rPr>
                <w:rFonts w:eastAsia="Calibri"/>
                <w:noProof/>
                <w:sz w:val="20"/>
                <w:szCs w:val="20"/>
              </w:rPr>
              <w:t>(8)</w:t>
            </w:r>
          </w:p>
        </w:tc>
        <w:tc>
          <w:tcPr>
            <w:tcW w:w="207" w:type="pct"/>
            <w:shd w:val="clear" w:color="auto" w:fill="auto"/>
            <w:vAlign w:val="center"/>
          </w:tcPr>
          <w:p>
            <w:pPr>
              <w:spacing w:before="60" w:after="60"/>
              <w:jc w:val="center"/>
              <w:rPr>
                <w:rFonts w:eastAsia="Calibri"/>
                <w:noProof/>
                <w:sz w:val="20"/>
                <w:szCs w:val="20"/>
              </w:rPr>
            </w:pPr>
            <w:r>
              <w:rPr>
                <w:rFonts w:eastAsia="Calibri"/>
                <w:noProof/>
                <w:sz w:val="20"/>
                <w:szCs w:val="20"/>
              </w:rPr>
              <w:t>(8)</w:t>
            </w:r>
          </w:p>
        </w:tc>
        <w:tc>
          <w:tcPr>
            <w:tcW w:w="207" w:type="pct"/>
            <w:shd w:val="clear" w:color="auto" w:fill="auto"/>
            <w:vAlign w:val="center"/>
          </w:tcPr>
          <w:p>
            <w:pPr>
              <w:spacing w:before="60" w:after="60"/>
              <w:jc w:val="center"/>
              <w:rPr>
                <w:rFonts w:eastAsia="Calibri"/>
                <w:noProof/>
                <w:sz w:val="20"/>
                <w:szCs w:val="20"/>
              </w:rPr>
            </w:pPr>
            <w:r>
              <w:rPr>
                <w:rFonts w:eastAsia="Calibri"/>
                <w:noProof/>
                <w:sz w:val="20"/>
                <w:szCs w:val="20"/>
              </w:rPr>
              <w:t>(8)</w:t>
            </w:r>
          </w:p>
        </w:tc>
        <w:tc>
          <w:tcPr>
            <w:tcW w:w="173" w:type="pct"/>
            <w:shd w:val="clear" w:color="auto" w:fill="auto"/>
            <w:vAlign w:val="center"/>
          </w:tcPr>
          <w:p>
            <w:pPr>
              <w:spacing w:before="60" w:after="60"/>
              <w:jc w:val="center"/>
              <w:rPr>
                <w:noProof/>
                <w:sz w:val="20"/>
                <w:szCs w:val="20"/>
              </w:rPr>
            </w:pPr>
            <w:r>
              <w:rPr>
                <w:rFonts w:eastAsia="Calibri"/>
                <w:noProof/>
                <w:sz w:val="20"/>
                <w:szCs w:val="20"/>
              </w:rPr>
              <w:t>(8)</w:t>
            </w:r>
          </w:p>
        </w:tc>
        <w:tc>
          <w:tcPr>
            <w:tcW w:w="265" w:type="pct"/>
            <w:shd w:val="clear" w:color="auto" w:fill="auto"/>
            <w:vAlign w:val="center"/>
          </w:tcPr>
          <w:p>
            <w:pPr>
              <w:spacing w:before="60" w:after="60"/>
              <w:jc w:val="center"/>
              <w:rPr>
                <w:rFonts w:eastAsia="Calibri"/>
                <w:noProof/>
                <w:sz w:val="20"/>
                <w:szCs w:val="20"/>
              </w:rPr>
            </w:pPr>
            <w:r>
              <w:rPr>
                <w:rFonts w:eastAsia="Calibri"/>
                <w:noProof/>
                <w:sz w:val="20"/>
                <w:szCs w:val="20"/>
              </w:rPr>
              <w:t>(9)</w:t>
            </w:r>
          </w:p>
        </w:tc>
      </w:tr>
    </w:tbl>
    <w:p>
      <w:pPr>
        <w:rPr>
          <w:rFonts w:eastAsia="Calibri"/>
          <w:noProof/>
        </w:rPr>
      </w:pPr>
    </w:p>
    <w:p>
      <w:pPr>
        <w:pStyle w:val="NormalCentered"/>
        <w:rPr>
          <w:rFonts w:eastAsia="Calibri"/>
          <w:noProof/>
        </w:rPr>
      </w:pPr>
      <w:r>
        <w:rPr>
          <w:rFonts w:eastAsia="Calibri"/>
          <w:noProof/>
        </w:rPr>
        <w:br w:type="page"/>
      </w:r>
      <w:r>
        <w:rPr>
          <w:rFonts w:eastAsia="Calibri"/>
          <w:noProof/>
        </w:rPr>
        <w:lastRenderedPageBreak/>
        <w:t>Table V</w:t>
      </w:r>
      <w:r>
        <w:rPr>
          <w:rFonts w:eastAsia="Calibri"/>
          <w:noProof/>
        </w:rPr>
        <w:br/>
        <w:t>Data format for vessel</w:t>
      </w:r>
      <w:r>
        <w:rPr>
          <w:rFonts w:eastAsia="Calibri"/>
          <w:noProof/>
        </w:rPr>
        <w:noBreakHyphen/>
        <w:t>related information</w:t>
      </w:r>
    </w:p>
    <w:tbl>
      <w:tblPr>
        <w:tblW w:w="0" w:type="auto"/>
        <w:tblLook w:val="0000" w:firstRow="0" w:lastRow="0" w:firstColumn="0" w:lastColumn="0" w:noHBand="0" w:noVBand="0"/>
      </w:tblPr>
      <w:tblGrid>
        <w:gridCol w:w="2946"/>
        <w:gridCol w:w="2051"/>
        <w:gridCol w:w="2051"/>
        <w:gridCol w:w="7738"/>
      </w:tblGrid>
      <w:tr>
        <w:trPr>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Name of field</w:t>
            </w:r>
          </w:p>
        </w:tc>
        <w:tc>
          <w:tcPr>
            <w:tcW w:w="20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Maximum number of characters/digits</w:t>
            </w:r>
          </w:p>
        </w:tc>
        <w:tc>
          <w:tcPr>
            <w:tcW w:w="20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Alignment</w:t>
            </w:r>
            <w:r>
              <w:rPr>
                <w:rFonts w:eastAsia="Calibri"/>
                <w:b/>
                <w:bCs/>
                <w:noProof/>
                <w:vertAlign w:val="superscript"/>
              </w:rPr>
              <w:t>(1)</w:t>
            </w:r>
          </w:p>
          <w:p>
            <w:pPr>
              <w:spacing w:before="60" w:after="60"/>
              <w:jc w:val="center"/>
              <w:rPr>
                <w:rFonts w:eastAsia="Calibri"/>
                <w:noProof/>
              </w:rPr>
            </w:pPr>
            <w:r>
              <w:rPr>
                <w:rFonts w:eastAsia="Calibri"/>
                <w:noProof/>
              </w:rPr>
              <w:t>L(eft)/R(ight)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Definition and comments</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(1)</w:t>
            </w:r>
            <w:r>
              <w:rPr>
                <w:rFonts w:eastAsia="Calibri"/>
                <w:noProof/>
              </w:rPr>
              <w:tab/>
              <w:t>Member State</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Member State (Alpha</w:t>
            </w:r>
            <w:r>
              <w:rPr>
                <w:rFonts w:eastAsia="Calibri"/>
                <w:noProof/>
              </w:rPr>
              <w:noBreakHyphen/>
              <w:t>3 ISO code) in which vessel is registered</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(2)</w:t>
            </w:r>
            <w:r>
              <w:rPr>
                <w:rFonts w:eastAsia="Calibri"/>
                <w:noProof/>
              </w:rPr>
              <w:tab/>
              <w:t>CFR</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12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Union fishing fleet register number (CFR)</w:t>
            </w:r>
          </w:p>
          <w:p>
            <w:pPr>
              <w:spacing w:before="60" w:after="60"/>
              <w:rPr>
                <w:rFonts w:eastAsia="Calibri"/>
                <w:noProof/>
              </w:rPr>
            </w:pPr>
            <w:r>
              <w:rPr>
                <w:rFonts w:eastAsia="Calibri"/>
                <w:noProof/>
              </w:rPr>
              <w:t>Unique identification number of a fishing vessel</w:t>
            </w:r>
          </w:p>
          <w:p>
            <w:pPr>
              <w:spacing w:before="60" w:after="60"/>
              <w:rPr>
                <w:rFonts w:eastAsia="Calibri"/>
                <w:noProof/>
              </w:rPr>
            </w:pPr>
            <w:r>
              <w:rPr>
                <w:rFonts w:eastAsia="Calibri"/>
                <w:noProof/>
              </w:rPr>
              <w:t>Member State (Alpha</w:t>
            </w:r>
            <w:r>
              <w:rPr>
                <w:rFonts w:eastAsia="Calibri"/>
                <w:noProof/>
              </w:rPr>
              <w:noBreakHyphen/>
              <w:t>3 ISO code) followed by an identifying series (9 characters). Where a series has fewer than 9 characters, additional zeros shall be inserted on the left hand side</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(3)</w:t>
            </w:r>
            <w:r>
              <w:rPr>
                <w:rFonts w:eastAsia="Calibri"/>
                <w:noProof/>
              </w:rPr>
              <w:tab/>
              <w:t>External marking</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14</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 xml:space="preserve">Under </w:t>
            </w:r>
            <w:r>
              <w:rPr>
                <w:noProof/>
              </w:rPr>
              <w:t xml:space="preserve">Commission </w:t>
            </w:r>
            <w:r>
              <w:rPr>
                <w:rFonts w:eastAsia="Calibri"/>
                <w:noProof/>
              </w:rPr>
              <w:t>Regulation (EEC) No 1381/87</w:t>
            </w:r>
            <w:r>
              <w:rPr>
                <w:rFonts w:eastAsia="Calibri"/>
                <w:b/>
                <w:bCs/>
                <w:noProof/>
                <w:vertAlign w:val="superscript"/>
              </w:rPr>
              <w:t>(2)</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(4)</w:t>
            </w:r>
            <w:r>
              <w:rPr>
                <w:rFonts w:eastAsia="Calibri"/>
                <w:noProof/>
              </w:rPr>
              <w:tab/>
              <w:t>Length of management period</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Length of the management period measured in months</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(5)</w:t>
            </w:r>
            <w:r>
              <w:rPr>
                <w:rFonts w:eastAsia="Calibri"/>
                <w:noProof/>
              </w:rPr>
              <w:tab/>
              <w:t>Gears notified</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One of the following gear types:</w:t>
            </w:r>
          </w:p>
          <w:p>
            <w:pPr>
              <w:spacing w:before="60" w:after="60"/>
              <w:rPr>
                <w:rFonts w:eastAsia="Calibri"/>
                <w:noProof/>
              </w:rPr>
            </w:pPr>
            <w:r>
              <w:rPr>
                <w:rFonts w:eastAsia="Calibri"/>
                <w:noProof/>
              </w:rPr>
              <w:t>TR = trawls, Danish seines and similar gear ≥ 32 mm</w:t>
            </w:r>
          </w:p>
          <w:p>
            <w:pPr>
              <w:spacing w:before="60" w:after="60"/>
              <w:rPr>
                <w:rFonts w:eastAsia="Calibri"/>
                <w:noProof/>
                <w:lang w:val="sv-SE"/>
              </w:rPr>
            </w:pPr>
            <w:r>
              <w:rPr>
                <w:rFonts w:eastAsia="Calibri"/>
                <w:noProof/>
                <w:lang w:val="sv-SE"/>
              </w:rPr>
              <w:t>GN = gillnets ≥ 60 mm</w:t>
            </w:r>
          </w:p>
          <w:p>
            <w:pPr>
              <w:spacing w:before="60" w:after="60"/>
              <w:rPr>
                <w:rFonts w:eastAsia="Calibri"/>
                <w:noProof/>
                <w:lang w:val="sv-SE"/>
              </w:rPr>
            </w:pPr>
            <w:r>
              <w:rPr>
                <w:rFonts w:eastAsia="Calibri"/>
                <w:noProof/>
                <w:lang w:val="sv-SE"/>
              </w:rPr>
              <w:t>LL = bottom longlines</w:t>
            </w:r>
          </w:p>
        </w:tc>
      </w:tr>
      <w:t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rFonts w:eastAsia="Calibri"/>
                <w:noProof/>
              </w:rPr>
            </w:pPr>
            <w:r>
              <w:rPr>
                <w:rFonts w:eastAsia="Calibri"/>
                <w:noProof/>
              </w:rPr>
              <w:lastRenderedPageBreak/>
              <w:t>(6)</w:t>
            </w:r>
            <w:r>
              <w:rPr>
                <w:rFonts w:eastAsia="Calibri"/>
                <w:noProof/>
              </w:rPr>
              <w:tab/>
              <w:t>Special condition applying to notified gear(s)</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2</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Indication of which, if any, of the special condition referred to in point 6.1.(a) or (b) of Annex IIB that apply</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(7)</w:t>
            </w:r>
            <w:r>
              <w:rPr>
                <w:rFonts w:eastAsia="Calibri"/>
                <w:noProof/>
              </w:rPr>
              <w:tab/>
              <w:t>Days eligible using notified gear(s)</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Number of days for which the vessel is eligible under Annex IIB for the choice of gears and length of management period notified</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(8)</w:t>
            </w:r>
            <w:r>
              <w:rPr>
                <w:rFonts w:eastAsia="Calibri"/>
                <w:noProof/>
              </w:rPr>
              <w:tab/>
              <w:t>Days spent with notified gear(s)</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3</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Number of days the vessel actually spent present within the area and using gear corresponding to gear notified during the notified management period</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(9)</w:t>
            </w:r>
            <w:r>
              <w:rPr>
                <w:rFonts w:eastAsia="Calibri"/>
                <w:noProof/>
              </w:rPr>
              <w:tab/>
              <w:t>Transfers of days</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4</w:t>
            </w:r>
          </w:p>
        </w:tc>
        <w:tc>
          <w:tcPr>
            <w:tcW w:w="20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For days transferred indicate ‘– number of days transferred’ and for days received indicate ‘+ number of days transferred’</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noProof/>
              </w:rPr>
            </w:pPr>
            <w:r>
              <w:rPr>
                <w:b/>
                <w:bCs/>
                <w:noProof/>
                <w:vertAlign w:val="superscript"/>
              </w:rPr>
              <w:t>(1)</w:t>
            </w:r>
            <w:r>
              <w:rPr>
                <w:noProof/>
              </w:rPr>
              <w:tab/>
              <w:t>Information relevant for transmission of data by fixed-length formatting.</w:t>
            </w:r>
          </w:p>
          <w:p>
            <w:pPr>
              <w:spacing w:before="0" w:after="0"/>
              <w:ind w:left="567" w:hanging="567"/>
              <w:rPr>
                <w:rFonts w:eastAsia="Calibri"/>
                <w:noProof/>
              </w:rPr>
            </w:pPr>
            <w:r>
              <w:rPr>
                <w:b/>
                <w:bCs/>
                <w:noProof/>
                <w:vertAlign w:val="superscript"/>
              </w:rPr>
              <w:t>(2)</w:t>
            </w:r>
            <w:r>
              <w:rPr>
                <w:noProof/>
              </w:rPr>
              <w:tab/>
              <w:t>Commission Regulation (EEC) No 1381/87 of 20 May 1987 establishing detailed rules concerning the marking and documentation of fishing vessels (OJ L 132, 21.5.1987, p. 9).</w:t>
            </w:r>
          </w:p>
        </w:tc>
      </w:tr>
    </w:tbl>
    <w:p>
      <w:pPr>
        <w:pStyle w:val="LignefinalLandscape"/>
        <w:rPr>
          <w:rFonts w:eastAsia="Calibri"/>
          <w:noProof/>
        </w:rPr>
      </w:pPr>
    </w:p>
    <w:p>
      <w:pPr>
        <w:rPr>
          <w:rFonts w:eastAsia="Calibri"/>
          <w:noProof/>
        </w:rPr>
        <w:sectPr>
          <w:headerReference w:type="default" r:id="rId17"/>
          <w:footerReference w:type="default" r:id="rId18"/>
          <w:headerReference w:type="first" r:id="rId19"/>
          <w:footerReference w:type="first" r:id="rId20"/>
          <w:footnotePr>
            <w:numRestart w:val="eachPage"/>
          </w:footnotePr>
          <w:pgSz w:w="16838" w:h="11906" w:orient="landscape"/>
          <w:pgMar w:top="1134" w:right="1134" w:bottom="1134" w:left="1134" w:header="567" w:footer="567" w:gutter="0"/>
          <w:cols w:space="720"/>
          <w:docGrid w:linePitch="326"/>
        </w:sectPr>
      </w:pPr>
    </w:p>
    <w:p>
      <w:pPr>
        <w:pStyle w:val="Annexetitre"/>
        <w:rPr>
          <w:rFonts w:eastAsia="Calibri"/>
          <w:noProof/>
        </w:rPr>
      </w:pPr>
      <w:r>
        <w:rPr>
          <w:rFonts w:eastAsia="Calibri"/>
          <w:noProof/>
        </w:rPr>
        <w:lastRenderedPageBreak/>
        <w:t>ANNEX IIC</w:t>
      </w:r>
    </w:p>
    <w:p>
      <w:pPr>
        <w:pStyle w:val="NormalCentered"/>
        <w:rPr>
          <w:rFonts w:eastAsia="Calibri"/>
          <w:noProof/>
        </w:rPr>
      </w:pPr>
      <w:r>
        <w:rPr>
          <w:rFonts w:eastAsia="Calibri"/>
          <w:noProof/>
        </w:rPr>
        <w:t xml:space="preserve">FISHING EFFORT FOR VESSELS IN THE CONTEXT </w:t>
      </w:r>
      <w:r>
        <w:rPr>
          <w:rFonts w:eastAsia="Calibri"/>
          <w:noProof/>
        </w:rPr>
        <w:br/>
        <w:t xml:space="preserve">OF THE MANAGEMENT OF WESTERN CHANNEL </w:t>
      </w:r>
      <w:r>
        <w:rPr>
          <w:rFonts w:eastAsia="Calibri"/>
          <w:noProof/>
        </w:rPr>
        <w:br/>
        <w:t>SOLE STOCKS IN ICES DIVISION VIIe</w:t>
      </w:r>
    </w:p>
    <w:p>
      <w:pPr>
        <w:pStyle w:val="ChapterTitle"/>
        <w:rPr>
          <w:rFonts w:eastAsia="Calibri"/>
          <w:noProof/>
        </w:rPr>
      </w:pPr>
      <w:r>
        <w:rPr>
          <w:rFonts w:eastAsia="Calibri"/>
          <w:noProof/>
        </w:rPr>
        <w:t>Chapter I</w:t>
      </w:r>
      <w:r>
        <w:rPr>
          <w:rFonts w:eastAsia="Calibri"/>
          <w:noProof/>
        </w:rPr>
        <w:br/>
        <w:t>General provisions</w:t>
      </w:r>
    </w:p>
    <w:p>
      <w:pPr>
        <w:pStyle w:val="Point0"/>
        <w:rPr>
          <w:rFonts w:eastAsia="Calibri"/>
          <w:noProof/>
        </w:rPr>
      </w:pPr>
      <w:r>
        <w:rPr>
          <w:rFonts w:eastAsia="Calibri"/>
          <w:noProof/>
        </w:rPr>
        <w:t>1.</w:t>
      </w:r>
      <w:r>
        <w:rPr>
          <w:rFonts w:eastAsia="Calibri"/>
          <w:noProof/>
        </w:rPr>
        <w:tab/>
        <w:t>SCOPE</w:t>
      </w:r>
    </w:p>
    <w:p>
      <w:pPr>
        <w:pStyle w:val="Point0"/>
        <w:rPr>
          <w:rFonts w:eastAsia="Calibri"/>
          <w:noProof/>
        </w:rPr>
      </w:pPr>
      <w:r>
        <w:rPr>
          <w:rFonts w:eastAsia="Calibri"/>
          <w:noProof/>
        </w:rPr>
        <w:t>1.1.</w:t>
      </w:r>
      <w:r>
        <w:rPr>
          <w:rFonts w:eastAsia="Calibri"/>
          <w:noProof/>
        </w:rPr>
        <w:tab/>
        <w:t>This Annex shall apply to Union vessels of 10 metres length overall or more carrying on board or deploying beam trawls of mesh size equal to or greater than 80 mm and static nets including gill</w:t>
      </w:r>
      <w:r>
        <w:rPr>
          <w:rFonts w:eastAsia="Calibri"/>
          <w:noProof/>
        </w:rPr>
        <w:noBreakHyphen/>
        <w:t>nets, trammel</w:t>
      </w:r>
      <w:r>
        <w:rPr>
          <w:rFonts w:eastAsia="Calibri"/>
          <w:noProof/>
        </w:rPr>
        <w:noBreakHyphen/>
        <w:t>nets and tangle</w:t>
      </w:r>
      <w:r>
        <w:rPr>
          <w:rFonts w:eastAsia="Calibri"/>
          <w:noProof/>
        </w:rPr>
        <w:noBreakHyphen/>
        <w:t>nets with mesh size equal to or less than 220 mm in accordance with Regulation (EC) No 509/2007, and present in ICES division VIIe.</w:t>
      </w:r>
    </w:p>
    <w:p>
      <w:pPr>
        <w:pStyle w:val="Point0"/>
        <w:rPr>
          <w:rFonts w:eastAsia="Calibri"/>
          <w:noProof/>
        </w:rPr>
      </w:pPr>
      <w:r>
        <w:rPr>
          <w:rFonts w:eastAsia="Calibri"/>
          <w:noProof/>
        </w:rPr>
        <w:t>1.2.</w:t>
      </w:r>
      <w:r>
        <w:rPr>
          <w:rFonts w:eastAsia="Calibri"/>
          <w:noProof/>
        </w:rPr>
        <w:tab/>
        <w:t>Vessels fishing with static nets with mesh size equal to or larger than 120 mm and with track records of less than 300 kg live weight of sole per year during the three previous years, according to their fishing records, shall be exempt from the application of this Annex subject to the following conditions:</w:t>
      </w:r>
    </w:p>
    <w:p>
      <w:pPr>
        <w:pStyle w:val="Point1"/>
        <w:rPr>
          <w:rFonts w:eastAsia="Calibri"/>
          <w:noProof/>
        </w:rPr>
      </w:pPr>
      <w:r>
        <w:rPr>
          <w:rFonts w:eastAsia="Calibri"/>
          <w:noProof/>
        </w:rPr>
        <w:t>(a)</w:t>
      </w:r>
      <w:r>
        <w:rPr>
          <w:rFonts w:eastAsia="Calibri"/>
          <w:noProof/>
        </w:rPr>
        <w:tab/>
        <w:t>such vessels caught less than 300 kg live weight of sole during the 2015 management period;</w:t>
      </w:r>
    </w:p>
    <w:p>
      <w:pPr>
        <w:pStyle w:val="Point1"/>
        <w:rPr>
          <w:rFonts w:eastAsia="Calibri"/>
          <w:noProof/>
        </w:rPr>
      </w:pPr>
      <w:r>
        <w:rPr>
          <w:rFonts w:eastAsia="Calibri"/>
          <w:noProof/>
        </w:rPr>
        <w:t>(b)</w:t>
      </w:r>
      <w:r>
        <w:rPr>
          <w:rFonts w:eastAsia="Calibri"/>
          <w:noProof/>
        </w:rPr>
        <w:tab/>
        <w:t>such vessels do not tranship any fish at sea to another vessel;</w:t>
      </w:r>
    </w:p>
    <w:p>
      <w:pPr>
        <w:pStyle w:val="Point1"/>
        <w:rPr>
          <w:rFonts w:eastAsia="Calibri"/>
          <w:noProof/>
        </w:rPr>
      </w:pPr>
      <w:r>
        <w:rPr>
          <w:rFonts w:eastAsia="Calibri"/>
          <w:noProof/>
        </w:rPr>
        <w:t>(c)</w:t>
      </w:r>
      <w:r>
        <w:rPr>
          <w:rFonts w:eastAsia="Calibri"/>
          <w:noProof/>
        </w:rPr>
        <w:tab/>
        <w:t>by 31 July 2016 and 31 January 2017 each Member State concerned makes a report to the Commission on these vessels’ catch records for sole in the three previous years as well as on catches of sole in 2016.</w:t>
      </w:r>
    </w:p>
    <w:p>
      <w:pPr>
        <w:pStyle w:val="Text1"/>
        <w:rPr>
          <w:rFonts w:eastAsia="Calibri"/>
          <w:noProof/>
        </w:rPr>
      </w:pPr>
      <w:r>
        <w:rPr>
          <w:rFonts w:eastAsia="Calibri"/>
          <w:noProof/>
        </w:rPr>
        <w:t>Where any of these conditions is not met, the vessels concerned shall cease to be exempt from the application of this Annex, with immediate effect.</w:t>
      </w:r>
    </w:p>
    <w:p>
      <w:pPr>
        <w:pStyle w:val="Point0"/>
        <w:rPr>
          <w:rFonts w:eastAsia="Calibri"/>
          <w:noProof/>
        </w:rPr>
      </w:pPr>
      <w:r>
        <w:rPr>
          <w:rFonts w:eastAsia="Calibri"/>
          <w:noProof/>
        </w:rPr>
        <w:t>2.</w:t>
      </w:r>
      <w:r>
        <w:rPr>
          <w:rFonts w:eastAsia="Calibri"/>
          <w:noProof/>
        </w:rPr>
        <w:tab/>
        <w:t>DEFINITIONS</w:t>
      </w:r>
    </w:p>
    <w:p>
      <w:pPr>
        <w:pStyle w:val="Text1"/>
        <w:rPr>
          <w:rFonts w:eastAsia="Calibri"/>
          <w:noProof/>
        </w:rPr>
      </w:pPr>
      <w:r>
        <w:rPr>
          <w:rFonts w:eastAsia="Calibri"/>
          <w:noProof/>
        </w:rPr>
        <w:t>For the purposes of this Annex the following definitions shall apply:</w:t>
      </w:r>
    </w:p>
    <w:p>
      <w:pPr>
        <w:pStyle w:val="Point1"/>
        <w:rPr>
          <w:rFonts w:eastAsia="Calibri"/>
          <w:noProof/>
        </w:rPr>
      </w:pPr>
      <w:r>
        <w:rPr>
          <w:rFonts w:eastAsia="Calibri"/>
          <w:noProof/>
        </w:rPr>
        <w:t>(a)</w:t>
      </w:r>
      <w:r>
        <w:rPr>
          <w:rFonts w:eastAsia="Calibri"/>
          <w:noProof/>
        </w:rPr>
        <w:tab/>
        <w:t>‘gear grouping’ means the grouping consisting of the following two gear categories:</w:t>
      </w:r>
    </w:p>
    <w:p>
      <w:pPr>
        <w:pStyle w:val="Point2"/>
        <w:rPr>
          <w:rFonts w:eastAsia="Calibri"/>
          <w:noProof/>
        </w:rPr>
      </w:pPr>
      <w:r>
        <w:rPr>
          <w:rFonts w:eastAsia="Calibri"/>
          <w:noProof/>
        </w:rPr>
        <w:t>(i)</w:t>
      </w:r>
      <w:r>
        <w:rPr>
          <w:rFonts w:eastAsia="Calibri"/>
          <w:noProof/>
        </w:rPr>
        <w:tab/>
        <w:t>beam trawls of mesh size equal to or greater than 80 mm and</w:t>
      </w:r>
    </w:p>
    <w:p>
      <w:pPr>
        <w:pStyle w:val="Point2"/>
        <w:rPr>
          <w:rFonts w:eastAsia="Calibri"/>
          <w:noProof/>
        </w:rPr>
      </w:pPr>
      <w:r>
        <w:rPr>
          <w:rFonts w:eastAsia="Calibri"/>
          <w:noProof/>
        </w:rPr>
        <w:t>(ii)</w:t>
      </w:r>
      <w:r>
        <w:rPr>
          <w:rFonts w:eastAsia="Calibri"/>
          <w:noProof/>
        </w:rPr>
        <w:tab/>
        <w:t>static nets, including gill</w:t>
      </w:r>
      <w:r>
        <w:rPr>
          <w:rFonts w:eastAsia="Calibri"/>
          <w:noProof/>
        </w:rPr>
        <w:noBreakHyphen/>
        <w:t>nets, trammel nets and tangle</w:t>
      </w:r>
      <w:r>
        <w:rPr>
          <w:rFonts w:eastAsia="Calibri"/>
          <w:noProof/>
        </w:rPr>
        <w:noBreakHyphen/>
        <w:t>nets, with mesh size equal to or less than 220 mm;</w:t>
      </w:r>
    </w:p>
    <w:p>
      <w:pPr>
        <w:pStyle w:val="Point1"/>
        <w:rPr>
          <w:rFonts w:eastAsia="Calibri"/>
          <w:noProof/>
        </w:rPr>
      </w:pPr>
      <w:r>
        <w:rPr>
          <w:rFonts w:eastAsia="Calibri"/>
          <w:noProof/>
        </w:rPr>
        <w:t>(b)</w:t>
      </w:r>
      <w:r>
        <w:rPr>
          <w:rFonts w:eastAsia="Calibri"/>
          <w:noProof/>
        </w:rPr>
        <w:tab/>
        <w:t>‘regulated gear’ means any of the two gear categories belonging to the gear grouping;</w:t>
      </w:r>
    </w:p>
    <w:p>
      <w:pPr>
        <w:pStyle w:val="Point1"/>
        <w:rPr>
          <w:rFonts w:eastAsia="Calibri"/>
          <w:noProof/>
        </w:rPr>
      </w:pPr>
      <w:r>
        <w:rPr>
          <w:rFonts w:eastAsia="Calibri"/>
          <w:noProof/>
        </w:rPr>
        <w:t>(c)</w:t>
      </w:r>
      <w:r>
        <w:rPr>
          <w:rFonts w:eastAsia="Calibri"/>
          <w:noProof/>
        </w:rPr>
        <w:tab/>
        <w:t>‘area’ means ICES division VIIe;</w:t>
      </w:r>
    </w:p>
    <w:p>
      <w:pPr>
        <w:pStyle w:val="Point1"/>
        <w:rPr>
          <w:rFonts w:eastAsia="Calibri"/>
          <w:noProof/>
        </w:rPr>
      </w:pPr>
      <w:r>
        <w:rPr>
          <w:rFonts w:eastAsia="Calibri"/>
          <w:noProof/>
        </w:rPr>
        <w:t>(d)</w:t>
      </w:r>
      <w:r>
        <w:rPr>
          <w:rFonts w:eastAsia="Calibri"/>
          <w:noProof/>
        </w:rPr>
        <w:tab/>
        <w:t>‘current management period’ means the period from 1 February 2016 to 31 January 2017.</w:t>
      </w:r>
    </w:p>
    <w:p>
      <w:pPr>
        <w:pStyle w:val="Point0"/>
        <w:rPr>
          <w:rFonts w:eastAsia="Calibri"/>
          <w:noProof/>
        </w:rPr>
      </w:pPr>
      <w:r>
        <w:rPr>
          <w:rFonts w:eastAsia="Calibri"/>
          <w:noProof/>
        </w:rPr>
        <w:t>3.</w:t>
      </w:r>
      <w:r>
        <w:rPr>
          <w:rFonts w:eastAsia="Calibri"/>
          <w:noProof/>
        </w:rPr>
        <w:tab/>
        <w:t>LIMITATION IN ACTIVITY</w:t>
      </w:r>
    </w:p>
    <w:p>
      <w:pPr>
        <w:pStyle w:val="Text1"/>
        <w:rPr>
          <w:rFonts w:eastAsia="Calibri"/>
          <w:noProof/>
        </w:rPr>
      </w:pPr>
      <w:r>
        <w:rPr>
          <w:rFonts w:eastAsia="Calibri"/>
          <w:noProof/>
        </w:rPr>
        <w:t xml:space="preserve">Without prejudice to Article 29 of Regulation (EC) No 1224/2009, each Member State shall ensure that, when carrying on board any regulated gear, Union vessels flying its flag </w:t>
      </w:r>
      <w:r>
        <w:rPr>
          <w:rFonts w:eastAsia="Calibri"/>
          <w:noProof/>
        </w:rPr>
        <w:lastRenderedPageBreak/>
        <w:t>and registered in the Union shall be present within the area for no more than the number of days set out in Chapter III of this Annex.</w:t>
      </w:r>
    </w:p>
    <w:p>
      <w:pPr>
        <w:pStyle w:val="ChapterTitle"/>
        <w:rPr>
          <w:rFonts w:eastAsia="Calibri"/>
          <w:noProof/>
        </w:rPr>
      </w:pPr>
      <w:r>
        <w:rPr>
          <w:rFonts w:eastAsia="Calibri"/>
          <w:noProof/>
        </w:rPr>
        <w:t>Chapter II</w:t>
      </w:r>
      <w:r>
        <w:rPr>
          <w:rFonts w:eastAsia="Calibri"/>
          <w:noProof/>
        </w:rPr>
        <w:br/>
        <w:t>Authorisations</w:t>
      </w:r>
    </w:p>
    <w:p>
      <w:pPr>
        <w:pStyle w:val="Point0"/>
        <w:rPr>
          <w:rFonts w:eastAsia="Calibri"/>
          <w:noProof/>
        </w:rPr>
      </w:pPr>
      <w:r>
        <w:rPr>
          <w:rFonts w:eastAsia="Calibri"/>
          <w:noProof/>
        </w:rPr>
        <w:t>4.</w:t>
      </w:r>
      <w:r>
        <w:rPr>
          <w:rFonts w:eastAsia="Calibri"/>
          <w:noProof/>
        </w:rPr>
        <w:tab/>
        <w:t>AUTHORISED VESSELS</w:t>
      </w:r>
    </w:p>
    <w:p>
      <w:pPr>
        <w:pStyle w:val="Point0"/>
        <w:rPr>
          <w:rFonts w:eastAsia="Calibri"/>
          <w:noProof/>
        </w:rPr>
      </w:pPr>
      <w:r>
        <w:rPr>
          <w:rFonts w:eastAsia="Calibri"/>
          <w:noProof/>
        </w:rPr>
        <w:t>4.1</w:t>
      </w:r>
      <w:r>
        <w:rPr>
          <w:rFonts w:eastAsia="Calibri"/>
          <w:noProof/>
        </w:rPr>
        <w:tab/>
        <w:t>A Member State shall not authorise fishing with regulated gear in the area by any vessel flying its flag which has no record of such fishing activity in the area in the period from 2002 to 2015, excluding the record of fishing activities as a result of transfer of days between fishing vessels, unless it ensures that equivalent capacity, measured in kilowatts, is prevented from fishing in the area.</w:t>
      </w:r>
    </w:p>
    <w:p>
      <w:pPr>
        <w:pStyle w:val="Point0"/>
        <w:rPr>
          <w:rFonts w:eastAsia="Calibri"/>
          <w:noProof/>
        </w:rPr>
      </w:pPr>
      <w:r>
        <w:rPr>
          <w:rFonts w:eastAsia="Calibri"/>
          <w:noProof/>
        </w:rPr>
        <w:t>4.2</w:t>
      </w:r>
      <w:r>
        <w:rPr>
          <w:rFonts w:eastAsia="Calibri"/>
          <w:noProof/>
        </w:rPr>
        <w:tab/>
        <w:t>However, a vessel with a track record of using a regulated gear may be authorised to use a different fishing gear, provided that the number of days allocated to this latter gear is greater than or equal to the number of days allocated to the regulated gear.</w:t>
      </w:r>
    </w:p>
    <w:p>
      <w:pPr>
        <w:pStyle w:val="Point0"/>
        <w:rPr>
          <w:rFonts w:eastAsia="Calibri"/>
          <w:noProof/>
        </w:rPr>
      </w:pPr>
      <w:r>
        <w:rPr>
          <w:rFonts w:eastAsia="Calibri"/>
          <w:noProof/>
        </w:rPr>
        <w:t>4.3</w:t>
      </w:r>
      <w:r>
        <w:rPr>
          <w:rFonts w:eastAsia="Calibri"/>
          <w:noProof/>
        </w:rPr>
        <w:tab/>
        <w:t>A vessel flying the flag of a Member State having no quotas in the area shall not be authorised to fish in the area with regulated gear, unless the vessel is allocated a quota after a transfer as permitted in accordance with Article 16(8) of Regulation (EU) No 1380/2013 and is allocated days at sea in accordance with point 10 or 11 of this Annex.</w:t>
      </w:r>
    </w:p>
    <w:p>
      <w:pPr>
        <w:pStyle w:val="ChapterTitle"/>
        <w:rPr>
          <w:rFonts w:eastAsia="Calibri"/>
          <w:noProof/>
        </w:rPr>
      </w:pPr>
      <w:r>
        <w:rPr>
          <w:rFonts w:eastAsia="Calibri"/>
          <w:noProof/>
        </w:rPr>
        <w:br w:type="page"/>
      </w:r>
      <w:r>
        <w:rPr>
          <w:rFonts w:eastAsia="Calibri"/>
          <w:noProof/>
        </w:rPr>
        <w:lastRenderedPageBreak/>
        <w:t>Chapter III</w:t>
      </w:r>
      <w:r>
        <w:rPr>
          <w:rFonts w:eastAsia="Calibri"/>
          <w:noProof/>
        </w:rPr>
        <w:br/>
        <w:t xml:space="preserve">Number of days present within the area </w:t>
      </w:r>
      <w:r>
        <w:rPr>
          <w:rFonts w:eastAsia="Calibri"/>
          <w:noProof/>
        </w:rPr>
        <w:br/>
        <w:t>allocated to Union vessels</w:t>
      </w:r>
    </w:p>
    <w:p>
      <w:pPr>
        <w:pStyle w:val="Point0"/>
        <w:rPr>
          <w:rFonts w:eastAsia="Calibri"/>
          <w:noProof/>
        </w:rPr>
      </w:pPr>
      <w:r>
        <w:rPr>
          <w:rFonts w:eastAsia="Calibri"/>
          <w:noProof/>
        </w:rPr>
        <w:t>5.</w:t>
      </w:r>
      <w:r>
        <w:rPr>
          <w:rFonts w:eastAsia="Calibri"/>
          <w:noProof/>
        </w:rPr>
        <w:tab/>
        <w:t>MAXIMUM NUMBER OF DAYS</w:t>
      </w:r>
    </w:p>
    <w:p>
      <w:pPr>
        <w:pStyle w:val="Text1"/>
        <w:rPr>
          <w:noProof/>
        </w:rPr>
      </w:pPr>
      <w:r>
        <w:rPr>
          <w:noProof/>
        </w:rPr>
        <w:t>During the current management period, the maximum number of days at sea for which a Member State may authorise a vessel flying its flag to be present within the area having carried on board any regulated gear is shown in Table I.</w:t>
      </w:r>
    </w:p>
    <w:p>
      <w:pPr>
        <w:pStyle w:val="NormalCentered"/>
        <w:rPr>
          <w:rFonts w:eastAsia="Calibri"/>
          <w:noProof/>
        </w:rPr>
      </w:pPr>
      <w:r>
        <w:rPr>
          <w:rFonts w:eastAsia="Calibri"/>
          <w:noProof/>
        </w:rPr>
        <w:t>Table I</w:t>
      </w:r>
      <w:r>
        <w:rPr>
          <w:rFonts w:eastAsia="Calibri"/>
          <w:noProof/>
        </w:rPr>
        <w:br/>
        <w:t xml:space="preserve">Maximum number of days a vessel may be present within the area </w:t>
      </w:r>
      <w:r>
        <w:rPr>
          <w:rFonts w:eastAsia="Calibri"/>
          <w:noProof/>
        </w:rPr>
        <w:br/>
        <w:t>by category of regulated gear per year</w:t>
      </w:r>
    </w:p>
    <w:tbl>
      <w:tblPr>
        <w:tblW w:w="5000" w:type="pct"/>
        <w:tblLook w:val="0000" w:firstRow="0" w:lastRow="0" w:firstColumn="0" w:lastColumn="0" w:noHBand="0" w:noVBand="0"/>
      </w:tblPr>
      <w:tblGrid>
        <w:gridCol w:w="6488"/>
        <w:gridCol w:w="1683"/>
        <w:gridCol w:w="1683"/>
      </w:tblGrid>
      <w:tr>
        <w:tc>
          <w:tcPr>
            <w:tcW w:w="329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Regulated gear</w:t>
            </w:r>
          </w:p>
        </w:tc>
        <w:tc>
          <w:tcPr>
            <w:tcW w:w="1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Maximum number of days</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Beam trawls of mesh size ≥ 80 mm</w:t>
            </w: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BE</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sz w:val="20"/>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FR</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sz w:val="20"/>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UK</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sz w:val="20"/>
                <w:szCs w:val="20"/>
              </w:rPr>
              <w:t>pm</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Static nets with mesh size ≤220 mm</w:t>
            </w: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BE</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sz w:val="20"/>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FR</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sz w:val="20"/>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854"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UK</w:t>
            </w:r>
          </w:p>
        </w:tc>
        <w:tc>
          <w:tcPr>
            <w:tcW w:w="85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sz w:val="20"/>
                <w:szCs w:val="20"/>
              </w:rPr>
              <w:t>pm</w:t>
            </w:r>
          </w:p>
        </w:tc>
      </w:tr>
    </w:tbl>
    <w:p>
      <w:pPr>
        <w:rPr>
          <w:rFonts w:eastAsia="Calibri"/>
          <w:noProof/>
        </w:rPr>
      </w:pPr>
    </w:p>
    <w:p>
      <w:pPr>
        <w:pStyle w:val="Point0"/>
        <w:rPr>
          <w:rFonts w:eastAsia="Calibri"/>
          <w:noProof/>
        </w:rPr>
      </w:pPr>
      <w:r>
        <w:rPr>
          <w:rFonts w:eastAsia="Calibri"/>
          <w:noProof/>
        </w:rPr>
        <w:br w:type="page"/>
      </w:r>
      <w:r>
        <w:rPr>
          <w:rFonts w:eastAsia="Calibri"/>
          <w:noProof/>
        </w:rPr>
        <w:lastRenderedPageBreak/>
        <w:t>6.</w:t>
      </w:r>
      <w:r>
        <w:rPr>
          <w:rFonts w:eastAsia="Calibri"/>
          <w:noProof/>
        </w:rPr>
        <w:tab/>
        <w:t>KILOWATT DAY SYSTEM</w:t>
      </w:r>
    </w:p>
    <w:p>
      <w:pPr>
        <w:pStyle w:val="Point0"/>
        <w:rPr>
          <w:rFonts w:eastAsia="Calibri"/>
          <w:noProof/>
        </w:rPr>
      </w:pPr>
      <w:r>
        <w:rPr>
          <w:rFonts w:eastAsia="Calibri"/>
          <w:noProof/>
        </w:rPr>
        <w:t>6.1.</w:t>
      </w:r>
      <w:r>
        <w:rPr>
          <w:rFonts w:eastAsia="Calibri"/>
          <w:noProof/>
        </w:rPr>
        <w:tab/>
        <w:t>During the current management period, a Member State may manage its fishing effort allocations in accordance with a kilowatt days system. Through that system it may authorise any vessel concerned by any regulated gear as set out in Table I to be present within the area for a maximum number of days which is different from that set out in that Table, provided that the overall amount of kilowatt days corresponding to the regulated gear is respected.</w:t>
      </w:r>
    </w:p>
    <w:p>
      <w:pPr>
        <w:pStyle w:val="Point0"/>
        <w:rPr>
          <w:rFonts w:eastAsia="Calibri"/>
          <w:noProof/>
        </w:rPr>
      </w:pPr>
      <w:r>
        <w:rPr>
          <w:rFonts w:eastAsia="Calibri"/>
          <w:noProof/>
        </w:rPr>
        <w:t>6.2.</w:t>
      </w:r>
      <w:r>
        <w:rPr>
          <w:rFonts w:eastAsia="Calibri"/>
          <w:noProof/>
        </w:rPr>
        <w:tab/>
        <w:t>This overall amount of kilowatt days shall be the sum of all individual fishing efforts allocated to the vessels flying the flag of that Member State and qualified for the regulated gear. Such individual fishing efforts shall be calculated in kilowatt days by multiplying the engine power of each vessel by the number of days at sea it would benefit from, according to Table I, if point 6.1. were not applied.</w:t>
      </w:r>
    </w:p>
    <w:p>
      <w:pPr>
        <w:pStyle w:val="Point0"/>
        <w:rPr>
          <w:rFonts w:eastAsia="Calibri"/>
          <w:noProof/>
        </w:rPr>
      </w:pPr>
      <w:r>
        <w:rPr>
          <w:rFonts w:eastAsia="Calibri"/>
          <w:noProof/>
        </w:rPr>
        <w:t>6.3.</w:t>
      </w:r>
      <w:r>
        <w:rPr>
          <w:rFonts w:eastAsia="Calibri"/>
          <w:noProof/>
        </w:rPr>
        <w:tab/>
        <w:t>A Member State wishing to benefit from the system referred to in point 6.1. shall submit a request to the Commission, for the regulated gear as laid down in Table I, with reports in electronic format containing the details of the calculation based on:</w:t>
      </w:r>
    </w:p>
    <w:p>
      <w:pPr>
        <w:pStyle w:val="Point1"/>
        <w:rPr>
          <w:rFonts w:eastAsia="Calibri"/>
          <w:noProof/>
        </w:rPr>
      </w:pPr>
      <w:r>
        <w:rPr>
          <w:rFonts w:eastAsia="Calibri"/>
          <w:noProof/>
        </w:rPr>
        <w:t>(a)</w:t>
      </w:r>
      <w:r>
        <w:rPr>
          <w:rFonts w:eastAsia="Calibri"/>
          <w:noProof/>
        </w:rPr>
        <w:tab/>
        <w:t>the list of vessels authorised to fish by indicating their Union fishing fleet register number (CFR) and their engine power;</w:t>
      </w:r>
    </w:p>
    <w:p>
      <w:pPr>
        <w:pStyle w:val="Point1"/>
        <w:rPr>
          <w:rFonts w:eastAsia="Calibri"/>
          <w:noProof/>
        </w:rPr>
      </w:pPr>
      <w:r>
        <w:rPr>
          <w:rFonts w:eastAsia="Calibri"/>
          <w:noProof/>
        </w:rPr>
        <w:t>(b)</w:t>
      </w:r>
      <w:r>
        <w:rPr>
          <w:rFonts w:eastAsia="Calibri"/>
          <w:noProof/>
        </w:rPr>
        <w:tab/>
        <w:t>the number of days at sea for which each vessel would have initially been authorised to fish according to Table I and the number of days at sea which each vessel would benefit from in application of point 6.1.</w:t>
      </w:r>
    </w:p>
    <w:p>
      <w:pPr>
        <w:pStyle w:val="Point0"/>
        <w:rPr>
          <w:rFonts w:eastAsia="Calibri"/>
          <w:noProof/>
        </w:rPr>
      </w:pPr>
      <w:r>
        <w:rPr>
          <w:rFonts w:eastAsia="Calibri"/>
          <w:noProof/>
        </w:rPr>
        <w:t>6.4.</w:t>
      </w:r>
      <w:r>
        <w:rPr>
          <w:rFonts w:eastAsia="Calibri"/>
          <w:noProof/>
        </w:rPr>
        <w:tab/>
        <w:t>On the basis of that request, the Commission shall assess whether the conditions referred to in point 6 are complied with and, where applicable, may authorise that Member State to benefit from the system referred to in point 6.1.</w:t>
      </w:r>
    </w:p>
    <w:p>
      <w:pPr>
        <w:pStyle w:val="Point0"/>
        <w:rPr>
          <w:rFonts w:eastAsia="Calibri"/>
          <w:noProof/>
        </w:rPr>
      </w:pPr>
      <w:r>
        <w:rPr>
          <w:rFonts w:eastAsia="Calibri"/>
          <w:noProof/>
        </w:rPr>
        <w:t>7.</w:t>
      </w:r>
      <w:r>
        <w:rPr>
          <w:rFonts w:eastAsia="Calibri"/>
          <w:noProof/>
        </w:rPr>
        <w:tab/>
        <w:t>ALLOCATION OF ADDITIONAL DAYS FOR PERMANENT CESSATION OF FISHING ACTIVITIES</w:t>
      </w:r>
    </w:p>
    <w:p>
      <w:pPr>
        <w:pStyle w:val="Point0"/>
        <w:rPr>
          <w:rFonts w:eastAsia="Calibri"/>
          <w:noProof/>
        </w:rPr>
      </w:pPr>
      <w:r>
        <w:rPr>
          <w:rFonts w:eastAsia="Calibri"/>
          <w:noProof/>
        </w:rPr>
        <w:t>7.1.</w:t>
      </w:r>
      <w:r>
        <w:rPr>
          <w:rFonts w:eastAsia="Calibri"/>
          <w:noProof/>
        </w:rPr>
        <w:tab/>
        <w:t>An additional number of days at sea on which a vessel may be authorised by its flag Member State to be present within the area when carrying on board any regulated gear may be allocated to a Member State by the Commission on the basis of permanent cessations of fishing activities that have taken place during the preceding management period either in accordance with Article 23 of Regulation (EC) No 1198/2006 or Regulation (EC) No 744/2008. Permanent cessations resulting from any other circumstances may be considered by the Commission on a case</w:t>
      </w:r>
      <w:r>
        <w:rPr>
          <w:rFonts w:eastAsia="Calibri"/>
          <w:noProof/>
        </w:rPr>
        <w:noBreakHyphen/>
        <w:t>by</w:t>
      </w:r>
      <w:r>
        <w:rPr>
          <w:rFonts w:eastAsia="Calibri"/>
          <w:noProof/>
        </w:rPr>
        <w:noBreakHyphen/>
        <w:t>case basis, following a written and duly motivated request from the Member State concerned. Such written request shall identify the vessels concerned and confirm, for each of them, that they shall never return to fishing activities.</w:t>
      </w:r>
    </w:p>
    <w:p>
      <w:pPr>
        <w:pStyle w:val="Point0"/>
        <w:rPr>
          <w:rFonts w:eastAsia="Calibri"/>
          <w:noProof/>
        </w:rPr>
      </w:pPr>
      <w:r>
        <w:rPr>
          <w:rFonts w:eastAsia="Calibri"/>
          <w:noProof/>
        </w:rPr>
        <w:t>7.2.</w:t>
      </w:r>
      <w:r>
        <w:rPr>
          <w:rFonts w:eastAsia="Calibri"/>
          <w:noProof/>
        </w:rPr>
        <w:tab/>
        <w:t>The effort expended in 2003 measured in kilowatt days of the withdrawn vessels using a given gear grouping shall be divided by the effort expended by all vessels using that gear grouping during 2003. The additional number of days at sea shall be then calculated by multiplying the ratio so obtained by the number of days that would have been allocated according to Table I. Any part of a day resulting from that calculation shall be rounded to the nearest whole day.</w:t>
      </w:r>
    </w:p>
    <w:p>
      <w:pPr>
        <w:pStyle w:val="Point0"/>
        <w:rPr>
          <w:rFonts w:eastAsia="Calibri"/>
          <w:noProof/>
        </w:rPr>
      </w:pPr>
      <w:r>
        <w:rPr>
          <w:rFonts w:eastAsia="Calibri"/>
          <w:noProof/>
        </w:rPr>
        <w:t>7.3.</w:t>
      </w:r>
      <w:r>
        <w:rPr>
          <w:rFonts w:eastAsia="Calibri"/>
          <w:noProof/>
        </w:rPr>
        <w:tab/>
        <w:t>Points 7.1.and 7.2. shall not apply where a vessel has been replaced in accordance with point 4.2., or when the withdrawal has already been used in previous years to obtain additional days at sea.</w:t>
      </w:r>
    </w:p>
    <w:p>
      <w:pPr>
        <w:pStyle w:val="Point0"/>
        <w:rPr>
          <w:rFonts w:eastAsia="Calibri"/>
          <w:noProof/>
        </w:rPr>
      </w:pPr>
      <w:r>
        <w:rPr>
          <w:rFonts w:eastAsia="Calibri"/>
          <w:noProof/>
        </w:rPr>
        <w:lastRenderedPageBreak/>
        <w:t>7.4.</w:t>
      </w:r>
      <w:r>
        <w:rPr>
          <w:rFonts w:eastAsia="Calibri"/>
          <w:noProof/>
        </w:rPr>
        <w:tab/>
        <w:t>A Member State wishing to benefit from the allocations referred to in point 7.1. shall submit a request to the Commission, by 15 June of the current management period, with reports in electronic format containing for the gear grouping as laid down in Table I, the details of the calculation based on:</w:t>
      </w:r>
    </w:p>
    <w:p>
      <w:pPr>
        <w:pStyle w:val="Point1"/>
        <w:rPr>
          <w:rFonts w:eastAsia="Calibri"/>
          <w:noProof/>
        </w:rPr>
      </w:pPr>
      <w:r>
        <w:rPr>
          <w:rFonts w:eastAsia="Calibri"/>
          <w:noProof/>
        </w:rPr>
        <w:t>(a)</w:t>
      </w:r>
      <w:r>
        <w:rPr>
          <w:rFonts w:eastAsia="Calibri"/>
          <w:noProof/>
        </w:rPr>
        <w:tab/>
        <w:t>lists of withdrawn vessels with their Union fishing fleet register number (CFR) and their engine power;</w:t>
      </w:r>
    </w:p>
    <w:p>
      <w:pPr>
        <w:pStyle w:val="Point1"/>
        <w:rPr>
          <w:rFonts w:eastAsia="Calibri"/>
          <w:noProof/>
        </w:rPr>
      </w:pPr>
      <w:r>
        <w:rPr>
          <w:rFonts w:eastAsia="Calibri"/>
          <w:noProof/>
        </w:rPr>
        <w:t>(b)</w:t>
      </w:r>
      <w:r>
        <w:rPr>
          <w:rFonts w:eastAsia="Calibri"/>
          <w:noProof/>
        </w:rPr>
        <w:tab/>
        <w:t>the fishing activity deployed by such vessels in 2003 calculated in days at sea according to the grouping of fishing gears.</w:t>
      </w:r>
    </w:p>
    <w:p>
      <w:pPr>
        <w:pStyle w:val="Point0"/>
        <w:rPr>
          <w:rFonts w:eastAsia="Calibri"/>
          <w:noProof/>
        </w:rPr>
      </w:pPr>
      <w:r>
        <w:rPr>
          <w:rFonts w:eastAsia="Calibri"/>
          <w:noProof/>
        </w:rPr>
        <w:t>7.5.</w:t>
      </w:r>
      <w:r>
        <w:rPr>
          <w:rFonts w:eastAsia="Calibri"/>
          <w:noProof/>
        </w:rPr>
        <w:tab/>
        <w:t>On the basis of such a request by a Member State the Commission may, by means of implementing acts, allocate that Member State a number of days additional to that referred to in point 5 for that Member State. Those implementing acts shall be adopted in accordance with the examination procedure referred to in Article 42(2).</w:t>
      </w:r>
    </w:p>
    <w:p>
      <w:pPr>
        <w:pStyle w:val="Point0"/>
        <w:rPr>
          <w:rFonts w:eastAsia="Calibri"/>
          <w:noProof/>
        </w:rPr>
      </w:pPr>
      <w:r>
        <w:rPr>
          <w:rFonts w:eastAsia="Calibri"/>
          <w:noProof/>
        </w:rPr>
        <w:t>7.6.</w:t>
      </w:r>
      <w:r>
        <w:rPr>
          <w:rFonts w:eastAsia="Calibri"/>
          <w:noProof/>
        </w:rPr>
        <w:tab/>
        <w:t>During the current management period, a Member State may re</w:t>
      </w:r>
      <w:r>
        <w:rPr>
          <w:rFonts w:eastAsia="Calibri"/>
          <w:noProof/>
        </w:rPr>
        <w:noBreakHyphen/>
        <w:t>allocate those additional days at sea to all or part of the vessels remaining in fleet and qualified for the regulated gears.</w:t>
      </w:r>
    </w:p>
    <w:p>
      <w:pPr>
        <w:pStyle w:val="Point0"/>
        <w:rPr>
          <w:rFonts w:eastAsia="Calibri"/>
          <w:noProof/>
        </w:rPr>
      </w:pPr>
      <w:r>
        <w:rPr>
          <w:rFonts w:eastAsia="Calibri"/>
          <w:noProof/>
        </w:rPr>
        <w:t>7.7.</w:t>
      </w:r>
      <w:r>
        <w:rPr>
          <w:rFonts w:eastAsia="Calibri"/>
          <w:noProof/>
        </w:rPr>
        <w:tab/>
        <w:t>When the Commission allocates additional days at sea due to a permanent cessation of fishing activities during the preceding management period the maximum number of days per Member State and gear shown in Table I shall be adjusted accordingly for the current management period.</w:t>
      </w:r>
    </w:p>
    <w:p>
      <w:pPr>
        <w:pStyle w:val="Point0"/>
        <w:rPr>
          <w:rFonts w:eastAsia="Calibri"/>
          <w:noProof/>
        </w:rPr>
      </w:pPr>
      <w:r>
        <w:rPr>
          <w:rFonts w:eastAsia="Calibri"/>
          <w:noProof/>
        </w:rPr>
        <w:t>8.</w:t>
      </w:r>
      <w:r>
        <w:rPr>
          <w:rFonts w:eastAsia="Calibri"/>
          <w:noProof/>
        </w:rPr>
        <w:tab/>
        <w:t>ALLOCATION OF ADDITIONAL DAYS FOR ENHANCED SCIENTIFIC OBSERVER COVERAGE</w:t>
      </w:r>
    </w:p>
    <w:p>
      <w:pPr>
        <w:pStyle w:val="Point0"/>
        <w:rPr>
          <w:rFonts w:eastAsia="Calibri"/>
          <w:noProof/>
        </w:rPr>
      </w:pPr>
      <w:r>
        <w:rPr>
          <w:rFonts w:eastAsia="Calibri"/>
          <w:noProof/>
        </w:rPr>
        <w:t>8.1.</w:t>
      </w:r>
      <w:r>
        <w:rPr>
          <w:rFonts w:eastAsia="Calibri"/>
          <w:noProof/>
        </w:rPr>
        <w:tab/>
        <w:t>Three additional days on which a vessel may be present within the area when carrying on board any regulated gear may be allocated between 1 February 2016 and 31 January 2017 to a Member State by the Commission on the basis of an enhanced programme of scientific observer coverage in partnership between scientists and the fishing industry. Such a programme shall focus in particular on levels of discarding and on catch composition and go beyond the requirements on data collection, as laid down in Regulation (EC) No 199/2008 and its implementing rules for national programmes.</w:t>
      </w:r>
    </w:p>
    <w:p>
      <w:pPr>
        <w:pStyle w:val="Point0"/>
        <w:rPr>
          <w:rFonts w:eastAsia="Calibri"/>
          <w:noProof/>
        </w:rPr>
      </w:pPr>
      <w:r>
        <w:rPr>
          <w:rFonts w:eastAsia="Calibri"/>
          <w:noProof/>
        </w:rPr>
        <w:t>8.2.</w:t>
      </w:r>
      <w:r>
        <w:rPr>
          <w:rFonts w:eastAsia="Calibri"/>
          <w:noProof/>
        </w:rPr>
        <w:tab/>
        <w:t>Scientific observers shall be independent from the owner, the master of the fishing vessel and any crew member.</w:t>
      </w:r>
    </w:p>
    <w:p>
      <w:pPr>
        <w:pStyle w:val="Point0"/>
        <w:rPr>
          <w:rFonts w:eastAsia="Calibri"/>
          <w:noProof/>
        </w:rPr>
      </w:pPr>
      <w:r>
        <w:rPr>
          <w:rFonts w:eastAsia="Calibri"/>
          <w:noProof/>
        </w:rPr>
        <w:t>8.3.</w:t>
      </w:r>
      <w:r>
        <w:rPr>
          <w:rFonts w:eastAsia="Calibri"/>
          <w:noProof/>
        </w:rPr>
        <w:tab/>
        <w:t>A Member State wishing to benefit from the allocations referred to in point 8.1. shall submit a description of its enhanced scientific observer coverage programme to the Commission for approval.</w:t>
      </w:r>
    </w:p>
    <w:p>
      <w:pPr>
        <w:pStyle w:val="Point0"/>
        <w:rPr>
          <w:rFonts w:eastAsia="Calibri"/>
          <w:noProof/>
        </w:rPr>
      </w:pPr>
      <w:r>
        <w:rPr>
          <w:rFonts w:eastAsia="Calibri"/>
          <w:noProof/>
        </w:rPr>
        <w:t>8.4.</w:t>
      </w:r>
      <w:r>
        <w:rPr>
          <w:rFonts w:eastAsia="Calibri"/>
          <w:noProof/>
        </w:rPr>
        <w:tab/>
        <w:t>On the basis of that description, and after consultation with STECF, the Commission may, by means of implementing acts, allocate the Member State concerned a number of days additional to that referred to in point 5 for that Member State and for the vessels, the area and gear concerned by the enhanced programme of scientific observers. Those implementing acts shall be adopted in accordance with the examination procedure referred to in Article 42(2).</w:t>
      </w:r>
    </w:p>
    <w:p>
      <w:pPr>
        <w:pStyle w:val="Point0"/>
        <w:rPr>
          <w:rFonts w:eastAsia="Calibri"/>
          <w:noProof/>
        </w:rPr>
      </w:pPr>
      <w:r>
        <w:rPr>
          <w:rFonts w:eastAsia="Calibri"/>
          <w:noProof/>
        </w:rPr>
        <w:t>8.5.</w:t>
      </w:r>
      <w:r>
        <w:rPr>
          <w:rFonts w:eastAsia="Calibri"/>
          <w:noProof/>
        </w:rPr>
        <w:tab/>
        <w:t>If an enhanced scientific observer coverage programme submitted by a Member State has been approved by the Commission in the past and the Member State concerned wishes to continue its application without changes, it shall inform the Commission of the continuation of that programme four weeks before the beginning of the period for which the programme applies.</w:t>
      </w:r>
    </w:p>
    <w:p>
      <w:pPr>
        <w:pStyle w:val="ChapterTitle"/>
        <w:rPr>
          <w:rFonts w:eastAsia="Calibri"/>
          <w:noProof/>
        </w:rPr>
      </w:pPr>
      <w:r>
        <w:rPr>
          <w:rFonts w:eastAsia="Calibri"/>
          <w:noProof/>
        </w:rPr>
        <w:lastRenderedPageBreak/>
        <w:t>Chapter IV</w:t>
      </w:r>
      <w:r>
        <w:rPr>
          <w:rFonts w:eastAsia="Calibri"/>
          <w:noProof/>
        </w:rPr>
        <w:br/>
        <w:t>Management</w:t>
      </w:r>
    </w:p>
    <w:p>
      <w:pPr>
        <w:pStyle w:val="Point0"/>
        <w:rPr>
          <w:rFonts w:eastAsia="Calibri"/>
          <w:noProof/>
        </w:rPr>
      </w:pPr>
      <w:r>
        <w:rPr>
          <w:rFonts w:eastAsia="Calibri"/>
          <w:noProof/>
        </w:rPr>
        <w:t>9.</w:t>
      </w:r>
      <w:r>
        <w:rPr>
          <w:rFonts w:eastAsia="Calibri"/>
          <w:noProof/>
        </w:rPr>
        <w:tab/>
        <w:t>GENERAL OBLIGATION</w:t>
      </w:r>
    </w:p>
    <w:p>
      <w:pPr>
        <w:pStyle w:val="Text1"/>
        <w:rPr>
          <w:rFonts w:eastAsia="Calibri"/>
          <w:noProof/>
        </w:rPr>
      </w:pPr>
      <w:r>
        <w:rPr>
          <w:rFonts w:eastAsia="Calibri"/>
          <w:noProof/>
        </w:rPr>
        <w:t>Member States shall manage the maximum allowable effort in accordance with Articles 26 to 35 of Regulation (EC) No 1224/2009.</w:t>
      </w:r>
    </w:p>
    <w:p>
      <w:pPr>
        <w:pStyle w:val="Point0"/>
        <w:rPr>
          <w:rFonts w:eastAsia="Calibri"/>
          <w:noProof/>
        </w:rPr>
      </w:pPr>
      <w:r>
        <w:rPr>
          <w:rFonts w:eastAsia="Calibri"/>
          <w:noProof/>
        </w:rPr>
        <w:t>10.</w:t>
      </w:r>
      <w:r>
        <w:rPr>
          <w:rFonts w:eastAsia="Calibri"/>
          <w:noProof/>
        </w:rPr>
        <w:tab/>
        <w:t>MANAGEMENT PERIODS</w:t>
      </w:r>
    </w:p>
    <w:p>
      <w:pPr>
        <w:pStyle w:val="Point0"/>
        <w:rPr>
          <w:rFonts w:eastAsia="Calibri"/>
          <w:noProof/>
        </w:rPr>
      </w:pPr>
      <w:r>
        <w:rPr>
          <w:rFonts w:eastAsia="Calibri"/>
          <w:noProof/>
        </w:rPr>
        <w:t>10.1.</w:t>
      </w:r>
      <w:r>
        <w:rPr>
          <w:rFonts w:eastAsia="Calibri"/>
          <w:noProof/>
        </w:rPr>
        <w:tab/>
        <w:t>A Member State may divide the days present within the area set out in Table I into management periods of durations of one or more calendar months.</w:t>
      </w:r>
    </w:p>
    <w:p>
      <w:pPr>
        <w:pStyle w:val="Point0"/>
        <w:rPr>
          <w:rFonts w:eastAsia="Calibri"/>
          <w:noProof/>
        </w:rPr>
      </w:pPr>
      <w:r>
        <w:rPr>
          <w:rFonts w:eastAsia="Calibri"/>
          <w:noProof/>
        </w:rPr>
        <w:t>10.2.</w:t>
      </w:r>
      <w:r>
        <w:rPr>
          <w:rFonts w:eastAsia="Calibri"/>
          <w:noProof/>
        </w:rPr>
        <w:tab/>
        <w:t>The number of days or hours for which a vessel may be present within the area during a management period shall be fixed by the Member State concerned.</w:t>
      </w:r>
    </w:p>
    <w:p>
      <w:pPr>
        <w:pStyle w:val="Point0"/>
        <w:rPr>
          <w:rFonts w:eastAsia="Calibri"/>
          <w:noProof/>
        </w:rPr>
      </w:pPr>
      <w:r>
        <w:rPr>
          <w:rFonts w:eastAsia="Calibri"/>
          <w:noProof/>
        </w:rPr>
        <w:t>10.3.</w:t>
      </w:r>
      <w:r>
        <w:rPr>
          <w:rFonts w:eastAsia="Calibri"/>
          <w:noProof/>
        </w:rPr>
        <w:tab/>
        <w:t>Where a Member State authorises vessels flying its flag to be present within the area by hours, the Member State shall continue measuring the consumption of days as specified in point 9. Upon request by the Commission, the Member State shall demonstrate its precautionary measures taken to avoid an excessive consumption of days within the area due to a vessel terminating presences in the area before the end of a 24</w:t>
      </w:r>
      <w:r>
        <w:rPr>
          <w:rFonts w:eastAsia="Calibri"/>
          <w:noProof/>
        </w:rPr>
        <w:noBreakHyphen/>
        <w:t>hour period.</w:t>
      </w:r>
    </w:p>
    <w:p>
      <w:pPr>
        <w:pStyle w:val="ChapterTitle"/>
        <w:rPr>
          <w:rFonts w:eastAsia="Calibri"/>
          <w:noProof/>
        </w:rPr>
      </w:pPr>
      <w:r>
        <w:rPr>
          <w:rFonts w:eastAsia="Calibri"/>
          <w:noProof/>
        </w:rPr>
        <w:t>Chapter V</w:t>
      </w:r>
      <w:r>
        <w:rPr>
          <w:rFonts w:eastAsia="Calibri"/>
          <w:noProof/>
        </w:rPr>
        <w:br/>
        <w:t>Exchanges of fishing effort allocations</w:t>
      </w:r>
    </w:p>
    <w:p>
      <w:pPr>
        <w:pStyle w:val="Point0"/>
        <w:rPr>
          <w:rFonts w:eastAsia="Calibri"/>
          <w:noProof/>
        </w:rPr>
      </w:pPr>
      <w:r>
        <w:rPr>
          <w:rFonts w:eastAsia="Calibri"/>
          <w:noProof/>
        </w:rPr>
        <w:t>11.</w:t>
      </w:r>
      <w:r>
        <w:rPr>
          <w:rFonts w:eastAsia="Calibri"/>
          <w:noProof/>
        </w:rPr>
        <w:tab/>
        <w:t>TRANSFER OF DAYS BETWEEN FISHING VESSELS FLYING THE FLAG OF A MEMBER STATE</w:t>
      </w:r>
    </w:p>
    <w:p>
      <w:pPr>
        <w:pStyle w:val="Point0"/>
        <w:rPr>
          <w:rFonts w:eastAsia="Calibri"/>
          <w:noProof/>
        </w:rPr>
      </w:pPr>
      <w:r>
        <w:rPr>
          <w:rFonts w:eastAsia="Calibri"/>
          <w:noProof/>
        </w:rPr>
        <w:t>11.1.</w:t>
      </w:r>
      <w:r>
        <w:rPr>
          <w:rFonts w:eastAsia="Calibri"/>
          <w:noProof/>
        </w:rPr>
        <w:tab/>
        <w:t>A Member State may permit any fishing vessel flying its flag to transfer days present within the area for which it has been authorised to another vessel flying its flag within the area, provided that the product of the days received by a vessel multiplied by its engine power in kilowatts (kilowatt days) is equal to or less than the product of the days transferred by the donor vessel and the engine power in kilowatts of that vessel. The engine power in kilowatts of the vessels shall be that recorded for each vessel in the Union fishing fleet register.</w:t>
      </w:r>
    </w:p>
    <w:p>
      <w:pPr>
        <w:pStyle w:val="Point0"/>
        <w:rPr>
          <w:rFonts w:eastAsia="Calibri"/>
          <w:noProof/>
        </w:rPr>
      </w:pPr>
      <w:r>
        <w:rPr>
          <w:rFonts w:eastAsia="Calibri"/>
          <w:noProof/>
        </w:rPr>
        <w:t>11.2.</w:t>
      </w:r>
      <w:r>
        <w:rPr>
          <w:rFonts w:eastAsia="Calibri"/>
          <w:noProof/>
        </w:rPr>
        <w:tab/>
        <w:t>The total number of days present within the area transferred in accordance with point 11.1., multiplied by the engine power in kilowatts of the donor vessel, shall not be higher than the donor vessel’s average annual days track record in the area as verified by the fishing logbook in the years 2001, 2002, 2003, 2004 and 2005 multiplied by the engine power in kilowatts of that vessel.</w:t>
      </w:r>
    </w:p>
    <w:p>
      <w:pPr>
        <w:pStyle w:val="Point0"/>
        <w:rPr>
          <w:rFonts w:eastAsia="Calibri"/>
          <w:noProof/>
        </w:rPr>
      </w:pPr>
      <w:r>
        <w:rPr>
          <w:rFonts w:eastAsia="Calibri"/>
          <w:noProof/>
        </w:rPr>
        <w:t>11.3.</w:t>
      </w:r>
      <w:r>
        <w:rPr>
          <w:rFonts w:eastAsia="Calibri"/>
          <w:noProof/>
        </w:rPr>
        <w:tab/>
        <w:t>The transfer of days as described in point 11.1. shall be permitted between vessels operating with any regulated gear and during the same management period.</w:t>
      </w:r>
    </w:p>
    <w:p>
      <w:pPr>
        <w:pStyle w:val="Point0"/>
        <w:rPr>
          <w:rFonts w:eastAsia="Calibri"/>
          <w:noProof/>
        </w:rPr>
      </w:pPr>
      <w:r>
        <w:rPr>
          <w:rFonts w:eastAsia="Calibri"/>
          <w:noProof/>
        </w:rPr>
        <w:t>11.4.</w:t>
      </w:r>
      <w:r>
        <w:rPr>
          <w:rFonts w:eastAsia="Calibri"/>
          <w:noProof/>
        </w:rPr>
        <w:tab/>
        <w:t>On request from the Commission, Member States shall provide information on the transfers that have taken place. Formats of spreadsheet for the collection and transmission of information referred to in this point may be established by the Commission, by means of implementing acts. Those implementing acts shall be adopted in accordance with the examination procedure referred to in Article 42(2).</w:t>
      </w:r>
    </w:p>
    <w:p>
      <w:pPr>
        <w:pStyle w:val="Point0"/>
        <w:rPr>
          <w:rFonts w:eastAsia="Calibri"/>
          <w:noProof/>
        </w:rPr>
      </w:pPr>
      <w:r>
        <w:rPr>
          <w:rFonts w:eastAsia="Calibri"/>
          <w:noProof/>
        </w:rPr>
        <w:t>12.</w:t>
      </w:r>
      <w:r>
        <w:rPr>
          <w:rFonts w:eastAsia="Calibri"/>
          <w:noProof/>
        </w:rPr>
        <w:tab/>
        <w:t>TRANSFER OF DAYS BETWEEN FISHING VESSELS FLYING THE FLAG OF DIFFERENT MEMBER STATES</w:t>
      </w:r>
    </w:p>
    <w:p>
      <w:pPr>
        <w:pStyle w:val="Text1"/>
        <w:rPr>
          <w:rFonts w:eastAsia="Calibri"/>
          <w:noProof/>
        </w:rPr>
      </w:pPr>
      <w:r>
        <w:rPr>
          <w:rFonts w:eastAsia="Calibri"/>
          <w:noProof/>
        </w:rPr>
        <w:lastRenderedPageBreak/>
        <w:t xml:space="preserve">Member States may permit transfer of days present within the area for the same management period and within the area between any fishing vessels flying their flags provided that points 4.2., 4.4., 5, 6 and 10 apply </w:t>
      </w:r>
      <w:r>
        <w:rPr>
          <w:rFonts w:eastAsia="Calibri"/>
          <w:i/>
          <w:noProof/>
        </w:rPr>
        <w:t>mutatis mutandis</w:t>
      </w:r>
      <w:r>
        <w:rPr>
          <w:rFonts w:eastAsia="Calibri"/>
          <w:noProof/>
        </w:rPr>
        <w:t>. Where Member States decide to authorise such a transfer, they shall notify the Commission before the transfer takes place, the details of the transfer, including the number of days to be transferred, the fishing effort and, where applicable, the fishing quotas relating thereto.</w:t>
      </w:r>
    </w:p>
    <w:p>
      <w:pPr>
        <w:pStyle w:val="ChapterTitle"/>
        <w:rPr>
          <w:rFonts w:eastAsia="Calibri"/>
          <w:noProof/>
        </w:rPr>
      </w:pPr>
      <w:r>
        <w:rPr>
          <w:rFonts w:eastAsia="Calibri"/>
          <w:noProof/>
        </w:rPr>
        <w:t>Chapter VI</w:t>
      </w:r>
      <w:r>
        <w:rPr>
          <w:rFonts w:eastAsia="Calibri"/>
          <w:noProof/>
        </w:rPr>
        <w:br/>
        <w:t>Reporting obligations</w:t>
      </w:r>
    </w:p>
    <w:p>
      <w:pPr>
        <w:pStyle w:val="Point0"/>
        <w:rPr>
          <w:rFonts w:eastAsia="Calibri"/>
          <w:noProof/>
        </w:rPr>
      </w:pPr>
      <w:r>
        <w:rPr>
          <w:rFonts w:eastAsia="Calibri"/>
          <w:noProof/>
        </w:rPr>
        <w:t>13.</w:t>
      </w:r>
      <w:r>
        <w:rPr>
          <w:rFonts w:eastAsia="Calibri"/>
          <w:noProof/>
        </w:rPr>
        <w:tab/>
        <w:t>FISHING EFFORT REPORT</w:t>
      </w:r>
    </w:p>
    <w:p>
      <w:pPr>
        <w:pStyle w:val="Text1"/>
        <w:rPr>
          <w:rFonts w:eastAsia="Calibri"/>
          <w:noProof/>
        </w:rPr>
      </w:pPr>
      <w:r>
        <w:rPr>
          <w:rFonts w:eastAsia="Calibri"/>
          <w:noProof/>
        </w:rPr>
        <w:t>Article 28 of Regulation (EC) No 1224/2009 shall apply to vessels falling under the scope of this Annex. The geographical area referred to in that Article shall be understood as the area specified in point 2 of this Annex.</w:t>
      </w:r>
    </w:p>
    <w:p>
      <w:pPr>
        <w:pStyle w:val="Point0"/>
        <w:rPr>
          <w:rFonts w:eastAsia="Calibri"/>
          <w:noProof/>
        </w:rPr>
      </w:pPr>
      <w:r>
        <w:rPr>
          <w:rFonts w:eastAsia="Calibri"/>
          <w:noProof/>
        </w:rPr>
        <w:t>14.</w:t>
      </w:r>
      <w:r>
        <w:rPr>
          <w:rFonts w:eastAsia="Calibri"/>
          <w:noProof/>
        </w:rPr>
        <w:tab/>
        <w:t>COLLECTION OF RELEVANT DATA</w:t>
      </w:r>
    </w:p>
    <w:p>
      <w:pPr>
        <w:pStyle w:val="Text1"/>
        <w:rPr>
          <w:rFonts w:eastAsia="Calibri"/>
          <w:noProof/>
        </w:rPr>
      </w:pPr>
      <w:r>
        <w:rPr>
          <w:rFonts w:eastAsia="Calibri"/>
          <w:noProof/>
        </w:rPr>
        <w:t>Member States shall collect on a quarterly basis the information about total fishing effort deployed within the area for towed gears and static gears, effort deployed by vessels using different types of gear in the area, and the engine power of those vessels in kilowatt days, on the basis of information used for the management of fishing days present within the area as set out in this Annex.</w:t>
      </w:r>
    </w:p>
    <w:p>
      <w:pPr>
        <w:pStyle w:val="Point0"/>
        <w:rPr>
          <w:rFonts w:eastAsia="Calibri"/>
          <w:noProof/>
        </w:rPr>
      </w:pPr>
      <w:r>
        <w:rPr>
          <w:rFonts w:eastAsia="Calibri"/>
          <w:noProof/>
        </w:rPr>
        <w:t>15.</w:t>
      </w:r>
      <w:r>
        <w:rPr>
          <w:rFonts w:eastAsia="Calibri"/>
          <w:noProof/>
        </w:rPr>
        <w:tab/>
        <w:t>COMMUNICATION OF RELEVANT DATA</w:t>
      </w:r>
    </w:p>
    <w:p>
      <w:pPr>
        <w:pStyle w:val="Text1"/>
        <w:rPr>
          <w:rFonts w:eastAsia="Calibri"/>
          <w:noProof/>
        </w:rPr>
      </w:pPr>
      <w:r>
        <w:rPr>
          <w:rFonts w:eastAsia="Calibri"/>
          <w:noProof/>
        </w:rPr>
        <w:t>Upon request from the Commission, Member States shall make available to the Commission a spreadsheet with data specified in point 14 in the format specified in Tables II and III by sending it to the appropriate electronic mailbox address, which shall be communicated to the Member States by the Commission. Member States shall, upon the Commission’s request, send detailed information to the Commission on effort allocated and consumed covering all or parts of the 2014 and 2015 management periods, using the data format specified in Tables IV and V.</w:t>
      </w:r>
    </w:p>
    <w:p>
      <w:pPr>
        <w:pStyle w:val="NormalCentered"/>
        <w:rPr>
          <w:rFonts w:eastAsia="Calibri"/>
          <w:noProof/>
        </w:rPr>
        <w:sectPr>
          <w:headerReference w:type="default" r:id="rId21"/>
          <w:footerReference w:type="default" r:id="rId22"/>
          <w:headerReference w:type="first" r:id="rId23"/>
          <w:footerReference w:type="first" r:id="rId24"/>
          <w:footnotePr>
            <w:numRestart w:val="eachPage"/>
          </w:footnotePr>
          <w:pgSz w:w="11906" w:h="16838"/>
          <w:pgMar w:top="1134" w:right="1134" w:bottom="1134" w:left="1134" w:header="567" w:footer="567" w:gutter="0"/>
          <w:cols w:space="720"/>
          <w:docGrid w:linePitch="326"/>
        </w:sectPr>
      </w:pPr>
    </w:p>
    <w:p>
      <w:pPr>
        <w:pStyle w:val="NormalCentered"/>
        <w:rPr>
          <w:rFonts w:eastAsia="Calibri"/>
          <w:noProof/>
        </w:rPr>
      </w:pPr>
      <w:r>
        <w:rPr>
          <w:rFonts w:eastAsia="Calibri"/>
          <w:noProof/>
        </w:rPr>
        <w:lastRenderedPageBreak/>
        <w:t>Table II</w:t>
      </w:r>
      <w:r>
        <w:rPr>
          <w:rFonts w:eastAsia="Calibri"/>
          <w:noProof/>
        </w:rPr>
        <w:br/>
        <w:t>Reporting format kW</w:t>
      </w:r>
      <w:r>
        <w:rPr>
          <w:rFonts w:eastAsia="Calibri"/>
          <w:noProof/>
        </w:rPr>
        <w:noBreakHyphen/>
        <w:t>day information by management period</w:t>
      </w:r>
    </w:p>
    <w:tbl>
      <w:tblPr>
        <w:tblW w:w="5000" w:type="pct"/>
        <w:tblLook w:val="0000" w:firstRow="0" w:lastRow="0" w:firstColumn="0" w:lastColumn="0" w:noHBand="0" w:noVBand="0"/>
      </w:tblPr>
      <w:tblGrid>
        <w:gridCol w:w="3696"/>
        <w:gridCol w:w="3696"/>
        <w:gridCol w:w="3697"/>
        <w:gridCol w:w="3697"/>
      </w:tblGrid>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Member State</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Gear</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Management period</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Cumulative effort declaration</w:t>
            </w:r>
          </w:p>
        </w:tc>
      </w:tr>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(4)</w:t>
            </w:r>
          </w:p>
        </w:tc>
      </w:tr>
    </w:tbl>
    <w:p>
      <w:pPr>
        <w:rPr>
          <w:rFonts w:eastAsia="Calibri"/>
          <w:noProof/>
        </w:rPr>
      </w:pPr>
    </w:p>
    <w:p>
      <w:pPr>
        <w:pStyle w:val="NormalCentered"/>
        <w:rPr>
          <w:rFonts w:eastAsia="Calibri"/>
          <w:noProof/>
        </w:rPr>
      </w:pPr>
      <w:r>
        <w:rPr>
          <w:rFonts w:eastAsia="Calibri"/>
          <w:noProof/>
        </w:rPr>
        <w:br w:type="page"/>
      </w:r>
      <w:r>
        <w:rPr>
          <w:rFonts w:eastAsia="Calibri"/>
          <w:noProof/>
        </w:rPr>
        <w:lastRenderedPageBreak/>
        <w:t>Table III</w:t>
      </w:r>
      <w:r>
        <w:rPr>
          <w:rFonts w:eastAsia="Calibri"/>
          <w:noProof/>
        </w:rPr>
        <w:br/>
        <w:t>Data format kW</w:t>
      </w:r>
      <w:r>
        <w:rPr>
          <w:rFonts w:eastAsia="Calibri"/>
          <w:noProof/>
        </w:rPr>
        <w:noBreakHyphen/>
        <w:t>day information by management period</w:t>
      </w:r>
    </w:p>
    <w:tbl>
      <w:tblPr>
        <w:tblW w:w="0" w:type="auto"/>
        <w:tblLook w:val="0000" w:firstRow="0" w:lastRow="0" w:firstColumn="0" w:lastColumn="0" w:noHBand="0" w:noVBand="0"/>
      </w:tblPr>
      <w:tblGrid>
        <w:gridCol w:w="3085"/>
        <w:gridCol w:w="2551"/>
        <w:gridCol w:w="2552"/>
        <w:gridCol w:w="6598"/>
      </w:tblGrid>
      <w:tr>
        <w:trPr>
          <w:tblHeader/>
        </w:trPr>
        <w:tc>
          <w:tcPr>
            <w:tcW w:w="3085"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Name of field</w:t>
            </w:r>
          </w:p>
        </w:tc>
        <w:tc>
          <w:tcPr>
            <w:tcW w:w="2551"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Maximum number of characters/digits</w:t>
            </w:r>
          </w:p>
        </w:tc>
        <w:tc>
          <w:tcPr>
            <w:tcW w:w="2552"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Alignment</w:t>
            </w:r>
            <w:r>
              <w:rPr>
                <w:rFonts w:eastAsia="Calibri"/>
                <w:b/>
                <w:bCs/>
                <w:noProof/>
                <w:vertAlign w:val="superscript"/>
              </w:rPr>
              <w:t>(1)</w:t>
            </w:r>
          </w:p>
          <w:p>
            <w:pPr>
              <w:spacing w:before="60" w:after="60"/>
              <w:jc w:val="center"/>
              <w:rPr>
                <w:rFonts w:eastAsia="Calibri"/>
                <w:noProof/>
              </w:rPr>
            </w:pPr>
            <w:r>
              <w:rPr>
                <w:rFonts w:eastAsia="Calibri"/>
                <w:noProof/>
              </w:rPr>
              <w:t>L(eft)/R(ight)</w:t>
            </w:r>
          </w:p>
        </w:tc>
        <w:tc>
          <w:tcPr>
            <w:tcW w:w="65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Definition and comments</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(1)</w:t>
            </w:r>
            <w:r>
              <w:rPr>
                <w:rFonts w:eastAsia="Calibri"/>
                <w:noProof/>
              </w:rPr>
              <w:tab/>
              <w:t>Member State</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3</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Member State (Alpha</w:t>
            </w:r>
            <w:r>
              <w:rPr>
                <w:rFonts w:eastAsia="Calibri"/>
                <w:noProof/>
              </w:rPr>
              <w:noBreakHyphen/>
              <w:t>3 ISO code) in which the vessel is registered</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(2)</w:t>
            </w:r>
            <w:r>
              <w:rPr>
                <w:rFonts w:eastAsia="Calibri"/>
                <w:noProof/>
              </w:rPr>
              <w:tab/>
              <w:t>Gear</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2</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One of the following gear types:</w:t>
            </w:r>
          </w:p>
          <w:p>
            <w:pPr>
              <w:spacing w:before="60" w:after="60"/>
              <w:rPr>
                <w:rFonts w:eastAsia="Calibri"/>
                <w:noProof/>
                <w:lang w:val="de-DE"/>
              </w:rPr>
            </w:pPr>
            <w:r>
              <w:rPr>
                <w:rFonts w:eastAsia="Calibri"/>
                <w:noProof/>
                <w:lang w:val="de-DE"/>
              </w:rPr>
              <w:t>BT = beam trawls ≥ 80 mm</w:t>
            </w:r>
          </w:p>
          <w:p>
            <w:pPr>
              <w:spacing w:before="60" w:after="60"/>
              <w:rPr>
                <w:rFonts w:eastAsia="Calibri"/>
                <w:noProof/>
                <w:lang w:val="de-DE"/>
              </w:rPr>
            </w:pPr>
            <w:r>
              <w:rPr>
                <w:rFonts w:eastAsia="Calibri"/>
                <w:noProof/>
                <w:lang w:val="de-DE"/>
              </w:rPr>
              <w:t>GN = gillnet &lt; 220 mm</w:t>
            </w:r>
          </w:p>
          <w:p>
            <w:pPr>
              <w:spacing w:before="60" w:after="60"/>
              <w:rPr>
                <w:rFonts w:eastAsia="Calibri"/>
                <w:noProof/>
              </w:rPr>
            </w:pPr>
            <w:r>
              <w:rPr>
                <w:rFonts w:eastAsia="Calibri"/>
                <w:noProof/>
              </w:rPr>
              <w:t>TN = trammel net or entangling net &lt; 220 mm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(3)</w:t>
            </w:r>
            <w:r>
              <w:rPr>
                <w:rFonts w:eastAsia="Calibri"/>
                <w:noProof/>
              </w:rPr>
              <w:tab/>
              <w:t>Management period</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4</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One year in the period from the 2006 management period to the current management period</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(4)</w:t>
            </w:r>
            <w:r>
              <w:rPr>
                <w:rFonts w:eastAsia="Calibri"/>
                <w:noProof/>
              </w:rPr>
              <w:tab/>
              <w:t>Cumulative effort declaration</w:t>
            </w:r>
          </w:p>
        </w:tc>
        <w:tc>
          <w:tcPr>
            <w:tcW w:w="2551"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7</w:t>
            </w:r>
          </w:p>
        </w:tc>
        <w:tc>
          <w:tcPr>
            <w:tcW w:w="2552" w:type="dxa"/>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R</w:t>
            </w: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Cumulative amount of fishing effort expressed in kilowatt days deployed from 1 February until 31 January of the relevant management period</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bCs/>
                <w:noProof/>
                <w:vertAlign w:val="superscript"/>
              </w:rPr>
              <w:t>(1)</w:t>
            </w:r>
            <w:r>
              <w:rPr>
                <w:noProof/>
              </w:rPr>
              <w:tab/>
              <w:t>Information relevant for transmission of data by fixed-length formatting.</w:t>
            </w:r>
          </w:p>
        </w:tc>
      </w:tr>
    </w:tbl>
    <w:p>
      <w:pPr>
        <w:rPr>
          <w:rFonts w:eastAsia="Calibri"/>
          <w:noProof/>
        </w:rPr>
      </w:pPr>
    </w:p>
    <w:p>
      <w:pPr>
        <w:pStyle w:val="NormalCentered"/>
        <w:rPr>
          <w:rFonts w:eastAsia="Calibri"/>
          <w:noProof/>
        </w:rPr>
      </w:pPr>
      <w:r>
        <w:rPr>
          <w:rFonts w:eastAsia="Calibri"/>
          <w:noProof/>
        </w:rPr>
        <w:br w:type="page"/>
      </w:r>
      <w:r>
        <w:rPr>
          <w:rFonts w:eastAsia="Calibri"/>
          <w:noProof/>
        </w:rPr>
        <w:lastRenderedPageBreak/>
        <w:t>Table IV</w:t>
      </w:r>
      <w:r>
        <w:rPr>
          <w:rFonts w:eastAsia="Calibri"/>
          <w:noProof/>
        </w:rPr>
        <w:br/>
        <w:t>Reporting format for vessel</w:t>
      </w:r>
      <w:r>
        <w:rPr>
          <w:rFonts w:eastAsia="Calibri"/>
          <w:noProof/>
        </w:rPr>
        <w:noBreakHyphen/>
        <w:t>related information</w:t>
      </w:r>
    </w:p>
    <w:tbl>
      <w:tblPr>
        <w:tblW w:w="5000" w:type="pct"/>
        <w:tblLook w:val="0000" w:firstRow="0" w:lastRow="0" w:firstColumn="0" w:lastColumn="0" w:noHBand="0" w:noVBand="0"/>
      </w:tblPr>
      <w:tblGrid>
        <w:gridCol w:w="1344"/>
        <w:gridCol w:w="873"/>
        <w:gridCol w:w="894"/>
        <w:gridCol w:w="1238"/>
        <w:gridCol w:w="639"/>
        <w:gridCol w:w="749"/>
        <w:gridCol w:w="749"/>
        <w:gridCol w:w="749"/>
        <w:gridCol w:w="749"/>
        <w:gridCol w:w="749"/>
        <w:gridCol w:w="749"/>
        <w:gridCol w:w="749"/>
        <w:gridCol w:w="660"/>
        <w:gridCol w:w="749"/>
        <w:gridCol w:w="750"/>
        <w:gridCol w:w="753"/>
        <w:gridCol w:w="1643"/>
      </w:tblGrid>
      <w:tr>
        <w:trPr>
          <w:trHeight w:val="20"/>
        </w:trPr>
        <w:tc>
          <w:tcPr>
            <w:tcW w:w="401"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Member State</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CFR</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External marking</w:t>
            </w:r>
          </w:p>
        </w:tc>
        <w:tc>
          <w:tcPr>
            <w:tcW w:w="327"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Length of management period</w:t>
            </w:r>
          </w:p>
        </w:tc>
        <w:tc>
          <w:tcPr>
            <w:tcW w:w="102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Gear notified</w:t>
            </w:r>
          </w:p>
        </w:tc>
        <w:tc>
          <w:tcPr>
            <w:tcW w:w="105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Days eligible using notified gear(s)</w:t>
            </w:r>
          </w:p>
        </w:tc>
        <w:tc>
          <w:tcPr>
            <w:tcW w:w="1022"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Days spent with notified gear(s)</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Transfer of days</w:t>
            </w:r>
          </w:p>
        </w:tc>
      </w:tr>
      <w:tr>
        <w:trPr>
          <w:trHeight w:val="20"/>
        </w:trPr>
        <w:tc>
          <w:tcPr>
            <w:tcW w:w="401"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327"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No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No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rFonts w:eastAsia="Calibri"/>
                <w:noProof/>
                <w:sz w:val="20"/>
                <w:szCs w:val="20"/>
              </w:rPr>
              <w:t>No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szCs w:val="20"/>
              </w:rPr>
              <w:t>…</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No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No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rFonts w:eastAsia="Calibri"/>
                <w:noProof/>
                <w:sz w:val="20"/>
                <w:szCs w:val="20"/>
              </w:rPr>
              <w:t>No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szCs w:val="20"/>
              </w:rPr>
              <w:t>…</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No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No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 w:val="20"/>
                <w:szCs w:val="20"/>
              </w:rPr>
            </w:pPr>
            <w:r>
              <w:rPr>
                <w:rFonts w:eastAsia="Calibri"/>
                <w:noProof/>
                <w:sz w:val="20"/>
                <w:szCs w:val="20"/>
              </w:rPr>
              <w:t>No 3</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noProof/>
                <w:sz w:val="20"/>
                <w:szCs w:val="20"/>
              </w:rPr>
              <w:t>…</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p>
        </w:tc>
      </w:tr>
      <w:tr>
        <w:trPr>
          <w:trHeight w:val="20"/>
        </w:trPr>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(1)</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(2)</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(3)</w:t>
            </w:r>
          </w:p>
        </w:tc>
        <w:tc>
          <w:tcPr>
            <w:tcW w:w="32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(4)</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(6)</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(7)</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(7)</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sz w:val="20"/>
                <w:szCs w:val="20"/>
              </w:rPr>
            </w:pPr>
            <w:r>
              <w:rPr>
                <w:rFonts w:eastAsia="Calibri"/>
                <w:noProof/>
                <w:sz w:val="20"/>
                <w:szCs w:val="20"/>
              </w:rPr>
              <w:t>(8)</w:t>
            </w:r>
          </w:p>
        </w:tc>
      </w:tr>
    </w:tbl>
    <w:p>
      <w:pPr>
        <w:rPr>
          <w:rFonts w:eastAsia="Calibri"/>
          <w:noProof/>
        </w:rPr>
      </w:pPr>
    </w:p>
    <w:p>
      <w:pPr>
        <w:pStyle w:val="NormalCentered"/>
        <w:rPr>
          <w:rFonts w:eastAsia="Calibri"/>
          <w:noProof/>
        </w:rPr>
      </w:pPr>
      <w:r>
        <w:rPr>
          <w:rFonts w:eastAsia="Calibri"/>
          <w:noProof/>
        </w:rPr>
        <w:br w:type="page"/>
      </w:r>
      <w:r>
        <w:rPr>
          <w:rFonts w:eastAsia="Calibri"/>
          <w:noProof/>
        </w:rPr>
        <w:lastRenderedPageBreak/>
        <w:t>Table V</w:t>
      </w:r>
      <w:r>
        <w:rPr>
          <w:rFonts w:eastAsia="Calibri"/>
          <w:noProof/>
        </w:rPr>
        <w:br/>
        <w:t>Data format for vessel</w:t>
      </w:r>
      <w:r>
        <w:rPr>
          <w:rFonts w:eastAsia="Calibri"/>
          <w:noProof/>
        </w:rPr>
        <w:noBreakHyphen/>
        <w:t>related information</w:t>
      </w:r>
    </w:p>
    <w:tbl>
      <w:tblPr>
        <w:tblW w:w="5000" w:type="pct"/>
        <w:tblLook w:val="0000" w:firstRow="0" w:lastRow="0" w:firstColumn="0" w:lastColumn="0" w:noHBand="0" w:noVBand="0"/>
      </w:tblPr>
      <w:tblGrid>
        <w:gridCol w:w="3084"/>
        <w:gridCol w:w="2552"/>
        <w:gridCol w:w="2552"/>
        <w:gridCol w:w="6598"/>
      </w:tblGrid>
      <w:tr>
        <w:tc>
          <w:tcPr>
            <w:tcW w:w="104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Name of field</w:t>
            </w:r>
          </w:p>
        </w:tc>
        <w:tc>
          <w:tcPr>
            <w:tcW w:w="8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Maximum number of characters/digits</w:t>
            </w:r>
          </w:p>
        </w:tc>
        <w:tc>
          <w:tcPr>
            <w:tcW w:w="8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Alignment</w:t>
            </w:r>
            <w:r>
              <w:rPr>
                <w:rFonts w:eastAsia="Calibri"/>
                <w:b/>
                <w:bCs/>
                <w:noProof/>
                <w:vertAlign w:val="superscript"/>
              </w:rPr>
              <w:t>(1)</w:t>
            </w:r>
          </w:p>
          <w:p>
            <w:pPr>
              <w:spacing w:before="60" w:after="60"/>
              <w:jc w:val="center"/>
              <w:rPr>
                <w:rFonts w:eastAsia="Calibri"/>
                <w:noProof/>
              </w:rPr>
            </w:pPr>
            <w:r>
              <w:rPr>
                <w:rFonts w:eastAsia="Calibri"/>
                <w:noProof/>
              </w:rPr>
              <w:t>L(eft)/R(ight)</w:t>
            </w:r>
          </w:p>
        </w:tc>
        <w:tc>
          <w:tcPr>
            <w:tcW w:w="223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Definition and comments</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(1)</w:t>
            </w:r>
            <w:r>
              <w:rPr>
                <w:rFonts w:eastAsia="Calibri"/>
                <w:noProof/>
              </w:rPr>
              <w:tab/>
              <w:t>Member State</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Member State (Alpha</w:t>
            </w:r>
            <w:r>
              <w:rPr>
                <w:rFonts w:eastAsia="Calibri"/>
                <w:noProof/>
              </w:rPr>
              <w:noBreakHyphen/>
              <w:t xml:space="preserve">3 ISO code) in which vessel is registered </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(2)</w:t>
            </w:r>
            <w:r>
              <w:rPr>
                <w:rFonts w:eastAsia="Calibri"/>
                <w:noProof/>
              </w:rPr>
              <w:tab/>
              <w:t>CFR</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12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Union fishing fleet register number (CFR)</w:t>
            </w:r>
          </w:p>
          <w:p>
            <w:pPr>
              <w:spacing w:before="60" w:after="60"/>
              <w:rPr>
                <w:rFonts w:eastAsia="Calibri"/>
                <w:noProof/>
              </w:rPr>
            </w:pPr>
            <w:r>
              <w:rPr>
                <w:rFonts w:eastAsia="Calibri"/>
                <w:noProof/>
              </w:rPr>
              <w:t>Unique identification number of a fishing vessel</w:t>
            </w:r>
          </w:p>
          <w:p>
            <w:pPr>
              <w:spacing w:before="60" w:after="60"/>
              <w:rPr>
                <w:rFonts w:eastAsia="Calibri"/>
                <w:noProof/>
              </w:rPr>
            </w:pPr>
            <w:r>
              <w:rPr>
                <w:rFonts w:eastAsia="Calibri"/>
                <w:noProof/>
              </w:rPr>
              <w:t>Member State (Alpha</w:t>
            </w:r>
            <w:r>
              <w:rPr>
                <w:rFonts w:eastAsia="Calibri"/>
                <w:noProof/>
              </w:rPr>
              <w:noBreakHyphen/>
              <w:t xml:space="preserve">3 ISO code) followed by an identifying series (9 characters). Where a series has fewer than 9 characters, additional zeros shall be inserted on the left hand side </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(3)</w:t>
            </w:r>
            <w:r>
              <w:rPr>
                <w:rFonts w:eastAsia="Calibri"/>
                <w:noProof/>
              </w:rPr>
              <w:tab/>
              <w:t>External marking</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14</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Under Regulation (EEC) No 1381/87</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(4)</w:t>
            </w:r>
            <w:r>
              <w:rPr>
                <w:rFonts w:eastAsia="Calibri"/>
                <w:noProof/>
              </w:rPr>
              <w:tab/>
              <w:t>Length of management period</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Length of the management period measured in months</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(5)</w:t>
            </w:r>
            <w:r>
              <w:rPr>
                <w:rFonts w:eastAsia="Calibri"/>
                <w:noProof/>
              </w:rPr>
              <w:tab/>
              <w:t>Gears notified</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2</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One of the following gear types:</w:t>
            </w:r>
          </w:p>
          <w:p>
            <w:pPr>
              <w:spacing w:before="60" w:after="60"/>
              <w:rPr>
                <w:rFonts w:eastAsia="Calibri"/>
                <w:noProof/>
                <w:lang w:val="de-DE"/>
              </w:rPr>
            </w:pPr>
            <w:r>
              <w:rPr>
                <w:rFonts w:eastAsia="Calibri"/>
                <w:noProof/>
                <w:lang w:val="de-DE"/>
              </w:rPr>
              <w:t>BT = beam trawls ≥ 80 mm</w:t>
            </w:r>
          </w:p>
          <w:p>
            <w:pPr>
              <w:spacing w:before="60" w:after="60"/>
              <w:rPr>
                <w:rFonts w:eastAsia="Calibri"/>
                <w:noProof/>
                <w:lang w:val="de-DE"/>
              </w:rPr>
            </w:pPr>
            <w:r>
              <w:rPr>
                <w:rFonts w:eastAsia="Calibri"/>
                <w:noProof/>
                <w:lang w:val="de-DE"/>
              </w:rPr>
              <w:t>GN = gillnet &lt; 220 mm</w:t>
            </w:r>
          </w:p>
          <w:p>
            <w:pPr>
              <w:spacing w:before="60" w:after="60"/>
              <w:rPr>
                <w:rFonts w:eastAsia="Calibri"/>
                <w:noProof/>
                <w:lang w:val="nl-NL"/>
              </w:rPr>
            </w:pPr>
            <w:r>
              <w:rPr>
                <w:rFonts w:eastAsia="Calibri"/>
                <w:noProof/>
                <w:lang w:val="nl-NL"/>
              </w:rPr>
              <w:t>TN = trammel net or entangling net &lt; 220 mm</w:t>
            </w:r>
          </w:p>
        </w:tc>
      </w:tr>
      <w:tr>
        <w:tc>
          <w:tcPr>
            <w:tcW w:w="1043" w:type="pct"/>
            <w:tcBorders>
              <w:top w:val="single" w:sz="4" w:space="0" w:color="000000"/>
              <w:left w:val="single" w:sz="4" w:space="0" w:color="000000"/>
              <w:bottom w:val="single" w:sz="4" w:space="0" w:color="000000"/>
            </w:tcBorders>
            <w:shd w:val="clear" w:color="auto" w:fill="auto"/>
          </w:tcPr>
          <w:p>
            <w:pPr>
              <w:pageBreakBefore/>
              <w:spacing w:before="60" w:after="60"/>
              <w:ind w:left="397" w:hanging="397"/>
              <w:rPr>
                <w:rFonts w:eastAsia="Calibri"/>
                <w:noProof/>
              </w:rPr>
            </w:pPr>
            <w:r>
              <w:rPr>
                <w:rFonts w:eastAsia="Calibri"/>
                <w:noProof/>
              </w:rPr>
              <w:lastRenderedPageBreak/>
              <w:t>(6)</w:t>
            </w:r>
            <w:r>
              <w:rPr>
                <w:rFonts w:eastAsia="Calibri"/>
                <w:noProof/>
              </w:rPr>
              <w:tab/>
              <w:t>Special condition applying to notified gear(s)</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Number of days for which the vessel is eligible under Annex IIC for the choice of gears and length of management period notified</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(7)</w:t>
            </w:r>
            <w:r>
              <w:rPr>
                <w:rFonts w:eastAsia="Calibri"/>
                <w:noProof/>
              </w:rPr>
              <w:tab/>
              <w:t>Days spent with notified gear(s)</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3</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Number of days the vessel actually spent present within the area and using a gear corresponding to gear notified during the notified management period</w:t>
            </w:r>
          </w:p>
        </w:tc>
      </w:tr>
      <w:tr>
        <w:tc>
          <w:tcPr>
            <w:tcW w:w="1043" w:type="pct"/>
            <w:tcBorders>
              <w:top w:val="single" w:sz="4" w:space="0" w:color="000000"/>
              <w:left w:val="single" w:sz="4" w:space="0" w:color="000000"/>
              <w:bottom w:val="single" w:sz="4" w:space="0" w:color="000000"/>
            </w:tcBorders>
            <w:shd w:val="clear" w:color="auto" w:fill="auto"/>
          </w:tcPr>
          <w:p>
            <w:pPr>
              <w:spacing w:before="60" w:after="60"/>
              <w:ind w:left="397" w:hanging="397"/>
              <w:rPr>
                <w:rFonts w:eastAsia="Calibri"/>
                <w:noProof/>
              </w:rPr>
            </w:pPr>
            <w:r>
              <w:rPr>
                <w:rFonts w:eastAsia="Calibri"/>
                <w:noProof/>
              </w:rPr>
              <w:t>(8)</w:t>
            </w:r>
            <w:r>
              <w:rPr>
                <w:rFonts w:eastAsia="Calibri"/>
                <w:noProof/>
              </w:rPr>
              <w:tab/>
              <w:t>Transfers of days</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4</w:t>
            </w:r>
          </w:p>
        </w:tc>
        <w:tc>
          <w:tcPr>
            <w:tcW w:w="86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L</w:t>
            </w:r>
          </w:p>
        </w:tc>
        <w:tc>
          <w:tcPr>
            <w:tcW w:w="223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For days transferred indicate ‘– number of days transferred’ and for days received indicate ‘+ number of days transferred’</w:t>
            </w:r>
          </w:p>
        </w:tc>
      </w:tr>
      <w:t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b/>
                <w:bCs/>
                <w:noProof/>
                <w:vertAlign w:val="superscript"/>
              </w:rPr>
              <w:t>(1)</w:t>
            </w:r>
            <w:r>
              <w:rPr>
                <w:noProof/>
              </w:rPr>
              <w:tab/>
              <w:t>Information relevant for transmission of data by fixed-length formatting.</w:t>
            </w:r>
          </w:p>
        </w:tc>
      </w:tr>
    </w:tbl>
    <w:p>
      <w:pPr>
        <w:pStyle w:val="LignefinalLandscape"/>
        <w:rPr>
          <w:rFonts w:eastAsia="Calibri"/>
          <w:noProof/>
        </w:rPr>
      </w:pPr>
    </w:p>
    <w:p>
      <w:pPr>
        <w:rPr>
          <w:rFonts w:eastAsia="Calibri"/>
          <w:noProof/>
        </w:rPr>
        <w:sectPr>
          <w:headerReference w:type="default" r:id="rId25"/>
          <w:footerReference w:type="default" r:id="rId26"/>
          <w:headerReference w:type="first" r:id="rId27"/>
          <w:footerReference w:type="first" r:id="rId28"/>
          <w:footnotePr>
            <w:numRestart w:val="eachPage"/>
          </w:footnotePr>
          <w:pgSz w:w="16838" w:h="11906" w:orient="landscape"/>
          <w:pgMar w:top="1134" w:right="1134" w:bottom="1134" w:left="1134" w:header="709" w:footer="709" w:gutter="0"/>
          <w:cols w:space="720"/>
          <w:docGrid w:linePitch="360"/>
        </w:sectPr>
      </w:pPr>
    </w:p>
    <w:p>
      <w:pPr>
        <w:pStyle w:val="Annexetitre"/>
        <w:rPr>
          <w:rFonts w:eastAsia="Calibri"/>
          <w:noProof/>
        </w:rPr>
      </w:pPr>
      <w:r>
        <w:rPr>
          <w:rFonts w:eastAsia="Calibri"/>
          <w:noProof/>
        </w:rPr>
        <w:lastRenderedPageBreak/>
        <w:t>ANNEX IID</w:t>
      </w:r>
    </w:p>
    <w:p>
      <w:pPr>
        <w:pStyle w:val="NormalCentered"/>
        <w:rPr>
          <w:rFonts w:eastAsia="Calibri"/>
          <w:noProof/>
        </w:rPr>
      </w:pPr>
      <w:r>
        <w:rPr>
          <w:rFonts w:eastAsia="Calibri"/>
          <w:noProof/>
        </w:rPr>
        <w:t>MANAGEMENT AREAS FOR SANDEEL</w:t>
      </w:r>
      <w:r>
        <w:rPr>
          <w:rFonts w:eastAsia="Calibri"/>
          <w:noProof/>
        </w:rPr>
        <w:br/>
        <w:t>IN ICES DIVISIONS IIa, IIIa AND ICES SUBAREA IV</w:t>
      </w:r>
    </w:p>
    <w:p>
      <w:pPr>
        <w:rPr>
          <w:rFonts w:eastAsia="Calibri"/>
          <w:noProof/>
        </w:rPr>
      </w:pPr>
      <w:r>
        <w:rPr>
          <w:rFonts w:eastAsia="Calibri"/>
          <w:noProof/>
        </w:rPr>
        <w:t>For the purposes of the management of the fishing opportunities of sandeel in ICES divisions IIa, IIIa and ICES subarea IV fixed in Annex IA, the management areas within which specific catch limits apply are defined as shown below and in the Appendix to this Annex:</w:t>
      </w:r>
    </w:p>
    <w:tbl>
      <w:tblPr>
        <w:tblW w:w="5000" w:type="pct"/>
        <w:tblLook w:val="0000" w:firstRow="0" w:lastRow="0" w:firstColumn="0" w:lastColumn="0" w:noHBand="0" w:noVBand="0"/>
      </w:tblPr>
      <w:tblGrid>
        <w:gridCol w:w="2802"/>
        <w:gridCol w:w="7052"/>
      </w:tblGrid>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Sandeel management area</w:t>
            </w:r>
          </w:p>
        </w:tc>
        <w:tc>
          <w:tcPr>
            <w:tcW w:w="3578"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ICES statistical rectangles</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1</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31</w:t>
            </w:r>
            <w:r>
              <w:rPr>
                <w:rFonts w:eastAsia="Calibri"/>
                <w:noProof/>
              </w:rPr>
              <w:noBreakHyphen/>
              <w:t>34 E9</w:t>
            </w:r>
            <w:r>
              <w:rPr>
                <w:rFonts w:eastAsia="Calibri"/>
                <w:noProof/>
              </w:rPr>
              <w:noBreakHyphen/>
              <w:t>F2; 35 E9</w:t>
            </w:r>
            <w:r>
              <w:rPr>
                <w:rFonts w:eastAsia="Calibri"/>
                <w:noProof/>
              </w:rPr>
              <w:noBreakHyphen/>
              <w:t xml:space="preserve"> F3; 36 E9</w:t>
            </w:r>
            <w:r>
              <w:rPr>
                <w:rFonts w:eastAsia="Calibri"/>
                <w:noProof/>
              </w:rPr>
              <w:noBreakHyphen/>
              <w:t>F4; 37 E9</w:t>
            </w:r>
            <w:r>
              <w:rPr>
                <w:rFonts w:eastAsia="Calibri"/>
                <w:noProof/>
              </w:rPr>
              <w:noBreakHyphen/>
              <w:t>F5; 38</w:t>
            </w:r>
            <w:r>
              <w:rPr>
                <w:rFonts w:eastAsia="Calibri"/>
                <w:noProof/>
              </w:rPr>
              <w:noBreakHyphen/>
              <w:t>40 F0</w:t>
            </w:r>
            <w:r>
              <w:rPr>
                <w:rFonts w:eastAsia="Calibri"/>
                <w:noProof/>
              </w:rPr>
              <w:noBreakHyphen/>
              <w:t>F5; 41 F5</w:t>
            </w:r>
            <w:r>
              <w:rPr>
                <w:rFonts w:eastAsia="Calibri"/>
                <w:noProof/>
              </w:rPr>
              <w:noBreakHyphen/>
              <w:t>F6</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2</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31</w:t>
            </w:r>
            <w:r>
              <w:rPr>
                <w:rFonts w:eastAsia="Calibri"/>
                <w:noProof/>
              </w:rPr>
              <w:noBreakHyphen/>
              <w:t>34 F3</w:t>
            </w:r>
            <w:r>
              <w:rPr>
                <w:rFonts w:eastAsia="Calibri"/>
                <w:noProof/>
              </w:rPr>
              <w:noBreakHyphen/>
              <w:t>F4; 35 F4</w:t>
            </w:r>
            <w:r>
              <w:rPr>
                <w:rFonts w:eastAsia="Calibri"/>
                <w:noProof/>
              </w:rPr>
              <w:noBreakHyphen/>
              <w:t>F6; 36 F5</w:t>
            </w:r>
            <w:r>
              <w:rPr>
                <w:rFonts w:eastAsia="Calibri"/>
                <w:noProof/>
              </w:rPr>
              <w:noBreakHyphen/>
              <w:t>F8; 37</w:t>
            </w:r>
            <w:r>
              <w:rPr>
                <w:rFonts w:eastAsia="Calibri"/>
                <w:noProof/>
              </w:rPr>
              <w:noBreakHyphen/>
              <w:t>40 F6</w:t>
            </w:r>
            <w:r>
              <w:rPr>
                <w:rFonts w:eastAsia="Calibri"/>
                <w:noProof/>
              </w:rPr>
              <w:noBreakHyphen/>
              <w:t>F8; 41 F7</w:t>
            </w:r>
            <w:r>
              <w:rPr>
                <w:rFonts w:eastAsia="Calibri"/>
                <w:noProof/>
              </w:rPr>
              <w:noBreakHyphen/>
              <w:t>F8</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3</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41 F1</w:t>
            </w:r>
            <w:r>
              <w:rPr>
                <w:rFonts w:eastAsia="Calibri"/>
                <w:noProof/>
              </w:rPr>
              <w:noBreakHyphen/>
              <w:t>F4; 42</w:t>
            </w:r>
            <w:r>
              <w:rPr>
                <w:rFonts w:eastAsia="Calibri"/>
                <w:noProof/>
              </w:rPr>
              <w:noBreakHyphen/>
              <w:t>43 F1</w:t>
            </w:r>
            <w:r>
              <w:rPr>
                <w:rFonts w:eastAsia="Calibri"/>
                <w:noProof/>
              </w:rPr>
              <w:noBreakHyphen/>
              <w:t>F9; 44 F1</w:t>
            </w:r>
            <w:r>
              <w:rPr>
                <w:rFonts w:eastAsia="Calibri"/>
                <w:noProof/>
              </w:rPr>
              <w:noBreakHyphen/>
              <w:t>G0; 45</w:t>
            </w:r>
            <w:r>
              <w:rPr>
                <w:rFonts w:eastAsia="Calibri"/>
                <w:noProof/>
              </w:rPr>
              <w:noBreakHyphen/>
              <w:t>46 F1</w:t>
            </w:r>
            <w:r>
              <w:rPr>
                <w:rFonts w:eastAsia="Calibri"/>
                <w:noProof/>
              </w:rPr>
              <w:noBreakHyphen/>
              <w:t>G1; 47 G0</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4</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38</w:t>
            </w:r>
            <w:r>
              <w:rPr>
                <w:rFonts w:eastAsia="Calibri"/>
                <w:noProof/>
              </w:rPr>
              <w:noBreakHyphen/>
              <w:t>40 E7</w:t>
            </w:r>
            <w:r>
              <w:rPr>
                <w:rFonts w:eastAsia="Calibri"/>
                <w:noProof/>
              </w:rPr>
              <w:noBreakHyphen/>
              <w:t>E9; 41</w:t>
            </w:r>
            <w:r>
              <w:rPr>
                <w:rFonts w:eastAsia="Calibri"/>
                <w:noProof/>
              </w:rPr>
              <w:noBreakHyphen/>
              <w:t>46 E6</w:t>
            </w:r>
            <w:r>
              <w:rPr>
                <w:rFonts w:eastAsia="Calibri"/>
                <w:noProof/>
              </w:rPr>
              <w:noBreakHyphen/>
              <w:t>F0</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5</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47</w:t>
            </w:r>
            <w:r>
              <w:rPr>
                <w:rFonts w:eastAsia="Calibri"/>
                <w:noProof/>
              </w:rPr>
              <w:noBreakHyphen/>
              <w:t>51 E6 + F0</w:t>
            </w:r>
            <w:r>
              <w:rPr>
                <w:rFonts w:eastAsia="Calibri"/>
                <w:noProof/>
              </w:rPr>
              <w:noBreakHyphen/>
              <w:t>F5; 52 E6</w:t>
            </w:r>
            <w:r>
              <w:rPr>
                <w:rFonts w:eastAsia="Calibri"/>
                <w:noProof/>
              </w:rPr>
              <w:noBreakHyphen/>
              <w:t>F5</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6</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41</w:t>
            </w:r>
            <w:r>
              <w:rPr>
                <w:rFonts w:eastAsia="Calibri"/>
                <w:noProof/>
              </w:rPr>
              <w:noBreakHyphen/>
              <w:t>43 G0</w:t>
            </w:r>
            <w:r>
              <w:rPr>
                <w:rFonts w:eastAsia="Calibri"/>
                <w:noProof/>
              </w:rPr>
              <w:noBreakHyphen/>
              <w:t>G3; 44 G1</w:t>
            </w:r>
          </w:p>
        </w:tc>
      </w:tr>
      <w:tr>
        <w:tc>
          <w:tcPr>
            <w:tcW w:w="142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7</w:t>
            </w:r>
          </w:p>
        </w:tc>
        <w:tc>
          <w:tcPr>
            <w:tcW w:w="3578"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47</w:t>
            </w:r>
            <w:r>
              <w:rPr>
                <w:rFonts w:eastAsia="Calibri"/>
                <w:noProof/>
              </w:rPr>
              <w:noBreakHyphen/>
              <w:t>51 E7</w:t>
            </w:r>
            <w:r>
              <w:rPr>
                <w:rFonts w:eastAsia="Calibri"/>
                <w:noProof/>
              </w:rPr>
              <w:noBreakHyphen/>
              <w:t>E9</w:t>
            </w:r>
          </w:p>
        </w:tc>
      </w:tr>
    </w:tbl>
    <w:p>
      <w:pPr>
        <w:rPr>
          <w:rFonts w:eastAsia="Calibri"/>
          <w:noProof/>
        </w:rPr>
      </w:pPr>
    </w:p>
    <w:p>
      <w:pPr>
        <w:rPr>
          <w:rFonts w:eastAsia="Calibri"/>
          <w:noProof/>
        </w:rPr>
        <w:sectPr>
          <w:headerReference w:type="default" r:id="rId29"/>
          <w:footerReference w:type="default" r:id="rId30"/>
          <w:headerReference w:type="first" r:id="rId31"/>
          <w:footerReference w:type="first" r:id="rId32"/>
          <w:footnotePr>
            <w:numRestart w:val="eachPage"/>
          </w:footnotePr>
          <w:pgSz w:w="11906" w:h="16838"/>
          <w:pgMar w:top="1134" w:right="1134" w:bottom="1134" w:left="1134" w:header="567" w:footer="567" w:gutter="0"/>
          <w:cols w:space="720"/>
          <w:docGrid w:linePitch="326"/>
        </w:sectPr>
      </w:pPr>
    </w:p>
    <w:p>
      <w:pPr>
        <w:pStyle w:val="NormalRight"/>
        <w:rPr>
          <w:rFonts w:eastAsia="Calibri"/>
          <w:b/>
          <w:bCs/>
          <w:noProof/>
          <w:u w:val="single"/>
        </w:rPr>
      </w:pPr>
      <w:r>
        <w:rPr>
          <w:rFonts w:eastAsia="Calibri"/>
          <w:b/>
          <w:bCs/>
          <w:noProof/>
          <w:u w:val="single"/>
        </w:rPr>
        <w:lastRenderedPageBreak/>
        <w:t>Appendix 1 to Annex IID</w:t>
      </w:r>
    </w:p>
    <w:p>
      <w:pPr>
        <w:pStyle w:val="NormalCentered"/>
        <w:rPr>
          <w:rFonts w:eastAsia="Calibri"/>
          <w:noProof/>
        </w:rPr>
      </w:pPr>
      <w:r>
        <w:rPr>
          <w:rFonts w:eastAsia="Calibri"/>
          <w:noProof/>
        </w:rPr>
        <w:t>Sandeel Management Areas</w:t>
      </w:r>
    </w:p>
    <w:p>
      <w:pPr>
        <w:rPr>
          <w:rFonts w:eastAsia="Calibri"/>
          <w:noProof/>
        </w:rPr>
      </w:pPr>
      <w:r>
        <w:rPr>
          <w:rFonts w:eastAsia="Calibri"/>
          <w:noProof/>
          <w:lang w:val="en-US"/>
        </w:rPr>
        <w:drawing>
          <wp:inline distT="0" distB="0" distL="0" distR="0">
            <wp:extent cx="5796280" cy="6448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b="6158"/>
                    <a:stretch>
                      <a:fillRect/>
                    </a:stretch>
                  </pic:blipFill>
                  <pic:spPr bwMode="auto">
                    <a:xfrm>
                      <a:off x="0" y="0"/>
                      <a:ext cx="5796280" cy="6448425"/>
                    </a:xfrm>
                    <a:prstGeom prst="rect">
                      <a:avLst/>
                    </a:prstGeom>
                    <a:solidFill>
                      <a:srgbClr val="FFFFFF">
                        <a:alpha val="0"/>
                      </a:srgbClr>
                    </a:solidFill>
                    <a:ln>
                      <a:noFill/>
                    </a:ln>
                  </pic:spPr>
                </pic:pic>
              </a:graphicData>
            </a:graphic>
          </wp:inline>
        </w:drawing>
      </w:r>
    </w:p>
    <w:p>
      <w:pPr>
        <w:pStyle w:val="Lignefinal"/>
        <w:rPr>
          <w:noProof/>
        </w:rPr>
      </w:pPr>
    </w:p>
    <w:p>
      <w:pPr>
        <w:rPr>
          <w:rFonts w:eastAsia="Calibri"/>
          <w:noProof/>
        </w:rPr>
        <w:sectPr>
          <w:footnotePr>
            <w:numRestart w:val="eachPage"/>
          </w:footnotePr>
          <w:pgSz w:w="11906" w:h="16838"/>
          <w:pgMar w:top="1134" w:right="1134" w:bottom="1134" w:left="1134" w:header="567" w:footer="567" w:gutter="0"/>
          <w:cols w:space="720"/>
          <w:docGrid w:linePitch="326"/>
        </w:sectPr>
      </w:pPr>
    </w:p>
    <w:p>
      <w:pPr>
        <w:pStyle w:val="Annexetitre"/>
        <w:rPr>
          <w:rFonts w:eastAsia="Calibri"/>
          <w:noProof/>
        </w:rPr>
      </w:pPr>
      <w:r>
        <w:rPr>
          <w:rFonts w:eastAsia="Calibri"/>
          <w:noProof/>
        </w:rPr>
        <w:lastRenderedPageBreak/>
        <w:t>ANNEX III</w:t>
      </w:r>
    </w:p>
    <w:p>
      <w:pPr>
        <w:pStyle w:val="NormalCentered"/>
        <w:rPr>
          <w:rFonts w:eastAsia="Calibri"/>
          <w:noProof/>
        </w:rPr>
      </w:pPr>
      <w:r>
        <w:rPr>
          <w:rFonts w:eastAsia="Calibri"/>
          <w:noProof/>
        </w:rPr>
        <w:t>MAXIMUM NUMBER OF FISHING AUTHORISATIONS</w:t>
      </w:r>
      <w:r>
        <w:rPr>
          <w:rFonts w:eastAsia="Calibri"/>
          <w:noProof/>
        </w:rPr>
        <w:br/>
        <w:t>FOR UNION VESSELS FISHING IN THIRD</w:t>
      </w:r>
      <w:r>
        <w:rPr>
          <w:rFonts w:eastAsia="Calibri"/>
          <w:noProof/>
        </w:rPr>
        <w:noBreakHyphen/>
        <w:t>COUNTRY WATERS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3401"/>
        <w:gridCol w:w="2032"/>
        <w:gridCol w:w="1940"/>
        <w:gridCol w:w="2265"/>
        <w:gridCol w:w="2345"/>
      </w:tblGrid>
      <w:tr>
        <w:trPr>
          <w:trHeight w:val="20"/>
          <w:tblHeader/>
        </w:trPr>
        <w:tc>
          <w:tcPr>
            <w:tcW w:w="948" w:type="pct"/>
            <w:tcBorders>
              <w:bottom w:val="single" w:sz="4" w:space="0" w:color="auto"/>
            </w:tcBorders>
            <w:shd w:val="clear" w:color="auto" w:fill="auto"/>
            <w:vAlign w:val="center"/>
          </w:tcPr>
          <w:p>
            <w:pPr>
              <w:spacing w:before="60" w:after="60"/>
              <w:jc w:val="center"/>
              <w:rPr>
                <w:noProof/>
              </w:rPr>
            </w:pPr>
            <w:r>
              <w:rPr>
                <w:noProof/>
              </w:rPr>
              <w:t>Area of fishing</w:t>
            </w:r>
          </w:p>
        </w:tc>
        <w:tc>
          <w:tcPr>
            <w:tcW w:w="1150" w:type="pct"/>
            <w:shd w:val="clear" w:color="auto" w:fill="auto"/>
            <w:vAlign w:val="center"/>
          </w:tcPr>
          <w:p>
            <w:pPr>
              <w:spacing w:before="60" w:after="60"/>
              <w:jc w:val="center"/>
              <w:rPr>
                <w:noProof/>
              </w:rPr>
            </w:pPr>
            <w:r>
              <w:rPr>
                <w:noProof/>
              </w:rPr>
              <w:t>Fishery</w:t>
            </w:r>
          </w:p>
        </w:tc>
        <w:tc>
          <w:tcPr>
            <w:tcW w:w="687" w:type="pct"/>
            <w:shd w:val="clear" w:color="auto" w:fill="auto"/>
            <w:vAlign w:val="center"/>
          </w:tcPr>
          <w:p>
            <w:pPr>
              <w:spacing w:before="60" w:after="60"/>
              <w:jc w:val="center"/>
              <w:rPr>
                <w:noProof/>
              </w:rPr>
            </w:pPr>
            <w:r>
              <w:rPr>
                <w:noProof/>
              </w:rPr>
              <w:t>Number of fishing authorisations</w:t>
            </w:r>
          </w:p>
        </w:tc>
        <w:tc>
          <w:tcPr>
            <w:tcW w:w="1422" w:type="pct"/>
            <w:gridSpan w:val="2"/>
            <w:shd w:val="clear" w:color="auto" w:fill="auto"/>
            <w:vAlign w:val="center"/>
          </w:tcPr>
          <w:p>
            <w:pPr>
              <w:spacing w:before="60" w:after="60"/>
              <w:jc w:val="center"/>
              <w:rPr>
                <w:noProof/>
              </w:rPr>
            </w:pPr>
            <w:r>
              <w:rPr>
                <w:noProof/>
              </w:rPr>
              <w:t>Allocation of fishing authorisations amongst Member States</w:t>
            </w:r>
          </w:p>
        </w:tc>
        <w:tc>
          <w:tcPr>
            <w:tcW w:w="793" w:type="pct"/>
            <w:shd w:val="clear" w:color="auto" w:fill="auto"/>
            <w:vAlign w:val="center"/>
          </w:tcPr>
          <w:p>
            <w:pPr>
              <w:spacing w:before="60" w:after="60"/>
              <w:jc w:val="center"/>
              <w:rPr>
                <w:noProof/>
              </w:rPr>
            </w:pPr>
            <w:r>
              <w:rPr>
                <w:noProof/>
              </w:rPr>
              <w:t>Maximum number of vessels present at any time</w:t>
            </w:r>
          </w:p>
        </w:tc>
      </w:tr>
      <w:tr>
        <w:trPr>
          <w:trHeight w:val="20"/>
        </w:trPr>
        <w:tc>
          <w:tcPr>
            <w:tcW w:w="948" w:type="pct"/>
            <w:vMerge w:val="restart"/>
            <w:tcBorders>
              <w:top w:val="single" w:sz="4" w:space="0" w:color="auto"/>
              <w:left w:val="single" w:sz="4" w:space="0" w:color="auto"/>
              <w:bottom w:val="single" w:sz="4" w:space="0" w:color="auto"/>
              <w:right w:val="single" w:sz="4" w:space="0" w:color="auto"/>
            </w:tcBorders>
            <w:shd w:val="clear" w:color="auto" w:fill="auto"/>
          </w:tcPr>
          <w:p>
            <w:pPr>
              <w:spacing w:before="60" w:after="60"/>
              <w:rPr>
                <w:noProof/>
              </w:rPr>
            </w:pPr>
            <w:r>
              <w:rPr>
                <w:noProof/>
              </w:rPr>
              <w:t>Norwegian waters and fishery zone around Jan Mayen</w:t>
            </w:r>
          </w:p>
        </w:tc>
        <w:tc>
          <w:tcPr>
            <w:tcW w:w="1150" w:type="pct"/>
            <w:vMerge w:val="restart"/>
            <w:tcBorders>
              <w:left w:val="single" w:sz="4" w:space="0" w:color="auto"/>
            </w:tcBorders>
            <w:shd w:val="clear" w:color="auto" w:fill="auto"/>
          </w:tcPr>
          <w:p>
            <w:pPr>
              <w:spacing w:before="60" w:after="60"/>
              <w:rPr>
                <w:noProof/>
              </w:rPr>
            </w:pPr>
            <w:r>
              <w:rPr>
                <w:noProof/>
              </w:rPr>
              <w:t>Herring, north of 62° 00' N</w:t>
            </w:r>
          </w:p>
        </w:tc>
        <w:tc>
          <w:tcPr>
            <w:tcW w:w="687" w:type="pct"/>
            <w:vMerge w:val="restart"/>
            <w:shd w:val="clear" w:color="auto" w:fill="auto"/>
          </w:tcPr>
          <w:p>
            <w:pPr>
              <w:spacing w:before="60" w:after="60"/>
              <w:rPr>
                <w:noProof/>
              </w:rPr>
            </w:pPr>
            <w:r>
              <w:rPr>
                <w:noProof/>
              </w:rPr>
              <w:t>To be established</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To be established</w:t>
            </w:r>
          </w:p>
        </w:tc>
        <w:tc>
          <w:tcPr>
            <w:tcW w:w="793" w:type="pct"/>
            <w:vMerge w:val="restart"/>
            <w:shd w:val="clear" w:color="auto" w:fill="auto"/>
          </w:tcPr>
          <w:p>
            <w:pPr>
              <w:spacing w:before="60" w:after="60"/>
              <w:rPr>
                <w:noProof/>
              </w:rPr>
            </w:pPr>
            <w:r>
              <w:rPr>
                <w:noProof/>
              </w:rPr>
              <w:t>To be established</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PL</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SV</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val="restart"/>
            <w:tcBorders>
              <w:top w:val="nil"/>
              <w:left w:val="single" w:sz="4" w:space="0" w:color="auto"/>
              <w:bottom w:val="single" w:sz="4" w:space="0" w:color="auto"/>
              <w:right w:val="single" w:sz="4" w:space="0" w:color="auto"/>
            </w:tcBorders>
            <w:shd w:val="clear" w:color="auto" w:fill="auto"/>
          </w:tcPr>
          <w:p>
            <w:pPr>
              <w:pageBreakBefore/>
              <w:spacing w:before="60" w:after="60"/>
              <w:rPr>
                <w:noProof/>
              </w:rPr>
            </w:pPr>
          </w:p>
        </w:tc>
        <w:tc>
          <w:tcPr>
            <w:tcW w:w="1150" w:type="pct"/>
            <w:vMerge w:val="restart"/>
            <w:tcBorders>
              <w:left w:val="single" w:sz="4" w:space="0" w:color="auto"/>
            </w:tcBorders>
            <w:shd w:val="clear" w:color="auto" w:fill="auto"/>
          </w:tcPr>
          <w:p>
            <w:pPr>
              <w:spacing w:before="60" w:after="60"/>
              <w:rPr>
                <w:noProof/>
              </w:rPr>
            </w:pPr>
            <w:r>
              <w:rPr>
                <w:noProof/>
              </w:rPr>
              <w:t>Demersal species, north of 62° 00' N</w:t>
            </w:r>
          </w:p>
        </w:tc>
        <w:tc>
          <w:tcPr>
            <w:tcW w:w="687" w:type="pct"/>
            <w:vMerge w:val="restart"/>
            <w:shd w:val="clear" w:color="auto" w:fill="auto"/>
          </w:tcPr>
          <w:p>
            <w:pPr>
              <w:spacing w:before="60" w:after="60"/>
              <w:rPr>
                <w:noProof/>
              </w:rPr>
            </w:pPr>
            <w:r>
              <w:rPr>
                <w:noProof/>
              </w:rPr>
              <w:t>To be established</w:t>
            </w:r>
          </w:p>
        </w:tc>
        <w:tc>
          <w:tcPr>
            <w:tcW w:w="656" w:type="pct"/>
            <w:shd w:val="clear" w:color="auto" w:fill="auto"/>
          </w:tcPr>
          <w:p>
            <w:pPr>
              <w:spacing w:before="60" w:after="60"/>
              <w:rPr>
                <w:noProof/>
              </w:rPr>
            </w:pPr>
            <w:r>
              <w:rPr>
                <w:noProof/>
              </w:rPr>
              <w:t xml:space="preserve">DE </w:t>
            </w:r>
          </w:p>
        </w:tc>
        <w:tc>
          <w:tcPr>
            <w:tcW w:w="766" w:type="pct"/>
            <w:shd w:val="clear" w:color="auto" w:fill="auto"/>
          </w:tcPr>
          <w:p>
            <w:pPr>
              <w:spacing w:before="60" w:after="60"/>
              <w:rPr>
                <w:noProof/>
              </w:rPr>
            </w:pPr>
            <w:r>
              <w:rPr>
                <w:noProof/>
              </w:rPr>
              <w:t>To be established</w:t>
            </w:r>
          </w:p>
        </w:tc>
        <w:tc>
          <w:tcPr>
            <w:tcW w:w="793" w:type="pct"/>
            <w:vMerge w:val="restart"/>
            <w:shd w:val="clear" w:color="auto" w:fill="auto"/>
          </w:tcPr>
          <w:p>
            <w:pPr>
              <w:spacing w:before="60" w:after="60"/>
              <w:rPr>
                <w:noProof/>
              </w:rPr>
            </w:pPr>
            <w:r>
              <w:rPr>
                <w:noProof/>
              </w:rPr>
              <w:t>To be established</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ES</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PT</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Unallocated</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tcBorders>
              <w:left w:val="single" w:sz="4" w:space="0" w:color="auto"/>
            </w:tcBorders>
            <w:shd w:val="clear" w:color="auto" w:fill="auto"/>
          </w:tcPr>
          <w:p>
            <w:pPr>
              <w:spacing w:before="60" w:after="60"/>
              <w:rPr>
                <w:noProof/>
              </w:rPr>
            </w:pPr>
            <w:r>
              <w:rPr>
                <w:noProof/>
              </w:rPr>
              <w:t xml:space="preserve">Mackerel </w:t>
            </w:r>
            <w:r>
              <w:rPr>
                <w:b/>
                <w:bCs/>
                <w:noProof/>
                <w:vertAlign w:val="superscript"/>
              </w:rPr>
              <w:t>(1)</w:t>
            </w:r>
          </w:p>
        </w:tc>
        <w:tc>
          <w:tcPr>
            <w:tcW w:w="687" w:type="pct"/>
            <w:shd w:val="clear" w:color="auto" w:fill="auto"/>
          </w:tcPr>
          <w:p>
            <w:pPr>
              <w:spacing w:before="60" w:after="60"/>
              <w:rPr>
                <w:noProof/>
              </w:rPr>
            </w:pPr>
            <w:r>
              <w:rPr>
                <w:noProof/>
              </w:rPr>
              <w:t>Not relevant</w:t>
            </w:r>
          </w:p>
        </w:tc>
        <w:tc>
          <w:tcPr>
            <w:tcW w:w="1422" w:type="pct"/>
            <w:gridSpan w:val="2"/>
            <w:shd w:val="clear" w:color="auto" w:fill="auto"/>
          </w:tcPr>
          <w:p>
            <w:pPr>
              <w:spacing w:before="60" w:after="60"/>
              <w:rPr>
                <w:noProof/>
              </w:rPr>
            </w:pPr>
            <w:r>
              <w:rPr>
                <w:noProof/>
              </w:rPr>
              <w:t>Not relevant</w:t>
            </w:r>
          </w:p>
        </w:tc>
        <w:tc>
          <w:tcPr>
            <w:tcW w:w="793" w:type="pct"/>
            <w:shd w:val="clear" w:color="auto" w:fill="auto"/>
          </w:tcPr>
          <w:p>
            <w:pPr>
              <w:spacing w:before="60" w:after="60"/>
              <w:rPr>
                <w:noProof/>
              </w:rPr>
            </w:pPr>
            <w:r>
              <w:rPr>
                <w:noProof/>
              </w:rPr>
              <w:t>To be established</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val="restart"/>
            <w:tcBorders>
              <w:left w:val="single" w:sz="4" w:space="0" w:color="auto"/>
            </w:tcBorders>
            <w:shd w:val="clear" w:color="auto" w:fill="auto"/>
          </w:tcPr>
          <w:p>
            <w:pPr>
              <w:spacing w:before="60" w:after="60"/>
              <w:rPr>
                <w:noProof/>
              </w:rPr>
            </w:pPr>
            <w:r>
              <w:rPr>
                <w:noProof/>
              </w:rPr>
              <w:t>Industrial species, south of 62° 00' N</w:t>
            </w:r>
          </w:p>
        </w:tc>
        <w:tc>
          <w:tcPr>
            <w:tcW w:w="687" w:type="pct"/>
            <w:vMerge w:val="restart"/>
            <w:shd w:val="clear" w:color="auto" w:fill="auto"/>
          </w:tcPr>
          <w:p>
            <w:pPr>
              <w:spacing w:before="60" w:after="60"/>
              <w:rPr>
                <w:noProof/>
              </w:rPr>
            </w:pPr>
            <w:r>
              <w:rPr>
                <w:noProof/>
              </w:rPr>
              <w:t>To be established</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To be established</w:t>
            </w:r>
          </w:p>
        </w:tc>
        <w:tc>
          <w:tcPr>
            <w:tcW w:w="793" w:type="pct"/>
            <w:vMerge w:val="restart"/>
            <w:shd w:val="clear" w:color="auto" w:fill="auto"/>
          </w:tcPr>
          <w:p>
            <w:pPr>
              <w:spacing w:before="60" w:after="60"/>
              <w:rPr>
                <w:noProof/>
              </w:rPr>
            </w:pPr>
            <w:r>
              <w:rPr>
                <w:noProof/>
              </w:rPr>
              <w:t>To be established</w:t>
            </w:r>
          </w:p>
        </w:tc>
      </w:tr>
      <w:tr>
        <w:trPr>
          <w:trHeight w:val="20"/>
        </w:trPr>
        <w:tc>
          <w:tcPr>
            <w:tcW w:w="948" w:type="pct"/>
            <w:vMerge/>
            <w:tcBorders>
              <w:left w:val="single" w:sz="4" w:space="0" w:color="auto"/>
              <w:bottom w:val="single" w:sz="4" w:space="0" w:color="auto"/>
              <w:right w:val="single" w:sz="4" w:space="0" w:color="auto"/>
            </w:tcBorders>
            <w:shd w:val="clear" w:color="auto" w:fill="auto"/>
          </w:tcPr>
          <w:p>
            <w:pPr>
              <w:spacing w:before="60" w:after="60"/>
              <w:rPr>
                <w:noProof/>
              </w:rPr>
            </w:pPr>
          </w:p>
        </w:tc>
        <w:tc>
          <w:tcPr>
            <w:tcW w:w="1150" w:type="pct"/>
            <w:vMerge/>
            <w:tcBorders>
              <w:left w:val="single" w:sz="4" w:space="0" w:color="auto"/>
            </w:tcBorders>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val="restart"/>
            <w:tcBorders>
              <w:top w:val="single" w:sz="4" w:space="0" w:color="auto"/>
            </w:tcBorders>
            <w:shd w:val="clear" w:color="auto" w:fill="auto"/>
          </w:tcPr>
          <w:p>
            <w:pPr>
              <w:pageBreakBefore/>
              <w:spacing w:before="60" w:after="60"/>
              <w:rPr>
                <w:noProof/>
              </w:rPr>
            </w:pPr>
            <w:r>
              <w:rPr>
                <w:noProof/>
              </w:rPr>
              <w:lastRenderedPageBreak/>
              <w:t>Faroese waters</w:t>
            </w:r>
          </w:p>
        </w:tc>
        <w:tc>
          <w:tcPr>
            <w:tcW w:w="1150" w:type="pct"/>
            <w:vMerge w:val="restart"/>
            <w:shd w:val="clear" w:color="auto" w:fill="auto"/>
          </w:tcPr>
          <w:p>
            <w:pPr>
              <w:spacing w:before="60" w:after="60"/>
              <w:rPr>
                <w:noProof/>
              </w:rPr>
            </w:pPr>
            <w:r>
              <w:rPr>
                <w:noProof/>
              </w:rPr>
              <w:t>All trawl fisheries with vessels of not more than 180 feet in the zone between 12 and 21 miles from the Faroese baselines</w:t>
            </w:r>
          </w:p>
        </w:tc>
        <w:tc>
          <w:tcPr>
            <w:tcW w:w="687" w:type="pct"/>
            <w:vMerge w:val="restart"/>
            <w:shd w:val="clear" w:color="auto" w:fill="auto"/>
          </w:tcPr>
          <w:p>
            <w:pPr>
              <w:spacing w:before="60" w:after="60"/>
              <w:rPr>
                <w:noProof/>
              </w:rPr>
            </w:pPr>
            <w:r>
              <w:rPr>
                <w:noProof/>
              </w:rPr>
              <w:t>To be established</w:t>
            </w: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To be established</w:t>
            </w:r>
          </w:p>
        </w:tc>
        <w:tc>
          <w:tcPr>
            <w:tcW w:w="793" w:type="pct"/>
            <w:vMerge w:val="restart"/>
            <w:shd w:val="clear" w:color="auto" w:fill="auto"/>
          </w:tcPr>
          <w:p>
            <w:pPr>
              <w:spacing w:before="60" w:after="60"/>
              <w:rPr>
                <w:noProof/>
              </w:rPr>
            </w:pPr>
            <w:r>
              <w:rPr>
                <w:noProof/>
              </w:rPr>
              <w:t>To be established</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bottom w:val="nil"/>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tcBorders>
              <w:top w:val="nil"/>
              <w:bottom w:val="nil"/>
            </w:tcBorders>
            <w:shd w:val="clear" w:color="auto" w:fill="auto"/>
          </w:tcPr>
          <w:p>
            <w:pPr>
              <w:spacing w:before="60" w:after="60"/>
              <w:rPr>
                <w:noProof/>
              </w:rPr>
            </w:pPr>
          </w:p>
        </w:tc>
        <w:tc>
          <w:tcPr>
            <w:tcW w:w="1150" w:type="pct"/>
            <w:shd w:val="clear" w:color="auto" w:fill="auto"/>
          </w:tcPr>
          <w:p>
            <w:pPr>
              <w:spacing w:before="60" w:after="60"/>
              <w:rPr>
                <w:noProof/>
              </w:rPr>
            </w:pPr>
            <w:r>
              <w:rPr>
                <w:noProof/>
              </w:rPr>
              <w:t>Directed fisheries for cod and haddock with a minimum mesh of 135 mm, restricted to the area south of 62° 28′ N and east of 6° 30′ W</w:t>
            </w:r>
          </w:p>
        </w:tc>
        <w:tc>
          <w:tcPr>
            <w:tcW w:w="687" w:type="pct"/>
            <w:shd w:val="clear" w:color="auto" w:fill="auto"/>
          </w:tcPr>
          <w:p>
            <w:pPr>
              <w:spacing w:before="60" w:after="60"/>
              <w:rPr>
                <w:noProof/>
              </w:rPr>
            </w:pPr>
            <w:r>
              <w:rPr>
                <w:noProof/>
              </w:rPr>
              <w:t>To be established</w:t>
            </w:r>
            <w:r>
              <w:rPr>
                <w:b/>
                <w:bCs/>
                <w:noProof/>
                <w:vertAlign w:val="superscript"/>
              </w:rPr>
              <w:t xml:space="preserve"> (2)</w:t>
            </w:r>
          </w:p>
        </w:tc>
        <w:tc>
          <w:tcPr>
            <w:tcW w:w="1422" w:type="pct"/>
            <w:gridSpan w:val="2"/>
            <w:shd w:val="clear" w:color="auto" w:fill="auto"/>
          </w:tcPr>
          <w:p>
            <w:pPr>
              <w:spacing w:before="60" w:after="60"/>
              <w:rPr>
                <w:noProof/>
              </w:rPr>
            </w:pPr>
            <w:r>
              <w:rPr>
                <w:noProof/>
              </w:rPr>
              <w:t>Not relevant</w:t>
            </w:r>
          </w:p>
        </w:tc>
        <w:tc>
          <w:tcPr>
            <w:tcW w:w="793" w:type="pct"/>
            <w:shd w:val="clear" w:color="auto" w:fill="auto"/>
          </w:tcPr>
          <w:p>
            <w:pPr>
              <w:spacing w:before="60" w:after="60"/>
              <w:rPr>
                <w:noProof/>
              </w:rPr>
            </w:pPr>
            <w:r>
              <w:rPr>
                <w:noProof/>
              </w:rPr>
              <w:t>To be established</w:t>
            </w:r>
          </w:p>
        </w:tc>
      </w:tr>
      <w:tr>
        <w:trPr>
          <w:trHeight w:val="20"/>
        </w:trPr>
        <w:tc>
          <w:tcPr>
            <w:tcW w:w="948" w:type="pct"/>
            <w:vMerge w:val="restart"/>
            <w:tcBorders>
              <w:top w:val="nil"/>
            </w:tcBorders>
            <w:shd w:val="clear" w:color="auto" w:fill="auto"/>
          </w:tcPr>
          <w:p>
            <w:pPr>
              <w:spacing w:before="60" w:after="60"/>
              <w:rPr>
                <w:noProof/>
              </w:rPr>
            </w:pPr>
          </w:p>
        </w:tc>
        <w:tc>
          <w:tcPr>
            <w:tcW w:w="1150" w:type="pct"/>
            <w:vMerge w:val="restart"/>
            <w:shd w:val="clear" w:color="auto" w:fill="auto"/>
          </w:tcPr>
          <w:p>
            <w:pPr>
              <w:spacing w:before="60" w:after="60"/>
              <w:rPr>
                <w:noProof/>
              </w:rPr>
            </w:pPr>
            <w:r>
              <w:rPr>
                <w:noProof/>
              </w:rPr>
              <w:t>Trawl fisheries outside 21 miles from the Faroese baseline. In the periods from 1 March to 31 May and from 1 October to 31 December, these vessels may operate in the area between 61° 20′ N and 62° 00′ N and between 12 and 21 miles from the baselines</w:t>
            </w:r>
          </w:p>
        </w:tc>
        <w:tc>
          <w:tcPr>
            <w:tcW w:w="687" w:type="pct"/>
            <w:vMerge w:val="restart"/>
            <w:shd w:val="clear" w:color="auto" w:fill="auto"/>
          </w:tcPr>
          <w:p>
            <w:pPr>
              <w:spacing w:before="60" w:after="60"/>
              <w:rPr>
                <w:noProof/>
              </w:rPr>
            </w:pPr>
            <w:r>
              <w:rPr>
                <w:noProof/>
              </w:rPr>
              <w:t>To be established</w:t>
            </w: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To be established</w:t>
            </w:r>
          </w:p>
        </w:tc>
        <w:tc>
          <w:tcPr>
            <w:tcW w:w="793" w:type="pct"/>
            <w:vMerge w:val="restart"/>
            <w:shd w:val="clear" w:color="auto" w:fill="auto"/>
          </w:tcPr>
          <w:p>
            <w:pPr>
              <w:spacing w:before="60" w:after="60"/>
              <w:rPr>
                <w:noProof/>
              </w:rPr>
            </w:pPr>
            <w:r>
              <w:rPr>
                <w:noProof/>
              </w:rPr>
              <w:t>To be established</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bottom w:val="single" w:sz="4" w:space="0" w:color="auto"/>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val="restart"/>
            <w:tcBorders>
              <w:top w:val="nil"/>
            </w:tcBorders>
            <w:shd w:val="clear" w:color="auto" w:fill="auto"/>
          </w:tcPr>
          <w:p>
            <w:pPr>
              <w:pageBreakBefore/>
              <w:spacing w:before="60" w:after="60"/>
              <w:rPr>
                <w:noProof/>
              </w:rPr>
            </w:pPr>
          </w:p>
        </w:tc>
        <w:tc>
          <w:tcPr>
            <w:tcW w:w="1150" w:type="pct"/>
            <w:vMerge w:val="restart"/>
            <w:shd w:val="clear" w:color="auto" w:fill="auto"/>
          </w:tcPr>
          <w:p>
            <w:pPr>
              <w:spacing w:before="60" w:after="60"/>
              <w:rPr>
                <w:noProof/>
              </w:rPr>
            </w:pPr>
            <w:r>
              <w:rPr>
                <w:noProof/>
              </w:rPr>
              <w:t>Trawl fisheries for blue ling with a minimum mesh of 100 mm in the area south of 61° 30′ N and west of 9° 00′ W and in the area between 7° 00′ W and 9° 00′ W south of 60° 30′ N and in the area south</w:t>
            </w:r>
            <w:r>
              <w:rPr>
                <w:noProof/>
              </w:rPr>
              <w:noBreakHyphen/>
              <w:t>west of a line between 60° 30′ N, 7° 00′ W and 60°00′ N, 6°00′ W</w:t>
            </w:r>
          </w:p>
        </w:tc>
        <w:tc>
          <w:tcPr>
            <w:tcW w:w="687" w:type="pct"/>
            <w:vMerge w:val="restart"/>
            <w:shd w:val="clear" w:color="auto" w:fill="auto"/>
          </w:tcPr>
          <w:p>
            <w:pPr>
              <w:spacing w:before="60" w:after="60"/>
              <w:rPr>
                <w:noProof/>
              </w:rPr>
            </w:pPr>
            <w:r>
              <w:rPr>
                <w:noProof/>
              </w:rPr>
              <w:t>To be established</w:t>
            </w:r>
          </w:p>
        </w:tc>
        <w:tc>
          <w:tcPr>
            <w:tcW w:w="656" w:type="pct"/>
            <w:shd w:val="clear" w:color="auto" w:fill="auto"/>
          </w:tcPr>
          <w:p>
            <w:pPr>
              <w:spacing w:before="60" w:after="60"/>
              <w:rPr>
                <w:noProof/>
              </w:rPr>
            </w:pPr>
            <w:bookmarkStart w:id="2" w:name="RANGE!D29"/>
            <w:r>
              <w:rPr>
                <w:noProof/>
              </w:rPr>
              <w:t xml:space="preserve">DE </w:t>
            </w:r>
            <w:r>
              <w:rPr>
                <w:b/>
                <w:bCs/>
                <w:noProof/>
                <w:vertAlign w:val="superscript"/>
              </w:rPr>
              <w:t>(3)</w:t>
            </w:r>
            <w:bookmarkEnd w:id="2"/>
          </w:p>
        </w:tc>
        <w:tc>
          <w:tcPr>
            <w:tcW w:w="766" w:type="pct"/>
            <w:shd w:val="clear" w:color="auto" w:fill="auto"/>
          </w:tcPr>
          <w:p>
            <w:pPr>
              <w:spacing w:before="60" w:after="60"/>
              <w:rPr>
                <w:noProof/>
              </w:rPr>
            </w:pPr>
            <w:r>
              <w:rPr>
                <w:noProof/>
              </w:rPr>
              <w:t>To be established</w:t>
            </w:r>
          </w:p>
        </w:tc>
        <w:tc>
          <w:tcPr>
            <w:tcW w:w="793" w:type="pct"/>
            <w:vMerge w:val="restart"/>
          </w:tcPr>
          <w:p>
            <w:pPr>
              <w:spacing w:before="60" w:after="60"/>
              <w:rPr>
                <w:noProof/>
              </w:rPr>
            </w:pPr>
            <w:r>
              <w:rPr>
                <w:noProof/>
              </w:rPr>
              <w:t>To be established</w:t>
            </w:r>
            <w:r>
              <w:rPr>
                <w:b/>
                <w:bCs/>
                <w:noProof/>
                <w:vertAlign w:val="superscript"/>
              </w:rPr>
              <w:t xml:space="preserve"> (4)</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 xml:space="preserve">FR </w:t>
            </w:r>
            <w:r>
              <w:rPr>
                <w:b/>
                <w:bCs/>
                <w:noProof/>
                <w:vertAlign w:val="superscript"/>
              </w:rPr>
              <w:t>(3)</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1500"/>
        </w:trPr>
        <w:tc>
          <w:tcPr>
            <w:tcW w:w="948" w:type="pct"/>
            <w:vMerge/>
            <w:shd w:val="clear" w:color="auto" w:fill="auto"/>
          </w:tcPr>
          <w:p>
            <w:pPr>
              <w:spacing w:before="60" w:after="60"/>
              <w:rPr>
                <w:noProof/>
              </w:rPr>
            </w:pPr>
          </w:p>
        </w:tc>
        <w:tc>
          <w:tcPr>
            <w:tcW w:w="1150" w:type="pct"/>
            <w:shd w:val="clear" w:color="auto" w:fill="auto"/>
          </w:tcPr>
          <w:p>
            <w:pPr>
              <w:spacing w:before="60" w:after="60"/>
              <w:rPr>
                <w:noProof/>
              </w:rPr>
            </w:pPr>
            <w:r>
              <w:rPr>
                <w:noProof/>
              </w:rPr>
              <w:t>Directed trawl fisheries for saithe with a minimum mesh size of 120 mm and with the possibility to use round</w:t>
            </w:r>
            <w:r>
              <w:rPr>
                <w:noProof/>
              </w:rPr>
              <w:noBreakHyphen/>
              <w:t>straps around the codend</w:t>
            </w:r>
          </w:p>
        </w:tc>
        <w:tc>
          <w:tcPr>
            <w:tcW w:w="687" w:type="pct"/>
            <w:shd w:val="clear" w:color="auto" w:fill="auto"/>
          </w:tcPr>
          <w:p>
            <w:pPr>
              <w:spacing w:before="60" w:after="60"/>
              <w:rPr>
                <w:noProof/>
              </w:rPr>
            </w:pPr>
            <w:r>
              <w:rPr>
                <w:noProof/>
              </w:rPr>
              <w:t>To be established</w:t>
            </w:r>
          </w:p>
        </w:tc>
        <w:tc>
          <w:tcPr>
            <w:tcW w:w="1422" w:type="pct"/>
            <w:gridSpan w:val="2"/>
            <w:shd w:val="clear" w:color="auto" w:fill="auto"/>
          </w:tcPr>
          <w:p>
            <w:pPr>
              <w:spacing w:before="60" w:after="60"/>
              <w:rPr>
                <w:noProof/>
              </w:rPr>
            </w:pPr>
            <w:r>
              <w:rPr>
                <w:noProof/>
              </w:rPr>
              <w:t>Not relevant</w:t>
            </w:r>
          </w:p>
        </w:tc>
        <w:tc>
          <w:tcPr>
            <w:tcW w:w="793" w:type="pct"/>
            <w:shd w:val="clear" w:color="auto" w:fill="auto"/>
          </w:tcPr>
          <w:p>
            <w:pPr>
              <w:spacing w:before="60" w:after="60"/>
              <w:rPr>
                <w:noProof/>
              </w:rPr>
            </w:pPr>
            <w:r>
              <w:rPr>
                <w:noProof/>
              </w:rPr>
              <w:t>To be established</w:t>
            </w:r>
            <w:r>
              <w:rPr>
                <w:b/>
                <w:bCs/>
                <w:noProof/>
                <w:vertAlign w:val="superscript"/>
              </w:rPr>
              <w:t xml:space="preserve"> (4)</w:t>
            </w:r>
          </w:p>
        </w:tc>
      </w:tr>
      <w:tr>
        <w:trPr>
          <w:trHeight w:val="20"/>
        </w:trPr>
        <w:tc>
          <w:tcPr>
            <w:tcW w:w="948" w:type="pct"/>
            <w:vMerge w:val="restart"/>
            <w:tcBorders>
              <w:top w:val="nil"/>
            </w:tcBorders>
            <w:shd w:val="clear" w:color="auto" w:fill="auto"/>
          </w:tcPr>
          <w:p>
            <w:pPr>
              <w:pageBreakBefore/>
              <w:spacing w:before="60" w:after="60"/>
              <w:rPr>
                <w:noProof/>
              </w:rPr>
            </w:pPr>
          </w:p>
        </w:tc>
        <w:tc>
          <w:tcPr>
            <w:tcW w:w="1150" w:type="pct"/>
            <w:vMerge w:val="restart"/>
            <w:shd w:val="clear" w:color="auto" w:fill="auto"/>
          </w:tcPr>
          <w:p>
            <w:pPr>
              <w:spacing w:before="60" w:after="60"/>
              <w:rPr>
                <w:noProof/>
              </w:rPr>
            </w:pPr>
            <w:r>
              <w:rPr>
                <w:noProof/>
              </w:rPr>
              <w:t>Fisheries for blue whiting. The total number of fishing authorisations may be increased by four vessels to form pairs, should the Faroese authorities introduce special rules of access to an area called ‘main fishing area of blue whiting’</w:t>
            </w:r>
          </w:p>
        </w:tc>
        <w:tc>
          <w:tcPr>
            <w:tcW w:w="687" w:type="pct"/>
            <w:vMerge w:val="restart"/>
            <w:shd w:val="clear" w:color="auto" w:fill="auto"/>
          </w:tcPr>
          <w:p>
            <w:pPr>
              <w:spacing w:before="60" w:after="60"/>
              <w:rPr>
                <w:noProof/>
              </w:rPr>
            </w:pPr>
            <w:r>
              <w:rPr>
                <w:noProof/>
              </w:rPr>
              <w:t>To be established</w:t>
            </w: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To be established</w:t>
            </w:r>
          </w:p>
        </w:tc>
        <w:tc>
          <w:tcPr>
            <w:tcW w:w="793" w:type="pct"/>
            <w:vMerge w:val="restart"/>
            <w:shd w:val="clear" w:color="auto" w:fill="auto"/>
          </w:tcPr>
          <w:p>
            <w:pPr>
              <w:spacing w:before="60" w:after="60"/>
              <w:rPr>
                <w:noProof/>
              </w:rPr>
            </w:pPr>
            <w:r>
              <w:rPr>
                <w:noProof/>
              </w:rPr>
              <w:t>To be established</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ES</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bottom w:val="nil"/>
            </w:tcBorders>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PT</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tcBorders>
              <w:top w:val="nil"/>
              <w:bottom w:val="single" w:sz="4" w:space="0" w:color="auto"/>
            </w:tcBorders>
            <w:shd w:val="clear" w:color="auto" w:fill="auto"/>
          </w:tcPr>
          <w:p>
            <w:pPr>
              <w:spacing w:before="60" w:after="60"/>
              <w:rPr>
                <w:noProof/>
              </w:rPr>
            </w:pPr>
          </w:p>
        </w:tc>
        <w:tc>
          <w:tcPr>
            <w:tcW w:w="1150" w:type="pct"/>
            <w:tcBorders>
              <w:bottom w:val="single" w:sz="4" w:space="0" w:color="auto"/>
            </w:tcBorders>
            <w:shd w:val="clear" w:color="auto" w:fill="auto"/>
          </w:tcPr>
          <w:p>
            <w:pPr>
              <w:spacing w:before="60" w:after="60"/>
              <w:rPr>
                <w:noProof/>
              </w:rPr>
            </w:pPr>
            <w:r>
              <w:rPr>
                <w:noProof/>
              </w:rPr>
              <w:t>Line fisheries</w:t>
            </w:r>
          </w:p>
        </w:tc>
        <w:tc>
          <w:tcPr>
            <w:tcW w:w="687" w:type="pct"/>
            <w:shd w:val="clear" w:color="auto" w:fill="auto"/>
          </w:tcPr>
          <w:p>
            <w:pPr>
              <w:spacing w:before="60" w:after="60"/>
              <w:rPr>
                <w:noProof/>
              </w:rPr>
            </w:pPr>
            <w:r>
              <w:rPr>
                <w:noProof/>
              </w:rPr>
              <w:t>To be established</w:t>
            </w: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noProof/>
              </w:rPr>
            </w:pPr>
            <w:r>
              <w:rPr>
                <w:noProof/>
              </w:rPr>
              <w:t>To be established</w:t>
            </w:r>
          </w:p>
        </w:tc>
        <w:tc>
          <w:tcPr>
            <w:tcW w:w="793" w:type="pct"/>
            <w:shd w:val="clear" w:color="auto" w:fill="auto"/>
          </w:tcPr>
          <w:p>
            <w:pPr>
              <w:spacing w:before="60" w:after="60"/>
              <w:rPr>
                <w:noProof/>
              </w:rPr>
            </w:pPr>
            <w:r>
              <w:rPr>
                <w:noProof/>
              </w:rPr>
              <w:t>To be established</w:t>
            </w:r>
          </w:p>
        </w:tc>
      </w:tr>
      <w:tr>
        <w:trPr>
          <w:trHeight w:val="20"/>
        </w:trPr>
        <w:tc>
          <w:tcPr>
            <w:tcW w:w="948" w:type="pct"/>
            <w:vMerge w:val="restart"/>
            <w:tcBorders>
              <w:top w:val="single" w:sz="4" w:space="0" w:color="auto"/>
            </w:tcBorders>
            <w:shd w:val="clear" w:color="auto" w:fill="auto"/>
          </w:tcPr>
          <w:p>
            <w:pPr>
              <w:pageBreakBefore/>
              <w:rPr>
                <w:noProof/>
              </w:rPr>
            </w:pPr>
          </w:p>
        </w:tc>
        <w:tc>
          <w:tcPr>
            <w:tcW w:w="1150" w:type="pct"/>
            <w:vMerge w:val="restart"/>
            <w:tcBorders>
              <w:top w:val="single" w:sz="4" w:space="0" w:color="auto"/>
            </w:tcBorders>
            <w:shd w:val="clear" w:color="auto" w:fill="auto"/>
          </w:tcPr>
          <w:p>
            <w:pPr>
              <w:spacing w:before="60" w:after="60"/>
              <w:rPr>
                <w:noProof/>
              </w:rPr>
            </w:pPr>
            <w:r>
              <w:rPr>
                <w:noProof/>
              </w:rPr>
              <w:t>Mackerel</w:t>
            </w:r>
          </w:p>
        </w:tc>
        <w:tc>
          <w:tcPr>
            <w:tcW w:w="687" w:type="pct"/>
            <w:vMerge w:val="restart"/>
            <w:shd w:val="clear" w:color="auto" w:fill="auto"/>
          </w:tcPr>
          <w:p>
            <w:pPr>
              <w:spacing w:before="60" w:after="60"/>
              <w:rPr>
                <w:noProof/>
              </w:rPr>
            </w:pPr>
            <w:r>
              <w:rPr>
                <w:noProof/>
              </w:rPr>
              <w:t>To be established</w:t>
            </w:r>
          </w:p>
        </w:tc>
        <w:tc>
          <w:tcPr>
            <w:tcW w:w="656" w:type="pct"/>
            <w:shd w:val="clear" w:color="auto" w:fill="auto"/>
          </w:tcPr>
          <w:p>
            <w:pPr>
              <w:spacing w:before="60" w:after="60"/>
              <w:rPr>
                <w:noProof/>
              </w:rPr>
            </w:pPr>
            <w:r>
              <w:rPr>
                <w:noProof/>
              </w:rPr>
              <w:t>DK</w:t>
            </w:r>
          </w:p>
        </w:tc>
        <w:tc>
          <w:tcPr>
            <w:tcW w:w="766" w:type="pct"/>
            <w:shd w:val="clear" w:color="auto" w:fill="auto"/>
          </w:tcPr>
          <w:p>
            <w:pPr>
              <w:spacing w:before="60" w:after="60"/>
              <w:rPr>
                <w:noProof/>
              </w:rPr>
            </w:pPr>
            <w:r>
              <w:rPr>
                <w:noProof/>
              </w:rPr>
              <w:t>To be established</w:t>
            </w:r>
          </w:p>
        </w:tc>
        <w:tc>
          <w:tcPr>
            <w:tcW w:w="793" w:type="pct"/>
            <w:vMerge w:val="restart"/>
            <w:shd w:val="clear" w:color="auto" w:fill="auto"/>
          </w:tcPr>
          <w:p>
            <w:pPr>
              <w:spacing w:before="60" w:after="60"/>
              <w:rPr>
                <w:noProof/>
              </w:rPr>
            </w:pPr>
            <w:r>
              <w:rPr>
                <w:noProof/>
              </w:rPr>
              <w:t xml:space="preserve">To be established </w:t>
            </w: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BE</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 xml:space="preserve">DE </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shd w:val="clear" w:color="auto" w:fill="auto"/>
          </w:tcPr>
          <w:p>
            <w:pPr>
              <w:spacing w:before="60" w:after="60"/>
              <w:rPr>
                <w:noProof/>
              </w:rPr>
            </w:pPr>
          </w:p>
        </w:tc>
        <w:tc>
          <w:tcPr>
            <w:tcW w:w="687" w:type="pct"/>
            <w:vMerge/>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noProof/>
              </w:rPr>
            </w:pPr>
            <w:r>
              <w:rPr>
                <w:noProof/>
              </w:rPr>
              <w:t>To be established</w:t>
            </w:r>
          </w:p>
        </w:tc>
        <w:tc>
          <w:tcPr>
            <w:tcW w:w="793" w:type="pct"/>
            <w:vMerge/>
            <w:shd w:val="clear" w:color="auto" w:fill="auto"/>
          </w:tcPr>
          <w:p>
            <w:pPr>
              <w:spacing w:before="60" w:after="60"/>
              <w:rPr>
                <w:noProof/>
              </w:rPr>
            </w:pPr>
          </w:p>
        </w:tc>
      </w:tr>
      <w:tr>
        <w:trPr>
          <w:trHeight w:val="20"/>
        </w:trPr>
        <w:tc>
          <w:tcPr>
            <w:tcW w:w="948" w:type="pct"/>
            <w:vMerge/>
            <w:tcBorders>
              <w:bottom w:val="single" w:sz="4" w:space="0" w:color="auto"/>
            </w:tcBorders>
            <w:shd w:val="clear" w:color="auto" w:fill="auto"/>
          </w:tcPr>
          <w:p>
            <w:pPr>
              <w:spacing w:before="60" w:after="60"/>
              <w:rPr>
                <w:noProof/>
              </w:rPr>
            </w:pPr>
          </w:p>
        </w:tc>
        <w:tc>
          <w:tcPr>
            <w:tcW w:w="1150" w:type="pct"/>
            <w:vMerge/>
            <w:tcBorders>
              <w:bottom w:val="single" w:sz="4" w:space="0" w:color="auto"/>
            </w:tcBorders>
            <w:shd w:val="clear" w:color="auto" w:fill="auto"/>
          </w:tcPr>
          <w:p>
            <w:pPr>
              <w:spacing w:before="60" w:after="60"/>
              <w:rPr>
                <w:noProof/>
              </w:rPr>
            </w:pPr>
          </w:p>
        </w:tc>
        <w:tc>
          <w:tcPr>
            <w:tcW w:w="687" w:type="pct"/>
            <w:vMerge/>
            <w:tcBorders>
              <w:bottom w:val="single" w:sz="4" w:space="0" w:color="auto"/>
            </w:tcBorders>
            <w:shd w:val="clear" w:color="auto" w:fill="auto"/>
          </w:tcPr>
          <w:p>
            <w:pPr>
              <w:spacing w:before="60" w:after="60"/>
              <w:rPr>
                <w:noProof/>
              </w:rPr>
            </w:pPr>
          </w:p>
        </w:tc>
        <w:tc>
          <w:tcPr>
            <w:tcW w:w="656" w:type="pct"/>
            <w:tcBorders>
              <w:bottom w:val="single" w:sz="4" w:space="0" w:color="auto"/>
            </w:tcBorders>
            <w:shd w:val="clear" w:color="auto" w:fill="auto"/>
          </w:tcPr>
          <w:p>
            <w:pPr>
              <w:spacing w:before="60" w:after="60"/>
              <w:rPr>
                <w:noProof/>
              </w:rPr>
            </w:pPr>
            <w:r>
              <w:rPr>
                <w:noProof/>
              </w:rPr>
              <w:t>UK</w:t>
            </w:r>
          </w:p>
        </w:tc>
        <w:tc>
          <w:tcPr>
            <w:tcW w:w="766" w:type="pct"/>
            <w:tcBorders>
              <w:bottom w:val="single" w:sz="4" w:space="0" w:color="auto"/>
            </w:tcBorders>
            <w:shd w:val="clear" w:color="auto" w:fill="auto"/>
          </w:tcPr>
          <w:p>
            <w:pPr>
              <w:spacing w:before="60" w:after="60"/>
              <w:rPr>
                <w:noProof/>
              </w:rPr>
            </w:pPr>
            <w:r>
              <w:rPr>
                <w:noProof/>
              </w:rPr>
              <w:t>To be established</w:t>
            </w:r>
          </w:p>
        </w:tc>
        <w:tc>
          <w:tcPr>
            <w:tcW w:w="793" w:type="pct"/>
            <w:vMerge/>
            <w:tcBorders>
              <w:bottom w:val="single" w:sz="4" w:space="0" w:color="auto"/>
            </w:tcBorders>
            <w:shd w:val="clear" w:color="auto" w:fill="auto"/>
          </w:tcPr>
          <w:p>
            <w:pPr>
              <w:spacing w:before="60" w:after="60"/>
              <w:rPr>
                <w:noProof/>
              </w:rPr>
            </w:pPr>
          </w:p>
        </w:tc>
      </w:tr>
      <w:tr>
        <w:trPr>
          <w:trHeight w:val="20"/>
        </w:trPr>
        <w:tc>
          <w:tcPr>
            <w:tcW w:w="948" w:type="pct"/>
            <w:vMerge w:val="restart"/>
            <w:tcBorders>
              <w:top w:val="single" w:sz="4" w:space="0" w:color="auto"/>
            </w:tcBorders>
            <w:shd w:val="clear" w:color="auto" w:fill="auto"/>
          </w:tcPr>
          <w:p>
            <w:pPr>
              <w:pageBreakBefore/>
              <w:spacing w:before="60" w:after="60"/>
              <w:rPr>
                <w:noProof/>
              </w:rPr>
            </w:pPr>
          </w:p>
        </w:tc>
        <w:tc>
          <w:tcPr>
            <w:tcW w:w="1150" w:type="pct"/>
            <w:vMerge w:val="restart"/>
            <w:tcBorders>
              <w:top w:val="single" w:sz="4" w:space="0" w:color="auto"/>
            </w:tcBorders>
            <w:shd w:val="clear" w:color="auto" w:fill="auto"/>
          </w:tcPr>
          <w:p>
            <w:pPr>
              <w:spacing w:before="60" w:after="60"/>
              <w:rPr>
                <w:noProof/>
              </w:rPr>
            </w:pPr>
            <w:r>
              <w:rPr>
                <w:noProof/>
              </w:rPr>
              <w:t>Herring, north of 62° 00' N</w:t>
            </w:r>
          </w:p>
        </w:tc>
        <w:tc>
          <w:tcPr>
            <w:tcW w:w="687" w:type="pct"/>
            <w:vMerge w:val="restart"/>
            <w:tcBorders>
              <w:top w:val="single" w:sz="4" w:space="0" w:color="auto"/>
            </w:tcBorders>
            <w:shd w:val="clear" w:color="auto" w:fill="auto"/>
          </w:tcPr>
          <w:p>
            <w:pPr>
              <w:spacing w:before="60" w:after="60"/>
              <w:rPr>
                <w:noProof/>
              </w:rPr>
            </w:pPr>
            <w:r>
              <w:rPr>
                <w:noProof/>
              </w:rPr>
              <w:t>To be established</w:t>
            </w:r>
          </w:p>
        </w:tc>
        <w:tc>
          <w:tcPr>
            <w:tcW w:w="656" w:type="pct"/>
            <w:tcBorders>
              <w:top w:val="single" w:sz="4" w:space="0" w:color="auto"/>
            </w:tcBorders>
            <w:shd w:val="clear" w:color="auto" w:fill="auto"/>
          </w:tcPr>
          <w:p>
            <w:pPr>
              <w:spacing w:before="60" w:after="60"/>
              <w:rPr>
                <w:noProof/>
              </w:rPr>
            </w:pPr>
            <w:r>
              <w:rPr>
                <w:noProof/>
              </w:rPr>
              <w:t>DK</w:t>
            </w:r>
          </w:p>
        </w:tc>
        <w:tc>
          <w:tcPr>
            <w:tcW w:w="766" w:type="pct"/>
            <w:tcBorders>
              <w:top w:val="single" w:sz="4" w:space="0" w:color="auto"/>
            </w:tcBorders>
            <w:shd w:val="clear" w:color="auto" w:fill="auto"/>
          </w:tcPr>
          <w:p>
            <w:pPr>
              <w:spacing w:before="60" w:after="60"/>
              <w:rPr>
                <w:noProof/>
              </w:rPr>
            </w:pPr>
            <w:r>
              <w:rPr>
                <w:noProof/>
              </w:rPr>
              <w:t>To be established</w:t>
            </w:r>
          </w:p>
        </w:tc>
        <w:tc>
          <w:tcPr>
            <w:tcW w:w="793" w:type="pct"/>
            <w:vMerge w:val="restart"/>
            <w:tcBorders>
              <w:top w:val="single" w:sz="4" w:space="0" w:color="auto"/>
            </w:tcBorders>
            <w:shd w:val="clear" w:color="auto" w:fill="auto"/>
          </w:tcPr>
          <w:p>
            <w:pPr>
              <w:spacing w:before="60" w:after="60"/>
              <w:rPr>
                <w:noProof/>
              </w:rPr>
            </w:pPr>
            <w:r>
              <w:rPr>
                <w:noProof/>
              </w:rPr>
              <w:t>To be established</w:t>
            </w: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DE</w:t>
            </w:r>
          </w:p>
        </w:tc>
        <w:tc>
          <w:tcPr>
            <w:tcW w:w="766" w:type="pct"/>
            <w:shd w:val="clear" w:color="auto" w:fill="auto"/>
          </w:tcPr>
          <w:p>
            <w:pPr>
              <w:spacing w:before="60" w:after="60"/>
              <w:rPr>
                <w:noProof/>
              </w:rPr>
            </w:pPr>
            <w:r>
              <w:rPr>
                <w:noProof/>
              </w:rPr>
              <w:t>To be established</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IE</w:t>
            </w:r>
          </w:p>
        </w:tc>
        <w:tc>
          <w:tcPr>
            <w:tcW w:w="766" w:type="pct"/>
            <w:shd w:val="clear" w:color="auto" w:fill="auto"/>
          </w:tcPr>
          <w:p>
            <w:pPr>
              <w:spacing w:before="60" w:after="60"/>
              <w:rPr>
                <w:noProof/>
              </w:rPr>
            </w:pPr>
            <w:r>
              <w:rPr>
                <w:noProof/>
              </w:rPr>
              <w:t>To be established</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FR</w:t>
            </w:r>
          </w:p>
        </w:tc>
        <w:tc>
          <w:tcPr>
            <w:tcW w:w="766" w:type="pct"/>
            <w:shd w:val="clear" w:color="auto" w:fill="auto"/>
          </w:tcPr>
          <w:p>
            <w:pPr>
              <w:spacing w:before="60" w:after="60"/>
              <w:rPr>
                <w:noProof/>
              </w:rPr>
            </w:pPr>
            <w:r>
              <w:rPr>
                <w:noProof/>
              </w:rPr>
              <w:t>To be established</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NL</w:t>
            </w:r>
          </w:p>
        </w:tc>
        <w:tc>
          <w:tcPr>
            <w:tcW w:w="766" w:type="pct"/>
            <w:shd w:val="clear" w:color="auto" w:fill="auto"/>
          </w:tcPr>
          <w:p>
            <w:pPr>
              <w:spacing w:before="60" w:after="60"/>
              <w:rPr>
                <w:noProof/>
              </w:rPr>
            </w:pPr>
            <w:r>
              <w:rPr>
                <w:noProof/>
              </w:rPr>
              <w:t>To be established</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SE</w:t>
            </w:r>
          </w:p>
        </w:tc>
        <w:tc>
          <w:tcPr>
            <w:tcW w:w="766" w:type="pct"/>
            <w:shd w:val="clear" w:color="auto" w:fill="auto"/>
          </w:tcPr>
          <w:p>
            <w:pPr>
              <w:spacing w:before="60" w:after="60"/>
              <w:rPr>
                <w:rFonts w:eastAsia="Calibri"/>
                <w:noProof/>
              </w:rPr>
            </w:pPr>
            <w:r>
              <w:rPr>
                <w:noProof/>
              </w:rPr>
              <w:t>To be established</w:t>
            </w:r>
          </w:p>
        </w:tc>
        <w:tc>
          <w:tcPr>
            <w:tcW w:w="793" w:type="pct"/>
            <w:vMerge/>
            <w:tcBorders>
              <w:top w:val="nil"/>
            </w:tcBorders>
            <w:shd w:val="clear" w:color="auto" w:fill="auto"/>
          </w:tcPr>
          <w:p>
            <w:pPr>
              <w:spacing w:before="60" w:after="60"/>
              <w:rPr>
                <w:noProof/>
              </w:rPr>
            </w:pPr>
          </w:p>
        </w:tc>
      </w:tr>
      <w:tr>
        <w:trPr>
          <w:trHeight w:val="20"/>
        </w:trPr>
        <w:tc>
          <w:tcPr>
            <w:tcW w:w="948" w:type="pct"/>
            <w:vMerge/>
            <w:shd w:val="clear" w:color="auto" w:fill="auto"/>
          </w:tcPr>
          <w:p>
            <w:pPr>
              <w:spacing w:before="60" w:after="60"/>
              <w:rPr>
                <w:noProof/>
              </w:rPr>
            </w:pPr>
          </w:p>
        </w:tc>
        <w:tc>
          <w:tcPr>
            <w:tcW w:w="1150" w:type="pct"/>
            <w:vMerge/>
            <w:tcBorders>
              <w:top w:val="nil"/>
            </w:tcBorders>
            <w:shd w:val="clear" w:color="auto" w:fill="auto"/>
          </w:tcPr>
          <w:p>
            <w:pPr>
              <w:spacing w:before="60" w:after="60"/>
              <w:rPr>
                <w:noProof/>
              </w:rPr>
            </w:pPr>
          </w:p>
        </w:tc>
        <w:tc>
          <w:tcPr>
            <w:tcW w:w="687" w:type="pct"/>
            <w:vMerge/>
            <w:tcBorders>
              <w:top w:val="nil"/>
            </w:tcBorders>
            <w:shd w:val="clear" w:color="auto" w:fill="auto"/>
          </w:tcPr>
          <w:p>
            <w:pPr>
              <w:spacing w:before="60" w:after="60"/>
              <w:rPr>
                <w:noProof/>
              </w:rPr>
            </w:pPr>
          </w:p>
        </w:tc>
        <w:tc>
          <w:tcPr>
            <w:tcW w:w="656" w:type="pct"/>
            <w:shd w:val="clear" w:color="auto" w:fill="auto"/>
          </w:tcPr>
          <w:p>
            <w:pPr>
              <w:spacing w:before="60" w:after="60"/>
              <w:rPr>
                <w:noProof/>
              </w:rPr>
            </w:pPr>
            <w:r>
              <w:rPr>
                <w:noProof/>
              </w:rPr>
              <w:t>UK</w:t>
            </w:r>
          </w:p>
        </w:tc>
        <w:tc>
          <w:tcPr>
            <w:tcW w:w="766" w:type="pct"/>
            <w:shd w:val="clear" w:color="auto" w:fill="auto"/>
          </w:tcPr>
          <w:p>
            <w:pPr>
              <w:spacing w:before="60" w:after="60"/>
              <w:rPr>
                <w:rFonts w:eastAsia="Calibri"/>
                <w:noProof/>
              </w:rPr>
            </w:pPr>
            <w:r>
              <w:rPr>
                <w:noProof/>
              </w:rPr>
              <w:t>To be established</w:t>
            </w:r>
          </w:p>
        </w:tc>
        <w:tc>
          <w:tcPr>
            <w:tcW w:w="793" w:type="pct"/>
            <w:vMerge/>
            <w:tcBorders>
              <w:top w:val="nil"/>
            </w:tcBorders>
            <w:shd w:val="clear" w:color="auto" w:fill="auto"/>
          </w:tcPr>
          <w:p>
            <w:pPr>
              <w:spacing w:before="60" w:after="60"/>
              <w:rPr>
                <w:noProof/>
              </w:rPr>
            </w:pPr>
          </w:p>
        </w:tc>
      </w:tr>
      <w:tr>
        <w:trPr>
          <w:trHeight w:val="20"/>
        </w:trPr>
        <w:tc>
          <w:tcPr>
            <w:tcW w:w="5000" w:type="pct"/>
            <w:gridSpan w:val="6"/>
            <w:shd w:val="clear" w:color="auto" w:fill="auto"/>
          </w:tcPr>
          <w:p>
            <w:pPr>
              <w:spacing w:before="0" w:after="0"/>
              <w:ind w:left="567" w:hanging="567"/>
              <w:rPr>
                <w:noProof/>
              </w:rPr>
            </w:pPr>
            <w:r>
              <w:rPr>
                <w:noProof/>
                <w:vertAlign w:val="superscript"/>
              </w:rPr>
              <w:t>(1)</w:t>
            </w:r>
            <w:r>
              <w:rPr>
                <w:noProof/>
                <w:vertAlign w:val="superscript"/>
              </w:rPr>
              <w:tab/>
            </w:r>
            <w:r>
              <w:rPr>
                <w:noProof/>
              </w:rPr>
              <w:t>Without prejudice to additional licences granted to Sweden by Norway in accordance with established practice.</w:t>
            </w:r>
          </w:p>
          <w:p>
            <w:pPr>
              <w:spacing w:before="0" w:after="0"/>
              <w:ind w:left="567" w:hanging="567"/>
              <w:rPr>
                <w:noProof/>
              </w:rPr>
            </w:pPr>
            <w:r>
              <w:rPr>
                <w:noProof/>
                <w:vertAlign w:val="superscript"/>
              </w:rPr>
              <w:t>(2)</w:t>
            </w:r>
            <w:r>
              <w:rPr>
                <w:noProof/>
                <w:vertAlign w:val="superscript"/>
              </w:rPr>
              <w:tab/>
            </w:r>
            <w:r>
              <w:rPr>
                <w:noProof/>
              </w:rPr>
              <w:t xml:space="preserve">These figures are included in the figures for all trawl fisheries with vessels of not more than 180 feet in the zone between 12 and 21 miles from the Faroese baselines. </w:t>
            </w:r>
          </w:p>
          <w:p>
            <w:pPr>
              <w:spacing w:before="0" w:after="0"/>
              <w:ind w:left="567" w:hanging="567"/>
              <w:rPr>
                <w:noProof/>
              </w:rPr>
            </w:pPr>
            <w:r>
              <w:rPr>
                <w:noProof/>
                <w:vertAlign w:val="superscript"/>
              </w:rPr>
              <w:t>(3)</w:t>
            </w:r>
            <w:r>
              <w:rPr>
                <w:noProof/>
                <w:vertAlign w:val="superscript"/>
              </w:rPr>
              <w:tab/>
            </w:r>
            <w:r>
              <w:rPr>
                <w:noProof/>
              </w:rPr>
              <w:t>These figures refer to the maximum number of vessels present at any time.</w:t>
            </w:r>
          </w:p>
          <w:p>
            <w:pPr>
              <w:spacing w:before="0" w:after="0"/>
              <w:ind w:left="567" w:hanging="567"/>
              <w:rPr>
                <w:noProof/>
              </w:rPr>
            </w:pPr>
            <w:bookmarkStart w:id="3" w:name="RANGE!A51"/>
            <w:r>
              <w:rPr>
                <w:noProof/>
                <w:vertAlign w:val="superscript"/>
              </w:rPr>
              <w:t>(4)</w:t>
            </w:r>
            <w:bookmarkEnd w:id="3"/>
            <w:r>
              <w:rPr>
                <w:noProof/>
                <w:vertAlign w:val="superscript"/>
              </w:rPr>
              <w:tab/>
            </w:r>
            <w:r>
              <w:rPr>
                <w:noProof/>
              </w:rPr>
              <w:t>These figures are included in the figures for ‘Trawl fisheries outside 21 miles from the Faroese baselines’.</w:t>
            </w:r>
          </w:p>
        </w:tc>
      </w:tr>
    </w:tbl>
    <w:p>
      <w:pPr>
        <w:pStyle w:val="LignefinalLandscape"/>
        <w:rPr>
          <w:rFonts w:eastAsia="Calibri"/>
          <w:noProof/>
        </w:rPr>
      </w:pPr>
    </w:p>
    <w:p>
      <w:pPr>
        <w:rPr>
          <w:rFonts w:eastAsia="Calibri"/>
          <w:noProof/>
        </w:rPr>
        <w:sectPr>
          <w:headerReference w:type="default" r:id="rId34"/>
          <w:footerReference w:type="default" r:id="rId35"/>
          <w:headerReference w:type="first" r:id="rId36"/>
          <w:footerReference w:type="first" r:id="rId37"/>
          <w:footnotePr>
            <w:numRestart w:val="eachPage"/>
          </w:footnotePr>
          <w:pgSz w:w="16838" w:h="11906" w:orient="landscape"/>
          <w:pgMar w:top="1134" w:right="1134" w:bottom="1134" w:left="1134" w:header="567" w:footer="567" w:gutter="0"/>
          <w:cols w:space="720"/>
          <w:docGrid w:linePitch="326"/>
        </w:sectPr>
      </w:pPr>
    </w:p>
    <w:p>
      <w:pPr>
        <w:pStyle w:val="Annexetitre"/>
        <w:rPr>
          <w:rFonts w:eastAsia="Calibri"/>
          <w:noProof/>
        </w:rPr>
      </w:pPr>
      <w:r>
        <w:rPr>
          <w:rFonts w:eastAsia="Calibri"/>
          <w:noProof/>
        </w:rPr>
        <w:lastRenderedPageBreak/>
        <w:t>ANNEX IV</w:t>
      </w:r>
    </w:p>
    <w:p>
      <w:pPr>
        <w:pStyle w:val="NormalCentered"/>
        <w:rPr>
          <w:rFonts w:eastAsia="Calibri"/>
          <w:noProof/>
        </w:rPr>
      </w:pPr>
      <w:r>
        <w:rPr>
          <w:rFonts w:eastAsia="Calibri"/>
          <w:noProof/>
        </w:rPr>
        <w:t xml:space="preserve">ICCAT CONVENTION AREA </w:t>
      </w:r>
      <w:r>
        <w:rPr>
          <w:rFonts w:eastAsia="Calibri"/>
          <w:b/>
          <w:bCs/>
          <w:noProof/>
          <w:vertAlign w:val="superscript"/>
        </w:rPr>
        <w:t>(1)</w:t>
      </w:r>
    </w:p>
    <w:p>
      <w:pPr>
        <w:pStyle w:val="Point0"/>
        <w:rPr>
          <w:rFonts w:eastAsia="Calibri"/>
          <w:noProof/>
        </w:rPr>
      </w:pPr>
      <w:r>
        <w:rPr>
          <w:rFonts w:eastAsia="Calibri"/>
          <w:noProof/>
        </w:rPr>
        <w:t>1.</w:t>
      </w:r>
      <w:r>
        <w:rPr>
          <w:rFonts w:eastAsia="Calibri"/>
          <w:noProof/>
        </w:rPr>
        <w:tab/>
        <w:t>Maximum number of Union bait boats and trolling boats authorised to fish actively for bluefin tuna between 8 kg/75 cm and 30 kg/115 cm in the Eastern Atlantic</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Spain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France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pm</w:t>
            </w:r>
          </w:p>
        </w:tc>
      </w:tr>
    </w:tbl>
    <w:p>
      <w:pPr>
        <w:pStyle w:val="Point0"/>
        <w:rPr>
          <w:rFonts w:eastAsia="Calibri"/>
          <w:noProof/>
        </w:rPr>
      </w:pPr>
    </w:p>
    <w:p>
      <w:pPr>
        <w:pStyle w:val="Point0"/>
        <w:rPr>
          <w:rFonts w:eastAsia="Calibri"/>
          <w:noProof/>
        </w:rPr>
      </w:pPr>
      <w:r>
        <w:rPr>
          <w:rFonts w:eastAsia="Calibri"/>
          <w:noProof/>
        </w:rPr>
        <w:t>2.</w:t>
      </w:r>
      <w:r>
        <w:rPr>
          <w:rFonts w:eastAsia="Calibri"/>
          <w:noProof/>
        </w:rPr>
        <w:tab/>
        <w:t>Maximum number of Union coastal artisanal fishing vessels authorised to fish actively for bluefin tuna between 8 kg/75 cm and 30 kg/115 cm in the Mediterranean</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Spain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France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Italy</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Cyprus</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 xml:space="preserve">pm </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Malta</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 xml:space="preserve">pm </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pm</w:t>
            </w:r>
          </w:p>
        </w:tc>
      </w:tr>
    </w:tbl>
    <w:p>
      <w:pPr>
        <w:rPr>
          <w:rFonts w:eastAsia="Calibri"/>
          <w:noProof/>
        </w:rPr>
      </w:pPr>
    </w:p>
    <w:p>
      <w:pPr>
        <w:pStyle w:val="Point0"/>
        <w:rPr>
          <w:rFonts w:eastAsia="Calibri"/>
          <w:noProof/>
        </w:rPr>
      </w:pPr>
      <w:r>
        <w:rPr>
          <w:rFonts w:eastAsia="Calibri"/>
          <w:noProof/>
        </w:rPr>
        <w:br w:type="page"/>
      </w:r>
      <w:r>
        <w:rPr>
          <w:rFonts w:eastAsia="Calibri"/>
          <w:noProof/>
        </w:rPr>
        <w:lastRenderedPageBreak/>
        <w:t>3.</w:t>
      </w:r>
      <w:r>
        <w:rPr>
          <w:rFonts w:eastAsia="Calibri"/>
          <w:noProof/>
        </w:rPr>
        <w:tab/>
        <w:t>Maximum number of Union vessels authorised to fish actively for bluefin tuna between 8 kg/75 cm and 30 kg/115 cm in the Adriatic Sea for farming purposes</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Croatia</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Italy</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pm</w:t>
            </w:r>
          </w:p>
        </w:tc>
      </w:tr>
    </w:tbl>
    <w:p>
      <w:pPr>
        <w:rPr>
          <w:rFonts w:eastAsia="Calibri"/>
          <w:noProof/>
        </w:rPr>
      </w:pPr>
    </w:p>
    <w:p>
      <w:pPr>
        <w:pStyle w:val="Point0"/>
        <w:rPr>
          <w:rFonts w:eastAsia="Calibri"/>
          <w:noProof/>
        </w:rPr>
      </w:pPr>
      <w:r>
        <w:rPr>
          <w:rFonts w:eastAsia="Calibri"/>
          <w:noProof/>
        </w:rPr>
        <w:t>4.</w:t>
      </w:r>
      <w:r>
        <w:rPr>
          <w:rFonts w:eastAsia="Calibri"/>
          <w:noProof/>
        </w:rPr>
        <w:tab/>
        <w:t>Maximum number and total capacity in gross tonnage of fishing vessels of each Member State that may be authorised to fish for, retain on board, tranship, transport, or land bluefin tuna in the eastern Atlantic and Mediterranean</w:t>
      </w:r>
    </w:p>
    <w:p>
      <w:pPr>
        <w:pStyle w:val="NormalCentered"/>
        <w:rPr>
          <w:rFonts w:eastAsia="Calibri"/>
          <w:noProof/>
        </w:rPr>
      </w:pPr>
      <w:r>
        <w:rPr>
          <w:rFonts w:eastAsia="Calibri"/>
          <w:noProof/>
        </w:rPr>
        <w:t>Table A</w:t>
      </w:r>
    </w:p>
    <w:tbl>
      <w:tblPr>
        <w:tblW w:w="5000" w:type="pct"/>
        <w:tblLayout w:type="fixed"/>
        <w:tblLook w:val="0000" w:firstRow="0" w:lastRow="0" w:firstColumn="0" w:lastColumn="0" w:noHBand="0" w:noVBand="0"/>
      </w:tblPr>
      <w:tblGrid>
        <w:gridCol w:w="1396"/>
        <w:gridCol w:w="1208"/>
        <w:gridCol w:w="1208"/>
        <w:gridCol w:w="1208"/>
        <w:gridCol w:w="1208"/>
        <w:gridCol w:w="1208"/>
        <w:gridCol w:w="1208"/>
        <w:gridCol w:w="1210"/>
      </w:tblGrid>
      <w:tr>
        <w:trPr>
          <w:trHeight w:val="25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Number of fishing vessels</w:t>
            </w:r>
            <w:r>
              <w:rPr>
                <w:rFonts w:eastAsia="Calibri"/>
                <w:b/>
                <w:bCs/>
                <w:noProof/>
                <w:vertAlign w:val="superscript"/>
              </w:rPr>
              <w:t>(2)</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 </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Cyprus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Greece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Croatia</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Italy</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France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Spain</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Malta</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Purse Seiners</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Longliners</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Baitboat</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Handline</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Trawler</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Other artisanal</w:t>
            </w:r>
            <w:r>
              <w:rPr>
                <w:rFonts w:eastAsia="Calibri"/>
                <w:b/>
                <w:bCs/>
                <w:noProof/>
                <w:vertAlign w:val="superscript"/>
              </w:rPr>
              <w:t>(3)</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bl>
    <w:p>
      <w:pPr>
        <w:rPr>
          <w:rFonts w:eastAsia="Calibri"/>
          <w:noProof/>
        </w:rPr>
      </w:pPr>
    </w:p>
    <w:p>
      <w:pPr>
        <w:pStyle w:val="NormalCentered"/>
        <w:rPr>
          <w:rFonts w:eastAsia="Calibri"/>
          <w:noProof/>
        </w:rPr>
      </w:pPr>
      <w:r>
        <w:rPr>
          <w:rFonts w:eastAsia="Calibri"/>
          <w:noProof/>
        </w:rPr>
        <w:br w:type="page"/>
      </w:r>
      <w:r>
        <w:rPr>
          <w:rFonts w:eastAsia="Calibri"/>
          <w:noProof/>
        </w:rPr>
        <w:lastRenderedPageBreak/>
        <w:t>Table B</w:t>
      </w:r>
    </w:p>
    <w:tbl>
      <w:tblPr>
        <w:tblW w:w="5000" w:type="pct"/>
        <w:tblLayout w:type="fixed"/>
        <w:tblLook w:val="0000" w:firstRow="0" w:lastRow="0" w:firstColumn="0" w:lastColumn="0" w:noHBand="0" w:noVBand="0"/>
      </w:tblPr>
      <w:tblGrid>
        <w:gridCol w:w="1396"/>
        <w:gridCol w:w="1208"/>
        <w:gridCol w:w="1208"/>
        <w:gridCol w:w="1208"/>
        <w:gridCol w:w="1208"/>
        <w:gridCol w:w="1208"/>
        <w:gridCol w:w="1208"/>
        <w:gridCol w:w="1210"/>
      </w:tblGrid>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292"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Total capacity in gross tonnage</w:t>
            </w:r>
          </w:p>
        </w:tc>
      </w:tr>
      <w:tr>
        <w:trPr>
          <w:trHeight w:val="255"/>
        </w:trPr>
        <w:tc>
          <w:tcPr>
            <w:tcW w:w="70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 </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Cyprus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Croatia</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Greece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Italy</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France</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Spain</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Malta</w:t>
            </w:r>
          </w:p>
        </w:tc>
      </w:tr>
      <w:tr>
        <w:trPr>
          <w:trHeight w:val="569"/>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Purse Seiners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r>
      <w:tr>
        <w:trPr>
          <w:trHeight w:val="527"/>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Longliners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r>
      <w:tr>
        <w:trPr>
          <w:trHeight w:val="570"/>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Baitboats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r>
      <w:tr>
        <w:trPr>
          <w:trHeight w:val="569"/>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Handlines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r>
      <w:tr>
        <w:trPr>
          <w:trHeight w:val="569"/>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Trawlers</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r>
      <w:tr>
        <w:trPr>
          <w:trHeight w:val="570"/>
        </w:trPr>
        <w:tc>
          <w:tcPr>
            <w:tcW w:w="708"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Other artisanal</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c>
          <w:tcPr>
            <w:tcW w:w="613"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sz w:val="20"/>
                <w:szCs w:val="20"/>
              </w:rPr>
            </w:pPr>
            <w:r>
              <w:rPr>
                <w:rFonts w:eastAsia="Calibri"/>
                <w:noProof/>
                <w:sz w:val="20"/>
                <w:szCs w:val="20"/>
              </w:rPr>
              <w:t>To be established</w:t>
            </w:r>
          </w:p>
        </w:tc>
      </w:tr>
    </w:tbl>
    <w:p>
      <w:pPr>
        <w:rPr>
          <w:rFonts w:eastAsia="Calibri"/>
          <w:noProof/>
        </w:rPr>
      </w:pPr>
    </w:p>
    <w:p>
      <w:pPr>
        <w:pStyle w:val="Point0"/>
        <w:rPr>
          <w:rFonts w:eastAsia="Calibri"/>
          <w:noProof/>
        </w:rPr>
      </w:pPr>
      <w:r>
        <w:rPr>
          <w:rFonts w:eastAsia="Calibri"/>
          <w:noProof/>
        </w:rPr>
        <w:t>5.</w:t>
      </w:r>
      <w:r>
        <w:rPr>
          <w:rFonts w:eastAsia="Calibri"/>
          <w:noProof/>
        </w:rPr>
        <w:tab/>
        <w:t>Maximum number of traps engaged in the eastern Atlantic and Mediterranean bluefin tuna fishery authorised by each Member State</w:t>
      </w:r>
    </w:p>
    <w:tbl>
      <w:tblPr>
        <w:tblW w:w="5000" w:type="pct"/>
        <w:tblLook w:val="0000" w:firstRow="0" w:lastRow="0" w:firstColumn="0" w:lastColumn="0" w:noHBand="0" w:noVBand="0"/>
      </w:tblPr>
      <w:tblGrid>
        <w:gridCol w:w="4927"/>
        <w:gridCol w:w="4927"/>
      </w:tblGrid>
      <w:tr>
        <w:trPr>
          <w:trHeight w:val="25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Number of traps</w:t>
            </w:r>
            <w:r>
              <w:rPr>
                <w:rFonts w:eastAsia="Calibri"/>
                <w:b/>
                <w:bCs/>
                <w:noProof/>
                <w:vertAlign w:val="superscript"/>
              </w:rPr>
              <w:t>(4)</w:t>
            </w:r>
          </w:p>
        </w:tc>
      </w:tr>
      <w:tr>
        <w:trPr>
          <w:trHeight w:val="255"/>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Spain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rPr>
          <w:trHeight w:val="255"/>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Italy</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rPr>
          <w:trHeight w:val="255"/>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Portugal</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bl>
    <w:p>
      <w:pPr>
        <w:rPr>
          <w:rFonts w:eastAsia="Calibri"/>
          <w:noProof/>
        </w:rPr>
      </w:pPr>
    </w:p>
    <w:p>
      <w:pPr>
        <w:pStyle w:val="Point0"/>
        <w:rPr>
          <w:rFonts w:eastAsia="Calibri"/>
          <w:noProof/>
        </w:rPr>
      </w:pPr>
      <w:r>
        <w:rPr>
          <w:rFonts w:eastAsia="Calibri"/>
          <w:noProof/>
        </w:rPr>
        <w:br w:type="page"/>
      </w:r>
      <w:r>
        <w:rPr>
          <w:rFonts w:eastAsia="Calibri"/>
          <w:noProof/>
        </w:rPr>
        <w:lastRenderedPageBreak/>
        <w:t>6.</w:t>
      </w:r>
      <w:r>
        <w:rPr>
          <w:rFonts w:eastAsia="Calibri"/>
          <w:noProof/>
        </w:rPr>
        <w:tab/>
        <w:t>Maximum bluefin tuna farming capacity and fattening capacity for each Member State and maximum input of wild caught bluefin tuna that each Member State may allocate to its farms in the eastern Atlantic and Mediterranean</w:t>
      </w:r>
    </w:p>
    <w:p>
      <w:pPr>
        <w:pStyle w:val="NormalCentered"/>
        <w:rPr>
          <w:rFonts w:eastAsia="Calibri"/>
          <w:noProof/>
        </w:rPr>
      </w:pPr>
      <w:r>
        <w:rPr>
          <w:rFonts w:eastAsia="Calibri"/>
          <w:noProof/>
        </w:rPr>
        <w:t>Table A</w:t>
      </w:r>
    </w:p>
    <w:tbl>
      <w:tblPr>
        <w:tblW w:w="5000" w:type="pct"/>
        <w:tblLook w:val="0000" w:firstRow="0" w:lastRow="0" w:firstColumn="0" w:lastColumn="0" w:noHBand="0" w:noVBand="0"/>
      </w:tblPr>
      <w:tblGrid>
        <w:gridCol w:w="3284"/>
        <w:gridCol w:w="3285"/>
        <w:gridCol w:w="3285"/>
      </w:tblGrid>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Maximum tuna farming capacity and fattening capacity</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166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Number of farms</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Capacity (in tonnes)</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Spain</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Italy</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Greece</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Cyprus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Croatia</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Malta</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pm</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bl>
    <w:p>
      <w:pPr>
        <w:rPr>
          <w:rFonts w:eastAsia="Calibri"/>
          <w:noProof/>
        </w:rPr>
      </w:pPr>
    </w:p>
    <w:p>
      <w:pPr>
        <w:pStyle w:val="NormalCentered"/>
        <w:rPr>
          <w:rFonts w:eastAsia="Calibri"/>
          <w:noProof/>
        </w:rPr>
      </w:pPr>
      <w:r>
        <w:rPr>
          <w:rFonts w:eastAsia="Calibri"/>
          <w:noProof/>
        </w:rPr>
        <w:t>Table B</w:t>
      </w:r>
    </w:p>
    <w:tbl>
      <w:tblPr>
        <w:tblW w:w="5000" w:type="pct"/>
        <w:tblLook w:val="0000" w:firstRow="0" w:lastRow="0" w:firstColumn="0" w:lastColumn="0" w:noHBand="0" w:noVBand="0"/>
      </w:tblPr>
      <w:tblGrid>
        <w:gridCol w:w="4927"/>
        <w:gridCol w:w="4927"/>
      </w:tblGrid>
      <w:t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Maximum input of wild caught bluefin tuna (in tonnes)</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Spain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Italy</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Greece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Cyprus</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Croatia</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Malta</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bl>
    <w:p>
      <w:pPr>
        <w:rPr>
          <w:rFonts w:eastAsia="Calibri"/>
          <w:noProof/>
        </w:rPr>
      </w:pPr>
    </w:p>
    <w:p>
      <w:pPr>
        <w:rPr>
          <w:rFonts w:eastAsia="Calibri"/>
          <w:noProof/>
        </w:rPr>
      </w:pPr>
      <w:r>
        <w:rPr>
          <w:rFonts w:eastAsia="Calibri"/>
          <w:noProof/>
        </w:rPr>
        <w:br w:type="page"/>
      </w:r>
      <w:r>
        <w:rPr>
          <w:rFonts w:eastAsia="Calibri"/>
          <w:noProof/>
        </w:rPr>
        <w:lastRenderedPageBreak/>
        <w:t>________________</w:t>
      </w:r>
    </w:p>
    <w:p>
      <w:pPr>
        <w:pStyle w:val="Point0"/>
        <w:spacing w:before="0" w:after="0"/>
        <w:ind w:left="851" w:hanging="851"/>
        <w:rPr>
          <w:rFonts w:eastAsia="Calibri"/>
          <w:noProof/>
        </w:rPr>
      </w:pPr>
      <w:r>
        <w:rPr>
          <w:rFonts w:eastAsia="Calibri"/>
          <w:b/>
          <w:noProof/>
          <w:vertAlign w:val="superscript"/>
        </w:rPr>
        <w:t>(1)</w:t>
      </w:r>
      <w:r>
        <w:rPr>
          <w:rFonts w:eastAsia="Calibri"/>
          <w:b/>
          <w:noProof/>
          <w:vertAlign w:val="superscript"/>
        </w:rPr>
        <w:tab/>
      </w:r>
      <w:r>
        <w:rPr>
          <w:rFonts w:eastAsia="Calibri"/>
          <w:noProof/>
        </w:rPr>
        <w:t>The numbers shown in sections 1, 2 and 3 may decrease in order to comply with international obligations of the Union.</w:t>
      </w:r>
    </w:p>
    <w:p>
      <w:pPr>
        <w:pStyle w:val="Point0"/>
        <w:spacing w:before="0" w:after="0"/>
        <w:ind w:left="851" w:hanging="851"/>
        <w:rPr>
          <w:rFonts w:eastAsia="Calibri"/>
          <w:noProof/>
        </w:rPr>
      </w:pPr>
      <w:r>
        <w:rPr>
          <w:rFonts w:eastAsia="Calibri"/>
          <w:b/>
          <w:noProof/>
          <w:vertAlign w:val="superscript"/>
        </w:rPr>
        <w:t>(2)</w:t>
      </w:r>
      <w:r>
        <w:rPr>
          <w:rFonts w:eastAsia="Calibri"/>
          <w:b/>
          <w:noProof/>
          <w:vertAlign w:val="superscript"/>
        </w:rPr>
        <w:tab/>
      </w:r>
      <w:r>
        <w:rPr>
          <w:rFonts w:eastAsia="Calibri"/>
          <w:noProof/>
        </w:rPr>
        <w:t>The numbers in this Table A of section 4 may be further increased, provided that the international obligations of the Union are complied with.</w:t>
      </w:r>
    </w:p>
    <w:p>
      <w:pPr>
        <w:pStyle w:val="Point0"/>
        <w:spacing w:before="0" w:after="0"/>
        <w:ind w:left="851" w:hanging="851"/>
        <w:rPr>
          <w:rFonts w:eastAsia="Calibri"/>
          <w:noProof/>
        </w:rPr>
      </w:pPr>
      <w:r>
        <w:rPr>
          <w:rFonts w:eastAsia="Calibri"/>
          <w:b/>
          <w:noProof/>
          <w:vertAlign w:val="superscript"/>
        </w:rPr>
        <w:t>(3)</w:t>
      </w:r>
      <w:r>
        <w:rPr>
          <w:rFonts w:eastAsia="Calibri"/>
          <w:b/>
          <w:noProof/>
          <w:vertAlign w:val="superscript"/>
        </w:rPr>
        <w:tab/>
      </w:r>
      <w:r>
        <w:rPr>
          <w:rFonts w:eastAsia="Calibri"/>
          <w:noProof/>
        </w:rPr>
        <w:t>Polyvalent vessels, using multi</w:t>
      </w:r>
      <w:r>
        <w:rPr>
          <w:rFonts w:eastAsia="Calibri"/>
          <w:noProof/>
        </w:rPr>
        <w:noBreakHyphen/>
        <w:t>gear equipment (longline, handline, trolling line).</w:t>
      </w:r>
    </w:p>
    <w:p>
      <w:pPr>
        <w:pStyle w:val="Point0"/>
        <w:spacing w:before="0" w:after="0"/>
        <w:ind w:left="851" w:hanging="851"/>
        <w:rPr>
          <w:rFonts w:eastAsia="Calibri"/>
          <w:noProof/>
        </w:rPr>
      </w:pPr>
      <w:r>
        <w:rPr>
          <w:rFonts w:eastAsia="Calibri"/>
          <w:b/>
          <w:noProof/>
          <w:vertAlign w:val="superscript"/>
        </w:rPr>
        <w:t>(4)</w:t>
      </w:r>
      <w:r>
        <w:rPr>
          <w:rFonts w:eastAsia="Calibri"/>
          <w:b/>
          <w:noProof/>
          <w:vertAlign w:val="superscript"/>
        </w:rPr>
        <w:tab/>
      </w:r>
      <w:r>
        <w:rPr>
          <w:rFonts w:eastAsia="Calibri"/>
          <w:noProof/>
        </w:rPr>
        <w:t>This number may be further increased, provided that the international obligations of the Union are complied with.</w:t>
      </w:r>
    </w:p>
    <w:p>
      <w:pPr>
        <w:pStyle w:val="Lignefinal"/>
        <w:rPr>
          <w:rFonts w:eastAsia="Calibri"/>
          <w:noProof/>
        </w:rPr>
      </w:pPr>
    </w:p>
    <w:p>
      <w:pPr>
        <w:rPr>
          <w:rFonts w:eastAsia="Calibri"/>
          <w:noProof/>
        </w:rPr>
        <w:sectPr>
          <w:headerReference w:type="default" r:id="rId38"/>
          <w:footerReference w:type="default" r:id="rId39"/>
          <w:headerReference w:type="first" r:id="rId40"/>
          <w:footerReference w:type="first" r:id="rId41"/>
          <w:footnotePr>
            <w:numRestart w:val="eachPage"/>
          </w:footnotePr>
          <w:pgSz w:w="11906" w:h="16838"/>
          <w:pgMar w:top="1134" w:right="1134" w:bottom="1134" w:left="1134" w:header="567" w:footer="567" w:gutter="0"/>
          <w:cols w:space="720"/>
          <w:docGrid w:linePitch="326"/>
        </w:sectPr>
      </w:pPr>
    </w:p>
    <w:p>
      <w:pPr>
        <w:pStyle w:val="Annexetitre"/>
        <w:rPr>
          <w:rFonts w:eastAsia="Calibri"/>
          <w:noProof/>
        </w:rPr>
      </w:pPr>
      <w:r>
        <w:rPr>
          <w:rFonts w:eastAsia="Calibri"/>
          <w:noProof/>
        </w:rPr>
        <w:lastRenderedPageBreak/>
        <w:t>ANNEX V</w:t>
      </w:r>
    </w:p>
    <w:p>
      <w:pPr>
        <w:pStyle w:val="NormalCentered"/>
        <w:rPr>
          <w:rFonts w:eastAsia="Calibri"/>
          <w:noProof/>
        </w:rPr>
      </w:pPr>
      <w:r>
        <w:rPr>
          <w:rFonts w:eastAsia="Calibri"/>
          <w:noProof/>
        </w:rPr>
        <w:t>CCAMLR CONVENTION AREA</w:t>
      </w:r>
    </w:p>
    <w:p>
      <w:pPr>
        <w:pStyle w:val="NormalCentered"/>
        <w:rPr>
          <w:rFonts w:eastAsia="Calibri"/>
          <w:noProof/>
        </w:rPr>
      </w:pPr>
      <w:r>
        <w:rPr>
          <w:rFonts w:eastAsia="Calibri"/>
          <w:noProof/>
        </w:rPr>
        <w:t>PART A</w:t>
      </w:r>
      <w:r>
        <w:rPr>
          <w:rFonts w:eastAsia="Calibri"/>
          <w:noProof/>
        </w:rPr>
        <w:br/>
        <w:t>PROHIBITION OF DIRECTED FISHING IN CCAMLR CONVENTION AREA</w:t>
      </w:r>
    </w:p>
    <w:tbl>
      <w:tblPr>
        <w:tblW w:w="5000" w:type="pct"/>
        <w:tblLook w:val="0000" w:firstRow="0" w:lastRow="0" w:firstColumn="0" w:lastColumn="0" w:noHBand="0" w:noVBand="0"/>
      </w:tblPr>
      <w:tblGrid>
        <w:gridCol w:w="3284"/>
        <w:gridCol w:w="3285"/>
        <w:gridCol w:w="328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Target species</w:t>
            </w:r>
          </w:p>
        </w:tc>
        <w:tc>
          <w:tcPr>
            <w:tcW w:w="166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Zone</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Period of prohibition</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Sharks (all species)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Convention Area</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rFonts w:eastAsia="Calibri"/>
                <w:i/>
                <w:iCs/>
                <w:noProof/>
              </w:rPr>
              <w:t>Notothenia rossii</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FAO 48.1. Antarctic, in the Peninsula Area</w:t>
            </w:r>
          </w:p>
          <w:p>
            <w:pPr>
              <w:spacing w:before="60" w:after="60"/>
              <w:rPr>
                <w:rFonts w:eastAsia="Calibri"/>
                <w:noProof/>
              </w:rPr>
            </w:pPr>
            <w:r>
              <w:rPr>
                <w:rFonts w:eastAsia="Calibri"/>
                <w:noProof/>
              </w:rPr>
              <w:t>FAO 48.2. Antarctic, around the South Orkneys</w:t>
            </w:r>
          </w:p>
          <w:p>
            <w:pPr>
              <w:spacing w:before="60" w:after="60"/>
              <w:rPr>
                <w:rFonts w:eastAsia="Calibri"/>
                <w:noProof/>
              </w:rPr>
            </w:pPr>
            <w:r>
              <w:rPr>
                <w:rFonts w:eastAsia="Calibri"/>
                <w:noProof/>
              </w:rPr>
              <w:t>FAO 48.3. Antarctic, around South Georgia</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Finfish</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FAO 48.1. Antarctic</w:t>
            </w:r>
            <w:r>
              <w:rPr>
                <w:rFonts w:eastAsia="Calibri"/>
                <w:b/>
                <w:bCs/>
                <w:noProof/>
                <w:vertAlign w:val="superscript"/>
              </w:rPr>
              <w:t>(1)</w:t>
            </w:r>
          </w:p>
          <w:p>
            <w:pPr>
              <w:spacing w:before="60" w:after="60"/>
              <w:rPr>
                <w:rFonts w:eastAsia="Calibri"/>
                <w:noProof/>
              </w:rPr>
            </w:pPr>
            <w:r>
              <w:rPr>
                <w:rFonts w:eastAsia="Calibri"/>
                <w:noProof/>
              </w:rPr>
              <w:t>FAO 48.2. Antarctic</w:t>
            </w:r>
            <w:r>
              <w:rPr>
                <w:rFonts w:eastAsia="Calibri"/>
                <w:b/>
                <w:bCs/>
                <w:noProof/>
                <w:vertAlign w:val="superscri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rFonts w:eastAsia="Calibri"/>
                <w:i/>
                <w:iCs/>
                <w:noProof/>
              </w:rPr>
              <w:t>Gobionotothen gibberifrons</w:t>
            </w:r>
          </w:p>
          <w:p>
            <w:pPr>
              <w:spacing w:before="60" w:after="60"/>
              <w:rPr>
                <w:rFonts w:eastAsia="Calibri"/>
                <w:i/>
                <w:iCs/>
                <w:noProof/>
              </w:rPr>
            </w:pPr>
            <w:r>
              <w:rPr>
                <w:rFonts w:eastAsia="Calibri"/>
                <w:i/>
                <w:iCs/>
                <w:noProof/>
              </w:rPr>
              <w:t>Chaenocephalus aceratus</w:t>
            </w:r>
          </w:p>
          <w:p>
            <w:pPr>
              <w:spacing w:before="60" w:after="60"/>
              <w:rPr>
                <w:rFonts w:eastAsia="Calibri"/>
                <w:i/>
                <w:iCs/>
                <w:noProof/>
              </w:rPr>
            </w:pPr>
            <w:r>
              <w:rPr>
                <w:rFonts w:eastAsia="Calibri"/>
                <w:i/>
                <w:iCs/>
                <w:noProof/>
              </w:rPr>
              <w:t>Pseudochaenichthys georgianus</w:t>
            </w:r>
          </w:p>
          <w:p>
            <w:pPr>
              <w:spacing w:before="60" w:after="60"/>
              <w:rPr>
                <w:rFonts w:eastAsia="Calibri"/>
                <w:i/>
                <w:iCs/>
                <w:noProof/>
              </w:rPr>
            </w:pPr>
            <w:r>
              <w:rPr>
                <w:rFonts w:eastAsia="Calibri"/>
                <w:i/>
                <w:iCs/>
                <w:noProof/>
              </w:rPr>
              <w:t>Lepidonotothen squamifrons</w:t>
            </w:r>
          </w:p>
          <w:p>
            <w:pPr>
              <w:spacing w:before="60" w:after="60"/>
              <w:rPr>
                <w:rFonts w:eastAsia="Calibri"/>
                <w:i/>
                <w:iCs/>
                <w:noProof/>
              </w:rPr>
            </w:pPr>
            <w:r>
              <w:rPr>
                <w:rFonts w:eastAsia="Calibri"/>
                <w:i/>
                <w:iCs/>
                <w:noProof/>
              </w:rPr>
              <w:t>Patagonotothen guntheri</w:t>
            </w:r>
          </w:p>
          <w:p>
            <w:pPr>
              <w:spacing w:before="60" w:after="60"/>
              <w:rPr>
                <w:rFonts w:eastAsia="Calibri"/>
                <w:noProof/>
              </w:rPr>
            </w:pPr>
            <w:r>
              <w:rPr>
                <w:rFonts w:eastAsia="Calibri"/>
                <w:i/>
                <w:iCs/>
                <w:noProof/>
              </w:rPr>
              <w:t>Electrona carlsbergi</w:t>
            </w:r>
            <w:r>
              <w:rPr>
                <w:rFonts w:eastAsia="Calibri"/>
                <w:b/>
                <w:bCs/>
                <w:noProof/>
                <w:vertAlign w:val="superscript"/>
              </w:rPr>
              <w:t>(1)</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FAO 48.3.</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i/>
                <w:iCs/>
                <w:noProof/>
              </w:rPr>
              <w:t>Dissostichus</w:t>
            </w:r>
            <w:r>
              <w:rPr>
                <w:rFonts w:eastAsia="Calibri"/>
                <w:noProof/>
              </w:rPr>
              <w:t xml:space="preserve"> spp.</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FAO 48.5. Antarctic</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r>
              <w:rPr>
                <w:rFonts w:eastAsia="Calibri"/>
                <w:i/>
                <w:iCs/>
                <w:noProof/>
              </w:rPr>
              <w:lastRenderedPageBreak/>
              <w:t>Dissostichus</w:t>
            </w:r>
            <w:r>
              <w:rPr>
                <w:rFonts w:eastAsia="Calibri"/>
                <w:noProof/>
              </w:rPr>
              <w:t xml:space="preserve"> spp.</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lang w:val="pt-PT"/>
              </w:rPr>
            </w:pPr>
            <w:r>
              <w:rPr>
                <w:rFonts w:eastAsia="Calibri"/>
                <w:noProof/>
                <w:lang w:val="pt-PT"/>
              </w:rPr>
              <w:t>FAO 88.3. Antarctic</w:t>
            </w:r>
            <w:r>
              <w:rPr>
                <w:rFonts w:eastAsia="Calibri"/>
                <w:b/>
                <w:bCs/>
                <w:noProof/>
                <w:vertAlign w:val="superscript"/>
                <w:lang w:val="pt-PT"/>
              </w:rPr>
              <w:t>(1)</w:t>
            </w:r>
          </w:p>
          <w:p>
            <w:pPr>
              <w:spacing w:before="60" w:after="60"/>
              <w:rPr>
                <w:rFonts w:eastAsia="Calibri"/>
                <w:noProof/>
                <w:lang w:val="pt-PT"/>
              </w:rPr>
            </w:pPr>
            <w:r>
              <w:rPr>
                <w:rFonts w:eastAsia="Calibri"/>
                <w:noProof/>
                <w:lang w:val="pt-PT"/>
              </w:rPr>
              <w:t>FAO 58.5.1. Antarctic</w:t>
            </w:r>
            <w:r>
              <w:rPr>
                <w:rFonts w:eastAsia="Calibri"/>
                <w:b/>
                <w:bCs/>
                <w:noProof/>
                <w:vertAlign w:val="superscript"/>
                <w:lang w:val="pt-PT"/>
              </w:rPr>
              <w:t>(1) (2)</w:t>
            </w:r>
          </w:p>
          <w:p>
            <w:pPr>
              <w:spacing w:before="60" w:after="60"/>
              <w:rPr>
                <w:rFonts w:eastAsia="Calibri"/>
                <w:noProof/>
              </w:rPr>
            </w:pPr>
            <w:r>
              <w:rPr>
                <w:rFonts w:eastAsia="Calibri"/>
                <w:noProof/>
                <w:lang w:val="pt-PT"/>
              </w:rPr>
              <w:t xml:space="preserve">FAO 58.5.2. </w:t>
            </w:r>
            <w:r>
              <w:rPr>
                <w:rFonts w:eastAsia="Calibri"/>
                <w:noProof/>
              </w:rPr>
              <w:t>Antarctic east of 79° 20' E and outside the EEZ to the west of 79° 20' E</w:t>
            </w:r>
            <w:r>
              <w:rPr>
                <w:rFonts w:eastAsia="Calibri"/>
                <w:b/>
                <w:bCs/>
                <w:noProof/>
                <w:vertAlign w:val="superscript"/>
              </w:rPr>
              <w:t>(1)</w:t>
            </w:r>
          </w:p>
          <w:p>
            <w:pPr>
              <w:spacing w:before="60" w:after="60"/>
              <w:rPr>
                <w:rFonts w:eastAsia="Calibri"/>
                <w:noProof/>
                <w:lang w:val="pt-PT"/>
              </w:rPr>
            </w:pPr>
            <w:r>
              <w:rPr>
                <w:rFonts w:eastAsia="Calibri"/>
                <w:noProof/>
                <w:lang w:val="pt-PT"/>
              </w:rPr>
              <w:t>FAO 58.4.4. Antarctic</w:t>
            </w:r>
            <w:r>
              <w:rPr>
                <w:rFonts w:eastAsia="Calibri"/>
                <w:b/>
                <w:bCs/>
                <w:noProof/>
                <w:vertAlign w:val="superscript"/>
                <w:lang w:val="pt-PT"/>
              </w:rPr>
              <w:t>(1) (2)</w:t>
            </w:r>
          </w:p>
          <w:p>
            <w:pPr>
              <w:spacing w:before="60" w:after="60"/>
              <w:rPr>
                <w:rFonts w:eastAsia="Calibri"/>
                <w:noProof/>
                <w:lang w:val="pt-PT"/>
              </w:rPr>
            </w:pPr>
            <w:r>
              <w:rPr>
                <w:rFonts w:eastAsia="Calibri"/>
                <w:noProof/>
                <w:lang w:val="pt-PT"/>
              </w:rPr>
              <w:t>FAO 58.6. Antarctic</w:t>
            </w:r>
            <w:r>
              <w:rPr>
                <w:rFonts w:eastAsia="Calibri"/>
                <w:b/>
                <w:bCs/>
                <w:noProof/>
                <w:vertAlign w:val="superscript"/>
                <w:lang w:val="pt-PT"/>
              </w:rPr>
              <w:t>(1) (2)</w:t>
            </w:r>
          </w:p>
          <w:p>
            <w:pPr>
              <w:spacing w:before="60" w:after="60"/>
              <w:rPr>
                <w:rFonts w:eastAsia="Calibri"/>
                <w:noProof/>
              </w:rPr>
            </w:pPr>
            <w:r>
              <w:rPr>
                <w:rFonts w:eastAsia="Calibri"/>
                <w:noProof/>
                <w:lang w:val="pt-PT"/>
              </w:rPr>
              <w:t xml:space="preserve">FAO 58.7. </w:t>
            </w:r>
            <w:r>
              <w:rPr>
                <w:rFonts w:eastAsia="Calibri"/>
                <w:noProof/>
              </w:rPr>
              <w:t>Antarctic</w:t>
            </w:r>
            <w:r>
              <w:rPr>
                <w:rFonts w:eastAsia="Calibri"/>
                <w:b/>
                <w:bCs/>
                <w:noProof/>
                <w:vertAlign w:val="superscri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i/>
                <w:iCs/>
                <w:noProof/>
              </w:rPr>
            </w:pPr>
            <w:r>
              <w:rPr>
                <w:rFonts w:eastAsia="Calibri"/>
                <w:i/>
                <w:iCs/>
                <w:noProof/>
              </w:rPr>
              <w:t>Lepidonotothen squamifrons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FAO 58.4.4.</w:t>
            </w:r>
            <w:r>
              <w:rPr>
                <w:rFonts w:eastAsia="Calibri"/>
                <w:b/>
                <w:bCs/>
                <w:noProof/>
                <w:vertAlign w:val="superscript"/>
              </w:rPr>
              <w:t>(1) (2)</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 xml:space="preserve">All species except </w:t>
            </w:r>
            <w:r>
              <w:rPr>
                <w:rFonts w:eastAsia="Calibri"/>
                <w:i/>
                <w:iCs/>
                <w:noProof/>
              </w:rPr>
              <w:t>Champsocephalus</w:t>
            </w:r>
            <w:r>
              <w:rPr>
                <w:rFonts w:eastAsia="Calibri"/>
                <w:noProof/>
              </w:rPr>
              <w:t xml:space="preserve"> </w:t>
            </w:r>
            <w:r>
              <w:rPr>
                <w:rFonts w:eastAsia="Calibri"/>
                <w:i/>
                <w:iCs/>
                <w:noProof/>
              </w:rPr>
              <w:t>gunnari</w:t>
            </w:r>
            <w:r>
              <w:rPr>
                <w:rFonts w:eastAsia="Calibri"/>
                <w:noProof/>
              </w:rPr>
              <w:t xml:space="preserve"> and </w:t>
            </w:r>
            <w:r>
              <w:rPr>
                <w:rFonts w:eastAsia="Calibri"/>
                <w:i/>
                <w:iCs/>
                <w:noProof/>
              </w:rPr>
              <w:t>Dissostichus</w:t>
            </w:r>
            <w:r>
              <w:rPr>
                <w:rFonts w:eastAsia="Calibri"/>
                <w:noProof/>
              </w:rPr>
              <w:t xml:space="preserve"> </w:t>
            </w:r>
            <w:r>
              <w:rPr>
                <w:rFonts w:eastAsia="Calibri"/>
                <w:i/>
                <w:iCs/>
                <w:noProof/>
              </w:rPr>
              <w:t>eleginoides</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FAO 58.5.2. Antarctic</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rFonts w:eastAsia="Calibri"/>
                <w:noProof/>
              </w:rPr>
              <w:t>pm</w:t>
            </w:r>
          </w:p>
        </w:tc>
      </w:tr>
      <w:tr>
        <w:tc>
          <w:tcPr>
            <w:tcW w:w="16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i/>
                <w:iCs/>
                <w:noProof/>
              </w:rPr>
              <w:t>Dissostichus</w:t>
            </w:r>
            <w:r>
              <w:rPr>
                <w:rFonts w:eastAsia="Calibri"/>
                <w:noProof/>
              </w:rPr>
              <w:t xml:space="preserve"> </w:t>
            </w:r>
            <w:r>
              <w:rPr>
                <w:rFonts w:eastAsia="Calibri"/>
                <w:i/>
                <w:iCs/>
                <w:noProof/>
              </w:rPr>
              <w:t>mawsoni</w:t>
            </w:r>
          </w:p>
        </w:tc>
        <w:tc>
          <w:tcPr>
            <w:tcW w:w="1667"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FAO 48.4. Antarctic(1) within the area bounded by latitudes 55° 30' S and 57° 20' S and by longitudes 25o 30' W and 29o 30' W</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rPr>
                <w:noProof/>
              </w:rPr>
            </w:pPr>
            <w:r>
              <w:rPr>
                <w:rFonts w:eastAsia="Calibri"/>
                <w:noProof/>
              </w:rPr>
              <w:t>pm</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0" w:after="0"/>
              <w:rPr>
                <w:rFonts w:eastAsia="Calibri"/>
                <w:noProof/>
              </w:rPr>
            </w:pPr>
            <w:r>
              <w:rPr>
                <w:rFonts w:eastAsia="Calibri"/>
                <w:b/>
                <w:bCs/>
                <w:noProof/>
                <w:vertAlign w:val="superscript"/>
              </w:rPr>
              <w:t>(1)</w:t>
            </w:r>
            <w:r>
              <w:rPr>
                <w:rFonts w:eastAsia="Calibri"/>
                <w:noProof/>
              </w:rPr>
              <w:tab/>
              <w:t>Except for scientific research purposes.</w:t>
            </w:r>
          </w:p>
          <w:p>
            <w:pPr>
              <w:spacing w:before="0" w:after="0"/>
              <w:rPr>
                <w:rFonts w:eastAsia="Calibri"/>
                <w:noProof/>
              </w:rPr>
            </w:pPr>
            <w:r>
              <w:rPr>
                <w:rFonts w:eastAsia="Calibri"/>
                <w:b/>
                <w:bCs/>
                <w:noProof/>
                <w:vertAlign w:val="superscript"/>
              </w:rPr>
              <w:t>(2)</w:t>
            </w:r>
            <w:r>
              <w:rPr>
                <w:rFonts w:eastAsia="Calibri"/>
                <w:noProof/>
              </w:rPr>
              <w:tab/>
              <w:t>Excluding waters subject to national jurisdiction (EEZs).</w:t>
            </w:r>
          </w:p>
        </w:tc>
      </w:tr>
    </w:tbl>
    <w:p>
      <w:pPr>
        <w:rPr>
          <w:rFonts w:eastAsia="Calibri"/>
          <w:noProof/>
        </w:rPr>
      </w:pPr>
    </w:p>
    <w:p>
      <w:pPr>
        <w:pStyle w:val="NormalCentered"/>
        <w:rPr>
          <w:rFonts w:eastAsia="Calibri"/>
          <w:noProof/>
        </w:rPr>
        <w:sectPr>
          <w:footnotePr>
            <w:numRestart w:val="eachPage"/>
          </w:footnotePr>
          <w:pgSz w:w="11906" w:h="16838"/>
          <w:pgMar w:top="1134" w:right="1134" w:bottom="1134" w:left="1134" w:header="567" w:footer="567" w:gutter="0"/>
          <w:cols w:space="720"/>
          <w:docGrid w:linePitch="326"/>
        </w:sectPr>
      </w:pPr>
    </w:p>
    <w:p>
      <w:pPr>
        <w:pStyle w:val="NormalCentered"/>
        <w:rPr>
          <w:noProof/>
        </w:rPr>
      </w:pPr>
      <w:r>
        <w:rPr>
          <w:rFonts w:eastAsia="Calibri"/>
          <w:noProof/>
        </w:rPr>
        <w:lastRenderedPageBreak/>
        <w:t>PART B</w:t>
      </w:r>
      <w:r>
        <w:rPr>
          <w:rFonts w:eastAsia="Calibri"/>
          <w:noProof/>
        </w:rPr>
        <w:br/>
        <w:t>TACs AND BY</w:t>
      </w:r>
      <w:r>
        <w:rPr>
          <w:rFonts w:eastAsia="Calibri"/>
          <w:noProof/>
        </w:rPr>
        <w:noBreakHyphen/>
        <w:t>CATCH LIMITS FOR EXPLORATORY FISHERIES IN THE CCAMLR CONVENTION AREA IN 2015/2016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1035"/>
        <w:gridCol w:w="1843"/>
        <w:gridCol w:w="1559"/>
        <w:gridCol w:w="709"/>
        <w:gridCol w:w="1559"/>
        <w:gridCol w:w="1843"/>
        <w:gridCol w:w="567"/>
        <w:gridCol w:w="1843"/>
        <w:gridCol w:w="567"/>
        <w:gridCol w:w="1701"/>
        <w:gridCol w:w="644"/>
      </w:tblGrid>
      <w:tr>
        <w:trPr>
          <w:trHeight w:val="20"/>
        </w:trPr>
        <w:tc>
          <w:tcPr>
            <w:tcW w:w="916" w:type="dxa"/>
            <w:vMerge w:val="restart"/>
            <w:shd w:val="clear" w:color="auto" w:fill="auto"/>
            <w:vAlign w:val="center"/>
          </w:tcPr>
          <w:p>
            <w:pPr>
              <w:spacing w:before="0" w:after="0"/>
              <w:jc w:val="center"/>
              <w:rPr>
                <w:noProof/>
                <w:sz w:val="20"/>
                <w:szCs w:val="20"/>
              </w:rPr>
            </w:pPr>
            <w:r>
              <w:rPr>
                <w:noProof/>
                <w:sz w:val="20"/>
                <w:szCs w:val="20"/>
              </w:rPr>
              <w:t>Subarea/</w:t>
            </w:r>
            <w:r>
              <w:rPr>
                <w:noProof/>
                <w:sz w:val="20"/>
                <w:szCs w:val="20"/>
              </w:rPr>
              <w:br/>
              <w:t>Division</w:t>
            </w:r>
          </w:p>
        </w:tc>
        <w:tc>
          <w:tcPr>
            <w:tcW w:w="1035" w:type="dxa"/>
            <w:vMerge w:val="restart"/>
            <w:shd w:val="clear" w:color="auto" w:fill="auto"/>
            <w:vAlign w:val="center"/>
          </w:tcPr>
          <w:p>
            <w:pPr>
              <w:spacing w:before="0" w:after="0"/>
              <w:jc w:val="center"/>
              <w:rPr>
                <w:noProof/>
                <w:sz w:val="20"/>
                <w:szCs w:val="20"/>
              </w:rPr>
            </w:pPr>
            <w:r>
              <w:rPr>
                <w:noProof/>
                <w:sz w:val="20"/>
                <w:szCs w:val="20"/>
              </w:rPr>
              <w:t>Region</w:t>
            </w:r>
          </w:p>
        </w:tc>
        <w:tc>
          <w:tcPr>
            <w:tcW w:w="1843" w:type="dxa"/>
            <w:vMerge w:val="restart"/>
            <w:shd w:val="clear" w:color="auto" w:fill="auto"/>
            <w:vAlign w:val="center"/>
          </w:tcPr>
          <w:p>
            <w:pPr>
              <w:spacing w:before="0" w:after="0"/>
              <w:jc w:val="center"/>
              <w:rPr>
                <w:noProof/>
                <w:sz w:val="20"/>
                <w:szCs w:val="20"/>
              </w:rPr>
            </w:pPr>
            <w:r>
              <w:rPr>
                <w:noProof/>
                <w:sz w:val="20"/>
                <w:szCs w:val="20"/>
              </w:rPr>
              <w:t>Season</w:t>
            </w:r>
          </w:p>
        </w:tc>
        <w:tc>
          <w:tcPr>
            <w:tcW w:w="2268" w:type="dxa"/>
            <w:gridSpan w:val="2"/>
            <w:shd w:val="clear" w:color="auto" w:fill="auto"/>
            <w:vAlign w:val="center"/>
          </w:tcPr>
          <w:p>
            <w:pPr>
              <w:spacing w:before="0" w:after="0"/>
              <w:jc w:val="center"/>
              <w:rPr>
                <w:noProof/>
                <w:sz w:val="20"/>
                <w:szCs w:val="20"/>
              </w:rPr>
            </w:pPr>
            <w:r>
              <w:rPr>
                <w:noProof/>
                <w:sz w:val="20"/>
                <w:szCs w:val="20"/>
              </w:rPr>
              <w:t>SSRUs</w:t>
            </w:r>
          </w:p>
        </w:tc>
        <w:tc>
          <w:tcPr>
            <w:tcW w:w="1559" w:type="dxa"/>
            <w:vMerge w:val="restart"/>
            <w:shd w:val="clear" w:color="auto" w:fill="auto"/>
            <w:vAlign w:val="center"/>
          </w:tcPr>
          <w:p>
            <w:pPr>
              <w:spacing w:before="0" w:after="0"/>
              <w:jc w:val="center"/>
              <w:rPr>
                <w:noProof/>
                <w:sz w:val="20"/>
                <w:szCs w:val="20"/>
              </w:rPr>
            </w:pPr>
            <w:r>
              <w:rPr>
                <w:i/>
                <w:iCs/>
                <w:noProof/>
                <w:sz w:val="20"/>
                <w:szCs w:val="20"/>
              </w:rPr>
              <w:t>Dissostichus</w:t>
            </w:r>
            <w:r>
              <w:rPr>
                <w:noProof/>
                <w:sz w:val="20"/>
                <w:szCs w:val="20"/>
              </w:rPr>
              <w:t xml:space="preserve"> spp. catch limit (in tonnes)</w:t>
            </w:r>
          </w:p>
        </w:tc>
        <w:tc>
          <w:tcPr>
            <w:tcW w:w="7165" w:type="dxa"/>
            <w:gridSpan w:val="6"/>
            <w:shd w:val="clear" w:color="auto" w:fill="auto"/>
            <w:vAlign w:val="center"/>
          </w:tcPr>
          <w:p>
            <w:pPr>
              <w:spacing w:before="0" w:after="0"/>
              <w:jc w:val="center"/>
              <w:rPr>
                <w:noProof/>
                <w:sz w:val="20"/>
                <w:szCs w:val="20"/>
              </w:rPr>
            </w:pPr>
            <w:r>
              <w:rPr>
                <w:noProof/>
                <w:sz w:val="20"/>
                <w:szCs w:val="20"/>
              </w:rPr>
              <w:t>By</w:t>
            </w:r>
            <w:r>
              <w:rPr>
                <w:noProof/>
                <w:sz w:val="20"/>
                <w:szCs w:val="20"/>
              </w:rPr>
              <w:noBreakHyphen/>
              <w:t>catch catch limit (in tonnes)</w:t>
            </w:r>
          </w:p>
        </w:tc>
      </w:tr>
      <w:tr>
        <w:trPr>
          <w:trHeight w:val="20"/>
        </w:trPr>
        <w:tc>
          <w:tcPr>
            <w:tcW w:w="916" w:type="dxa"/>
            <w:vMerge/>
            <w:shd w:val="clear" w:color="auto" w:fill="auto"/>
            <w:vAlign w:val="center"/>
          </w:tcPr>
          <w:p>
            <w:pPr>
              <w:spacing w:before="0" w:after="0"/>
              <w:jc w:val="center"/>
              <w:rPr>
                <w:noProof/>
                <w:sz w:val="20"/>
                <w:szCs w:val="20"/>
              </w:rPr>
            </w:pPr>
          </w:p>
        </w:tc>
        <w:tc>
          <w:tcPr>
            <w:tcW w:w="1035" w:type="dxa"/>
            <w:vMerge/>
            <w:shd w:val="clear" w:color="auto" w:fill="auto"/>
            <w:vAlign w:val="center"/>
          </w:tcPr>
          <w:p>
            <w:pPr>
              <w:spacing w:before="0" w:after="0"/>
              <w:jc w:val="center"/>
              <w:rPr>
                <w:noProof/>
                <w:sz w:val="20"/>
                <w:szCs w:val="20"/>
              </w:rPr>
            </w:pPr>
          </w:p>
        </w:tc>
        <w:tc>
          <w:tcPr>
            <w:tcW w:w="1843" w:type="dxa"/>
            <w:vMerge/>
            <w:shd w:val="clear" w:color="auto" w:fill="auto"/>
            <w:vAlign w:val="center"/>
          </w:tcPr>
          <w:p>
            <w:pPr>
              <w:spacing w:before="0" w:after="0"/>
              <w:jc w:val="center"/>
              <w:rPr>
                <w:noProof/>
                <w:sz w:val="20"/>
                <w:szCs w:val="20"/>
              </w:rPr>
            </w:pPr>
          </w:p>
        </w:tc>
        <w:tc>
          <w:tcPr>
            <w:tcW w:w="1559" w:type="dxa"/>
            <w:shd w:val="clear" w:color="auto" w:fill="auto"/>
            <w:vAlign w:val="center"/>
          </w:tcPr>
          <w:p>
            <w:pPr>
              <w:spacing w:before="0" w:after="0"/>
              <w:jc w:val="center"/>
              <w:rPr>
                <w:noProof/>
                <w:sz w:val="20"/>
                <w:szCs w:val="20"/>
              </w:rPr>
            </w:pPr>
            <w:r>
              <w:rPr>
                <w:noProof/>
                <w:sz w:val="20"/>
                <w:szCs w:val="20"/>
              </w:rPr>
              <w:t>SSRU</w:t>
            </w:r>
          </w:p>
        </w:tc>
        <w:tc>
          <w:tcPr>
            <w:tcW w:w="709" w:type="dxa"/>
            <w:shd w:val="clear" w:color="auto" w:fill="auto"/>
            <w:vAlign w:val="center"/>
          </w:tcPr>
          <w:p>
            <w:pPr>
              <w:spacing w:before="0" w:after="0"/>
              <w:jc w:val="center"/>
              <w:rPr>
                <w:noProof/>
                <w:sz w:val="20"/>
                <w:szCs w:val="20"/>
              </w:rPr>
            </w:pPr>
            <w:r>
              <w:rPr>
                <w:noProof/>
                <w:sz w:val="20"/>
                <w:szCs w:val="20"/>
              </w:rPr>
              <w:t>Limit</w:t>
            </w:r>
          </w:p>
        </w:tc>
        <w:tc>
          <w:tcPr>
            <w:tcW w:w="1559" w:type="dxa"/>
            <w:vMerge/>
            <w:shd w:val="clear" w:color="auto" w:fill="auto"/>
            <w:vAlign w:val="center"/>
          </w:tcPr>
          <w:p>
            <w:pPr>
              <w:spacing w:before="0" w:after="0"/>
              <w:jc w:val="center"/>
              <w:rPr>
                <w:noProof/>
                <w:sz w:val="20"/>
                <w:szCs w:val="20"/>
              </w:rPr>
            </w:pPr>
          </w:p>
        </w:tc>
        <w:tc>
          <w:tcPr>
            <w:tcW w:w="2410" w:type="dxa"/>
            <w:gridSpan w:val="2"/>
            <w:shd w:val="clear" w:color="auto" w:fill="auto"/>
            <w:vAlign w:val="center"/>
          </w:tcPr>
          <w:p>
            <w:pPr>
              <w:spacing w:before="0" w:after="0"/>
              <w:jc w:val="center"/>
              <w:rPr>
                <w:noProof/>
                <w:sz w:val="20"/>
                <w:szCs w:val="20"/>
              </w:rPr>
            </w:pPr>
            <w:r>
              <w:rPr>
                <w:noProof/>
                <w:sz w:val="20"/>
                <w:szCs w:val="20"/>
              </w:rPr>
              <w:t>Skates and rays</w:t>
            </w:r>
          </w:p>
        </w:tc>
        <w:tc>
          <w:tcPr>
            <w:tcW w:w="2410" w:type="dxa"/>
            <w:gridSpan w:val="2"/>
            <w:shd w:val="clear" w:color="auto" w:fill="auto"/>
            <w:vAlign w:val="center"/>
          </w:tcPr>
          <w:p>
            <w:pPr>
              <w:spacing w:before="0" w:after="0"/>
              <w:jc w:val="center"/>
              <w:rPr>
                <w:noProof/>
                <w:sz w:val="20"/>
                <w:szCs w:val="20"/>
              </w:rPr>
            </w:pPr>
            <w:r>
              <w:rPr>
                <w:i/>
                <w:iCs/>
                <w:noProof/>
                <w:sz w:val="20"/>
                <w:szCs w:val="20"/>
              </w:rPr>
              <w:t>Macrourus</w:t>
            </w:r>
            <w:r>
              <w:rPr>
                <w:noProof/>
                <w:sz w:val="20"/>
                <w:szCs w:val="20"/>
              </w:rPr>
              <w:t xml:space="preserve"> spp.</w:t>
            </w:r>
          </w:p>
        </w:tc>
        <w:tc>
          <w:tcPr>
            <w:tcW w:w="2345" w:type="dxa"/>
            <w:gridSpan w:val="2"/>
            <w:shd w:val="clear" w:color="auto" w:fill="auto"/>
            <w:vAlign w:val="center"/>
          </w:tcPr>
          <w:p>
            <w:pPr>
              <w:spacing w:before="0" w:after="0"/>
              <w:jc w:val="center"/>
              <w:rPr>
                <w:noProof/>
                <w:sz w:val="20"/>
                <w:szCs w:val="20"/>
              </w:rPr>
            </w:pPr>
            <w:r>
              <w:rPr>
                <w:noProof/>
                <w:sz w:val="20"/>
                <w:szCs w:val="20"/>
              </w:rPr>
              <w:t>Other species</w:t>
            </w:r>
          </w:p>
        </w:tc>
      </w:tr>
      <w:tr>
        <w:trPr>
          <w:trHeight w:val="20"/>
        </w:trPr>
        <w:tc>
          <w:tcPr>
            <w:tcW w:w="916" w:type="dxa"/>
            <w:vMerge w:val="restart"/>
            <w:shd w:val="clear" w:color="auto" w:fill="auto"/>
          </w:tcPr>
          <w:p>
            <w:pPr>
              <w:spacing w:before="0" w:after="0"/>
              <w:rPr>
                <w:noProof/>
                <w:sz w:val="20"/>
                <w:szCs w:val="20"/>
              </w:rPr>
            </w:pPr>
            <w:r>
              <w:rPr>
                <w:noProof/>
                <w:sz w:val="20"/>
                <w:szCs w:val="20"/>
              </w:rPr>
              <w:t>58.4.1.</w:t>
            </w:r>
          </w:p>
        </w:tc>
        <w:tc>
          <w:tcPr>
            <w:tcW w:w="1035" w:type="dxa"/>
            <w:vMerge w:val="restart"/>
            <w:shd w:val="clear" w:color="auto" w:fill="auto"/>
          </w:tcPr>
          <w:p>
            <w:pPr>
              <w:spacing w:before="0" w:after="0"/>
              <w:rPr>
                <w:noProof/>
                <w:sz w:val="20"/>
                <w:szCs w:val="20"/>
              </w:rPr>
            </w:pPr>
            <w:r>
              <w:rPr>
                <w:noProof/>
                <w:sz w:val="20"/>
                <w:szCs w:val="20"/>
              </w:rPr>
              <w:t>Whole Division</w:t>
            </w:r>
          </w:p>
        </w:tc>
        <w:tc>
          <w:tcPr>
            <w:tcW w:w="1843" w:type="dxa"/>
            <w:vMerge w:val="restart"/>
            <w:shd w:val="clear" w:color="auto" w:fill="auto"/>
          </w:tcPr>
          <w:p>
            <w:pPr>
              <w:spacing w:before="0" w:after="0"/>
              <w:rPr>
                <w:noProof/>
                <w:sz w:val="20"/>
                <w:szCs w:val="20"/>
              </w:rPr>
            </w:pPr>
            <w:r>
              <w:rPr>
                <w:noProof/>
                <w:sz w:val="20"/>
                <w:szCs w:val="20"/>
              </w:rPr>
              <w:t>pm</w:t>
            </w:r>
          </w:p>
        </w:tc>
        <w:tc>
          <w:tcPr>
            <w:tcW w:w="1559" w:type="dxa"/>
            <w:shd w:val="clear" w:color="auto" w:fill="auto"/>
          </w:tcPr>
          <w:p>
            <w:pPr>
              <w:spacing w:before="0" w:after="0"/>
              <w:rPr>
                <w:noProof/>
                <w:sz w:val="20"/>
                <w:szCs w:val="20"/>
              </w:rPr>
            </w:pPr>
            <w:r>
              <w:rPr>
                <w:noProof/>
                <w:sz w:val="20"/>
                <w:szCs w:val="20"/>
              </w:rPr>
              <w:t>A, B, F</w:t>
            </w:r>
          </w:p>
        </w:tc>
        <w:tc>
          <w:tcPr>
            <w:tcW w:w="709" w:type="dxa"/>
            <w:shd w:val="clear" w:color="auto" w:fill="auto"/>
          </w:tcPr>
          <w:p>
            <w:pPr>
              <w:spacing w:before="0" w:after="0"/>
              <w:rPr>
                <w:noProof/>
                <w:sz w:val="20"/>
                <w:szCs w:val="20"/>
              </w:rPr>
            </w:pPr>
            <w:r>
              <w:rPr>
                <w:noProof/>
                <w:sz w:val="20"/>
                <w:szCs w:val="20"/>
              </w:rPr>
              <w:t>pm</w:t>
            </w:r>
          </w:p>
        </w:tc>
        <w:tc>
          <w:tcPr>
            <w:tcW w:w="1559" w:type="dxa"/>
            <w:vMerge w:val="restart"/>
            <w:shd w:val="clear" w:color="auto" w:fill="auto"/>
            <w:vAlign w:val="center"/>
          </w:tcPr>
          <w:p>
            <w:pPr>
              <w:spacing w:before="0" w:after="0"/>
              <w:jc w:val="center"/>
              <w:rPr>
                <w:noProof/>
                <w:sz w:val="20"/>
                <w:szCs w:val="20"/>
              </w:rPr>
            </w:pPr>
            <w:r>
              <w:rPr>
                <w:noProof/>
                <w:sz w:val="20"/>
                <w:szCs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szCs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szCs w:val="20"/>
              </w:rPr>
              <w:t>pm</w:t>
            </w:r>
          </w:p>
        </w:tc>
        <w:tc>
          <w:tcPr>
            <w:tcW w:w="2345" w:type="dxa"/>
            <w:gridSpan w:val="2"/>
            <w:vMerge w:val="restart"/>
            <w:shd w:val="clear" w:color="auto" w:fill="auto"/>
            <w:vAlign w:val="center"/>
          </w:tcPr>
          <w:p>
            <w:pPr>
              <w:spacing w:before="0" w:after="0"/>
              <w:jc w:val="center"/>
              <w:rPr>
                <w:noProof/>
                <w:sz w:val="20"/>
                <w:szCs w:val="20"/>
              </w:rPr>
            </w:pPr>
            <w:r>
              <w:rPr>
                <w:noProof/>
                <w:sz w:val="20"/>
                <w:szCs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 xml:space="preserve">C </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 xml:space="preserve">D </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E</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 xml:space="preserve">G </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 xml:space="preserve">H </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val="restart"/>
            <w:shd w:val="clear" w:color="auto" w:fill="auto"/>
          </w:tcPr>
          <w:p>
            <w:pPr>
              <w:spacing w:before="0" w:after="0"/>
              <w:rPr>
                <w:noProof/>
                <w:sz w:val="20"/>
                <w:szCs w:val="20"/>
              </w:rPr>
            </w:pPr>
            <w:r>
              <w:rPr>
                <w:noProof/>
                <w:sz w:val="20"/>
                <w:szCs w:val="20"/>
              </w:rPr>
              <w:t>58.4.2.</w:t>
            </w:r>
          </w:p>
        </w:tc>
        <w:tc>
          <w:tcPr>
            <w:tcW w:w="1035" w:type="dxa"/>
            <w:vMerge w:val="restart"/>
            <w:shd w:val="clear" w:color="auto" w:fill="auto"/>
          </w:tcPr>
          <w:p>
            <w:pPr>
              <w:spacing w:before="0" w:after="0"/>
              <w:rPr>
                <w:noProof/>
                <w:sz w:val="20"/>
                <w:szCs w:val="20"/>
              </w:rPr>
            </w:pPr>
            <w:r>
              <w:rPr>
                <w:noProof/>
                <w:sz w:val="20"/>
                <w:szCs w:val="20"/>
              </w:rPr>
              <w:t>Whole Division</w:t>
            </w:r>
          </w:p>
        </w:tc>
        <w:tc>
          <w:tcPr>
            <w:tcW w:w="1843" w:type="dxa"/>
            <w:vMerge w:val="restart"/>
            <w:shd w:val="clear" w:color="auto" w:fill="auto"/>
          </w:tcPr>
          <w:p>
            <w:pPr>
              <w:spacing w:before="0" w:after="0"/>
              <w:rPr>
                <w:noProof/>
                <w:sz w:val="20"/>
                <w:szCs w:val="20"/>
              </w:rPr>
            </w:pPr>
            <w:r>
              <w:rPr>
                <w:noProof/>
                <w:sz w:val="20"/>
                <w:szCs w:val="20"/>
              </w:rPr>
              <w:t>pm</w:t>
            </w:r>
          </w:p>
        </w:tc>
        <w:tc>
          <w:tcPr>
            <w:tcW w:w="1559" w:type="dxa"/>
            <w:shd w:val="clear" w:color="auto" w:fill="auto"/>
          </w:tcPr>
          <w:p>
            <w:pPr>
              <w:spacing w:before="0" w:after="0"/>
              <w:rPr>
                <w:noProof/>
                <w:sz w:val="20"/>
                <w:szCs w:val="20"/>
              </w:rPr>
            </w:pPr>
            <w:r>
              <w:rPr>
                <w:noProof/>
                <w:sz w:val="20"/>
                <w:szCs w:val="20"/>
              </w:rPr>
              <w:t>A</w:t>
            </w:r>
          </w:p>
        </w:tc>
        <w:tc>
          <w:tcPr>
            <w:tcW w:w="709" w:type="dxa"/>
            <w:shd w:val="clear" w:color="auto" w:fill="auto"/>
          </w:tcPr>
          <w:p>
            <w:pPr>
              <w:spacing w:before="0" w:after="0"/>
              <w:rPr>
                <w:noProof/>
                <w:sz w:val="20"/>
                <w:szCs w:val="20"/>
              </w:rPr>
            </w:pPr>
            <w:r>
              <w:rPr>
                <w:noProof/>
                <w:sz w:val="20"/>
                <w:szCs w:val="20"/>
              </w:rPr>
              <w:t>pm</w:t>
            </w:r>
          </w:p>
        </w:tc>
        <w:tc>
          <w:tcPr>
            <w:tcW w:w="1559" w:type="dxa"/>
            <w:vMerge w:val="restart"/>
            <w:shd w:val="clear" w:color="auto" w:fill="auto"/>
            <w:vAlign w:val="center"/>
          </w:tcPr>
          <w:p>
            <w:pPr>
              <w:spacing w:before="0" w:after="0"/>
              <w:jc w:val="center"/>
              <w:rPr>
                <w:noProof/>
                <w:sz w:val="20"/>
                <w:szCs w:val="20"/>
              </w:rPr>
            </w:pPr>
            <w:r>
              <w:rPr>
                <w:noProof/>
                <w:sz w:val="20"/>
                <w:szCs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szCs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szCs w:val="20"/>
              </w:rPr>
              <w:t>pm</w:t>
            </w:r>
          </w:p>
        </w:tc>
        <w:tc>
          <w:tcPr>
            <w:tcW w:w="2345" w:type="dxa"/>
            <w:gridSpan w:val="2"/>
            <w:vMerge w:val="restart"/>
            <w:shd w:val="clear" w:color="auto" w:fill="auto"/>
            <w:vAlign w:val="center"/>
          </w:tcPr>
          <w:p>
            <w:pPr>
              <w:spacing w:before="0" w:after="0"/>
              <w:jc w:val="center"/>
              <w:rPr>
                <w:noProof/>
                <w:sz w:val="20"/>
                <w:szCs w:val="20"/>
              </w:rPr>
            </w:pPr>
            <w:r>
              <w:rPr>
                <w:noProof/>
                <w:sz w:val="20"/>
                <w:szCs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B, C, D</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E (including 58.4.2_1)</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val="restart"/>
            <w:shd w:val="clear" w:color="auto" w:fill="auto"/>
          </w:tcPr>
          <w:p>
            <w:pPr>
              <w:spacing w:before="0" w:after="0"/>
              <w:rPr>
                <w:noProof/>
                <w:sz w:val="20"/>
                <w:szCs w:val="20"/>
              </w:rPr>
            </w:pPr>
            <w:r>
              <w:rPr>
                <w:noProof/>
                <w:sz w:val="20"/>
                <w:szCs w:val="20"/>
              </w:rPr>
              <w:t>58.4.3a.</w:t>
            </w:r>
          </w:p>
        </w:tc>
        <w:tc>
          <w:tcPr>
            <w:tcW w:w="1035" w:type="dxa"/>
            <w:vMerge w:val="restart"/>
            <w:shd w:val="clear" w:color="auto" w:fill="auto"/>
          </w:tcPr>
          <w:p>
            <w:pPr>
              <w:spacing w:before="0" w:after="0"/>
              <w:rPr>
                <w:noProof/>
                <w:sz w:val="20"/>
                <w:szCs w:val="20"/>
              </w:rPr>
            </w:pPr>
            <w:r>
              <w:rPr>
                <w:noProof/>
                <w:sz w:val="20"/>
                <w:szCs w:val="20"/>
              </w:rPr>
              <w:t>Whole Division</w:t>
            </w:r>
          </w:p>
        </w:tc>
        <w:tc>
          <w:tcPr>
            <w:tcW w:w="1843" w:type="dxa"/>
            <w:vMerge w:val="restart"/>
            <w:shd w:val="clear" w:color="auto" w:fill="auto"/>
          </w:tcPr>
          <w:p>
            <w:pPr>
              <w:spacing w:before="0" w:after="0"/>
              <w:rPr>
                <w:noProof/>
                <w:sz w:val="20"/>
                <w:szCs w:val="20"/>
              </w:rPr>
            </w:pPr>
            <w:r>
              <w:rPr>
                <w:noProof/>
                <w:sz w:val="20"/>
                <w:szCs w:val="20"/>
              </w:rPr>
              <w:t>pm</w:t>
            </w:r>
          </w:p>
        </w:tc>
        <w:tc>
          <w:tcPr>
            <w:tcW w:w="1559" w:type="dxa"/>
            <w:shd w:val="clear" w:color="auto" w:fill="auto"/>
          </w:tcPr>
          <w:p>
            <w:pPr>
              <w:spacing w:before="0" w:after="0"/>
              <w:rPr>
                <w:noProof/>
                <w:sz w:val="20"/>
                <w:szCs w:val="20"/>
              </w:rPr>
            </w:pPr>
            <w:r>
              <w:rPr>
                <w:noProof/>
                <w:sz w:val="20"/>
                <w:szCs w:val="20"/>
              </w:rPr>
              <w:t> </w:t>
            </w:r>
          </w:p>
        </w:tc>
        <w:tc>
          <w:tcPr>
            <w:tcW w:w="709" w:type="dxa"/>
            <w:shd w:val="clear" w:color="auto" w:fill="auto"/>
          </w:tcPr>
          <w:p>
            <w:pPr>
              <w:spacing w:before="0" w:after="0"/>
              <w:jc w:val="center"/>
              <w:rPr>
                <w:noProof/>
                <w:sz w:val="20"/>
                <w:szCs w:val="20"/>
              </w:rPr>
            </w:pPr>
          </w:p>
        </w:tc>
        <w:tc>
          <w:tcPr>
            <w:tcW w:w="1559" w:type="dxa"/>
            <w:vMerge w:val="restart"/>
            <w:shd w:val="clear" w:color="auto" w:fill="auto"/>
            <w:vAlign w:val="center"/>
          </w:tcPr>
          <w:p>
            <w:pPr>
              <w:spacing w:before="0" w:after="0"/>
              <w:jc w:val="center"/>
              <w:rPr>
                <w:noProof/>
                <w:sz w:val="20"/>
                <w:szCs w:val="20"/>
              </w:rPr>
            </w:pPr>
            <w:r>
              <w:rPr>
                <w:noProof/>
                <w:sz w:val="20"/>
                <w:szCs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szCs w:val="20"/>
              </w:rPr>
              <w:t>pm</w:t>
            </w:r>
          </w:p>
        </w:tc>
        <w:tc>
          <w:tcPr>
            <w:tcW w:w="2410" w:type="dxa"/>
            <w:gridSpan w:val="2"/>
            <w:vMerge w:val="restart"/>
            <w:shd w:val="clear" w:color="auto" w:fill="auto"/>
            <w:vAlign w:val="center"/>
          </w:tcPr>
          <w:p>
            <w:pPr>
              <w:spacing w:before="0" w:after="0"/>
              <w:jc w:val="center"/>
              <w:rPr>
                <w:noProof/>
                <w:sz w:val="20"/>
                <w:szCs w:val="20"/>
              </w:rPr>
            </w:pPr>
            <w:r>
              <w:rPr>
                <w:noProof/>
                <w:sz w:val="20"/>
                <w:szCs w:val="20"/>
              </w:rPr>
              <w:t>pm</w:t>
            </w:r>
          </w:p>
        </w:tc>
        <w:tc>
          <w:tcPr>
            <w:tcW w:w="2345" w:type="dxa"/>
            <w:gridSpan w:val="2"/>
            <w:vMerge w:val="restart"/>
            <w:shd w:val="clear" w:color="auto" w:fill="auto"/>
            <w:vAlign w:val="center"/>
          </w:tcPr>
          <w:p>
            <w:pPr>
              <w:spacing w:before="0" w:after="0"/>
              <w:jc w:val="center"/>
              <w:rPr>
                <w:noProof/>
                <w:sz w:val="20"/>
                <w:szCs w:val="20"/>
              </w:rPr>
            </w:pPr>
            <w:r>
              <w:rPr>
                <w:noProof/>
                <w:sz w:val="20"/>
                <w:szCs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Not relevant</w:t>
            </w:r>
          </w:p>
        </w:tc>
        <w:tc>
          <w:tcPr>
            <w:tcW w:w="709" w:type="dxa"/>
            <w:shd w:val="clear" w:color="auto" w:fill="auto"/>
          </w:tcPr>
          <w:p>
            <w:pPr>
              <w:spacing w:before="0" w:after="0"/>
              <w:jc w:val="center"/>
              <w:rPr>
                <w:noProof/>
                <w:sz w:val="20"/>
                <w:szCs w:val="20"/>
              </w:rPr>
            </w:pP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 </w:t>
            </w:r>
          </w:p>
        </w:tc>
        <w:tc>
          <w:tcPr>
            <w:tcW w:w="709" w:type="dxa"/>
            <w:shd w:val="clear" w:color="auto" w:fill="auto"/>
          </w:tcPr>
          <w:p>
            <w:pPr>
              <w:spacing w:before="0" w:after="0"/>
              <w:jc w:val="center"/>
              <w:rPr>
                <w:noProof/>
                <w:sz w:val="20"/>
                <w:szCs w:val="20"/>
              </w:rPr>
            </w:pPr>
          </w:p>
        </w:tc>
        <w:tc>
          <w:tcPr>
            <w:tcW w:w="1559" w:type="dxa"/>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410" w:type="dxa"/>
            <w:gridSpan w:val="2"/>
            <w:vMerge/>
            <w:shd w:val="clear" w:color="auto" w:fill="auto"/>
            <w:vAlign w:val="center"/>
          </w:tcPr>
          <w:p>
            <w:pPr>
              <w:spacing w:before="0" w:after="0"/>
              <w:jc w:val="center"/>
              <w:rPr>
                <w:noProof/>
                <w:sz w:val="20"/>
                <w:szCs w:val="20"/>
              </w:rPr>
            </w:pPr>
          </w:p>
        </w:tc>
        <w:tc>
          <w:tcPr>
            <w:tcW w:w="2345" w:type="dxa"/>
            <w:gridSpan w:val="2"/>
            <w:vMerge/>
            <w:shd w:val="clear" w:color="auto" w:fill="auto"/>
            <w:vAlign w:val="center"/>
          </w:tcPr>
          <w:p>
            <w:pPr>
              <w:spacing w:before="0" w:after="0"/>
              <w:jc w:val="center"/>
              <w:rPr>
                <w:noProof/>
                <w:sz w:val="20"/>
                <w:szCs w:val="20"/>
              </w:rPr>
            </w:pPr>
          </w:p>
        </w:tc>
      </w:tr>
      <w:tr>
        <w:trPr>
          <w:trHeight w:val="20"/>
        </w:trPr>
        <w:tc>
          <w:tcPr>
            <w:tcW w:w="916" w:type="dxa"/>
            <w:vMerge w:val="restart"/>
            <w:shd w:val="clear" w:color="auto" w:fill="auto"/>
          </w:tcPr>
          <w:p>
            <w:pPr>
              <w:spacing w:before="0" w:after="0"/>
              <w:rPr>
                <w:noProof/>
                <w:sz w:val="20"/>
                <w:szCs w:val="20"/>
              </w:rPr>
            </w:pPr>
            <w:r>
              <w:rPr>
                <w:noProof/>
                <w:sz w:val="20"/>
                <w:szCs w:val="20"/>
              </w:rPr>
              <w:t>88.1.</w:t>
            </w:r>
          </w:p>
        </w:tc>
        <w:tc>
          <w:tcPr>
            <w:tcW w:w="1035" w:type="dxa"/>
            <w:vMerge w:val="restart"/>
            <w:shd w:val="clear" w:color="auto" w:fill="auto"/>
          </w:tcPr>
          <w:p>
            <w:pPr>
              <w:spacing w:before="0" w:after="0"/>
              <w:rPr>
                <w:noProof/>
                <w:sz w:val="20"/>
                <w:szCs w:val="20"/>
              </w:rPr>
            </w:pPr>
            <w:r>
              <w:rPr>
                <w:noProof/>
                <w:sz w:val="20"/>
                <w:szCs w:val="20"/>
              </w:rPr>
              <w:t>Whole Subarea</w:t>
            </w:r>
          </w:p>
        </w:tc>
        <w:tc>
          <w:tcPr>
            <w:tcW w:w="1843" w:type="dxa"/>
            <w:vMerge w:val="restart"/>
            <w:shd w:val="clear" w:color="auto" w:fill="auto"/>
          </w:tcPr>
          <w:p>
            <w:pPr>
              <w:spacing w:before="0" w:after="0"/>
              <w:rPr>
                <w:noProof/>
                <w:sz w:val="20"/>
                <w:szCs w:val="20"/>
              </w:rPr>
            </w:pPr>
            <w:r>
              <w:rPr>
                <w:noProof/>
                <w:sz w:val="20"/>
                <w:szCs w:val="20"/>
              </w:rPr>
              <w:t>pm</w:t>
            </w:r>
          </w:p>
        </w:tc>
        <w:tc>
          <w:tcPr>
            <w:tcW w:w="1559" w:type="dxa"/>
            <w:shd w:val="clear" w:color="auto" w:fill="auto"/>
          </w:tcPr>
          <w:p>
            <w:pPr>
              <w:spacing w:before="0" w:after="0"/>
              <w:rPr>
                <w:noProof/>
                <w:sz w:val="20"/>
                <w:szCs w:val="20"/>
              </w:rPr>
            </w:pPr>
            <w:r>
              <w:rPr>
                <w:noProof/>
                <w:sz w:val="20"/>
                <w:szCs w:val="20"/>
              </w:rPr>
              <w:t>A, D, E, F, M</w:t>
            </w:r>
          </w:p>
        </w:tc>
        <w:tc>
          <w:tcPr>
            <w:tcW w:w="709" w:type="dxa"/>
            <w:shd w:val="clear" w:color="auto" w:fill="auto"/>
          </w:tcPr>
          <w:p>
            <w:pPr>
              <w:spacing w:before="0" w:after="0"/>
              <w:rPr>
                <w:noProof/>
                <w:sz w:val="20"/>
                <w:szCs w:val="20"/>
              </w:rPr>
            </w:pPr>
            <w:r>
              <w:rPr>
                <w:noProof/>
                <w:sz w:val="20"/>
                <w:szCs w:val="20"/>
              </w:rPr>
              <w:t>pm</w:t>
            </w:r>
          </w:p>
        </w:tc>
        <w:tc>
          <w:tcPr>
            <w:tcW w:w="1559" w:type="dxa"/>
            <w:vMerge w:val="restart"/>
            <w:shd w:val="clear" w:color="auto" w:fill="auto"/>
            <w:vAlign w:val="center"/>
          </w:tcPr>
          <w:p>
            <w:pPr>
              <w:spacing w:before="0" w:after="0"/>
              <w:jc w:val="center"/>
              <w:rPr>
                <w:noProof/>
                <w:sz w:val="20"/>
                <w:szCs w:val="20"/>
              </w:rPr>
            </w:pPr>
            <w:r>
              <w:rPr>
                <w:noProof/>
                <w:sz w:val="20"/>
                <w:szCs w:val="20"/>
              </w:rPr>
              <w:t>pm</w:t>
            </w:r>
          </w:p>
        </w:tc>
        <w:tc>
          <w:tcPr>
            <w:tcW w:w="2410" w:type="dxa"/>
            <w:gridSpan w:val="2"/>
            <w:shd w:val="clear" w:color="auto" w:fill="auto"/>
            <w:vAlign w:val="center"/>
          </w:tcPr>
          <w:p>
            <w:pPr>
              <w:spacing w:before="0" w:after="0"/>
              <w:jc w:val="center"/>
              <w:rPr>
                <w:noProof/>
                <w:sz w:val="20"/>
                <w:szCs w:val="20"/>
              </w:rPr>
            </w:pPr>
            <w:r>
              <w:rPr>
                <w:noProof/>
                <w:sz w:val="20"/>
                <w:szCs w:val="20"/>
              </w:rPr>
              <w:t>pm</w:t>
            </w:r>
          </w:p>
        </w:tc>
        <w:tc>
          <w:tcPr>
            <w:tcW w:w="2410" w:type="dxa"/>
            <w:gridSpan w:val="2"/>
            <w:shd w:val="clear" w:color="auto" w:fill="auto"/>
            <w:vAlign w:val="center"/>
          </w:tcPr>
          <w:p>
            <w:pPr>
              <w:spacing w:before="0" w:after="0"/>
              <w:jc w:val="center"/>
              <w:rPr>
                <w:noProof/>
                <w:sz w:val="20"/>
                <w:szCs w:val="20"/>
              </w:rPr>
            </w:pPr>
            <w:r>
              <w:rPr>
                <w:noProof/>
                <w:sz w:val="20"/>
                <w:szCs w:val="20"/>
              </w:rPr>
              <w:t>pm</w:t>
            </w:r>
          </w:p>
        </w:tc>
        <w:tc>
          <w:tcPr>
            <w:tcW w:w="2345" w:type="dxa"/>
            <w:gridSpan w:val="2"/>
            <w:shd w:val="clear" w:color="auto" w:fill="auto"/>
            <w:vAlign w:val="center"/>
          </w:tcPr>
          <w:p>
            <w:pPr>
              <w:spacing w:before="0" w:after="0"/>
              <w:jc w:val="center"/>
              <w:rPr>
                <w:noProof/>
                <w:sz w:val="20"/>
                <w:szCs w:val="20"/>
              </w:rPr>
            </w:pPr>
            <w:r>
              <w:rPr>
                <w:noProof/>
                <w:sz w:val="20"/>
                <w:szCs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B, C, G</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szCs w:val="20"/>
              </w:rPr>
              <w:t>A, D, E, F, M</w:t>
            </w:r>
          </w:p>
        </w:tc>
        <w:tc>
          <w:tcPr>
            <w:tcW w:w="567" w:type="dxa"/>
            <w:shd w:val="clear" w:color="auto" w:fill="auto"/>
          </w:tcPr>
          <w:p>
            <w:pPr>
              <w:spacing w:before="0" w:after="0"/>
              <w:rPr>
                <w:noProof/>
                <w:sz w:val="20"/>
                <w:szCs w:val="20"/>
              </w:rPr>
            </w:pPr>
            <w:r>
              <w:rPr>
                <w:noProof/>
                <w:sz w:val="20"/>
                <w:szCs w:val="20"/>
              </w:rPr>
              <w:t>pm</w:t>
            </w:r>
          </w:p>
        </w:tc>
        <w:tc>
          <w:tcPr>
            <w:tcW w:w="1843" w:type="dxa"/>
            <w:shd w:val="clear" w:color="auto" w:fill="auto"/>
          </w:tcPr>
          <w:p>
            <w:pPr>
              <w:spacing w:before="0" w:after="0"/>
              <w:rPr>
                <w:noProof/>
                <w:sz w:val="20"/>
                <w:szCs w:val="20"/>
              </w:rPr>
            </w:pPr>
            <w:r>
              <w:rPr>
                <w:noProof/>
                <w:sz w:val="20"/>
                <w:szCs w:val="20"/>
              </w:rPr>
              <w:t>A, D, E, F, M</w:t>
            </w:r>
          </w:p>
        </w:tc>
        <w:tc>
          <w:tcPr>
            <w:tcW w:w="567" w:type="dxa"/>
            <w:shd w:val="clear" w:color="auto" w:fill="auto"/>
          </w:tcPr>
          <w:p>
            <w:pPr>
              <w:spacing w:before="0" w:after="0"/>
              <w:rPr>
                <w:noProof/>
                <w:sz w:val="20"/>
                <w:szCs w:val="20"/>
              </w:rPr>
            </w:pPr>
            <w:r>
              <w:rPr>
                <w:noProof/>
                <w:sz w:val="20"/>
                <w:szCs w:val="20"/>
              </w:rPr>
              <w:t>pm</w:t>
            </w:r>
          </w:p>
        </w:tc>
        <w:tc>
          <w:tcPr>
            <w:tcW w:w="1701" w:type="dxa"/>
            <w:shd w:val="clear" w:color="auto" w:fill="auto"/>
          </w:tcPr>
          <w:p>
            <w:pPr>
              <w:spacing w:before="0" w:after="0"/>
              <w:rPr>
                <w:noProof/>
                <w:sz w:val="20"/>
                <w:szCs w:val="20"/>
              </w:rPr>
            </w:pPr>
            <w:r>
              <w:rPr>
                <w:noProof/>
                <w:sz w:val="20"/>
                <w:szCs w:val="20"/>
              </w:rPr>
              <w:t>A, D, E, F, M</w:t>
            </w:r>
          </w:p>
        </w:tc>
        <w:tc>
          <w:tcPr>
            <w:tcW w:w="644" w:type="dxa"/>
            <w:shd w:val="clear" w:color="auto" w:fill="auto"/>
          </w:tcPr>
          <w:p>
            <w:pPr>
              <w:spacing w:before="0" w:after="0"/>
              <w:rPr>
                <w:noProof/>
                <w:sz w:val="20"/>
                <w:szCs w:val="20"/>
              </w:rPr>
            </w:pPr>
            <w:r>
              <w:rPr>
                <w:noProof/>
                <w:sz w:val="20"/>
                <w:szCs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H, I, K</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szCs w:val="20"/>
              </w:rPr>
              <w:t>B, C, G</w:t>
            </w:r>
          </w:p>
        </w:tc>
        <w:tc>
          <w:tcPr>
            <w:tcW w:w="567" w:type="dxa"/>
            <w:shd w:val="clear" w:color="auto" w:fill="auto"/>
          </w:tcPr>
          <w:p>
            <w:pPr>
              <w:spacing w:before="0" w:after="0"/>
              <w:rPr>
                <w:noProof/>
                <w:sz w:val="20"/>
                <w:szCs w:val="20"/>
              </w:rPr>
            </w:pPr>
            <w:r>
              <w:rPr>
                <w:noProof/>
                <w:sz w:val="20"/>
                <w:szCs w:val="20"/>
              </w:rPr>
              <w:t>pm</w:t>
            </w:r>
          </w:p>
        </w:tc>
        <w:tc>
          <w:tcPr>
            <w:tcW w:w="1843" w:type="dxa"/>
            <w:shd w:val="clear" w:color="auto" w:fill="auto"/>
          </w:tcPr>
          <w:p>
            <w:pPr>
              <w:spacing w:before="0" w:after="0"/>
              <w:rPr>
                <w:noProof/>
                <w:sz w:val="20"/>
                <w:szCs w:val="20"/>
              </w:rPr>
            </w:pPr>
            <w:r>
              <w:rPr>
                <w:noProof/>
                <w:sz w:val="20"/>
                <w:szCs w:val="20"/>
              </w:rPr>
              <w:t>B, C, G</w:t>
            </w:r>
          </w:p>
        </w:tc>
        <w:tc>
          <w:tcPr>
            <w:tcW w:w="567" w:type="dxa"/>
            <w:shd w:val="clear" w:color="auto" w:fill="auto"/>
          </w:tcPr>
          <w:p>
            <w:pPr>
              <w:spacing w:before="0" w:after="0"/>
              <w:rPr>
                <w:noProof/>
                <w:sz w:val="20"/>
                <w:szCs w:val="20"/>
              </w:rPr>
            </w:pPr>
            <w:r>
              <w:rPr>
                <w:noProof/>
                <w:sz w:val="20"/>
                <w:szCs w:val="20"/>
              </w:rPr>
              <w:t>pm</w:t>
            </w:r>
          </w:p>
        </w:tc>
        <w:tc>
          <w:tcPr>
            <w:tcW w:w="1701" w:type="dxa"/>
            <w:shd w:val="clear" w:color="auto" w:fill="auto"/>
          </w:tcPr>
          <w:p>
            <w:pPr>
              <w:spacing w:before="0" w:after="0"/>
              <w:rPr>
                <w:noProof/>
                <w:sz w:val="20"/>
                <w:szCs w:val="20"/>
              </w:rPr>
            </w:pPr>
            <w:r>
              <w:rPr>
                <w:noProof/>
                <w:sz w:val="20"/>
                <w:szCs w:val="20"/>
              </w:rPr>
              <w:t>B, C, G</w:t>
            </w:r>
          </w:p>
        </w:tc>
        <w:tc>
          <w:tcPr>
            <w:tcW w:w="644" w:type="dxa"/>
            <w:shd w:val="clear" w:color="auto" w:fill="auto"/>
          </w:tcPr>
          <w:p>
            <w:pPr>
              <w:spacing w:before="0" w:after="0"/>
              <w:rPr>
                <w:noProof/>
                <w:sz w:val="20"/>
                <w:szCs w:val="20"/>
              </w:rPr>
            </w:pPr>
            <w:r>
              <w:rPr>
                <w:noProof/>
                <w:sz w:val="20"/>
                <w:szCs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J, L</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szCs w:val="20"/>
              </w:rPr>
              <w:t>H, I, K</w:t>
            </w:r>
          </w:p>
        </w:tc>
        <w:tc>
          <w:tcPr>
            <w:tcW w:w="567" w:type="dxa"/>
            <w:shd w:val="clear" w:color="auto" w:fill="auto"/>
          </w:tcPr>
          <w:p>
            <w:pPr>
              <w:spacing w:before="0" w:after="0"/>
              <w:rPr>
                <w:noProof/>
                <w:sz w:val="20"/>
                <w:szCs w:val="20"/>
              </w:rPr>
            </w:pPr>
            <w:r>
              <w:rPr>
                <w:noProof/>
                <w:sz w:val="20"/>
                <w:szCs w:val="20"/>
              </w:rPr>
              <w:t>pm</w:t>
            </w:r>
          </w:p>
        </w:tc>
        <w:tc>
          <w:tcPr>
            <w:tcW w:w="1843" w:type="dxa"/>
            <w:shd w:val="clear" w:color="auto" w:fill="auto"/>
          </w:tcPr>
          <w:p>
            <w:pPr>
              <w:spacing w:before="0" w:after="0"/>
              <w:rPr>
                <w:noProof/>
                <w:sz w:val="20"/>
                <w:szCs w:val="20"/>
              </w:rPr>
            </w:pPr>
            <w:r>
              <w:rPr>
                <w:noProof/>
                <w:sz w:val="20"/>
                <w:szCs w:val="20"/>
              </w:rPr>
              <w:t>H, I, K</w:t>
            </w:r>
          </w:p>
        </w:tc>
        <w:tc>
          <w:tcPr>
            <w:tcW w:w="567" w:type="dxa"/>
            <w:shd w:val="clear" w:color="auto" w:fill="auto"/>
          </w:tcPr>
          <w:p>
            <w:pPr>
              <w:spacing w:before="0" w:after="0"/>
              <w:rPr>
                <w:noProof/>
                <w:sz w:val="20"/>
                <w:szCs w:val="20"/>
              </w:rPr>
            </w:pPr>
            <w:r>
              <w:rPr>
                <w:noProof/>
                <w:sz w:val="20"/>
                <w:szCs w:val="20"/>
              </w:rPr>
              <w:t>pm</w:t>
            </w:r>
          </w:p>
        </w:tc>
        <w:tc>
          <w:tcPr>
            <w:tcW w:w="1701" w:type="dxa"/>
            <w:shd w:val="clear" w:color="auto" w:fill="auto"/>
          </w:tcPr>
          <w:p>
            <w:pPr>
              <w:spacing w:before="0" w:after="0"/>
              <w:rPr>
                <w:noProof/>
                <w:sz w:val="20"/>
                <w:szCs w:val="20"/>
              </w:rPr>
            </w:pPr>
            <w:r>
              <w:rPr>
                <w:noProof/>
                <w:sz w:val="20"/>
                <w:szCs w:val="20"/>
              </w:rPr>
              <w:t>H, I, K</w:t>
            </w:r>
          </w:p>
        </w:tc>
        <w:tc>
          <w:tcPr>
            <w:tcW w:w="644" w:type="dxa"/>
            <w:shd w:val="clear" w:color="auto" w:fill="auto"/>
          </w:tcPr>
          <w:p>
            <w:pPr>
              <w:spacing w:before="0" w:after="0"/>
              <w:rPr>
                <w:noProof/>
                <w:sz w:val="20"/>
                <w:szCs w:val="20"/>
              </w:rPr>
            </w:pPr>
            <w:r>
              <w:rPr>
                <w:noProof/>
                <w:sz w:val="20"/>
                <w:szCs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 </w:t>
            </w:r>
          </w:p>
        </w:tc>
        <w:tc>
          <w:tcPr>
            <w:tcW w:w="709" w:type="dxa"/>
            <w:shd w:val="clear" w:color="auto" w:fill="auto"/>
          </w:tcPr>
          <w:p>
            <w:pPr>
              <w:spacing w:before="0" w:after="0"/>
              <w:jc w:val="center"/>
              <w:rPr>
                <w:noProof/>
                <w:sz w:val="20"/>
                <w:szCs w:val="20"/>
              </w:rPr>
            </w:pPr>
          </w:p>
        </w:tc>
        <w:tc>
          <w:tcPr>
            <w:tcW w:w="1559" w:type="dxa"/>
            <w:vMerge/>
            <w:shd w:val="clear" w:color="auto" w:fill="auto"/>
            <w:vAlign w:val="center"/>
          </w:tcPr>
          <w:p>
            <w:pPr>
              <w:spacing w:before="0" w:after="0"/>
              <w:jc w:val="center"/>
              <w:rPr>
                <w:noProof/>
                <w:sz w:val="20"/>
                <w:szCs w:val="20"/>
              </w:rPr>
            </w:pPr>
          </w:p>
        </w:tc>
        <w:tc>
          <w:tcPr>
            <w:tcW w:w="1843" w:type="dxa"/>
            <w:shd w:val="clear" w:color="auto" w:fill="auto"/>
          </w:tcPr>
          <w:p>
            <w:pPr>
              <w:spacing w:before="0" w:after="0"/>
              <w:rPr>
                <w:noProof/>
                <w:sz w:val="20"/>
                <w:szCs w:val="20"/>
              </w:rPr>
            </w:pPr>
            <w:r>
              <w:rPr>
                <w:noProof/>
                <w:sz w:val="20"/>
                <w:szCs w:val="20"/>
              </w:rPr>
              <w:t>J, L</w:t>
            </w:r>
          </w:p>
        </w:tc>
        <w:tc>
          <w:tcPr>
            <w:tcW w:w="567" w:type="dxa"/>
            <w:shd w:val="clear" w:color="auto" w:fill="auto"/>
          </w:tcPr>
          <w:p>
            <w:pPr>
              <w:spacing w:before="0" w:after="0"/>
              <w:rPr>
                <w:noProof/>
                <w:sz w:val="20"/>
                <w:szCs w:val="20"/>
              </w:rPr>
            </w:pPr>
            <w:r>
              <w:rPr>
                <w:noProof/>
                <w:sz w:val="20"/>
                <w:szCs w:val="20"/>
              </w:rPr>
              <w:t>pm</w:t>
            </w:r>
          </w:p>
        </w:tc>
        <w:tc>
          <w:tcPr>
            <w:tcW w:w="1843" w:type="dxa"/>
            <w:shd w:val="clear" w:color="auto" w:fill="auto"/>
          </w:tcPr>
          <w:p>
            <w:pPr>
              <w:spacing w:before="0" w:after="0"/>
              <w:rPr>
                <w:noProof/>
                <w:sz w:val="20"/>
                <w:szCs w:val="20"/>
              </w:rPr>
            </w:pPr>
            <w:r>
              <w:rPr>
                <w:noProof/>
                <w:sz w:val="20"/>
                <w:szCs w:val="20"/>
              </w:rPr>
              <w:t>J, L</w:t>
            </w:r>
          </w:p>
        </w:tc>
        <w:tc>
          <w:tcPr>
            <w:tcW w:w="567" w:type="dxa"/>
            <w:shd w:val="clear" w:color="auto" w:fill="auto"/>
          </w:tcPr>
          <w:p>
            <w:pPr>
              <w:spacing w:before="0" w:after="0"/>
              <w:rPr>
                <w:noProof/>
                <w:sz w:val="20"/>
                <w:szCs w:val="20"/>
              </w:rPr>
            </w:pPr>
            <w:r>
              <w:rPr>
                <w:noProof/>
                <w:sz w:val="20"/>
                <w:szCs w:val="20"/>
              </w:rPr>
              <w:t>pm</w:t>
            </w:r>
          </w:p>
        </w:tc>
        <w:tc>
          <w:tcPr>
            <w:tcW w:w="1701" w:type="dxa"/>
            <w:shd w:val="clear" w:color="auto" w:fill="auto"/>
          </w:tcPr>
          <w:p>
            <w:pPr>
              <w:spacing w:before="0" w:after="0"/>
              <w:rPr>
                <w:noProof/>
                <w:sz w:val="20"/>
                <w:szCs w:val="20"/>
              </w:rPr>
            </w:pPr>
            <w:r>
              <w:rPr>
                <w:noProof/>
                <w:sz w:val="20"/>
                <w:szCs w:val="20"/>
              </w:rPr>
              <w:t>J, L</w:t>
            </w:r>
          </w:p>
        </w:tc>
        <w:tc>
          <w:tcPr>
            <w:tcW w:w="644" w:type="dxa"/>
            <w:shd w:val="clear" w:color="auto" w:fill="auto"/>
          </w:tcPr>
          <w:p>
            <w:pPr>
              <w:spacing w:before="0" w:after="0"/>
              <w:rPr>
                <w:noProof/>
                <w:sz w:val="20"/>
                <w:szCs w:val="20"/>
              </w:rPr>
            </w:pPr>
            <w:r>
              <w:rPr>
                <w:noProof/>
                <w:sz w:val="20"/>
                <w:szCs w:val="20"/>
              </w:rPr>
              <w:t>pm</w:t>
            </w:r>
          </w:p>
        </w:tc>
      </w:tr>
      <w:tr>
        <w:trPr>
          <w:trHeight w:val="20"/>
        </w:trPr>
        <w:tc>
          <w:tcPr>
            <w:tcW w:w="916" w:type="dxa"/>
            <w:vMerge w:val="restart"/>
            <w:shd w:val="clear" w:color="auto" w:fill="auto"/>
          </w:tcPr>
          <w:p>
            <w:pPr>
              <w:spacing w:before="0" w:after="0"/>
              <w:rPr>
                <w:noProof/>
                <w:sz w:val="20"/>
                <w:szCs w:val="20"/>
              </w:rPr>
            </w:pPr>
            <w:r>
              <w:rPr>
                <w:noProof/>
                <w:sz w:val="20"/>
                <w:szCs w:val="20"/>
              </w:rPr>
              <w:t>88.2.</w:t>
            </w:r>
          </w:p>
        </w:tc>
        <w:tc>
          <w:tcPr>
            <w:tcW w:w="1035" w:type="dxa"/>
            <w:vMerge w:val="restart"/>
            <w:shd w:val="clear" w:color="auto" w:fill="auto"/>
          </w:tcPr>
          <w:p>
            <w:pPr>
              <w:spacing w:before="0" w:after="0"/>
              <w:rPr>
                <w:noProof/>
                <w:sz w:val="20"/>
                <w:szCs w:val="20"/>
              </w:rPr>
            </w:pPr>
            <w:r>
              <w:rPr>
                <w:noProof/>
                <w:sz w:val="20"/>
                <w:szCs w:val="20"/>
              </w:rPr>
              <w:t>South of 65º S</w:t>
            </w:r>
          </w:p>
        </w:tc>
        <w:tc>
          <w:tcPr>
            <w:tcW w:w="1843" w:type="dxa"/>
            <w:vMerge w:val="restart"/>
            <w:shd w:val="clear" w:color="auto" w:fill="auto"/>
          </w:tcPr>
          <w:p>
            <w:pPr>
              <w:spacing w:before="0" w:after="0"/>
              <w:rPr>
                <w:noProof/>
                <w:sz w:val="20"/>
                <w:szCs w:val="20"/>
              </w:rPr>
            </w:pPr>
            <w:r>
              <w:rPr>
                <w:noProof/>
                <w:sz w:val="20"/>
                <w:szCs w:val="20"/>
              </w:rPr>
              <w:t>pm</w:t>
            </w:r>
          </w:p>
        </w:tc>
        <w:tc>
          <w:tcPr>
            <w:tcW w:w="1559" w:type="dxa"/>
            <w:shd w:val="clear" w:color="auto" w:fill="auto"/>
          </w:tcPr>
          <w:p>
            <w:pPr>
              <w:spacing w:before="0" w:after="0"/>
              <w:rPr>
                <w:noProof/>
                <w:sz w:val="20"/>
                <w:szCs w:val="20"/>
              </w:rPr>
            </w:pPr>
            <w:r>
              <w:rPr>
                <w:noProof/>
                <w:sz w:val="20"/>
                <w:szCs w:val="20"/>
              </w:rPr>
              <w:t>A, B, I</w:t>
            </w:r>
          </w:p>
        </w:tc>
        <w:tc>
          <w:tcPr>
            <w:tcW w:w="709" w:type="dxa"/>
            <w:shd w:val="clear" w:color="auto" w:fill="auto"/>
          </w:tcPr>
          <w:p>
            <w:pPr>
              <w:spacing w:before="0" w:after="0"/>
              <w:rPr>
                <w:noProof/>
                <w:sz w:val="20"/>
                <w:szCs w:val="20"/>
              </w:rPr>
            </w:pPr>
            <w:r>
              <w:rPr>
                <w:noProof/>
                <w:sz w:val="20"/>
                <w:szCs w:val="20"/>
              </w:rPr>
              <w:t>pm</w:t>
            </w:r>
          </w:p>
        </w:tc>
        <w:tc>
          <w:tcPr>
            <w:tcW w:w="1559" w:type="dxa"/>
            <w:vMerge w:val="restart"/>
            <w:shd w:val="clear" w:color="auto" w:fill="auto"/>
            <w:vAlign w:val="center"/>
          </w:tcPr>
          <w:p>
            <w:pPr>
              <w:spacing w:before="0" w:after="0"/>
              <w:jc w:val="center"/>
              <w:rPr>
                <w:noProof/>
                <w:sz w:val="20"/>
                <w:szCs w:val="20"/>
              </w:rPr>
            </w:pPr>
            <w:r>
              <w:rPr>
                <w:noProof/>
                <w:sz w:val="20"/>
                <w:szCs w:val="20"/>
              </w:rPr>
              <w:t>pm</w:t>
            </w:r>
          </w:p>
        </w:tc>
        <w:tc>
          <w:tcPr>
            <w:tcW w:w="2410" w:type="dxa"/>
            <w:gridSpan w:val="2"/>
            <w:shd w:val="clear" w:color="auto" w:fill="auto"/>
            <w:vAlign w:val="center"/>
          </w:tcPr>
          <w:p>
            <w:pPr>
              <w:spacing w:before="0" w:after="0"/>
              <w:jc w:val="center"/>
              <w:rPr>
                <w:noProof/>
                <w:sz w:val="20"/>
                <w:szCs w:val="20"/>
              </w:rPr>
            </w:pPr>
            <w:r>
              <w:rPr>
                <w:noProof/>
                <w:sz w:val="20"/>
                <w:szCs w:val="20"/>
              </w:rPr>
              <w:t>pm</w:t>
            </w:r>
          </w:p>
        </w:tc>
        <w:tc>
          <w:tcPr>
            <w:tcW w:w="2410" w:type="dxa"/>
            <w:gridSpan w:val="2"/>
            <w:shd w:val="clear" w:color="auto" w:fill="auto"/>
            <w:vAlign w:val="center"/>
          </w:tcPr>
          <w:p>
            <w:pPr>
              <w:spacing w:before="0" w:after="0"/>
              <w:jc w:val="center"/>
              <w:rPr>
                <w:noProof/>
                <w:sz w:val="20"/>
                <w:szCs w:val="20"/>
              </w:rPr>
            </w:pPr>
            <w:r>
              <w:rPr>
                <w:noProof/>
                <w:sz w:val="20"/>
                <w:szCs w:val="20"/>
              </w:rPr>
              <w:t>pm</w:t>
            </w:r>
          </w:p>
        </w:tc>
        <w:tc>
          <w:tcPr>
            <w:tcW w:w="2345" w:type="dxa"/>
            <w:gridSpan w:val="2"/>
            <w:shd w:val="clear" w:color="auto" w:fill="auto"/>
            <w:vAlign w:val="center"/>
          </w:tcPr>
          <w:p>
            <w:pPr>
              <w:spacing w:before="0" w:after="0"/>
              <w:jc w:val="center"/>
              <w:rPr>
                <w:noProof/>
                <w:sz w:val="20"/>
                <w:szCs w:val="20"/>
              </w:rPr>
            </w:pPr>
            <w:r>
              <w:rPr>
                <w:noProof/>
                <w:sz w:val="20"/>
                <w:szCs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shd w:val="clear" w:color="auto" w:fill="auto"/>
          </w:tcPr>
          <w:p>
            <w:pPr>
              <w:spacing w:before="0" w:after="0"/>
              <w:rPr>
                <w:noProof/>
                <w:sz w:val="20"/>
                <w:szCs w:val="20"/>
              </w:rPr>
            </w:pPr>
            <w:r>
              <w:rPr>
                <w:noProof/>
                <w:sz w:val="20"/>
                <w:szCs w:val="20"/>
              </w:rPr>
              <w:t>C, D, E, F, G (88.2_1 to 88.2_4)</w:t>
            </w:r>
          </w:p>
        </w:tc>
        <w:tc>
          <w:tcPr>
            <w:tcW w:w="709" w:type="dxa"/>
            <w:shd w:val="clear" w:color="auto" w:fill="auto"/>
          </w:tcPr>
          <w:p>
            <w:pPr>
              <w:spacing w:before="0" w:after="0"/>
              <w:rPr>
                <w:noProof/>
                <w:sz w:val="20"/>
                <w:szCs w:val="20"/>
              </w:rPr>
            </w:pPr>
            <w:r>
              <w:rPr>
                <w:noProof/>
                <w:sz w:val="20"/>
                <w:szCs w:val="20"/>
              </w:rPr>
              <w:t>pm</w:t>
            </w:r>
          </w:p>
        </w:tc>
        <w:tc>
          <w:tcPr>
            <w:tcW w:w="1559" w:type="dxa"/>
            <w:vMerge/>
            <w:shd w:val="clear" w:color="auto" w:fill="auto"/>
          </w:tcPr>
          <w:p>
            <w:pPr>
              <w:spacing w:before="0" w:after="0"/>
              <w:rPr>
                <w:noProof/>
                <w:sz w:val="20"/>
                <w:szCs w:val="20"/>
              </w:rPr>
            </w:pPr>
          </w:p>
        </w:tc>
        <w:tc>
          <w:tcPr>
            <w:tcW w:w="1843" w:type="dxa"/>
            <w:shd w:val="clear" w:color="auto" w:fill="auto"/>
          </w:tcPr>
          <w:p>
            <w:pPr>
              <w:spacing w:before="0" w:after="0"/>
              <w:rPr>
                <w:noProof/>
                <w:sz w:val="20"/>
                <w:szCs w:val="20"/>
              </w:rPr>
            </w:pPr>
            <w:r>
              <w:rPr>
                <w:noProof/>
                <w:sz w:val="20"/>
                <w:szCs w:val="20"/>
              </w:rPr>
              <w:t>A, B, I</w:t>
            </w:r>
          </w:p>
        </w:tc>
        <w:tc>
          <w:tcPr>
            <w:tcW w:w="567" w:type="dxa"/>
            <w:shd w:val="clear" w:color="auto" w:fill="auto"/>
          </w:tcPr>
          <w:p>
            <w:pPr>
              <w:spacing w:before="0" w:after="0"/>
              <w:rPr>
                <w:noProof/>
                <w:sz w:val="20"/>
                <w:szCs w:val="20"/>
              </w:rPr>
            </w:pPr>
            <w:r>
              <w:rPr>
                <w:noProof/>
                <w:sz w:val="20"/>
                <w:szCs w:val="20"/>
              </w:rPr>
              <w:t>pm</w:t>
            </w:r>
          </w:p>
        </w:tc>
        <w:tc>
          <w:tcPr>
            <w:tcW w:w="1843" w:type="dxa"/>
            <w:shd w:val="clear" w:color="auto" w:fill="auto"/>
          </w:tcPr>
          <w:p>
            <w:pPr>
              <w:spacing w:before="0" w:after="0"/>
              <w:rPr>
                <w:noProof/>
                <w:sz w:val="20"/>
                <w:szCs w:val="20"/>
              </w:rPr>
            </w:pPr>
            <w:r>
              <w:rPr>
                <w:noProof/>
                <w:sz w:val="20"/>
                <w:szCs w:val="20"/>
              </w:rPr>
              <w:t>A, B, I</w:t>
            </w:r>
          </w:p>
        </w:tc>
        <w:tc>
          <w:tcPr>
            <w:tcW w:w="567" w:type="dxa"/>
            <w:shd w:val="clear" w:color="auto" w:fill="auto"/>
          </w:tcPr>
          <w:p>
            <w:pPr>
              <w:spacing w:before="0" w:after="0"/>
              <w:rPr>
                <w:noProof/>
                <w:sz w:val="20"/>
                <w:szCs w:val="20"/>
              </w:rPr>
            </w:pPr>
            <w:r>
              <w:rPr>
                <w:noProof/>
                <w:sz w:val="20"/>
                <w:szCs w:val="20"/>
              </w:rPr>
              <w:t>pm</w:t>
            </w:r>
          </w:p>
        </w:tc>
        <w:tc>
          <w:tcPr>
            <w:tcW w:w="1701" w:type="dxa"/>
            <w:shd w:val="clear" w:color="auto" w:fill="auto"/>
          </w:tcPr>
          <w:p>
            <w:pPr>
              <w:spacing w:before="0" w:after="0"/>
              <w:rPr>
                <w:noProof/>
                <w:sz w:val="20"/>
                <w:szCs w:val="20"/>
              </w:rPr>
            </w:pPr>
            <w:r>
              <w:rPr>
                <w:noProof/>
                <w:sz w:val="20"/>
                <w:szCs w:val="20"/>
              </w:rPr>
              <w:t>A, B, I</w:t>
            </w:r>
          </w:p>
        </w:tc>
        <w:tc>
          <w:tcPr>
            <w:tcW w:w="644" w:type="dxa"/>
            <w:shd w:val="clear" w:color="auto" w:fill="auto"/>
          </w:tcPr>
          <w:p>
            <w:pPr>
              <w:spacing w:before="0" w:after="0"/>
              <w:rPr>
                <w:noProof/>
                <w:sz w:val="20"/>
                <w:szCs w:val="20"/>
              </w:rPr>
            </w:pPr>
            <w:r>
              <w:rPr>
                <w:noProof/>
                <w:sz w:val="20"/>
                <w:szCs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vMerge w:val="restart"/>
            <w:shd w:val="clear" w:color="auto" w:fill="auto"/>
          </w:tcPr>
          <w:p>
            <w:pPr>
              <w:spacing w:before="0" w:after="0"/>
              <w:rPr>
                <w:noProof/>
                <w:sz w:val="20"/>
                <w:szCs w:val="20"/>
              </w:rPr>
            </w:pPr>
            <w:r>
              <w:rPr>
                <w:noProof/>
                <w:sz w:val="20"/>
                <w:szCs w:val="20"/>
              </w:rPr>
              <w:t>H</w:t>
            </w:r>
          </w:p>
        </w:tc>
        <w:tc>
          <w:tcPr>
            <w:tcW w:w="709" w:type="dxa"/>
            <w:vMerge w:val="restart"/>
            <w:shd w:val="clear" w:color="auto" w:fill="auto"/>
          </w:tcPr>
          <w:p>
            <w:pPr>
              <w:spacing w:before="0" w:after="0"/>
              <w:rPr>
                <w:noProof/>
                <w:sz w:val="20"/>
                <w:szCs w:val="20"/>
              </w:rPr>
            </w:pPr>
            <w:r>
              <w:rPr>
                <w:noProof/>
                <w:sz w:val="20"/>
                <w:szCs w:val="20"/>
              </w:rPr>
              <w:t>pm</w:t>
            </w:r>
          </w:p>
        </w:tc>
        <w:tc>
          <w:tcPr>
            <w:tcW w:w="1559" w:type="dxa"/>
            <w:vMerge/>
            <w:shd w:val="clear" w:color="auto" w:fill="auto"/>
          </w:tcPr>
          <w:p>
            <w:pPr>
              <w:spacing w:before="0" w:after="0"/>
              <w:rPr>
                <w:noProof/>
                <w:sz w:val="20"/>
                <w:szCs w:val="20"/>
              </w:rPr>
            </w:pPr>
          </w:p>
        </w:tc>
        <w:tc>
          <w:tcPr>
            <w:tcW w:w="1843" w:type="dxa"/>
            <w:shd w:val="clear" w:color="auto" w:fill="auto"/>
          </w:tcPr>
          <w:p>
            <w:pPr>
              <w:spacing w:before="0" w:after="0"/>
              <w:rPr>
                <w:noProof/>
                <w:sz w:val="20"/>
                <w:szCs w:val="20"/>
              </w:rPr>
            </w:pPr>
            <w:r>
              <w:rPr>
                <w:noProof/>
                <w:sz w:val="20"/>
                <w:szCs w:val="20"/>
              </w:rPr>
              <w:t>C, D, E, F, G</w:t>
            </w:r>
          </w:p>
        </w:tc>
        <w:tc>
          <w:tcPr>
            <w:tcW w:w="567" w:type="dxa"/>
            <w:shd w:val="clear" w:color="auto" w:fill="auto"/>
          </w:tcPr>
          <w:p>
            <w:pPr>
              <w:spacing w:before="0" w:after="0"/>
              <w:rPr>
                <w:noProof/>
                <w:sz w:val="20"/>
                <w:szCs w:val="20"/>
              </w:rPr>
            </w:pPr>
            <w:r>
              <w:rPr>
                <w:noProof/>
                <w:sz w:val="20"/>
                <w:szCs w:val="20"/>
              </w:rPr>
              <w:t>pm</w:t>
            </w:r>
          </w:p>
        </w:tc>
        <w:tc>
          <w:tcPr>
            <w:tcW w:w="1843" w:type="dxa"/>
            <w:shd w:val="clear" w:color="auto" w:fill="auto"/>
          </w:tcPr>
          <w:p>
            <w:pPr>
              <w:spacing w:before="0" w:after="0"/>
              <w:rPr>
                <w:noProof/>
                <w:sz w:val="20"/>
                <w:szCs w:val="20"/>
              </w:rPr>
            </w:pPr>
            <w:r>
              <w:rPr>
                <w:noProof/>
                <w:sz w:val="20"/>
                <w:szCs w:val="20"/>
              </w:rPr>
              <w:t>C, D, E, F, G</w:t>
            </w:r>
          </w:p>
        </w:tc>
        <w:tc>
          <w:tcPr>
            <w:tcW w:w="567" w:type="dxa"/>
            <w:shd w:val="clear" w:color="auto" w:fill="auto"/>
          </w:tcPr>
          <w:p>
            <w:pPr>
              <w:spacing w:before="0" w:after="0"/>
              <w:rPr>
                <w:noProof/>
                <w:sz w:val="20"/>
                <w:szCs w:val="20"/>
              </w:rPr>
            </w:pPr>
            <w:r>
              <w:rPr>
                <w:noProof/>
                <w:sz w:val="20"/>
                <w:szCs w:val="20"/>
              </w:rPr>
              <w:t>pm</w:t>
            </w:r>
          </w:p>
        </w:tc>
        <w:tc>
          <w:tcPr>
            <w:tcW w:w="1701" w:type="dxa"/>
            <w:shd w:val="clear" w:color="auto" w:fill="auto"/>
          </w:tcPr>
          <w:p>
            <w:pPr>
              <w:spacing w:before="0" w:after="0"/>
              <w:rPr>
                <w:noProof/>
                <w:sz w:val="20"/>
                <w:szCs w:val="20"/>
              </w:rPr>
            </w:pPr>
            <w:r>
              <w:rPr>
                <w:noProof/>
                <w:sz w:val="20"/>
                <w:szCs w:val="20"/>
              </w:rPr>
              <w:t>C, D, E, F, G</w:t>
            </w:r>
          </w:p>
        </w:tc>
        <w:tc>
          <w:tcPr>
            <w:tcW w:w="644" w:type="dxa"/>
            <w:shd w:val="clear" w:color="auto" w:fill="auto"/>
          </w:tcPr>
          <w:p>
            <w:pPr>
              <w:spacing w:before="0" w:after="0"/>
              <w:rPr>
                <w:noProof/>
                <w:sz w:val="20"/>
                <w:szCs w:val="20"/>
              </w:rPr>
            </w:pPr>
            <w:r>
              <w:rPr>
                <w:noProof/>
                <w:sz w:val="20"/>
                <w:szCs w:val="20"/>
              </w:rPr>
              <w:t>pm</w:t>
            </w:r>
          </w:p>
        </w:tc>
      </w:tr>
      <w:tr>
        <w:trPr>
          <w:trHeight w:val="20"/>
        </w:trPr>
        <w:tc>
          <w:tcPr>
            <w:tcW w:w="916" w:type="dxa"/>
            <w:vMerge/>
            <w:shd w:val="clear" w:color="auto" w:fill="auto"/>
          </w:tcPr>
          <w:p>
            <w:pPr>
              <w:spacing w:before="0" w:after="0"/>
              <w:rPr>
                <w:noProof/>
                <w:sz w:val="20"/>
                <w:szCs w:val="20"/>
              </w:rPr>
            </w:pPr>
          </w:p>
        </w:tc>
        <w:tc>
          <w:tcPr>
            <w:tcW w:w="1035" w:type="dxa"/>
            <w:vMerge/>
            <w:shd w:val="clear" w:color="auto" w:fill="auto"/>
          </w:tcPr>
          <w:p>
            <w:pPr>
              <w:spacing w:before="0" w:after="0"/>
              <w:rPr>
                <w:noProof/>
                <w:sz w:val="20"/>
                <w:szCs w:val="20"/>
              </w:rPr>
            </w:pPr>
          </w:p>
        </w:tc>
        <w:tc>
          <w:tcPr>
            <w:tcW w:w="1843" w:type="dxa"/>
            <w:vMerge/>
            <w:shd w:val="clear" w:color="auto" w:fill="auto"/>
          </w:tcPr>
          <w:p>
            <w:pPr>
              <w:spacing w:before="0" w:after="0"/>
              <w:rPr>
                <w:noProof/>
                <w:sz w:val="20"/>
                <w:szCs w:val="20"/>
              </w:rPr>
            </w:pPr>
          </w:p>
        </w:tc>
        <w:tc>
          <w:tcPr>
            <w:tcW w:w="1559" w:type="dxa"/>
            <w:vMerge/>
            <w:shd w:val="clear" w:color="auto" w:fill="auto"/>
          </w:tcPr>
          <w:p>
            <w:pPr>
              <w:spacing w:before="0" w:after="0"/>
              <w:rPr>
                <w:noProof/>
                <w:sz w:val="20"/>
                <w:szCs w:val="20"/>
              </w:rPr>
            </w:pPr>
          </w:p>
        </w:tc>
        <w:tc>
          <w:tcPr>
            <w:tcW w:w="709" w:type="dxa"/>
            <w:vMerge/>
            <w:shd w:val="clear" w:color="auto" w:fill="auto"/>
          </w:tcPr>
          <w:p>
            <w:pPr>
              <w:spacing w:before="0" w:after="0"/>
              <w:rPr>
                <w:noProof/>
                <w:sz w:val="20"/>
                <w:szCs w:val="20"/>
              </w:rPr>
            </w:pPr>
          </w:p>
        </w:tc>
        <w:tc>
          <w:tcPr>
            <w:tcW w:w="1559" w:type="dxa"/>
            <w:vMerge/>
            <w:shd w:val="clear" w:color="auto" w:fill="auto"/>
          </w:tcPr>
          <w:p>
            <w:pPr>
              <w:spacing w:before="0" w:after="0"/>
              <w:rPr>
                <w:noProof/>
                <w:sz w:val="20"/>
                <w:szCs w:val="20"/>
              </w:rPr>
            </w:pPr>
          </w:p>
        </w:tc>
        <w:tc>
          <w:tcPr>
            <w:tcW w:w="1843" w:type="dxa"/>
            <w:shd w:val="clear" w:color="auto" w:fill="auto"/>
          </w:tcPr>
          <w:p>
            <w:pPr>
              <w:spacing w:before="0" w:after="0"/>
              <w:rPr>
                <w:noProof/>
                <w:sz w:val="20"/>
                <w:szCs w:val="20"/>
              </w:rPr>
            </w:pPr>
            <w:r>
              <w:rPr>
                <w:noProof/>
                <w:sz w:val="20"/>
                <w:szCs w:val="20"/>
              </w:rPr>
              <w:t>H</w:t>
            </w:r>
          </w:p>
        </w:tc>
        <w:tc>
          <w:tcPr>
            <w:tcW w:w="567" w:type="dxa"/>
            <w:shd w:val="clear" w:color="auto" w:fill="auto"/>
          </w:tcPr>
          <w:p>
            <w:pPr>
              <w:spacing w:before="0" w:after="0"/>
              <w:rPr>
                <w:noProof/>
                <w:sz w:val="20"/>
                <w:szCs w:val="20"/>
              </w:rPr>
            </w:pPr>
            <w:r>
              <w:rPr>
                <w:noProof/>
                <w:sz w:val="20"/>
                <w:szCs w:val="20"/>
              </w:rPr>
              <w:t>pm</w:t>
            </w:r>
          </w:p>
        </w:tc>
        <w:tc>
          <w:tcPr>
            <w:tcW w:w="1843" w:type="dxa"/>
            <w:shd w:val="clear" w:color="auto" w:fill="auto"/>
          </w:tcPr>
          <w:p>
            <w:pPr>
              <w:spacing w:before="0" w:after="0"/>
              <w:rPr>
                <w:noProof/>
                <w:sz w:val="20"/>
                <w:szCs w:val="20"/>
              </w:rPr>
            </w:pPr>
            <w:r>
              <w:rPr>
                <w:noProof/>
                <w:sz w:val="20"/>
                <w:szCs w:val="20"/>
              </w:rPr>
              <w:t>H</w:t>
            </w:r>
          </w:p>
        </w:tc>
        <w:tc>
          <w:tcPr>
            <w:tcW w:w="567" w:type="dxa"/>
            <w:shd w:val="clear" w:color="auto" w:fill="auto"/>
          </w:tcPr>
          <w:p>
            <w:pPr>
              <w:spacing w:before="0" w:after="0"/>
              <w:rPr>
                <w:noProof/>
                <w:sz w:val="20"/>
                <w:szCs w:val="20"/>
              </w:rPr>
            </w:pPr>
            <w:r>
              <w:rPr>
                <w:noProof/>
                <w:sz w:val="20"/>
                <w:szCs w:val="20"/>
              </w:rPr>
              <w:t>pm</w:t>
            </w:r>
          </w:p>
        </w:tc>
        <w:tc>
          <w:tcPr>
            <w:tcW w:w="1701" w:type="dxa"/>
            <w:shd w:val="clear" w:color="auto" w:fill="auto"/>
          </w:tcPr>
          <w:p>
            <w:pPr>
              <w:spacing w:before="0" w:after="0"/>
              <w:rPr>
                <w:noProof/>
                <w:sz w:val="20"/>
                <w:szCs w:val="20"/>
              </w:rPr>
            </w:pPr>
            <w:r>
              <w:rPr>
                <w:noProof/>
                <w:sz w:val="20"/>
                <w:szCs w:val="20"/>
              </w:rPr>
              <w:t>H</w:t>
            </w:r>
          </w:p>
        </w:tc>
        <w:tc>
          <w:tcPr>
            <w:tcW w:w="644" w:type="dxa"/>
            <w:shd w:val="clear" w:color="auto" w:fill="auto"/>
          </w:tcPr>
          <w:p>
            <w:pPr>
              <w:spacing w:before="0" w:after="0"/>
              <w:rPr>
                <w:noProof/>
                <w:sz w:val="20"/>
                <w:szCs w:val="20"/>
              </w:rPr>
            </w:pPr>
            <w:r>
              <w:rPr>
                <w:noProof/>
                <w:sz w:val="20"/>
                <w:szCs w:val="20"/>
              </w:rPr>
              <w:t>pm</w:t>
            </w:r>
          </w:p>
        </w:tc>
      </w:tr>
      <w:tr>
        <w:trPr>
          <w:trHeight w:val="20"/>
        </w:trPr>
        <w:tc>
          <w:tcPr>
            <w:tcW w:w="14786" w:type="dxa"/>
            <w:gridSpan w:val="12"/>
            <w:shd w:val="clear" w:color="auto" w:fill="auto"/>
          </w:tcPr>
          <w:p>
            <w:pPr>
              <w:spacing w:before="0" w:after="0"/>
              <w:ind w:left="1134" w:hanging="567"/>
              <w:rPr>
                <w:noProof/>
                <w:sz w:val="20"/>
                <w:szCs w:val="20"/>
              </w:rPr>
            </w:pPr>
          </w:p>
        </w:tc>
      </w:tr>
    </w:tbl>
    <w:p>
      <w:pPr>
        <w:rPr>
          <w:rFonts w:eastAsia="Calibri"/>
          <w:noProof/>
        </w:rPr>
      </w:pPr>
    </w:p>
    <w:p>
      <w:pPr>
        <w:pStyle w:val="NormalRight"/>
        <w:rPr>
          <w:rFonts w:eastAsia="Calibri"/>
          <w:noProof/>
        </w:rPr>
        <w:sectPr>
          <w:headerReference w:type="default" r:id="rId42"/>
          <w:footerReference w:type="default" r:id="rId43"/>
          <w:headerReference w:type="first" r:id="rId44"/>
          <w:footerReference w:type="first" r:id="rId45"/>
          <w:footnotePr>
            <w:numRestart w:val="eachPage"/>
          </w:footnotePr>
          <w:pgSz w:w="16838" w:h="11906" w:orient="landscape"/>
          <w:pgMar w:top="1134" w:right="1134" w:bottom="1134" w:left="1134" w:header="567" w:footer="567" w:gutter="0"/>
          <w:cols w:space="720"/>
          <w:docGrid w:linePitch="326"/>
        </w:sectPr>
      </w:pPr>
    </w:p>
    <w:p>
      <w:pPr>
        <w:pStyle w:val="NormalRight"/>
        <w:rPr>
          <w:rFonts w:eastAsia="Calibri"/>
          <w:b/>
          <w:bCs/>
          <w:noProof/>
          <w:u w:val="single"/>
        </w:rPr>
      </w:pPr>
      <w:r>
        <w:rPr>
          <w:rFonts w:eastAsia="Calibri"/>
          <w:b/>
          <w:bCs/>
          <w:noProof/>
          <w:u w:val="single"/>
        </w:rPr>
        <w:lastRenderedPageBreak/>
        <w:t>Appendix to Annex V, Part B</w:t>
      </w:r>
    </w:p>
    <w:p>
      <w:pPr>
        <w:pStyle w:val="NormalCentered"/>
        <w:rPr>
          <w:rFonts w:eastAsia="Calibri"/>
          <w:noProof/>
        </w:rPr>
      </w:pPr>
      <w:r>
        <w:rPr>
          <w:rFonts w:eastAsia="Calibri"/>
          <w:noProof/>
        </w:rPr>
        <w:t>List of Small</w:t>
      </w:r>
      <w:r>
        <w:rPr>
          <w:rFonts w:eastAsia="Calibri"/>
          <w:noProof/>
        </w:rPr>
        <w:noBreakHyphen/>
        <w:t>Scale Research Units (SSRUs)</w:t>
      </w:r>
    </w:p>
    <w:tbl>
      <w:tblPr>
        <w:tblW w:w="0" w:type="auto"/>
        <w:tblLook w:val="0000" w:firstRow="0" w:lastRow="0" w:firstColumn="0" w:lastColumn="0" w:noHBand="0" w:noVBand="0"/>
      </w:tblPr>
      <w:tblGrid>
        <w:gridCol w:w="936"/>
        <w:gridCol w:w="817"/>
        <w:gridCol w:w="8101"/>
      </w:tblGrid>
      <w:tr>
        <w:trPr>
          <w:trHeight w:val="20"/>
          <w:tblHeader/>
        </w:trPr>
        <w:tc>
          <w:tcPr>
            <w:tcW w:w="0" w:type="auto"/>
            <w:tcBorders>
              <w:top w:val="single" w:sz="4" w:space="0" w:color="000000"/>
              <w:left w:val="single" w:sz="4" w:space="0" w:color="000000"/>
              <w:bottom w:val="single" w:sz="4" w:space="0" w:color="auto"/>
            </w:tcBorders>
            <w:shd w:val="clear" w:color="auto" w:fill="auto"/>
            <w:vAlign w:val="center"/>
          </w:tcPr>
          <w:p>
            <w:pPr>
              <w:spacing w:before="60" w:after="60"/>
              <w:jc w:val="center"/>
              <w:rPr>
                <w:rFonts w:eastAsia="Calibri"/>
                <w:noProof/>
              </w:rPr>
            </w:pPr>
            <w:r>
              <w:rPr>
                <w:rFonts w:eastAsia="Calibri"/>
                <w:noProof/>
              </w:rPr>
              <w:t>Region</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SSRU</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Boundary line</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rFonts w:eastAsia="Calibri"/>
                <w:noProof/>
              </w:rPr>
              <w:t>48.6</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50° S 20° W, due east to 1°30' E, due south to 60° S, due west to 20° W, due north to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20° W, due east to 10° W, due south to coast, westward along coast to 20° W,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10° W, due east to 0° longitude, due south to coast, westward along coast to 10° W,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0° longitude, due east to 10° E, due south to coast, westward along coast to 0° longitude,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10° E, due east to 20° E, due south to coast, westward along coast to 10° E,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20° E, due east to 30° E, due south to coast, westward along coast to 20° E, due north to 60°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50° S 1° 30' E, due east to 30° E, due south to 60° S, due west to 1° 30' E, due north to 50° S.</w:t>
            </w:r>
          </w:p>
        </w:tc>
      </w:tr>
      <w:tr>
        <w:trPr>
          <w:trHeight w:val="20"/>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rFonts w:eastAsia="Calibri"/>
                <w:noProof/>
              </w:rPr>
            </w:pPr>
            <w:r>
              <w:rPr>
                <w:rFonts w:eastAsia="Calibri"/>
                <w:noProof/>
              </w:rPr>
              <w:lastRenderedPageBreak/>
              <w:t>58.4.1</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55° S 86° E, due east to 150° E, due south to 60° S, due west to 86° E, due north to 55°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86° E, due east to 90° E, due south to coast, westward along coast to 80° E, due north to 64° S, due east to 86° E,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90° E, due east to 100° E, due south to coast, westward along coast to 90° E,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 xml:space="preserve">From 60° S 100° E, due east to 110° E, due south to coast, westward along coast to 100° E, due north to 60° S. </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110° E, due east to 120° E, due south to coast, westward along coast to 110° E,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120° E, due east to 130° E, due south to coast, westward along coast to 120° E,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130° E, due east to 140° E, due south to coast, westward along coast to 130° E, due north to 60°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140° E, due east to 150° E, due south to coast, westward along coast to 140° E, due north to 60°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rFonts w:eastAsia="Calibri"/>
                <w:noProof/>
              </w:rPr>
              <w:t>58.4.2</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62° S 30° E, due east to 40° E, due south to coast, westward along coast to 30° E, due north to 62°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62° S 40° E, due east to 50° E, due south to coast, westward along coast to 40° E, due north to 62°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62° S 50° E, due east to 60° E, due south to coast, westward along coast to 50° E, due north to 62°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62° S 60° E, due east to 70° E, due south to coast, westward along coast to 60° E, due north to 62°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62° S 70° E, due east to 73° 10' E, due south to 64° S, due east to 80° E, due south to coast, westward along coast to 70° E, due north to 62° S.</w:t>
            </w:r>
          </w:p>
        </w:tc>
      </w:tr>
      <w:tr>
        <w:trPr>
          <w:trHeight w:val="20"/>
        </w:trPr>
        <w:tc>
          <w:tcPr>
            <w:tcW w:w="0" w:type="auto"/>
            <w:tcBorders>
              <w:top w:val="single" w:sz="4" w:space="0" w:color="auto"/>
              <w:left w:val="single" w:sz="4" w:space="0" w:color="000000"/>
              <w:bottom w:val="single" w:sz="4" w:space="0" w:color="auto"/>
            </w:tcBorders>
            <w:shd w:val="clear" w:color="auto" w:fill="auto"/>
          </w:tcPr>
          <w:p>
            <w:pPr>
              <w:pageBreakBefore/>
              <w:spacing w:before="60" w:after="60"/>
              <w:rPr>
                <w:rFonts w:eastAsia="Calibri"/>
                <w:noProof/>
              </w:rPr>
            </w:pPr>
            <w:r>
              <w:rPr>
                <w:rFonts w:eastAsia="Calibri"/>
                <w:noProof/>
              </w:rPr>
              <w:lastRenderedPageBreak/>
              <w:t>58.4.3a</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Whole division, from 56° S 60° E, due east to 73°10' E, due south to 62° S, due west to 60° E, due north to 56°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rFonts w:eastAsia="Calibri"/>
                <w:noProof/>
              </w:rPr>
              <w:t>58.4.3b</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56° S 73° 10' E, due east to 79° E, south to 59° S, due west to 73°10' E, due north to 56°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73° 10' E, due east to 86° E, south to 64° S, due west to 73°10' E,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59° S 73° 10' E, due east to 79° E, south to 60° S, due west to 73°10' E, due north to 59°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59° S 79° E, due east to 86° E, south to 60° S, due west to 79° E, due north to 59°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56° S 79° E, due east to 80° E, due north to 55° S, due east to 86° E, south to 59° S, due west to 79° E, due north to 56°S.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rFonts w:eastAsia="Calibri"/>
                <w:noProof/>
              </w:rPr>
              <w:t>58.4.4</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51° S 40° E, due east to 42° E, due south to 54° S, due west to 40° E, due north to 51°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51° S 42° E, due east to 46° E, due south to 54° S, due west to 42° E, due north to 51°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6" w:space="0" w:color="000000"/>
            </w:tcBorders>
            <w:shd w:val="clear" w:color="auto" w:fill="auto"/>
          </w:tcPr>
          <w:p>
            <w:pPr>
              <w:spacing w:before="60" w:after="60"/>
              <w:jc w:val="center"/>
              <w:rPr>
                <w:rFonts w:eastAsia="Calibri"/>
                <w:noProof/>
              </w:rPr>
            </w:pPr>
            <w:r>
              <w:rPr>
                <w:rFonts w:eastAsia="Calibri"/>
                <w:noProof/>
              </w:rPr>
              <w:t>C</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pPr>
              <w:spacing w:before="60" w:after="60"/>
              <w:rPr>
                <w:rFonts w:eastAsia="Calibri"/>
                <w:noProof/>
              </w:rPr>
            </w:pPr>
            <w:r>
              <w:rPr>
                <w:rFonts w:eastAsia="Calibri"/>
                <w:noProof/>
              </w:rPr>
              <w:t>From 51° S 46° E, due east to 50° E, due south to 54° S, due west to 46° E, due north to 51°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6" w:space="0" w:color="000000"/>
              <w:left w:val="single" w:sz="4" w:space="0" w:color="auto"/>
              <w:bottom w:val="single" w:sz="6" w:space="0" w:color="000000"/>
            </w:tcBorders>
            <w:shd w:val="clear" w:color="auto" w:fill="auto"/>
          </w:tcPr>
          <w:p>
            <w:pPr>
              <w:spacing w:before="60" w:after="60"/>
              <w:jc w:val="center"/>
              <w:rPr>
                <w:rFonts w:eastAsia="Calibri"/>
                <w:noProof/>
              </w:rPr>
            </w:pPr>
            <w:r>
              <w:rPr>
                <w:rFonts w:eastAsia="Calibri"/>
                <w:noProof/>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pPr>
              <w:spacing w:before="60" w:after="60"/>
              <w:rPr>
                <w:rFonts w:eastAsia="Calibri"/>
                <w:noProof/>
              </w:rPr>
            </w:pPr>
            <w:r>
              <w:rPr>
                <w:rFonts w:eastAsia="Calibri"/>
                <w:noProof/>
              </w:rPr>
              <w:t>Whole division excluding SSRUs A, B, C, and with outer boundary from 50° S 30° E, due east to 60° E, due south to 62° S, due west to 30° E, due north to 50°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rFonts w:eastAsia="Calibri"/>
                <w:noProof/>
              </w:rPr>
              <w:t>58.6</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45° S 40° E, due east to 44° E, due south to 48° S, due west to 40° E, due north to 45°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45° S 44° E, due east to 48° E, due south to 48° S, due west to 44° E, due north to 45°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45° S 48° E, due east to 51° E, due south to 48° S, due west to 48° E, due north to 45°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45° S 51° E, due east to 54° E, due south to 48° S, due west to 51° E, due north to 45° S.</w:t>
            </w:r>
          </w:p>
        </w:tc>
      </w:tr>
      <w:tr>
        <w:trPr>
          <w:trHeight w:val="20"/>
        </w:trPr>
        <w:tc>
          <w:tcPr>
            <w:tcW w:w="0" w:type="auto"/>
            <w:tcBorders>
              <w:top w:val="single" w:sz="4" w:space="0" w:color="auto"/>
              <w:left w:val="single" w:sz="4" w:space="0" w:color="000000"/>
              <w:bottom w:val="single" w:sz="4" w:space="0" w:color="auto"/>
            </w:tcBorders>
            <w:shd w:val="clear" w:color="auto" w:fill="auto"/>
          </w:tcPr>
          <w:p>
            <w:pPr>
              <w:pageBreakBefore/>
              <w:spacing w:before="60" w:after="60"/>
              <w:rPr>
                <w:rFonts w:eastAsia="Calibri"/>
                <w:noProof/>
              </w:rPr>
            </w:pPr>
            <w:r>
              <w:rPr>
                <w:rFonts w:eastAsia="Calibri"/>
                <w:noProof/>
              </w:rPr>
              <w:lastRenderedPageBreak/>
              <w:t>58.7</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45° S 37° E, due east to 40° E, due south to 48° S, due west to 37° E, due north to 45°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rFonts w:eastAsia="Calibri"/>
                <w:noProof/>
              </w:rPr>
              <w:t>88.1</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150° E, due east to 170° E, due south to 65° S, due west to 150° E,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170° E, due east to 179° E, due south to 66°40' S, due west to 170° E,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179° E, due east to 170° W, due south to 70° S, due west to 178° W, due north to 66°40' S, due west to 179° E,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65° S 150° E, due east to 160° E, due south to coast, westward along coast to 150° E, due north to 65°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65° S 160° E, due east to 170° E, due south to 68° 30' S, due west to 160° E, due north to 65°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68° 30' S 160° E, due east to 170° E, due south to coast, westward along coast to 160° E, due north to 68° 30'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66° 40' S 170° E, due east to 178° W, due south to 70° S, due west to 178° 50' E, due south to 70° 50' S, due west to 170° E, due north to 66°40'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70° 50' S 170° E, due east to 178° 50' E, due south to 73° S, due west to coast, northward along coast to 170° E, due north to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70° S 178° 50' E, due east to 170° W, due south to 73° S, due west to 178° 50' E, due north to 70°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J</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73° S at coast near 170° E, due east to 178° 50' E, due south to 80° S, due west to 170° E, northward along coast to 73°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73° S 178° 50' E, due east to 170° W, due south to 76° S, due west to 178° 50' E, due north to 73°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76° S 178° 50' E, due east to 170° W, due south to 80° S, due west to 178° 50' E, due north to 76°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73° S at coast near 169° 30' E, due east to 170° E, due south to 80° S, due west to coast, northward along coast to 73° S.</w:t>
            </w:r>
          </w:p>
        </w:tc>
      </w:tr>
      <w:tr>
        <w:trPr>
          <w:trHeight w:val="20"/>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rFonts w:eastAsia="Calibri"/>
                <w:noProof/>
              </w:rPr>
            </w:pPr>
            <w:r>
              <w:rPr>
                <w:rFonts w:eastAsia="Calibri"/>
                <w:noProof/>
              </w:rPr>
              <w:lastRenderedPageBreak/>
              <w:t>88.2</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170° W, due east to 160° W, due south to coast, westward along coast to 170° W,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160° W, due east to 150° W, due south to coast, westward along coast to 160° W,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70° 50' S 150° W, due east to 140° W, due south to coast, westward along coast to 150° W, due north to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70° 50' S 140° W, due east to 130° W, due south to coast, westward along coast to 140° W, due north to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70° 50' S 130° W, due east to 120° W, due south to coast, westward along coast to 130° W, due north to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70° 50' S 120° W, due east to 110° W, due south to coast, westward along coast to 120° W, due north to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70°50' S 110° W, due east to 105° W, due south to coast, westward along coast to 110° W, due north to 70° 50'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65° S 150° W, due east to 105° W, due south to 70° 50' S, due west to 150° W, due north to 65°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150° W, due east to 105° W, due south to 65° S, due west to 150°W, due north to 60° S.</w:t>
            </w:r>
          </w:p>
        </w:tc>
      </w:tr>
      <w:tr>
        <w:trPr>
          <w:trHeight w:val="20"/>
        </w:trPr>
        <w:tc>
          <w:tcPr>
            <w:tcW w:w="0" w:type="auto"/>
            <w:tcBorders>
              <w:top w:val="single" w:sz="4" w:space="0" w:color="auto"/>
              <w:left w:val="single" w:sz="4" w:space="0" w:color="auto"/>
              <w:right w:val="single" w:sz="4" w:space="0" w:color="auto"/>
            </w:tcBorders>
            <w:shd w:val="clear" w:color="auto" w:fill="auto"/>
          </w:tcPr>
          <w:p>
            <w:pPr>
              <w:spacing w:before="60" w:after="60"/>
              <w:rPr>
                <w:rFonts w:eastAsia="Calibri"/>
                <w:noProof/>
              </w:rPr>
            </w:pPr>
            <w:r>
              <w:rPr>
                <w:rFonts w:eastAsia="Calibri"/>
                <w:noProof/>
              </w:rPr>
              <w:t>88.3</w:t>
            </w: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105° W, due east to 95° W, due south to coast, westward along coast to 105° W,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95° W, due east to 85° W, due south to coast, westward along coast to 95° W, due north to 60° S.</w:t>
            </w:r>
          </w:p>
        </w:tc>
      </w:tr>
      <w:tr>
        <w:trPr>
          <w:trHeight w:val="20"/>
        </w:trPr>
        <w:tc>
          <w:tcPr>
            <w:tcW w:w="0" w:type="auto"/>
            <w:tcBorders>
              <w:left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85° W, due east to 75° W, due south to coast, westward along coast to 85° W, due north to 60° S.</w:t>
            </w:r>
          </w:p>
        </w:tc>
      </w:tr>
      <w:tr>
        <w:trPr>
          <w:trHeight w:val="20"/>
        </w:trPr>
        <w:tc>
          <w:tcPr>
            <w:tcW w:w="0" w:type="auto"/>
            <w:tcBorders>
              <w:left w:val="single" w:sz="4" w:space="0" w:color="auto"/>
              <w:bottom w:val="single" w:sz="4" w:space="0" w:color="auto"/>
              <w:right w:val="single" w:sz="4" w:space="0" w:color="auto"/>
            </w:tcBorders>
            <w:shd w:val="clear" w:color="auto" w:fill="auto"/>
          </w:tcPr>
          <w:p>
            <w:pPr>
              <w:spacing w:before="60" w:after="60"/>
              <w:rPr>
                <w:rFonts w:eastAsia="Calibri"/>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jc w:val="center"/>
              <w:rPr>
                <w:rFonts w:eastAsia="Calibri"/>
                <w:noProof/>
              </w:rPr>
            </w:pPr>
            <w:r>
              <w:rPr>
                <w:rFonts w:eastAsia="Calibri"/>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From 60° S 75° W, due east to 70° W, due south to coast, westward along coast to 75° W, due north to 60° S.</w:t>
            </w:r>
          </w:p>
        </w:tc>
      </w:tr>
    </w:tbl>
    <w:p>
      <w:pPr>
        <w:rPr>
          <w:rFonts w:eastAsia="Calibri"/>
          <w:noProof/>
        </w:rPr>
      </w:pPr>
    </w:p>
    <w:p>
      <w:pPr>
        <w:pStyle w:val="NormalCentered"/>
        <w:rPr>
          <w:rFonts w:eastAsia="Calibri"/>
          <w:noProof/>
        </w:rPr>
      </w:pPr>
      <w:r>
        <w:rPr>
          <w:rFonts w:eastAsia="Calibri"/>
          <w:noProof/>
        </w:rPr>
        <w:br w:type="page"/>
      </w:r>
      <w:r>
        <w:rPr>
          <w:rFonts w:eastAsia="Calibri"/>
          <w:noProof/>
        </w:rPr>
        <w:lastRenderedPageBreak/>
        <w:t>PART C</w:t>
      </w:r>
    </w:p>
    <w:p>
      <w:pPr>
        <w:pStyle w:val="NormalRight"/>
        <w:rPr>
          <w:rFonts w:eastAsia="Calibri"/>
          <w:noProof/>
        </w:rPr>
      </w:pPr>
      <w:r>
        <w:rPr>
          <w:rFonts w:eastAsia="Calibri"/>
          <w:noProof/>
        </w:rPr>
        <w:t>ANNEX 21</w:t>
      </w:r>
      <w:r>
        <w:rPr>
          <w:rFonts w:eastAsia="Calibri"/>
          <w:noProof/>
        </w:rPr>
        <w:noBreakHyphen/>
        <w:t>03/A</w:t>
      </w:r>
    </w:p>
    <w:p>
      <w:pPr>
        <w:pStyle w:val="NormalCentered"/>
        <w:rPr>
          <w:rFonts w:eastAsia="Calibri"/>
          <w:noProof/>
        </w:rPr>
      </w:pPr>
      <w:r>
        <w:rPr>
          <w:rFonts w:eastAsia="Calibri"/>
          <w:noProof/>
        </w:rPr>
        <w:t xml:space="preserve">NOTIFICATION OF INTENT TO PARTICIPATE IN A FISHERY </w:t>
      </w:r>
      <w:r>
        <w:rPr>
          <w:rFonts w:eastAsia="Calibri"/>
          <w:noProof/>
        </w:rPr>
        <w:br/>
        <w:t xml:space="preserve">FOR </w:t>
      </w:r>
      <w:r>
        <w:rPr>
          <w:rFonts w:eastAsia="Calibri"/>
          <w:i/>
          <w:iCs/>
          <w:noProof/>
        </w:rPr>
        <w:t>EUPHAUSIA SUPERBA</w:t>
      </w:r>
    </w:p>
    <w:p>
      <w:pPr>
        <w:rPr>
          <w:rFonts w:eastAsia="Calibri"/>
          <w:noProof/>
        </w:rPr>
      </w:pPr>
      <w:r>
        <w:rPr>
          <w:rFonts w:eastAsia="Calibri"/>
          <w:noProof/>
        </w:rPr>
        <w:t>General information</w:t>
      </w:r>
    </w:p>
    <w:p>
      <w:pPr>
        <w:tabs>
          <w:tab w:val="left" w:leader="underscore" w:pos="9356"/>
        </w:tabs>
        <w:rPr>
          <w:rFonts w:eastAsia="Calibri"/>
          <w:noProof/>
          <w:lang w:eastAsia="en-GB"/>
        </w:rPr>
      </w:pPr>
      <w:r>
        <w:rPr>
          <w:rFonts w:eastAsia="Calibri"/>
          <w:noProof/>
        </w:rPr>
        <w:t>Member:</w:t>
      </w:r>
      <w:r>
        <w:rPr>
          <w:rFonts w:eastAsia="Calibri"/>
          <w:noProof/>
        </w:rPr>
        <w:tab/>
      </w:r>
    </w:p>
    <w:p>
      <w:pPr>
        <w:tabs>
          <w:tab w:val="left" w:leader="underscore" w:pos="9356"/>
        </w:tabs>
        <w:rPr>
          <w:rFonts w:eastAsia="Calibri"/>
          <w:noProof/>
          <w:lang w:eastAsia="en-GB"/>
        </w:rPr>
      </w:pPr>
      <w:r>
        <w:rPr>
          <w:rFonts w:eastAsia="Calibri"/>
          <w:noProof/>
        </w:rPr>
        <w:t>Fishing season:</w:t>
      </w:r>
      <w:r>
        <w:rPr>
          <w:rFonts w:eastAsia="Calibri"/>
          <w:noProof/>
        </w:rPr>
        <w:tab/>
      </w:r>
    </w:p>
    <w:p>
      <w:pPr>
        <w:tabs>
          <w:tab w:val="left" w:leader="underscore" w:pos="9356"/>
        </w:tabs>
        <w:rPr>
          <w:rFonts w:eastAsia="Calibri"/>
          <w:noProof/>
          <w:lang w:eastAsia="en-GB"/>
        </w:rPr>
      </w:pPr>
      <w:r>
        <w:rPr>
          <w:rFonts w:eastAsia="Calibri"/>
          <w:noProof/>
        </w:rPr>
        <w:t>Name of vessel:</w:t>
      </w:r>
      <w:r>
        <w:rPr>
          <w:rFonts w:eastAsia="Calibri"/>
          <w:noProof/>
        </w:rPr>
        <w:tab/>
      </w:r>
    </w:p>
    <w:p>
      <w:pPr>
        <w:tabs>
          <w:tab w:val="left" w:leader="underscore" w:pos="9356"/>
        </w:tabs>
        <w:rPr>
          <w:rFonts w:eastAsia="Calibri"/>
          <w:noProof/>
          <w:lang w:eastAsia="en-GB"/>
        </w:rPr>
      </w:pPr>
      <w:r>
        <w:rPr>
          <w:rFonts w:eastAsia="Calibri"/>
          <w:noProof/>
        </w:rPr>
        <w:t>Expected level of catch (tonne):</w:t>
      </w:r>
      <w:r>
        <w:rPr>
          <w:rFonts w:eastAsia="Calibri"/>
          <w:noProof/>
        </w:rPr>
        <w:tab/>
      </w:r>
    </w:p>
    <w:p>
      <w:pPr>
        <w:rPr>
          <w:rFonts w:eastAsia="MS Mincho"/>
          <w:noProof/>
        </w:rPr>
      </w:pPr>
      <w:r>
        <w:rPr>
          <w:rFonts w:eastAsia="Calibri"/>
          <w:noProof/>
        </w:rPr>
        <w:t>Intended fishing subareas and divisions</w:t>
      </w:r>
    </w:p>
    <w:p>
      <w:pPr>
        <w:rPr>
          <w:rFonts w:eastAsia="MS Mincho"/>
          <w:noProof/>
        </w:rPr>
      </w:pPr>
      <w:r>
        <w:rPr>
          <w:rFonts w:eastAsia="MS Mincho"/>
          <w:noProof/>
        </w:rPr>
        <w:t>This conservation measure applies to notifications of intentions to fish for krill in Subareas 48.1, 48.2, 48.3 and 48.4 and Divisions 58.4.1 and 58.4.2. Intentions to fish for krill in other subareas and divisions must be notified under Conservation Measure 21</w:t>
      </w:r>
      <w:r>
        <w:rPr>
          <w:rFonts w:eastAsia="MS Mincho"/>
          <w:noProof/>
        </w:rPr>
        <w:noBreakHyphen/>
        <w:t>02.</w:t>
      </w:r>
    </w:p>
    <w:tbl>
      <w:tblPr>
        <w:tblW w:w="5000" w:type="pct"/>
        <w:tblLook w:val="0000" w:firstRow="0" w:lastRow="0" w:firstColumn="0" w:lastColumn="0" w:noHBand="0" w:noVBand="0"/>
      </w:tblPr>
      <w:tblGrid>
        <w:gridCol w:w="4927"/>
        <w:gridCol w:w="4927"/>
      </w:tblGrid>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rFonts w:eastAsia="MS Mincho"/>
                <w:noProof/>
              </w:rPr>
            </w:pPr>
            <w:r>
              <w:rPr>
                <w:rFonts w:eastAsia="MS Mincho"/>
                <w:noProof/>
              </w:rPr>
              <w:t>Subarea/Division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rFonts w:eastAsia="MS Mincho"/>
                <w:noProof/>
              </w:rPr>
              <w:t>Tick the appropriate boxes</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rFonts w:eastAsia="MS Mincho"/>
                <w:noProof/>
              </w:rPr>
              <w:t>48.1</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rFonts w:eastAsia="MS Mincho"/>
                <w:noProof/>
              </w:rPr>
              <w:t>48.2</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rFonts w:eastAsia="MS Mincho"/>
                <w:noProof/>
              </w:rPr>
              <w:t>48.3</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rFonts w:eastAsia="MS Mincho"/>
                <w:noProof/>
              </w:rPr>
              <w:t>48.4</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rFonts w:eastAsia="MS Mincho"/>
                <w:noProof/>
              </w:rPr>
              <w:t>58.4.1</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MS Mincho"/>
                <w:noProof/>
              </w:rPr>
            </w:pPr>
            <w:r>
              <w:rPr>
                <w:noProof/>
              </w:rPr>
              <w:t>□</w:t>
            </w:r>
          </w:p>
        </w:tc>
      </w:tr>
      <w:tr>
        <w:trPr>
          <w:cantSplit/>
          <w:trHeight w:val="255"/>
        </w:trPr>
        <w:tc>
          <w:tcPr>
            <w:tcW w:w="2500" w:type="pct"/>
            <w:tcBorders>
              <w:top w:val="single" w:sz="4" w:space="0" w:color="000000"/>
              <w:left w:val="single" w:sz="4" w:space="0" w:color="000000"/>
              <w:bottom w:val="single" w:sz="4" w:space="0" w:color="000000"/>
            </w:tcBorders>
            <w:shd w:val="clear" w:color="auto" w:fill="auto"/>
            <w:vAlign w:val="bottom"/>
          </w:tcPr>
          <w:p>
            <w:pPr>
              <w:spacing w:before="60" w:after="60"/>
              <w:jc w:val="center"/>
              <w:rPr>
                <w:noProof/>
              </w:rPr>
            </w:pPr>
            <w:r>
              <w:rPr>
                <w:rFonts w:eastAsia="MS Mincho"/>
                <w:noProof/>
              </w:rPr>
              <w:t>58.4.2</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bottom"/>
          </w:tcPr>
          <w:p>
            <w:pPr>
              <w:spacing w:before="60" w:after="60"/>
              <w:jc w:val="center"/>
              <w:rPr>
                <w:rFonts w:eastAsia="Calibri"/>
                <w:noProof/>
              </w:rPr>
            </w:pPr>
            <w:r>
              <w:rPr>
                <w:noProof/>
              </w:rPr>
              <w:t>□</w:t>
            </w:r>
          </w:p>
        </w:tc>
      </w:tr>
    </w:tbl>
    <w:p>
      <w:pPr>
        <w:rPr>
          <w:rFonts w:eastAsia="Calibri"/>
          <w:noProof/>
        </w:rPr>
      </w:pPr>
    </w:p>
    <w:tbl>
      <w:tblPr>
        <w:tblW w:w="0" w:type="auto"/>
        <w:tblLook w:val="04A0" w:firstRow="1" w:lastRow="0" w:firstColumn="1" w:lastColumn="0" w:noHBand="0" w:noVBand="1"/>
      </w:tblPr>
      <w:tblGrid>
        <w:gridCol w:w="2235"/>
        <w:gridCol w:w="7619"/>
      </w:tblGrid>
      <w:tr>
        <w:tc>
          <w:tcPr>
            <w:tcW w:w="2235" w:type="dxa"/>
            <w:shd w:val="clear" w:color="auto" w:fill="auto"/>
          </w:tcPr>
          <w:p>
            <w:pPr>
              <w:pageBreakBefore/>
              <w:rPr>
                <w:rFonts w:eastAsia="Calibri"/>
                <w:noProof/>
              </w:rPr>
            </w:pPr>
            <w:r>
              <w:rPr>
                <w:rFonts w:eastAsia="Calibri"/>
                <w:noProof/>
              </w:rPr>
              <w:lastRenderedPageBreak/>
              <w:t>Fishing technique:</w:t>
            </w:r>
          </w:p>
        </w:tc>
        <w:tc>
          <w:tcPr>
            <w:tcW w:w="7619" w:type="dxa"/>
            <w:shd w:val="clear" w:color="auto" w:fill="auto"/>
          </w:tcPr>
          <w:p>
            <w:pPr>
              <w:rPr>
                <w:noProof/>
              </w:rPr>
            </w:pPr>
            <w:r>
              <w:rPr>
                <w:rFonts w:eastAsia="MS Mincho"/>
                <w:noProof/>
              </w:rPr>
              <w:t>Tick the appropriate boxes</w:t>
            </w:r>
          </w:p>
        </w:tc>
      </w:tr>
      <w:tr>
        <w:tc>
          <w:tcPr>
            <w:tcW w:w="2235" w:type="dxa"/>
            <w:shd w:val="clear" w:color="auto" w:fill="auto"/>
          </w:tcPr>
          <w:p>
            <w:pPr>
              <w:rPr>
                <w:noProof/>
              </w:rPr>
            </w:pPr>
          </w:p>
        </w:tc>
        <w:tc>
          <w:tcPr>
            <w:tcW w:w="7619" w:type="dxa"/>
            <w:shd w:val="clear" w:color="auto" w:fill="auto"/>
          </w:tcPr>
          <w:p>
            <w:pPr>
              <w:rPr>
                <w:noProof/>
              </w:rPr>
            </w:pPr>
            <w:r>
              <w:rPr>
                <w:noProof/>
              </w:rPr>
              <w:t xml:space="preserve">□ </w:t>
            </w:r>
            <w:r>
              <w:rPr>
                <w:rFonts w:eastAsia="Calibri"/>
                <w:noProof/>
              </w:rPr>
              <w:t>Conventional trawl</w:t>
            </w:r>
          </w:p>
        </w:tc>
      </w:tr>
      <w:tr>
        <w:tc>
          <w:tcPr>
            <w:tcW w:w="2235" w:type="dxa"/>
            <w:shd w:val="clear" w:color="auto" w:fill="auto"/>
          </w:tcPr>
          <w:p>
            <w:pPr>
              <w:rPr>
                <w:noProof/>
              </w:rPr>
            </w:pPr>
          </w:p>
        </w:tc>
        <w:tc>
          <w:tcPr>
            <w:tcW w:w="7619" w:type="dxa"/>
            <w:shd w:val="clear" w:color="auto" w:fill="auto"/>
          </w:tcPr>
          <w:p>
            <w:pPr>
              <w:rPr>
                <w:noProof/>
              </w:rPr>
            </w:pPr>
            <w:r>
              <w:rPr>
                <w:noProof/>
              </w:rPr>
              <w:t xml:space="preserve">□ </w:t>
            </w:r>
            <w:r>
              <w:rPr>
                <w:rFonts w:eastAsia="Calibri"/>
                <w:noProof/>
              </w:rPr>
              <w:t>Continuous fishing system</w:t>
            </w:r>
          </w:p>
        </w:tc>
      </w:tr>
      <w:tr>
        <w:tc>
          <w:tcPr>
            <w:tcW w:w="2235" w:type="dxa"/>
            <w:shd w:val="clear" w:color="auto" w:fill="auto"/>
          </w:tcPr>
          <w:p>
            <w:pPr>
              <w:rPr>
                <w:noProof/>
              </w:rPr>
            </w:pPr>
          </w:p>
        </w:tc>
        <w:tc>
          <w:tcPr>
            <w:tcW w:w="7619" w:type="dxa"/>
            <w:shd w:val="clear" w:color="auto" w:fill="auto"/>
          </w:tcPr>
          <w:p>
            <w:pPr>
              <w:rPr>
                <w:noProof/>
              </w:rPr>
            </w:pPr>
            <w:r>
              <w:rPr>
                <w:noProof/>
              </w:rPr>
              <w:t xml:space="preserve">□ </w:t>
            </w:r>
            <w:r>
              <w:rPr>
                <w:rFonts w:eastAsia="Calibri"/>
                <w:noProof/>
              </w:rPr>
              <w:t>Pumping to clear codend</w:t>
            </w:r>
          </w:p>
        </w:tc>
      </w:tr>
      <w:tr>
        <w:tc>
          <w:tcPr>
            <w:tcW w:w="2235" w:type="dxa"/>
            <w:shd w:val="clear" w:color="auto" w:fill="auto"/>
          </w:tcPr>
          <w:p>
            <w:pPr>
              <w:rPr>
                <w:noProof/>
              </w:rPr>
            </w:pPr>
          </w:p>
        </w:tc>
        <w:tc>
          <w:tcPr>
            <w:tcW w:w="7619" w:type="dxa"/>
            <w:shd w:val="clear" w:color="auto" w:fill="auto"/>
          </w:tcPr>
          <w:p>
            <w:pPr>
              <w:rPr>
                <w:rFonts w:eastAsia="Calibri"/>
                <w:noProof/>
              </w:rPr>
            </w:pPr>
            <w:r>
              <w:rPr>
                <w:noProof/>
              </w:rPr>
              <w:t xml:space="preserve">□ </w:t>
            </w:r>
            <w:r>
              <w:rPr>
                <w:rFonts w:eastAsia="Calibri"/>
                <w:noProof/>
              </w:rPr>
              <w:t>Other method: Please specify</w:t>
            </w:r>
          </w:p>
        </w:tc>
      </w:tr>
    </w:tbl>
    <w:p>
      <w:pPr>
        <w:rPr>
          <w:rFonts w:eastAsia="Calibri"/>
          <w:noProof/>
        </w:rPr>
      </w:pPr>
      <w:r>
        <w:rPr>
          <w:rFonts w:eastAsia="Calibri"/>
          <w:noProof/>
        </w:rPr>
        <w:t>Product types and methods for direct estimation of green weight of krill caught</w:t>
      </w:r>
    </w:p>
    <w:tbl>
      <w:tblPr>
        <w:tblW w:w="5000" w:type="pct"/>
        <w:tblLook w:val="0000" w:firstRow="0" w:lastRow="0" w:firstColumn="0" w:lastColumn="0" w:noHBand="0" w:noVBand="0"/>
      </w:tblPr>
      <w:tblGrid>
        <w:gridCol w:w="4927"/>
        <w:gridCol w:w="4927"/>
      </w:tblGrid>
      <w:tr>
        <w:tc>
          <w:tcPr>
            <w:tcW w:w="250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r>
              <w:rPr>
                <w:rFonts w:eastAsia="Calibri"/>
                <w:noProof/>
              </w:rPr>
              <w:t>Product type</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r>
              <w:rPr>
                <w:rFonts w:eastAsia="Calibri"/>
                <w:noProof/>
              </w:rPr>
              <w:t>Method for direct estimation of green weight of krill caught, where relevant (refer to Annex 21</w:t>
            </w:r>
            <w:r>
              <w:rPr>
                <w:rFonts w:eastAsia="Calibri"/>
                <w:noProof/>
              </w:rPr>
              <w:noBreakHyphen/>
              <w:t>03/B)</w:t>
            </w:r>
            <w:r>
              <w:rPr>
                <w:rFonts w:eastAsia="Calibri"/>
                <w:b/>
                <w:bCs/>
                <w:noProof/>
                <w:vertAlign w:val="superscript"/>
              </w:rPr>
              <w:t>(1)</w:t>
            </w: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Whole frozen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Boiled</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Meal</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Oil</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Other product, please specify</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b/>
                <w:bCs/>
                <w:noProof/>
                <w:vertAlign w:val="superscript"/>
              </w:rPr>
              <w:t>(1)</w:t>
            </w:r>
            <w:r>
              <w:rPr>
                <w:rFonts w:eastAsia="Calibri"/>
                <w:noProof/>
              </w:rPr>
              <w:tab/>
              <w:t>If the method is not listed in Annex 21</w:t>
            </w:r>
            <w:r>
              <w:rPr>
                <w:rFonts w:eastAsia="Calibri"/>
                <w:noProof/>
              </w:rPr>
              <w:noBreakHyphen/>
              <w:t>03/B, then please describe in detail</w:t>
            </w:r>
          </w:p>
        </w:tc>
      </w:tr>
    </w:tbl>
    <w:p>
      <w:pPr>
        <w:rPr>
          <w:rFonts w:eastAsia="Calibri"/>
          <w:noProof/>
        </w:rPr>
      </w:pPr>
    </w:p>
    <w:p>
      <w:pPr>
        <w:rPr>
          <w:rFonts w:eastAsia="Calibri"/>
          <w:noProof/>
        </w:rPr>
      </w:pPr>
      <w:r>
        <w:rPr>
          <w:rFonts w:eastAsia="Calibri"/>
          <w:noProof/>
        </w:rPr>
        <w:br w:type="page"/>
      </w:r>
      <w:r>
        <w:rPr>
          <w:rFonts w:eastAsia="Calibri"/>
          <w:noProof/>
        </w:rPr>
        <w:lastRenderedPageBreak/>
        <w:t>Net configuration</w:t>
      </w:r>
    </w:p>
    <w:tbl>
      <w:tblPr>
        <w:tblW w:w="5000" w:type="pct"/>
        <w:tblLook w:val="0000" w:firstRow="0" w:lastRow="0" w:firstColumn="0" w:lastColumn="0" w:noHBand="0" w:noVBand="0"/>
      </w:tblPr>
      <w:tblGrid>
        <w:gridCol w:w="4249"/>
        <w:gridCol w:w="950"/>
        <w:gridCol w:w="923"/>
        <w:gridCol w:w="950"/>
        <w:gridCol w:w="923"/>
        <w:gridCol w:w="950"/>
        <w:gridCol w:w="909"/>
      </w:tblGrid>
      <w:tr>
        <w:tc>
          <w:tcPr>
            <w:tcW w:w="21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Net measurements</w:t>
            </w:r>
          </w:p>
        </w:tc>
        <w:tc>
          <w:tcPr>
            <w:tcW w:w="954" w:type="pct"/>
            <w:gridSpan w:val="2"/>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Net 1</w:t>
            </w:r>
          </w:p>
        </w:tc>
        <w:tc>
          <w:tcPr>
            <w:tcW w:w="955" w:type="pct"/>
            <w:gridSpan w:val="2"/>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Net 2</w:t>
            </w: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Other net(s)</w:t>
            </w: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Net opening (mouth)</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ab/>
              <w:t>Maximum vertical opening (m)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ab/>
              <w:t>Maximum horizontal opening (m)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ab/>
              <w:t>Net circumference at mouth</w:t>
            </w:r>
            <w:r>
              <w:rPr>
                <w:rFonts w:eastAsia="Calibri"/>
                <w:b/>
                <w:bCs/>
                <w:noProof/>
                <w:vertAlign w:val="superscript"/>
              </w:rPr>
              <w:t>(1)</w:t>
            </w:r>
            <w:r>
              <w:rPr>
                <w:rFonts w:eastAsia="Calibri"/>
                <w:noProof/>
              </w:rPr>
              <w:t xml:space="preserve"> (m)</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Mouth area (m</w:t>
            </w:r>
            <w:r>
              <w:rPr>
                <w:rFonts w:eastAsia="Calibri"/>
                <w:noProof/>
                <w:vertAlign w:val="superscript"/>
              </w:rPr>
              <w:t>2</w:t>
            </w:r>
            <w:r>
              <w:rPr>
                <w:rFonts w:eastAsia="Calibri"/>
                <w:noProof/>
              </w:rPr>
              <w:t>)</w:t>
            </w:r>
          </w:p>
        </w:tc>
        <w:tc>
          <w:tcPr>
            <w:tcW w:w="954"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55" w:type="pct"/>
            <w:gridSpan w:val="2"/>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Panel average mesh size</w:t>
            </w:r>
            <w:r>
              <w:rPr>
                <w:rFonts w:eastAsia="Calibri"/>
                <w:b/>
                <w:bCs/>
                <w:noProof/>
                <w:vertAlign w:val="superscript"/>
              </w:rPr>
              <w:t>(3)</w:t>
            </w:r>
            <w:r>
              <w:rPr>
                <w:rFonts w:eastAsia="Calibri"/>
                <w:noProof/>
              </w:rPr>
              <w:t xml:space="preserve"> (mm)</w:t>
            </w:r>
          </w:p>
        </w:tc>
        <w:tc>
          <w:tcPr>
            <w:tcW w:w="47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Outer</w:t>
            </w:r>
            <w:r>
              <w:rPr>
                <w:rFonts w:eastAsia="Calibri"/>
                <w:b/>
                <w:bCs/>
                <w:noProof/>
                <w:vertAlign w:val="superscript"/>
              </w:rPr>
              <w:t>(2)</w:t>
            </w:r>
          </w:p>
        </w:tc>
        <w:tc>
          <w:tcPr>
            <w:tcW w:w="47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Inner</w:t>
            </w:r>
            <w:r>
              <w:rPr>
                <w:rFonts w:eastAsia="Calibri"/>
                <w:b/>
                <w:bCs/>
                <w:noProof/>
                <w:vertAlign w:val="superscript"/>
              </w:rPr>
              <w:t>(2)</w:t>
            </w:r>
          </w:p>
        </w:tc>
        <w:tc>
          <w:tcPr>
            <w:tcW w:w="47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Outer</w:t>
            </w:r>
            <w:r>
              <w:rPr>
                <w:rFonts w:eastAsia="Calibri"/>
                <w:b/>
                <w:bCs/>
                <w:noProof/>
                <w:vertAlign w:val="superscript"/>
              </w:rPr>
              <w:t>(2)</w:t>
            </w:r>
          </w:p>
        </w:tc>
        <w:tc>
          <w:tcPr>
            <w:tcW w:w="478"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Inner</w:t>
            </w:r>
            <w:r>
              <w:rPr>
                <w:rFonts w:eastAsia="Calibri"/>
                <w:b/>
                <w:bCs/>
                <w:noProof/>
                <w:vertAlign w:val="superscript"/>
              </w:rPr>
              <w:t>(2)</w:t>
            </w:r>
          </w:p>
        </w:tc>
        <w:tc>
          <w:tcPr>
            <w:tcW w:w="46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Outer</w:t>
            </w:r>
            <w:r>
              <w:rPr>
                <w:rFonts w:eastAsia="Calibri"/>
                <w:b/>
                <w:bCs/>
                <w:noProof/>
                <w:vertAlign w:val="superscript"/>
              </w:rPr>
              <w:t>(2)</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rFonts w:eastAsia="Calibri"/>
                <w:noProof/>
              </w:rPr>
              <w:t>Inner</w:t>
            </w:r>
            <w:r>
              <w:rPr>
                <w:rFonts w:eastAsia="Calibri"/>
                <w:b/>
                <w:bCs/>
                <w:noProof/>
                <w:vertAlign w:val="superscript"/>
              </w:rPr>
              <w:t>(2)</w:t>
            </w: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1</w:t>
            </w:r>
            <w:r>
              <w:rPr>
                <w:rFonts w:eastAsia="Calibri"/>
                <w:noProof/>
              </w:rPr>
              <w:t>st panel</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2</w:t>
            </w:r>
            <w:r>
              <w:rPr>
                <w:rFonts w:eastAsia="Calibri"/>
                <w:noProof/>
              </w:rPr>
              <w:t>nd panel</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3</w:t>
            </w:r>
            <w:r>
              <w:rPr>
                <w:rFonts w:eastAsia="Calibri"/>
                <w:noProof/>
              </w:rPr>
              <w:t>rd panel</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noProof/>
              </w:rPr>
              <w:t>…</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2166"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Final panel (Codend)</w:t>
            </w:r>
          </w:p>
        </w:tc>
        <w:tc>
          <w:tcPr>
            <w:tcW w:w="476"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7"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78"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0" w:type="pct"/>
            <w:tcBorders>
              <w:top w:val="single" w:sz="4" w:space="0" w:color="000000"/>
              <w:left w:val="single" w:sz="4" w:space="0" w:color="000000"/>
              <w:bottom w:val="single" w:sz="4" w:space="0" w:color="000000"/>
            </w:tcBorders>
            <w:shd w:val="clear" w:color="auto" w:fill="auto"/>
          </w:tcPr>
          <w:p>
            <w:pPr>
              <w:spacing w:before="60" w:after="60"/>
              <w:jc w:val="center"/>
              <w:rPr>
                <w:rFonts w:eastAsia="Calibri"/>
                <w:noProof/>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rFonts w:eastAsia="Calibri"/>
                <w:noProof/>
              </w:rPr>
            </w:pPr>
          </w:p>
        </w:tc>
      </w:tr>
      <w:t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rFonts w:eastAsia="Calibri"/>
                <w:noProof/>
              </w:rPr>
            </w:pPr>
            <w:r>
              <w:rPr>
                <w:rFonts w:eastAsia="Calibri"/>
                <w:b/>
                <w:bCs/>
                <w:noProof/>
                <w:vertAlign w:val="superscript"/>
              </w:rPr>
              <w:t>(1)</w:t>
            </w:r>
            <w:r>
              <w:rPr>
                <w:rFonts w:eastAsia="Calibri"/>
                <w:noProof/>
              </w:rPr>
              <w:tab/>
              <w:t>Expected in operational conditions.</w:t>
            </w:r>
          </w:p>
          <w:p>
            <w:pPr>
              <w:spacing w:before="0" w:after="0"/>
              <w:ind w:left="567" w:hanging="567"/>
              <w:rPr>
                <w:rFonts w:eastAsia="Calibri"/>
                <w:noProof/>
              </w:rPr>
            </w:pPr>
            <w:r>
              <w:rPr>
                <w:rFonts w:eastAsia="Calibri"/>
                <w:b/>
                <w:bCs/>
                <w:noProof/>
                <w:vertAlign w:val="superscript"/>
              </w:rPr>
              <w:t>(2)</w:t>
            </w:r>
            <w:r>
              <w:rPr>
                <w:rFonts w:eastAsia="Calibri"/>
                <w:noProof/>
              </w:rPr>
              <w:tab/>
              <w:t>Size of outer mesh, and inner mesh where a liner is used.</w:t>
            </w:r>
          </w:p>
          <w:p>
            <w:pPr>
              <w:spacing w:before="0" w:after="0"/>
              <w:ind w:left="567" w:hanging="567"/>
              <w:rPr>
                <w:rFonts w:eastAsia="Calibri"/>
                <w:noProof/>
              </w:rPr>
            </w:pPr>
            <w:r>
              <w:rPr>
                <w:rFonts w:eastAsia="Calibri"/>
                <w:b/>
                <w:bCs/>
                <w:noProof/>
                <w:vertAlign w:val="superscript"/>
              </w:rPr>
              <w:t>(3)</w:t>
            </w:r>
            <w:r>
              <w:rPr>
                <w:rFonts w:eastAsia="Calibri"/>
                <w:noProof/>
              </w:rPr>
              <w:tab/>
              <w:t>Inside measurement of stretched mesh based on the procedure in Conservation Measure 22</w:t>
            </w:r>
            <w:r>
              <w:rPr>
                <w:rFonts w:eastAsia="Calibri"/>
                <w:noProof/>
              </w:rPr>
              <w:noBreakHyphen/>
              <w:t>01.</w:t>
            </w:r>
          </w:p>
        </w:tc>
      </w:tr>
    </w:tbl>
    <w:p>
      <w:pPr>
        <w:rPr>
          <w:rFonts w:eastAsia="Calibri"/>
          <w:noProof/>
        </w:rPr>
      </w:pPr>
    </w:p>
    <w:p>
      <w:pPr>
        <w:rPr>
          <w:rFonts w:eastAsia="Calibri"/>
          <w:noProof/>
        </w:rPr>
      </w:pPr>
      <w:r>
        <w:rPr>
          <w:rFonts w:eastAsia="Calibri"/>
          <w:noProof/>
        </w:rPr>
        <w:br w:type="page"/>
      </w:r>
      <w:r>
        <w:rPr>
          <w:rFonts w:eastAsia="Calibri"/>
          <w:noProof/>
        </w:rPr>
        <w:lastRenderedPageBreak/>
        <w:t>Net diagram(s): ________________</w:t>
      </w:r>
    </w:p>
    <w:p>
      <w:pPr>
        <w:rPr>
          <w:rFonts w:eastAsia="Calibri"/>
          <w:noProof/>
        </w:rPr>
      </w:pPr>
      <w:r>
        <w:rPr>
          <w:rFonts w:eastAsia="Calibri"/>
          <w:noProof/>
        </w:rPr>
        <w:t>For each net used, or any change in net configuration, refer to the relevant net diagram in the CCAMLR fishing gear library if available (</w:t>
      </w:r>
      <w:hyperlink r:id="rId46" w:history="1">
        <w:r>
          <w:rPr>
            <w:rFonts w:eastAsia="Calibri"/>
            <w:noProof/>
          </w:rPr>
          <w:t>www.ccamlr.org/node/74407</w:t>
        </w:r>
      </w:hyperlink>
      <w:r>
        <w:rPr>
          <w:rFonts w:eastAsia="Calibri"/>
          <w:noProof/>
        </w:rPr>
        <w:t>), or submit a detailed diagram and description to the forthcoming meeting of WG</w:t>
      </w:r>
      <w:r>
        <w:rPr>
          <w:rFonts w:eastAsia="Calibri"/>
          <w:noProof/>
        </w:rPr>
        <w:noBreakHyphen/>
        <w:t>EMM. Net diagrams must include:</w:t>
      </w:r>
    </w:p>
    <w:p>
      <w:pPr>
        <w:pStyle w:val="Point0"/>
        <w:rPr>
          <w:rFonts w:eastAsia="Calibri"/>
          <w:noProof/>
        </w:rPr>
      </w:pPr>
      <w:r>
        <w:rPr>
          <w:rFonts w:eastAsia="Calibri"/>
          <w:noProof/>
        </w:rPr>
        <w:t>1.</w:t>
      </w:r>
      <w:r>
        <w:rPr>
          <w:rFonts w:eastAsia="Calibri"/>
          <w:noProof/>
        </w:rPr>
        <w:tab/>
        <w:t>Length and width of each trawl panel (in sufficient detail to allow calculation of the angle of each panel with respect to water flow.)</w:t>
      </w:r>
    </w:p>
    <w:p>
      <w:pPr>
        <w:pStyle w:val="Point0"/>
        <w:rPr>
          <w:rFonts w:eastAsia="Calibri"/>
          <w:noProof/>
        </w:rPr>
      </w:pPr>
      <w:r>
        <w:rPr>
          <w:rFonts w:eastAsia="Calibri"/>
          <w:noProof/>
        </w:rPr>
        <w:t>2.</w:t>
      </w:r>
      <w:r>
        <w:rPr>
          <w:rFonts w:eastAsia="Calibri"/>
          <w:noProof/>
        </w:rPr>
        <w:tab/>
        <w:t>Mesh size (inside measurement of stretched mesh based on the procedure in Conservation Measure 22</w:t>
      </w:r>
      <w:r>
        <w:rPr>
          <w:rFonts w:eastAsia="Calibri"/>
          <w:noProof/>
        </w:rPr>
        <w:noBreakHyphen/>
        <w:t>01), shape (e.g. diamond shape) and material (e.g. polypropylene).</w:t>
      </w:r>
    </w:p>
    <w:p>
      <w:pPr>
        <w:pStyle w:val="Point0"/>
        <w:rPr>
          <w:rFonts w:eastAsia="Calibri"/>
          <w:noProof/>
        </w:rPr>
      </w:pPr>
      <w:r>
        <w:rPr>
          <w:rFonts w:eastAsia="Calibri"/>
          <w:noProof/>
        </w:rPr>
        <w:t>3.</w:t>
      </w:r>
      <w:r>
        <w:rPr>
          <w:rFonts w:eastAsia="Calibri"/>
          <w:noProof/>
        </w:rPr>
        <w:tab/>
        <w:t>Mesh construction (e.g. knotted, fused).</w:t>
      </w:r>
    </w:p>
    <w:p>
      <w:pPr>
        <w:pStyle w:val="Point0"/>
        <w:rPr>
          <w:rFonts w:eastAsia="Calibri"/>
          <w:noProof/>
        </w:rPr>
      </w:pPr>
      <w:r>
        <w:rPr>
          <w:rFonts w:eastAsia="Calibri"/>
          <w:noProof/>
        </w:rPr>
        <w:t>4.</w:t>
      </w:r>
      <w:r>
        <w:rPr>
          <w:rFonts w:eastAsia="Calibri"/>
          <w:noProof/>
        </w:rPr>
        <w:tab/>
        <w:t>Details of streamers used inside the trawl (design, location on panels, indicate ‘nil’ if streamers are not in use); streamers prevent krill fouling the mesh or escaping.</w:t>
      </w:r>
    </w:p>
    <w:p>
      <w:pPr>
        <w:rPr>
          <w:rFonts w:eastAsia="Calibri"/>
          <w:noProof/>
          <w:lang w:val="fr-BE"/>
        </w:rPr>
      </w:pPr>
      <w:r>
        <w:rPr>
          <w:rFonts w:eastAsia="Calibri"/>
          <w:noProof/>
          <w:lang w:val="fr-BE"/>
        </w:rPr>
        <w:t>Marine mammal exclusion device</w:t>
      </w:r>
    </w:p>
    <w:p>
      <w:pPr>
        <w:rPr>
          <w:rFonts w:eastAsia="Calibri"/>
          <w:noProof/>
          <w:lang w:val="fr-BE"/>
        </w:rPr>
      </w:pPr>
      <w:r>
        <w:rPr>
          <w:rFonts w:eastAsia="Calibri"/>
          <w:noProof/>
          <w:lang w:val="fr-BE"/>
        </w:rPr>
        <w:t>Device diagram(s): ________________</w:t>
      </w:r>
    </w:p>
    <w:p>
      <w:pPr>
        <w:rPr>
          <w:rFonts w:eastAsia="Calibri"/>
          <w:noProof/>
        </w:rPr>
      </w:pPr>
      <w:r>
        <w:rPr>
          <w:rFonts w:eastAsia="Calibri"/>
          <w:noProof/>
        </w:rPr>
        <w:t>For each type of device used, or any change in device configuration, refer to the relevant diagram in the CCAMLR fishing gear library if available (</w:t>
      </w:r>
      <w:hyperlink r:id="rId47" w:history="1">
        <w:r>
          <w:rPr>
            <w:rFonts w:eastAsia="Calibri"/>
            <w:noProof/>
          </w:rPr>
          <w:t>www.ccamlr.org/node/74407</w:t>
        </w:r>
      </w:hyperlink>
      <w:r>
        <w:rPr>
          <w:rFonts w:eastAsia="Calibri"/>
          <w:noProof/>
        </w:rPr>
        <w:t>), or submit a detailed diagram and description to the forthcoming meeting of WG</w:t>
      </w:r>
      <w:r>
        <w:rPr>
          <w:rFonts w:eastAsia="Calibri"/>
          <w:noProof/>
        </w:rPr>
        <w:noBreakHyphen/>
        <w:t>EMM.</w:t>
      </w:r>
    </w:p>
    <w:p>
      <w:pPr>
        <w:rPr>
          <w:rFonts w:eastAsia="Calibri"/>
          <w:noProof/>
        </w:rPr>
      </w:pPr>
      <w:r>
        <w:rPr>
          <w:rFonts w:eastAsia="Calibri"/>
          <w:noProof/>
        </w:rPr>
        <w:br w:type="page"/>
      </w:r>
      <w:r>
        <w:rPr>
          <w:rFonts w:eastAsia="Calibri"/>
          <w:noProof/>
        </w:rPr>
        <w:lastRenderedPageBreak/>
        <w:t>Collection of acoustic data</w:t>
      </w:r>
    </w:p>
    <w:p>
      <w:pPr>
        <w:rPr>
          <w:rFonts w:eastAsia="Calibri"/>
          <w:noProof/>
        </w:rPr>
      </w:pPr>
      <w:r>
        <w:rPr>
          <w:rFonts w:eastAsia="Calibri"/>
          <w:noProof/>
        </w:rPr>
        <w:t>Provide information on the echosounders and sonars used by the vessel.</w:t>
      </w:r>
    </w:p>
    <w:tbl>
      <w:tblPr>
        <w:tblW w:w="5000" w:type="pct"/>
        <w:tblLook w:val="0000" w:firstRow="0" w:lastRow="0" w:firstColumn="0" w:lastColumn="0" w:noHBand="0" w:noVBand="0"/>
      </w:tblPr>
      <w:tblGrid>
        <w:gridCol w:w="3448"/>
        <w:gridCol w:w="2134"/>
        <w:gridCol w:w="2136"/>
        <w:gridCol w:w="2136"/>
      </w:tblGrid>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lang w:val="nn-NO"/>
              </w:rPr>
            </w:pPr>
            <w:r>
              <w:rPr>
                <w:rFonts w:eastAsia="Calibri"/>
                <w:noProof/>
                <w:lang w:val="nn-NO"/>
              </w:rPr>
              <w:t>Type (e.g. echosounder, sonar)</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lang w:val="nn-NO"/>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lang w:val="nn-NO"/>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lang w:val="nn-NO"/>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Manufacturer</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Model</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Transducer frequencies (kHz)</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p>
        </w:tc>
      </w:tr>
    </w:tbl>
    <w:p>
      <w:pPr>
        <w:rPr>
          <w:rFonts w:eastAsia="Calibri"/>
          <w:noProof/>
        </w:rPr>
      </w:pPr>
    </w:p>
    <w:p>
      <w:pPr>
        <w:rPr>
          <w:rFonts w:eastAsia="Calibri"/>
          <w:noProof/>
        </w:rPr>
      </w:pPr>
      <w:r>
        <w:rPr>
          <w:rFonts w:eastAsia="Calibri"/>
          <w:noProof/>
        </w:rPr>
        <w:t>Collection of acoustic data (detailed description): ________________</w:t>
      </w:r>
    </w:p>
    <w:p>
      <w:pPr>
        <w:rPr>
          <w:rFonts w:eastAsia="Calibri"/>
          <w:noProof/>
        </w:rPr>
      </w:pPr>
      <w:r>
        <w:rPr>
          <w:rFonts w:eastAsia="Calibri"/>
          <w:noProof/>
        </w:rPr>
        <w:t>Outline steps which will be taken to collect acoustic data to provide information on the distribution and abundance of Euphausia superba and other pelagic species such as myctophiids and salps (SC</w:t>
      </w:r>
      <w:r>
        <w:rPr>
          <w:rFonts w:eastAsia="Calibri"/>
          <w:noProof/>
        </w:rPr>
        <w:noBreakHyphen/>
        <w:t>CAMLR</w:t>
      </w:r>
      <w:r>
        <w:rPr>
          <w:rFonts w:eastAsia="Calibri"/>
          <w:noProof/>
        </w:rPr>
        <w:noBreakHyphen/>
        <w:t>XXX, paragraph 2.10)</w:t>
      </w:r>
    </w:p>
    <w:p>
      <w:pPr>
        <w:pStyle w:val="NormalRight"/>
        <w:rPr>
          <w:rFonts w:eastAsia="Calibri"/>
          <w:noProof/>
        </w:rPr>
      </w:pPr>
      <w:r>
        <w:rPr>
          <w:rFonts w:eastAsia="Calibri"/>
          <w:noProof/>
        </w:rPr>
        <w:br w:type="page"/>
      </w:r>
      <w:r>
        <w:rPr>
          <w:rFonts w:eastAsia="Calibri"/>
          <w:noProof/>
        </w:rPr>
        <w:lastRenderedPageBreak/>
        <w:t>ANNEX 21</w:t>
      </w:r>
      <w:r>
        <w:rPr>
          <w:rFonts w:eastAsia="Calibri"/>
          <w:noProof/>
        </w:rPr>
        <w:noBreakHyphen/>
        <w:t>03/B</w:t>
      </w:r>
    </w:p>
    <w:p>
      <w:pPr>
        <w:pStyle w:val="NormalCentered"/>
        <w:rPr>
          <w:rFonts w:eastAsia="Calibri"/>
          <w:noProof/>
        </w:rPr>
      </w:pPr>
      <w:r>
        <w:rPr>
          <w:rFonts w:eastAsia="Calibri"/>
          <w:noProof/>
        </w:rPr>
        <w:t>GUIDELINES FOR ESTIMATING</w:t>
      </w:r>
      <w:r>
        <w:rPr>
          <w:rFonts w:eastAsia="Calibri"/>
          <w:noProof/>
        </w:rPr>
        <w:br/>
        <w:t>THE GREEN WEIGHT OF KRILL CAUGHT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985"/>
        <w:gridCol w:w="2120"/>
        <w:gridCol w:w="1394"/>
        <w:gridCol w:w="2177"/>
        <w:gridCol w:w="794"/>
      </w:tblGrid>
      <w:tr>
        <w:trPr>
          <w:tblHeader/>
        </w:trPr>
        <w:tc>
          <w:tcPr>
            <w:tcW w:w="1384" w:type="dxa"/>
            <w:vMerge w:val="restart"/>
            <w:shd w:val="clear" w:color="auto" w:fill="auto"/>
            <w:vAlign w:val="center"/>
          </w:tcPr>
          <w:p>
            <w:pPr>
              <w:spacing w:before="60" w:after="60"/>
              <w:jc w:val="center"/>
              <w:rPr>
                <w:noProof/>
                <w:sz w:val="20"/>
                <w:szCs w:val="20"/>
              </w:rPr>
            </w:pPr>
            <w:r>
              <w:rPr>
                <w:noProof/>
                <w:sz w:val="20"/>
                <w:szCs w:val="20"/>
              </w:rPr>
              <w:t>Method</w:t>
            </w:r>
          </w:p>
        </w:tc>
        <w:tc>
          <w:tcPr>
            <w:tcW w:w="1985" w:type="dxa"/>
            <w:vMerge w:val="restart"/>
            <w:shd w:val="clear" w:color="auto" w:fill="auto"/>
            <w:vAlign w:val="center"/>
          </w:tcPr>
          <w:p>
            <w:pPr>
              <w:spacing w:before="60" w:after="60"/>
              <w:jc w:val="center"/>
              <w:rPr>
                <w:noProof/>
                <w:sz w:val="20"/>
                <w:szCs w:val="20"/>
              </w:rPr>
            </w:pPr>
            <w:r>
              <w:rPr>
                <w:noProof/>
                <w:sz w:val="20"/>
                <w:szCs w:val="20"/>
              </w:rPr>
              <w:t>Equation (kg)</w:t>
            </w:r>
          </w:p>
        </w:tc>
        <w:tc>
          <w:tcPr>
            <w:tcW w:w="6485" w:type="dxa"/>
            <w:gridSpan w:val="4"/>
            <w:shd w:val="clear" w:color="auto" w:fill="auto"/>
            <w:vAlign w:val="center"/>
          </w:tcPr>
          <w:p>
            <w:pPr>
              <w:spacing w:before="60" w:after="60"/>
              <w:jc w:val="center"/>
              <w:rPr>
                <w:noProof/>
                <w:sz w:val="20"/>
                <w:szCs w:val="20"/>
              </w:rPr>
            </w:pPr>
            <w:r>
              <w:rPr>
                <w:noProof/>
                <w:sz w:val="20"/>
                <w:szCs w:val="20"/>
              </w:rPr>
              <w:t>Parameter</w:t>
            </w:r>
          </w:p>
        </w:tc>
      </w:tr>
      <w:tr>
        <w:trPr>
          <w:tblHeader/>
        </w:trPr>
        <w:tc>
          <w:tcPr>
            <w:tcW w:w="1384" w:type="dxa"/>
            <w:vMerge/>
            <w:shd w:val="clear" w:color="auto" w:fill="auto"/>
            <w:vAlign w:val="center"/>
          </w:tcPr>
          <w:p>
            <w:pPr>
              <w:spacing w:before="60" w:after="60"/>
              <w:jc w:val="center"/>
              <w:rPr>
                <w:noProof/>
                <w:sz w:val="20"/>
                <w:szCs w:val="20"/>
              </w:rPr>
            </w:pPr>
          </w:p>
        </w:tc>
        <w:tc>
          <w:tcPr>
            <w:tcW w:w="1985" w:type="dxa"/>
            <w:vMerge/>
            <w:shd w:val="clear" w:color="auto" w:fill="auto"/>
            <w:vAlign w:val="center"/>
          </w:tcPr>
          <w:p>
            <w:pPr>
              <w:spacing w:before="60" w:after="60"/>
              <w:jc w:val="center"/>
              <w:rPr>
                <w:noProof/>
                <w:sz w:val="20"/>
                <w:szCs w:val="20"/>
              </w:rPr>
            </w:pPr>
          </w:p>
        </w:tc>
        <w:tc>
          <w:tcPr>
            <w:tcW w:w="2120" w:type="dxa"/>
            <w:shd w:val="clear" w:color="auto" w:fill="auto"/>
            <w:vAlign w:val="center"/>
          </w:tcPr>
          <w:p>
            <w:pPr>
              <w:spacing w:before="60" w:after="60"/>
              <w:jc w:val="center"/>
              <w:rPr>
                <w:noProof/>
                <w:sz w:val="20"/>
                <w:szCs w:val="20"/>
              </w:rPr>
            </w:pPr>
            <w:r>
              <w:rPr>
                <w:noProof/>
                <w:sz w:val="20"/>
                <w:szCs w:val="20"/>
              </w:rPr>
              <w:t>Description</w:t>
            </w:r>
          </w:p>
        </w:tc>
        <w:tc>
          <w:tcPr>
            <w:tcW w:w="1394" w:type="dxa"/>
            <w:shd w:val="clear" w:color="auto" w:fill="auto"/>
            <w:vAlign w:val="center"/>
          </w:tcPr>
          <w:p>
            <w:pPr>
              <w:spacing w:before="60" w:after="60"/>
              <w:jc w:val="center"/>
              <w:rPr>
                <w:noProof/>
                <w:sz w:val="20"/>
                <w:szCs w:val="20"/>
              </w:rPr>
            </w:pPr>
            <w:r>
              <w:rPr>
                <w:noProof/>
                <w:sz w:val="20"/>
                <w:szCs w:val="20"/>
              </w:rPr>
              <w:t>Type</w:t>
            </w:r>
          </w:p>
        </w:tc>
        <w:tc>
          <w:tcPr>
            <w:tcW w:w="2177" w:type="dxa"/>
            <w:shd w:val="clear" w:color="auto" w:fill="auto"/>
            <w:vAlign w:val="center"/>
          </w:tcPr>
          <w:p>
            <w:pPr>
              <w:spacing w:before="60" w:after="60"/>
              <w:jc w:val="center"/>
              <w:rPr>
                <w:noProof/>
                <w:sz w:val="20"/>
                <w:szCs w:val="20"/>
              </w:rPr>
            </w:pPr>
            <w:r>
              <w:rPr>
                <w:noProof/>
                <w:sz w:val="20"/>
                <w:szCs w:val="20"/>
              </w:rPr>
              <w:t>Estimation method</w:t>
            </w:r>
          </w:p>
        </w:tc>
        <w:tc>
          <w:tcPr>
            <w:tcW w:w="794" w:type="dxa"/>
            <w:shd w:val="clear" w:color="auto" w:fill="auto"/>
            <w:vAlign w:val="center"/>
          </w:tcPr>
          <w:p>
            <w:pPr>
              <w:spacing w:before="60" w:after="60"/>
              <w:jc w:val="center"/>
              <w:rPr>
                <w:noProof/>
                <w:sz w:val="20"/>
                <w:szCs w:val="20"/>
              </w:rPr>
            </w:pPr>
            <w:r>
              <w:rPr>
                <w:noProof/>
                <w:sz w:val="20"/>
                <w:szCs w:val="20"/>
              </w:rPr>
              <w:t>Unit</w:t>
            </w:r>
          </w:p>
        </w:tc>
      </w:tr>
      <w:tr>
        <w:tc>
          <w:tcPr>
            <w:tcW w:w="1384" w:type="dxa"/>
            <w:vMerge w:val="restart"/>
            <w:shd w:val="clear" w:color="auto" w:fill="auto"/>
          </w:tcPr>
          <w:p>
            <w:pPr>
              <w:spacing w:before="60" w:after="60"/>
              <w:rPr>
                <w:noProof/>
                <w:sz w:val="20"/>
                <w:szCs w:val="20"/>
              </w:rPr>
            </w:pPr>
            <w:r>
              <w:rPr>
                <w:noProof/>
                <w:sz w:val="20"/>
                <w:szCs w:val="20"/>
              </w:rPr>
              <w:t>Holding tank volume </w:t>
            </w:r>
          </w:p>
        </w:tc>
        <w:tc>
          <w:tcPr>
            <w:tcW w:w="1985" w:type="dxa"/>
            <w:vMerge w:val="restart"/>
            <w:shd w:val="clear" w:color="auto" w:fill="auto"/>
          </w:tcPr>
          <w:p>
            <w:pPr>
              <w:spacing w:before="60" w:after="60"/>
              <w:rPr>
                <w:i/>
                <w:iCs/>
                <w:noProof/>
                <w:sz w:val="20"/>
                <w:szCs w:val="20"/>
              </w:rPr>
            </w:pPr>
            <w:r>
              <w:rPr>
                <w:i/>
                <w:iCs/>
                <w:noProof/>
                <w:sz w:val="20"/>
                <w:szCs w:val="20"/>
              </w:rPr>
              <w:t>W*L*H*ρ*1 000</w:t>
            </w:r>
          </w:p>
        </w:tc>
        <w:tc>
          <w:tcPr>
            <w:tcW w:w="2120" w:type="dxa"/>
            <w:shd w:val="clear" w:color="auto" w:fill="auto"/>
          </w:tcPr>
          <w:p>
            <w:pPr>
              <w:spacing w:before="60" w:after="60"/>
              <w:rPr>
                <w:noProof/>
                <w:sz w:val="20"/>
                <w:szCs w:val="20"/>
              </w:rPr>
            </w:pPr>
            <w:r>
              <w:rPr>
                <w:i/>
                <w:iCs/>
                <w:noProof/>
                <w:sz w:val="20"/>
                <w:szCs w:val="20"/>
              </w:rPr>
              <w:t>W</w:t>
            </w:r>
            <w:r>
              <w:rPr>
                <w:noProof/>
                <w:sz w:val="20"/>
                <w:szCs w:val="20"/>
              </w:rPr>
              <w:t xml:space="preserve"> = tank width</w:t>
            </w:r>
          </w:p>
        </w:tc>
        <w:tc>
          <w:tcPr>
            <w:tcW w:w="1394" w:type="dxa"/>
            <w:shd w:val="clear" w:color="auto" w:fill="auto"/>
          </w:tcPr>
          <w:p>
            <w:pPr>
              <w:spacing w:before="60" w:after="60"/>
              <w:rPr>
                <w:noProof/>
                <w:sz w:val="20"/>
                <w:szCs w:val="20"/>
              </w:rPr>
            </w:pPr>
            <w:r>
              <w:rPr>
                <w:noProof/>
                <w:sz w:val="20"/>
                <w:szCs w:val="20"/>
              </w:rPr>
              <w:t>Constant</w:t>
            </w:r>
          </w:p>
        </w:tc>
        <w:tc>
          <w:tcPr>
            <w:tcW w:w="2177" w:type="dxa"/>
            <w:shd w:val="clear" w:color="auto" w:fill="auto"/>
          </w:tcPr>
          <w:p>
            <w:pPr>
              <w:spacing w:before="60" w:after="60"/>
              <w:rPr>
                <w:noProof/>
                <w:sz w:val="20"/>
                <w:szCs w:val="20"/>
              </w:rPr>
            </w:pPr>
            <w:r>
              <w:rPr>
                <w:noProof/>
                <w:sz w:val="20"/>
                <w:szCs w:val="20"/>
              </w:rPr>
              <w:t xml:space="preserve">Measure at the start of fishing </w:t>
            </w:r>
          </w:p>
        </w:tc>
        <w:tc>
          <w:tcPr>
            <w:tcW w:w="794" w:type="dxa"/>
            <w:shd w:val="clear" w:color="auto" w:fill="auto"/>
          </w:tcPr>
          <w:p>
            <w:pPr>
              <w:spacing w:before="60" w:after="60"/>
              <w:rPr>
                <w:noProof/>
                <w:sz w:val="20"/>
                <w:szCs w:val="20"/>
              </w:rPr>
            </w:pPr>
            <w:r>
              <w:rPr>
                <w:noProof/>
                <w:sz w:val="20"/>
                <w:szCs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iCs/>
                <w:noProof/>
                <w:sz w:val="20"/>
                <w:szCs w:val="20"/>
              </w:rPr>
              <w:t>L</w:t>
            </w:r>
            <w:r>
              <w:rPr>
                <w:noProof/>
                <w:sz w:val="20"/>
                <w:szCs w:val="20"/>
              </w:rPr>
              <w:t xml:space="preserve"> = tank length</w:t>
            </w:r>
          </w:p>
        </w:tc>
        <w:tc>
          <w:tcPr>
            <w:tcW w:w="1394" w:type="dxa"/>
            <w:shd w:val="clear" w:color="auto" w:fill="auto"/>
          </w:tcPr>
          <w:p>
            <w:pPr>
              <w:spacing w:before="60" w:after="60"/>
              <w:rPr>
                <w:noProof/>
                <w:sz w:val="20"/>
                <w:szCs w:val="20"/>
              </w:rPr>
            </w:pPr>
            <w:r>
              <w:rPr>
                <w:noProof/>
                <w:sz w:val="20"/>
                <w:szCs w:val="20"/>
              </w:rPr>
              <w:t>Constant</w:t>
            </w:r>
          </w:p>
        </w:tc>
        <w:tc>
          <w:tcPr>
            <w:tcW w:w="2177" w:type="dxa"/>
            <w:shd w:val="clear" w:color="auto" w:fill="auto"/>
          </w:tcPr>
          <w:p>
            <w:pPr>
              <w:spacing w:before="60" w:after="60"/>
              <w:rPr>
                <w:noProof/>
                <w:sz w:val="20"/>
                <w:szCs w:val="20"/>
              </w:rPr>
            </w:pPr>
            <w:r>
              <w:rPr>
                <w:noProof/>
                <w:sz w:val="20"/>
                <w:szCs w:val="20"/>
              </w:rPr>
              <w:t xml:space="preserve">Measure at the start of fishing </w:t>
            </w:r>
          </w:p>
        </w:tc>
        <w:tc>
          <w:tcPr>
            <w:tcW w:w="794" w:type="dxa"/>
            <w:shd w:val="clear" w:color="auto" w:fill="auto"/>
          </w:tcPr>
          <w:p>
            <w:pPr>
              <w:spacing w:before="60" w:after="60"/>
              <w:rPr>
                <w:noProof/>
                <w:sz w:val="20"/>
                <w:szCs w:val="20"/>
              </w:rPr>
            </w:pPr>
            <w:r>
              <w:rPr>
                <w:noProof/>
                <w:sz w:val="20"/>
                <w:szCs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iCs/>
                <w:noProof/>
                <w:sz w:val="20"/>
                <w:szCs w:val="20"/>
              </w:rPr>
              <w:t>ρ</w:t>
            </w:r>
            <w:r>
              <w:rPr>
                <w:noProof/>
                <w:sz w:val="20"/>
                <w:szCs w:val="20"/>
              </w:rPr>
              <w:t xml:space="preserve"> = volume</w:t>
            </w:r>
            <w:r>
              <w:rPr>
                <w:noProof/>
                <w:sz w:val="20"/>
                <w:szCs w:val="20"/>
              </w:rPr>
              <w:noBreakHyphen/>
              <w:t>to</w:t>
            </w:r>
            <w:r>
              <w:rPr>
                <w:noProof/>
                <w:sz w:val="20"/>
                <w:szCs w:val="20"/>
              </w:rPr>
              <w:noBreakHyphen/>
              <w:t xml:space="preserve">mass conversion factor </w:t>
            </w:r>
          </w:p>
        </w:tc>
        <w:tc>
          <w:tcPr>
            <w:tcW w:w="1394" w:type="dxa"/>
            <w:shd w:val="clear" w:color="auto" w:fill="auto"/>
          </w:tcPr>
          <w:p>
            <w:pPr>
              <w:spacing w:before="60" w:after="60"/>
              <w:rPr>
                <w:noProof/>
                <w:sz w:val="20"/>
                <w:szCs w:val="20"/>
              </w:rPr>
            </w:pPr>
            <w:r>
              <w:rPr>
                <w:noProof/>
                <w:sz w:val="20"/>
                <w:szCs w:val="20"/>
              </w:rPr>
              <w:t>Variable</w:t>
            </w:r>
          </w:p>
        </w:tc>
        <w:tc>
          <w:tcPr>
            <w:tcW w:w="2177" w:type="dxa"/>
            <w:shd w:val="clear" w:color="auto" w:fill="auto"/>
          </w:tcPr>
          <w:p>
            <w:pPr>
              <w:spacing w:before="60" w:after="60"/>
              <w:rPr>
                <w:noProof/>
                <w:sz w:val="20"/>
                <w:szCs w:val="20"/>
              </w:rPr>
            </w:pPr>
            <w:r>
              <w:rPr>
                <w:noProof/>
                <w:sz w:val="20"/>
                <w:szCs w:val="20"/>
              </w:rPr>
              <w:t>Volume</w:t>
            </w:r>
            <w:r>
              <w:rPr>
                <w:noProof/>
                <w:sz w:val="20"/>
                <w:szCs w:val="20"/>
              </w:rPr>
              <w:noBreakHyphen/>
              <w:t>to</w:t>
            </w:r>
            <w:r>
              <w:rPr>
                <w:noProof/>
                <w:sz w:val="20"/>
                <w:szCs w:val="20"/>
              </w:rPr>
              <w:noBreakHyphen/>
              <w:t>mass conversion</w:t>
            </w:r>
          </w:p>
        </w:tc>
        <w:tc>
          <w:tcPr>
            <w:tcW w:w="794" w:type="dxa"/>
            <w:shd w:val="clear" w:color="auto" w:fill="auto"/>
          </w:tcPr>
          <w:p>
            <w:pPr>
              <w:spacing w:before="60" w:after="60"/>
              <w:rPr>
                <w:noProof/>
                <w:sz w:val="20"/>
                <w:szCs w:val="20"/>
              </w:rPr>
            </w:pPr>
            <w:r>
              <w:rPr>
                <w:noProof/>
                <w:sz w:val="20"/>
                <w:szCs w:val="20"/>
              </w:rPr>
              <w:t>kg/litre</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noProof/>
                <w:sz w:val="20"/>
                <w:szCs w:val="20"/>
              </w:rPr>
              <w:t>H = depth of krill in tank</w:t>
            </w:r>
          </w:p>
        </w:tc>
        <w:tc>
          <w:tcPr>
            <w:tcW w:w="1394" w:type="dxa"/>
            <w:shd w:val="clear" w:color="auto" w:fill="auto"/>
          </w:tcPr>
          <w:p>
            <w:pPr>
              <w:spacing w:before="60" w:after="60"/>
              <w:rPr>
                <w:noProof/>
                <w:sz w:val="20"/>
                <w:szCs w:val="20"/>
              </w:rPr>
            </w:pPr>
            <w:r>
              <w:rPr>
                <w:noProof/>
                <w:sz w:val="20"/>
                <w:szCs w:val="20"/>
              </w:rPr>
              <w:t>Haul</w:t>
            </w:r>
            <w:r>
              <w:rPr>
                <w:noProof/>
                <w:sz w:val="20"/>
                <w:szCs w:val="20"/>
              </w:rPr>
              <w:noBreakHyphen/>
              <w:t>specific</w:t>
            </w:r>
          </w:p>
        </w:tc>
        <w:tc>
          <w:tcPr>
            <w:tcW w:w="2177" w:type="dxa"/>
            <w:shd w:val="clear" w:color="auto" w:fill="auto"/>
          </w:tcPr>
          <w:p>
            <w:pPr>
              <w:spacing w:before="60" w:after="60"/>
              <w:rPr>
                <w:noProof/>
                <w:sz w:val="20"/>
                <w:szCs w:val="20"/>
              </w:rPr>
            </w:pPr>
            <w:r>
              <w:rPr>
                <w:noProof/>
                <w:sz w:val="20"/>
                <w:szCs w:val="20"/>
              </w:rPr>
              <w:t>Direct observation</w:t>
            </w:r>
          </w:p>
        </w:tc>
        <w:tc>
          <w:tcPr>
            <w:tcW w:w="794" w:type="dxa"/>
            <w:shd w:val="clear" w:color="auto" w:fill="auto"/>
          </w:tcPr>
          <w:p>
            <w:pPr>
              <w:spacing w:before="60" w:after="60"/>
              <w:rPr>
                <w:noProof/>
                <w:sz w:val="20"/>
                <w:szCs w:val="20"/>
              </w:rPr>
            </w:pPr>
            <w:r>
              <w:rPr>
                <w:noProof/>
                <w:sz w:val="20"/>
                <w:szCs w:val="20"/>
              </w:rPr>
              <w:t>m</w:t>
            </w:r>
          </w:p>
        </w:tc>
      </w:tr>
      <w:tr>
        <w:tc>
          <w:tcPr>
            <w:tcW w:w="1384" w:type="dxa"/>
            <w:vMerge w:val="restart"/>
            <w:shd w:val="clear" w:color="auto" w:fill="auto"/>
          </w:tcPr>
          <w:p>
            <w:pPr>
              <w:spacing w:before="60" w:after="60"/>
              <w:rPr>
                <w:noProof/>
                <w:sz w:val="20"/>
                <w:szCs w:val="20"/>
              </w:rPr>
            </w:pPr>
            <w:r>
              <w:rPr>
                <w:noProof/>
                <w:sz w:val="20"/>
                <w:szCs w:val="20"/>
              </w:rPr>
              <w:t>Flow meter</w:t>
            </w:r>
            <w:r>
              <w:rPr>
                <w:b/>
                <w:bCs/>
                <w:noProof/>
                <w:sz w:val="20"/>
                <w:szCs w:val="20"/>
                <w:vertAlign w:val="superscript"/>
              </w:rPr>
              <w:t>(1)</w:t>
            </w:r>
          </w:p>
        </w:tc>
        <w:tc>
          <w:tcPr>
            <w:tcW w:w="1985" w:type="dxa"/>
            <w:vMerge w:val="restart"/>
            <w:shd w:val="clear" w:color="auto" w:fill="auto"/>
          </w:tcPr>
          <w:p>
            <w:pPr>
              <w:spacing w:before="60" w:after="60"/>
              <w:rPr>
                <w:i/>
                <w:iCs/>
                <w:noProof/>
                <w:sz w:val="20"/>
                <w:szCs w:val="20"/>
              </w:rPr>
            </w:pPr>
            <w:r>
              <w:rPr>
                <w:i/>
                <w:iCs/>
                <w:noProof/>
                <w:sz w:val="20"/>
                <w:szCs w:val="20"/>
              </w:rPr>
              <w:t>V*F</w:t>
            </w:r>
            <w:r>
              <w:rPr>
                <w:i/>
                <w:iCs/>
                <w:noProof/>
                <w:sz w:val="20"/>
                <w:szCs w:val="20"/>
                <w:vertAlign w:val="subscript"/>
              </w:rPr>
              <w:t>krill</w:t>
            </w:r>
            <w:r>
              <w:rPr>
                <w:i/>
                <w:iCs/>
                <w:noProof/>
                <w:sz w:val="20"/>
                <w:szCs w:val="20"/>
              </w:rPr>
              <w:t>*ρ</w:t>
            </w:r>
          </w:p>
        </w:tc>
        <w:tc>
          <w:tcPr>
            <w:tcW w:w="2120" w:type="dxa"/>
            <w:shd w:val="clear" w:color="auto" w:fill="auto"/>
          </w:tcPr>
          <w:p>
            <w:pPr>
              <w:spacing w:before="60" w:after="60"/>
              <w:rPr>
                <w:noProof/>
                <w:sz w:val="20"/>
                <w:szCs w:val="20"/>
              </w:rPr>
            </w:pPr>
            <w:r>
              <w:rPr>
                <w:i/>
                <w:iCs/>
                <w:noProof/>
                <w:sz w:val="20"/>
                <w:szCs w:val="20"/>
              </w:rPr>
              <w:t>V</w:t>
            </w:r>
            <w:r>
              <w:rPr>
                <w:noProof/>
                <w:sz w:val="20"/>
                <w:szCs w:val="20"/>
              </w:rPr>
              <w:t xml:space="preserve"> = volume of krill and water combined</w:t>
            </w:r>
          </w:p>
        </w:tc>
        <w:tc>
          <w:tcPr>
            <w:tcW w:w="1394" w:type="dxa"/>
            <w:shd w:val="clear" w:color="auto" w:fill="auto"/>
          </w:tcPr>
          <w:p>
            <w:pPr>
              <w:spacing w:before="60" w:after="60"/>
              <w:rPr>
                <w:noProof/>
                <w:sz w:val="20"/>
                <w:szCs w:val="20"/>
              </w:rPr>
            </w:pPr>
            <w:r>
              <w:rPr>
                <w:noProof/>
                <w:sz w:val="20"/>
                <w:szCs w:val="20"/>
              </w:rPr>
              <w:t>Haul</w:t>
            </w:r>
            <w:r>
              <w:rPr>
                <w:noProof/>
                <w:sz w:val="20"/>
                <w:szCs w:val="20"/>
                <w:vertAlign w:val="superscript"/>
              </w:rPr>
              <w:t>1</w:t>
            </w:r>
            <w:r>
              <w:rPr>
                <w:noProof/>
                <w:sz w:val="20"/>
                <w:szCs w:val="20"/>
              </w:rPr>
              <w:noBreakHyphen/>
              <w:t>specific</w:t>
            </w:r>
          </w:p>
        </w:tc>
        <w:tc>
          <w:tcPr>
            <w:tcW w:w="2177" w:type="dxa"/>
            <w:shd w:val="clear" w:color="auto" w:fill="auto"/>
          </w:tcPr>
          <w:p>
            <w:pPr>
              <w:spacing w:before="60" w:after="60"/>
              <w:rPr>
                <w:noProof/>
                <w:sz w:val="20"/>
                <w:szCs w:val="20"/>
              </w:rPr>
            </w:pPr>
            <w:r>
              <w:rPr>
                <w:noProof/>
                <w:sz w:val="20"/>
                <w:szCs w:val="20"/>
              </w:rPr>
              <w:t>Direct observation</w:t>
            </w:r>
          </w:p>
        </w:tc>
        <w:tc>
          <w:tcPr>
            <w:tcW w:w="794" w:type="dxa"/>
            <w:shd w:val="clear" w:color="auto" w:fill="auto"/>
          </w:tcPr>
          <w:p>
            <w:pPr>
              <w:spacing w:before="60" w:after="60"/>
              <w:rPr>
                <w:noProof/>
                <w:sz w:val="20"/>
                <w:szCs w:val="20"/>
              </w:rPr>
            </w:pPr>
            <w:r>
              <w:rPr>
                <w:noProof/>
                <w:sz w:val="20"/>
                <w:szCs w:val="20"/>
              </w:rPr>
              <w:t>litre</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iCs/>
                <w:noProof/>
                <w:sz w:val="20"/>
                <w:szCs w:val="20"/>
              </w:rPr>
              <w:t>F</w:t>
            </w:r>
            <w:r>
              <w:rPr>
                <w:i/>
                <w:iCs/>
                <w:noProof/>
                <w:sz w:val="20"/>
                <w:szCs w:val="20"/>
                <w:vertAlign w:val="subscript"/>
              </w:rPr>
              <w:t>krill</w:t>
            </w:r>
            <w:r>
              <w:rPr>
                <w:noProof/>
                <w:sz w:val="20"/>
                <w:szCs w:val="20"/>
              </w:rPr>
              <w:t xml:space="preserve"> = fraction of krill in the sample</w:t>
            </w:r>
          </w:p>
        </w:tc>
        <w:tc>
          <w:tcPr>
            <w:tcW w:w="1394" w:type="dxa"/>
            <w:shd w:val="clear" w:color="auto" w:fill="auto"/>
          </w:tcPr>
          <w:p>
            <w:pPr>
              <w:spacing w:before="60" w:after="60"/>
              <w:rPr>
                <w:noProof/>
                <w:sz w:val="20"/>
                <w:szCs w:val="20"/>
              </w:rPr>
            </w:pPr>
            <w:r>
              <w:rPr>
                <w:noProof/>
                <w:sz w:val="20"/>
                <w:szCs w:val="20"/>
              </w:rPr>
              <w:t>Haul</w:t>
            </w:r>
            <w:r>
              <w:rPr>
                <w:noProof/>
                <w:sz w:val="20"/>
                <w:szCs w:val="20"/>
                <w:vertAlign w:val="superscript"/>
              </w:rPr>
              <w:t>1</w:t>
            </w:r>
            <w:r>
              <w:rPr>
                <w:noProof/>
                <w:sz w:val="20"/>
                <w:szCs w:val="20"/>
              </w:rPr>
              <w:noBreakHyphen/>
              <w:t xml:space="preserve">specific </w:t>
            </w:r>
          </w:p>
        </w:tc>
        <w:tc>
          <w:tcPr>
            <w:tcW w:w="2177" w:type="dxa"/>
            <w:shd w:val="clear" w:color="auto" w:fill="auto"/>
          </w:tcPr>
          <w:p>
            <w:pPr>
              <w:spacing w:before="60" w:after="60"/>
              <w:rPr>
                <w:noProof/>
                <w:sz w:val="20"/>
                <w:szCs w:val="20"/>
              </w:rPr>
            </w:pPr>
            <w:r>
              <w:rPr>
                <w:noProof/>
                <w:sz w:val="20"/>
                <w:szCs w:val="20"/>
              </w:rPr>
              <w:t>Flow meter volume correction</w:t>
            </w:r>
          </w:p>
        </w:tc>
        <w:tc>
          <w:tcPr>
            <w:tcW w:w="794" w:type="dxa"/>
            <w:shd w:val="clear" w:color="auto" w:fill="auto"/>
          </w:tcPr>
          <w:p>
            <w:pPr>
              <w:spacing w:before="60" w:after="60"/>
              <w:rPr>
                <w:noProof/>
                <w:sz w:val="20"/>
                <w:szCs w:val="20"/>
              </w:rPr>
            </w:pPr>
            <w:r>
              <w:rPr>
                <w:noProof/>
                <w:sz w:val="20"/>
                <w:szCs w:val="20"/>
              </w:rPr>
              <w:noBreakHyphen/>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iCs/>
                <w:noProof/>
                <w:sz w:val="20"/>
                <w:szCs w:val="20"/>
              </w:rPr>
              <w:t>ρ</w:t>
            </w:r>
            <w:r>
              <w:rPr>
                <w:noProof/>
                <w:sz w:val="20"/>
                <w:szCs w:val="20"/>
              </w:rPr>
              <w:t xml:space="preserve"> = volume</w:t>
            </w:r>
            <w:r>
              <w:rPr>
                <w:noProof/>
                <w:sz w:val="20"/>
                <w:szCs w:val="20"/>
              </w:rPr>
              <w:noBreakHyphen/>
              <w:t>to</w:t>
            </w:r>
            <w:r>
              <w:rPr>
                <w:noProof/>
                <w:sz w:val="20"/>
                <w:szCs w:val="20"/>
              </w:rPr>
              <w:noBreakHyphen/>
              <w:t xml:space="preserve">mass conversion factor </w:t>
            </w:r>
          </w:p>
        </w:tc>
        <w:tc>
          <w:tcPr>
            <w:tcW w:w="1394" w:type="dxa"/>
            <w:shd w:val="clear" w:color="auto" w:fill="auto"/>
          </w:tcPr>
          <w:p>
            <w:pPr>
              <w:spacing w:before="60" w:after="60"/>
              <w:rPr>
                <w:noProof/>
                <w:sz w:val="20"/>
                <w:szCs w:val="20"/>
              </w:rPr>
            </w:pPr>
            <w:r>
              <w:rPr>
                <w:noProof/>
                <w:sz w:val="20"/>
                <w:szCs w:val="20"/>
              </w:rPr>
              <w:t>Variable</w:t>
            </w:r>
          </w:p>
        </w:tc>
        <w:tc>
          <w:tcPr>
            <w:tcW w:w="2177" w:type="dxa"/>
            <w:shd w:val="clear" w:color="auto" w:fill="auto"/>
          </w:tcPr>
          <w:p>
            <w:pPr>
              <w:spacing w:before="60" w:after="60"/>
              <w:rPr>
                <w:noProof/>
                <w:sz w:val="20"/>
                <w:szCs w:val="20"/>
              </w:rPr>
            </w:pPr>
            <w:r>
              <w:rPr>
                <w:noProof/>
                <w:sz w:val="20"/>
                <w:szCs w:val="20"/>
              </w:rPr>
              <w:t>Volume</w:t>
            </w:r>
            <w:r>
              <w:rPr>
                <w:noProof/>
                <w:sz w:val="20"/>
                <w:szCs w:val="20"/>
              </w:rPr>
              <w:noBreakHyphen/>
              <w:t>to</w:t>
            </w:r>
            <w:r>
              <w:rPr>
                <w:noProof/>
                <w:sz w:val="20"/>
                <w:szCs w:val="20"/>
              </w:rPr>
              <w:noBreakHyphen/>
              <w:t>mass conversion</w:t>
            </w:r>
          </w:p>
        </w:tc>
        <w:tc>
          <w:tcPr>
            <w:tcW w:w="794" w:type="dxa"/>
            <w:shd w:val="clear" w:color="auto" w:fill="auto"/>
          </w:tcPr>
          <w:p>
            <w:pPr>
              <w:spacing w:before="60" w:after="60"/>
              <w:rPr>
                <w:noProof/>
                <w:sz w:val="20"/>
                <w:szCs w:val="20"/>
              </w:rPr>
            </w:pPr>
            <w:r>
              <w:rPr>
                <w:noProof/>
                <w:sz w:val="20"/>
                <w:szCs w:val="20"/>
              </w:rPr>
              <w:t>kg/litre</w:t>
            </w:r>
          </w:p>
        </w:tc>
      </w:tr>
      <w:tr>
        <w:tc>
          <w:tcPr>
            <w:tcW w:w="1384" w:type="dxa"/>
            <w:vMerge w:val="restart"/>
            <w:shd w:val="clear" w:color="auto" w:fill="auto"/>
          </w:tcPr>
          <w:p>
            <w:pPr>
              <w:spacing w:before="60" w:after="60"/>
              <w:rPr>
                <w:noProof/>
                <w:sz w:val="20"/>
                <w:szCs w:val="20"/>
              </w:rPr>
            </w:pPr>
            <w:r>
              <w:rPr>
                <w:noProof/>
                <w:sz w:val="20"/>
                <w:szCs w:val="20"/>
              </w:rPr>
              <w:t>Flow meter</w:t>
            </w:r>
            <w:r>
              <w:rPr>
                <w:b/>
                <w:bCs/>
                <w:noProof/>
                <w:sz w:val="20"/>
                <w:szCs w:val="20"/>
                <w:vertAlign w:val="superscript"/>
              </w:rPr>
              <w:t>(2)</w:t>
            </w:r>
          </w:p>
        </w:tc>
        <w:tc>
          <w:tcPr>
            <w:tcW w:w="1985" w:type="dxa"/>
            <w:vMerge w:val="restart"/>
            <w:shd w:val="clear" w:color="auto" w:fill="auto"/>
          </w:tcPr>
          <w:p>
            <w:pPr>
              <w:spacing w:before="60" w:after="60"/>
              <w:rPr>
                <w:i/>
                <w:iCs/>
                <w:noProof/>
                <w:sz w:val="20"/>
                <w:szCs w:val="20"/>
              </w:rPr>
            </w:pPr>
            <w:r>
              <w:rPr>
                <w:i/>
                <w:iCs/>
                <w:noProof/>
                <w:sz w:val="20"/>
                <w:szCs w:val="20"/>
              </w:rPr>
              <w:t>(V*ρ)–M</w:t>
            </w:r>
          </w:p>
        </w:tc>
        <w:tc>
          <w:tcPr>
            <w:tcW w:w="2120" w:type="dxa"/>
            <w:shd w:val="clear" w:color="auto" w:fill="auto"/>
          </w:tcPr>
          <w:p>
            <w:pPr>
              <w:spacing w:before="60" w:after="60"/>
              <w:rPr>
                <w:noProof/>
                <w:sz w:val="20"/>
                <w:szCs w:val="20"/>
              </w:rPr>
            </w:pPr>
            <w:r>
              <w:rPr>
                <w:noProof/>
                <w:sz w:val="20"/>
                <w:szCs w:val="20"/>
              </w:rPr>
              <w:t>V = volume of krill paste</w:t>
            </w:r>
          </w:p>
        </w:tc>
        <w:tc>
          <w:tcPr>
            <w:tcW w:w="1394" w:type="dxa"/>
            <w:shd w:val="clear" w:color="auto" w:fill="auto"/>
          </w:tcPr>
          <w:p>
            <w:pPr>
              <w:spacing w:before="60" w:after="60"/>
              <w:rPr>
                <w:noProof/>
                <w:sz w:val="20"/>
                <w:szCs w:val="20"/>
              </w:rPr>
            </w:pPr>
            <w:r>
              <w:rPr>
                <w:noProof/>
                <w:sz w:val="20"/>
                <w:szCs w:val="20"/>
              </w:rPr>
              <w:t>Haul</w:t>
            </w:r>
            <w:r>
              <w:rPr>
                <w:noProof/>
                <w:sz w:val="20"/>
                <w:szCs w:val="20"/>
                <w:vertAlign w:val="superscript"/>
              </w:rPr>
              <w:t>1</w:t>
            </w:r>
            <w:r>
              <w:rPr>
                <w:noProof/>
                <w:sz w:val="20"/>
                <w:szCs w:val="20"/>
              </w:rPr>
              <w:noBreakHyphen/>
              <w:t>specific</w:t>
            </w:r>
          </w:p>
        </w:tc>
        <w:tc>
          <w:tcPr>
            <w:tcW w:w="2177" w:type="dxa"/>
            <w:shd w:val="clear" w:color="auto" w:fill="auto"/>
          </w:tcPr>
          <w:p>
            <w:pPr>
              <w:spacing w:before="60" w:after="60"/>
              <w:rPr>
                <w:noProof/>
                <w:sz w:val="20"/>
                <w:szCs w:val="20"/>
              </w:rPr>
            </w:pPr>
            <w:r>
              <w:rPr>
                <w:noProof/>
                <w:sz w:val="20"/>
                <w:szCs w:val="20"/>
              </w:rPr>
              <w:t>Direct observation</w:t>
            </w:r>
          </w:p>
        </w:tc>
        <w:tc>
          <w:tcPr>
            <w:tcW w:w="794" w:type="dxa"/>
            <w:shd w:val="clear" w:color="auto" w:fill="auto"/>
          </w:tcPr>
          <w:p>
            <w:pPr>
              <w:spacing w:before="60" w:after="60"/>
              <w:rPr>
                <w:noProof/>
                <w:sz w:val="20"/>
                <w:szCs w:val="20"/>
              </w:rPr>
            </w:pPr>
            <w:r>
              <w:rPr>
                <w:noProof/>
                <w:sz w:val="20"/>
                <w:szCs w:val="20"/>
              </w:rPr>
              <w:t>litre</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iCs/>
                <w:noProof/>
                <w:sz w:val="20"/>
                <w:szCs w:val="20"/>
              </w:rPr>
              <w:t>M</w:t>
            </w:r>
            <w:r>
              <w:rPr>
                <w:noProof/>
                <w:sz w:val="20"/>
                <w:szCs w:val="20"/>
              </w:rPr>
              <w:t xml:space="preserve"> = amount of water added to the process, converted to mass</w:t>
            </w:r>
          </w:p>
        </w:tc>
        <w:tc>
          <w:tcPr>
            <w:tcW w:w="1394" w:type="dxa"/>
            <w:shd w:val="clear" w:color="auto" w:fill="auto"/>
          </w:tcPr>
          <w:p>
            <w:pPr>
              <w:spacing w:before="60" w:after="60"/>
              <w:rPr>
                <w:noProof/>
                <w:sz w:val="20"/>
                <w:szCs w:val="20"/>
              </w:rPr>
            </w:pPr>
            <w:r>
              <w:rPr>
                <w:noProof/>
                <w:sz w:val="20"/>
                <w:szCs w:val="20"/>
              </w:rPr>
              <w:t>Haul</w:t>
            </w:r>
            <w:r>
              <w:rPr>
                <w:noProof/>
                <w:sz w:val="20"/>
                <w:szCs w:val="20"/>
                <w:vertAlign w:val="superscript"/>
              </w:rPr>
              <w:t>1</w:t>
            </w:r>
            <w:r>
              <w:rPr>
                <w:noProof/>
                <w:sz w:val="20"/>
                <w:szCs w:val="20"/>
              </w:rPr>
              <w:noBreakHyphen/>
              <w:t xml:space="preserve">specific </w:t>
            </w:r>
          </w:p>
        </w:tc>
        <w:tc>
          <w:tcPr>
            <w:tcW w:w="2177" w:type="dxa"/>
            <w:shd w:val="clear" w:color="auto" w:fill="auto"/>
          </w:tcPr>
          <w:p>
            <w:pPr>
              <w:spacing w:before="60" w:after="60"/>
              <w:rPr>
                <w:noProof/>
                <w:sz w:val="20"/>
                <w:szCs w:val="20"/>
              </w:rPr>
            </w:pPr>
            <w:r>
              <w:rPr>
                <w:noProof/>
                <w:sz w:val="20"/>
                <w:szCs w:val="20"/>
              </w:rPr>
              <w:t>Direct observation</w:t>
            </w:r>
          </w:p>
        </w:tc>
        <w:tc>
          <w:tcPr>
            <w:tcW w:w="794" w:type="dxa"/>
            <w:shd w:val="clear" w:color="auto" w:fill="auto"/>
          </w:tcPr>
          <w:p>
            <w:pPr>
              <w:spacing w:before="60" w:after="60"/>
              <w:rPr>
                <w:noProof/>
                <w:sz w:val="20"/>
                <w:szCs w:val="20"/>
              </w:rPr>
            </w:pPr>
            <w:r>
              <w:rPr>
                <w:noProof/>
                <w:sz w:val="20"/>
                <w:szCs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iCs/>
                <w:noProof/>
                <w:sz w:val="20"/>
                <w:szCs w:val="20"/>
              </w:rPr>
              <w:t>ρ</w:t>
            </w:r>
            <w:r>
              <w:rPr>
                <w:noProof/>
                <w:sz w:val="20"/>
                <w:szCs w:val="20"/>
              </w:rPr>
              <w:t xml:space="preserve"> = </w:t>
            </w:r>
            <w:r>
              <w:rPr>
                <w:rFonts w:hint="eastAsia"/>
                <w:noProof/>
                <w:sz w:val="20"/>
                <w:szCs w:val="20"/>
              </w:rPr>
              <w:t xml:space="preserve">density of krill </w:t>
            </w:r>
            <w:r>
              <w:rPr>
                <w:noProof/>
                <w:sz w:val="20"/>
                <w:szCs w:val="20"/>
              </w:rPr>
              <w:t>paste</w:t>
            </w:r>
          </w:p>
        </w:tc>
        <w:tc>
          <w:tcPr>
            <w:tcW w:w="1394" w:type="dxa"/>
            <w:shd w:val="clear" w:color="auto" w:fill="auto"/>
          </w:tcPr>
          <w:p>
            <w:pPr>
              <w:spacing w:before="60" w:after="60"/>
              <w:rPr>
                <w:noProof/>
                <w:sz w:val="20"/>
                <w:szCs w:val="20"/>
              </w:rPr>
            </w:pPr>
            <w:r>
              <w:rPr>
                <w:noProof/>
                <w:sz w:val="20"/>
                <w:szCs w:val="20"/>
              </w:rPr>
              <w:t>Variable</w:t>
            </w:r>
          </w:p>
        </w:tc>
        <w:tc>
          <w:tcPr>
            <w:tcW w:w="2177" w:type="dxa"/>
            <w:shd w:val="clear" w:color="auto" w:fill="auto"/>
          </w:tcPr>
          <w:p>
            <w:pPr>
              <w:spacing w:before="60" w:after="60"/>
              <w:rPr>
                <w:noProof/>
                <w:sz w:val="20"/>
                <w:szCs w:val="20"/>
              </w:rPr>
            </w:pPr>
            <w:r>
              <w:rPr>
                <w:noProof/>
                <w:sz w:val="20"/>
                <w:szCs w:val="20"/>
              </w:rPr>
              <w:t>Direct observation</w:t>
            </w:r>
          </w:p>
        </w:tc>
        <w:tc>
          <w:tcPr>
            <w:tcW w:w="794" w:type="dxa"/>
            <w:shd w:val="clear" w:color="auto" w:fill="auto"/>
          </w:tcPr>
          <w:p>
            <w:pPr>
              <w:spacing w:before="60" w:after="60"/>
              <w:rPr>
                <w:noProof/>
                <w:sz w:val="20"/>
                <w:szCs w:val="20"/>
              </w:rPr>
            </w:pPr>
            <w:r>
              <w:rPr>
                <w:noProof/>
                <w:sz w:val="20"/>
                <w:szCs w:val="20"/>
              </w:rPr>
              <w:t>kg/litre</w:t>
            </w:r>
          </w:p>
        </w:tc>
      </w:tr>
      <w:tr>
        <w:tc>
          <w:tcPr>
            <w:tcW w:w="1384" w:type="dxa"/>
            <w:vMerge w:val="restart"/>
            <w:shd w:val="clear" w:color="auto" w:fill="auto"/>
          </w:tcPr>
          <w:p>
            <w:pPr>
              <w:spacing w:before="60" w:after="60"/>
              <w:rPr>
                <w:noProof/>
                <w:sz w:val="20"/>
                <w:szCs w:val="20"/>
              </w:rPr>
            </w:pPr>
            <w:r>
              <w:rPr>
                <w:noProof/>
                <w:sz w:val="20"/>
                <w:szCs w:val="20"/>
              </w:rPr>
              <w:t>Flow scale </w:t>
            </w:r>
          </w:p>
        </w:tc>
        <w:tc>
          <w:tcPr>
            <w:tcW w:w="1985" w:type="dxa"/>
            <w:vMerge w:val="restart"/>
            <w:shd w:val="clear" w:color="auto" w:fill="auto"/>
          </w:tcPr>
          <w:p>
            <w:pPr>
              <w:spacing w:before="60" w:after="60"/>
              <w:rPr>
                <w:i/>
                <w:iCs/>
                <w:noProof/>
                <w:sz w:val="20"/>
                <w:szCs w:val="20"/>
              </w:rPr>
            </w:pPr>
            <w:r>
              <w:rPr>
                <w:i/>
                <w:iCs/>
                <w:noProof/>
                <w:sz w:val="20"/>
                <w:szCs w:val="20"/>
              </w:rPr>
              <w:t>M*(1–F)</w:t>
            </w:r>
          </w:p>
        </w:tc>
        <w:tc>
          <w:tcPr>
            <w:tcW w:w="2120" w:type="dxa"/>
            <w:shd w:val="clear" w:color="auto" w:fill="auto"/>
          </w:tcPr>
          <w:p>
            <w:pPr>
              <w:spacing w:before="60" w:after="60"/>
              <w:rPr>
                <w:noProof/>
                <w:sz w:val="20"/>
                <w:szCs w:val="20"/>
              </w:rPr>
            </w:pPr>
            <w:r>
              <w:rPr>
                <w:i/>
                <w:iCs/>
                <w:noProof/>
                <w:sz w:val="20"/>
                <w:szCs w:val="20"/>
              </w:rPr>
              <w:t>M</w:t>
            </w:r>
            <w:r>
              <w:rPr>
                <w:noProof/>
                <w:sz w:val="20"/>
                <w:szCs w:val="20"/>
              </w:rPr>
              <w:t xml:space="preserve"> = mass of krill and water combined</w:t>
            </w:r>
          </w:p>
        </w:tc>
        <w:tc>
          <w:tcPr>
            <w:tcW w:w="1394" w:type="dxa"/>
            <w:shd w:val="clear" w:color="auto" w:fill="auto"/>
          </w:tcPr>
          <w:p>
            <w:pPr>
              <w:spacing w:before="60" w:after="60"/>
              <w:rPr>
                <w:noProof/>
                <w:sz w:val="20"/>
                <w:szCs w:val="20"/>
              </w:rPr>
            </w:pPr>
            <w:r>
              <w:rPr>
                <w:noProof/>
                <w:sz w:val="20"/>
                <w:szCs w:val="20"/>
              </w:rPr>
              <w:t>Haul</w:t>
            </w:r>
            <w:r>
              <w:rPr>
                <w:noProof/>
                <w:sz w:val="20"/>
                <w:szCs w:val="20"/>
                <w:vertAlign w:val="superscript"/>
              </w:rPr>
              <w:t>2</w:t>
            </w:r>
            <w:r>
              <w:rPr>
                <w:noProof/>
                <w:sz w:val="20"/>
                <w:szCs w:val="20"/>
              </w:rPr>
              <w:noBreakHyphen/>
              <w:t>specific</w:t>
            </w:r>
          </w:p>
        </w:tc>
        <w:tc>
          <w:tcPr>
            <w:tcW w:w="2177" w:type="dxa"/>
            <w:shd w:val="clear" w:color="auto" w:fill="auto"/>
          </w:tcPr>
          <w:p>
            <w:pPr>
              <w:spacing w:before="60" w:after="60"/>
              <w:rPr>
                <w:noProof/>
                <w:sz w:val="20"/>
                <w:szCs w:val="20"/>
              </w:rPr>
            </w:pPr>
            <w:r>
              <w:rPr>
                <w:noProof/>
                <w:sz w:val="20"/>
                <w:szCs w:val="20"/>
              </w:rPr>
              <w:t>Direct observation</w:t>
            </w:r>
          </w:p>
        </w:tc>
        <w:tc>
          <w:tcPr>
            <w:tcW w:w="794" w:type="dxa"/>
            <w:shd w:val="clear" w:color="auto" w:fill="auto"/>
          </w:tcPr>
          <w:p>
            <w:pPr>
              <w:spacing w:before="60" w:after="60"/>
              <w:rPr>
                <w:noProof/>
                <w:sz w:val="20"/>
                <w:szCs w:val="20"/>
              </w:rPr>
            </w:pPr>
            <w:r>
              <w:rPr>
                <w:noProof/>
                <w:sz w:val="20"/>
                <w:szCs w:val="20"/>
              </w:rPr>
              <w:t>kg</w:t>
            </w:r>
          </w:p>
        </w:tc>
      </w:tr>
      <w:tr>
        <w:trPr>
          <w:trHeight w:val="86"/>
        </w:trP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iCs/>
                <w:noProof/>
                <w:sz w:val="20"/>
                <w:szCs w:val="20"/>
              </w:rPr>
              <w:t>F</w:t>
            </w:r>
            <w:r>
              <w:rPr>
                <w:noProof/>
                <w:sz w:val="20"/>
                <w:szCs w:val="20"/>
              </w:rPr>
              <w:t xml:space="preserve"> = fraction of water in the sample</w:t>
            </w:r>
          </w:p>
        </w:tc>
        <w:tc>
          <w:tcPr>
            <w:tcW w:w="1394" w:type="dxa"/>
            <w:shd w:val="clear" w:color="auto" w:fill="auto"/>
          </w:tcPr>
          <w:p>
            <w:pPr>
              <w:spacing w:before="60" w:after="60"/>
              <w:rPr>
                <w:noProof/>
                <w:sz w:val="20"/>
                <w:szCs w:val="20"/>
              </w:rPr>
            </w:pPr>
            <w:r>
              <w:rPr>
                <w:noProof/>
                <w:sz w:val="20"/>
                <w:szCs w:val="20"/>
              </w:rPr>
              <w:t>Variable</w:t>
            </w:r>
          </w:p>
        </w:tc>
        <w:tc>
          <w:tcPr>
            <w:tcW w:w="2177" w:type="dxa"/>
            <w:shd w:val="clear" w:color="auto" w:fill="auto"/>
          </w:tcPr>
          <w:p>
            <w:pPr>
              <w:spacing w:before="60" w:after="60"/>
              <w:rPr>
                <w:noProof/>
                <w:sz w:val="20"/>
                <w:szCs w:val="20"/>
              </w:rPr>
            </w:pPr>
            <w:r>
              <w:rPr>
                <w:noProof/>
                <w:sz w:val="20"/>
                <w:szCs w:val="20"/>
              </w:rPr>
              <w:t>Flow scale mass correction</w:t>
            </w:r>
          </w:p>
        </w:tc>
        <w:tc>
          <w:tcPr>
            <w:tcW w:w="794" w:type="dxa"/>
            <w:shd w:val="clear" w:color="auto" w:fill="auto"/>
          </w:tcPr>
          <w:p>
            <w:pPr>
              <w:spacing w:before="60" w:after="60"/>
              <w:rPr>
                <w:noProof/>
                <w:sz w:val="20"/>
                <w:szCs w:val="20"/>
              </w:rPr>
            </w:pPr>
            <w:r>
              <w:rPr>
                <w:noProof/>
                <w:sz w:val="20"/>
                <w:szCs w:val="20"/>
              </w:rPr>
              <w:noBreakHyphen/>
            </w:r>
          </w:p>
        </w:tc>
      </w:tr>
      <w:tr>
        <w:tc>
          <w:tcPr>
            <w:tcW w:w="1384" w:type="dxa"/>
            <w:vMerge w:val="restart"/>
            <w:shd w:val="clear" w:color="auto" w:fill="auto"/>
          </w:tcPr>
          <w:p>
            <w:pPr>
              <w:pageBreakBefore/>
              <w:spacing w:before="60" w:after="60"/>
              <w:rPr>
                <w:noProof/>
                <w:sz w:val="20"/>
                <w:szCs w:val="20"/>
              </w:rPr>
            </w:pPr>
            <w:r>
              <w:rPr>
                <w:noProof/>
                <w:sz w:val="20"/>
                <w:szCs w:val="20"/>
              </w:rPr>
              <w:lastRenderedPageBreak/>
              <w:t>Plate tray</w:t>
            </w:r>
          </w:p>
        </w:tc>
        <w:tc>
          <w:tcPr>
            <w:tcW w:w="1985" w:type="dxa"/>
            <w:vMerge w:val="restart"/>
            <w:shd w:val="clear" w:color="auto" w:fill="auto"/>
          </w:tcPr>
          <w:p>
            <w:pPr>
              <w:spacing w:before="60" w:after="60"/>
              <w:rPr>
                <w:i/>
                <w:iCs/>
                <w:noProof/>
                <w:sz w:val="20"/>
                <w:szCs w:val="20"/>
              </w:rPr>
            </w:pPr>
            <w:r>
              <w:rPr>
                <w:i/>
                <w:iCs/>
                <w:noProof/>
                <w:sz w:val="20"/>
                <w:szCs w:val="20"/>
              </w:rPr>
              <w:t>(M–M</w:t>
            </w:r>
            <w:r>
              <w:rPr>
                <w:i/>
                <w:iCs/>
                <w:noProof/>
                <w:sz w:val="20"/>
                <w:szCs w:val="20"/>
                <w:vertAlign w:val="subscript"/>
              </w:rPr>
              <w:t>tray</w:t>
            </w:r>
            <w:r>
              <w:rPr>
                <w:i/>
                <w:iCs/>
                <w:noProof/>
                <w:sz w:val="20"/>
                <w:szCs w:val="20"/>
              </w:rPr>
              <w:t>)*N</w:t>
            </w:r>
          </w:p>
        </w:tc>
        <w:tc>
          <w:tcPr>
            <w:tcW w:w="2120" w:type="dxa"/>
            <w:shd w:val="clear" w:color="auto" w:fill="auto"/>
          </w:tcPr>
          <w:p>
            <w:pPr>
              <w:spacing w:before="60" w:after="60"/>
              <w:rPr>
                <w:noProof/>
                <w:sz w:val="20"/>
                <w:szCs w:val="20"/>
              </w:rPr>
            </w:pPr>
            <w:r>
              <w:rPr>
                <w:i/>
                <w:iCs/>
                <w:noProof/>
                <w:sz w:val="20"/>
                <w:szCs w:val="20"/>
              </w:rPr>
              <w:t>M</w:t>
            </w:r>
            <w:r>
              <w:rPr>
                <w:i/>
                <w:iCs/>
                <w:noProof/>
                <w:sz w:val="20"/>
                <w:szCs w:val="20"/>
                <w:vertAlign w:val="subscript"/>
              </w:rPr>
              <w:t>tray</w:t>
            </w:r>
            <w:r>
              <w:rPr>
                <w:noProof/>
                <w:sz w:val="20"/>
                <w:szCs w:val="20"/>
              </w:rPr>
              <w:t xml:space="preserve"> = mass of empty tray</w:t>
            </w:r>
          </w:p>
        </w:tc>
        <w:tc>
          <w:tcPr>
            <w:tcW w:w="1394" w:type="dxa"/>
            <w:shd w:val="clear" w:color="auto" w:fill="auto"/>
          </w:tcPr>
          <w:p>
            <w:pPr>
              <w:spacing w:before="60" w:after="60"/>
              <w:rPr>
                <w:noProof/>
                <w:sz w:val="20"/>
                <w:szCs w:val="20"/>
              </w:rPr>
            </w:pPr>
            <w:r>
              <w:rPr>
                <w:noProof/>
                <w:sz w:val="20"/>
                <w:szCs w:val="20"/>
              </w:rPr>
              <w:t>Constant</w:t>
            </w:r>
          </w:p>
        </w:tc>
        <w:tc>
          <w:tcPr>
            <w:tcW w:w="2177" w:type="dxa"/>
            <w:shd w:val="clear" w:color="auto" w:fill="auto"/>
          </w:tcPr>
          <w:p>
            <w:pPr>
              <w:spacing w:before="60" w:after="60"/>
              <w:rPr>
                <w:noProof/>
                <w:sz w:val="20"/>
                <w:szCs w:val="20"/>
              </w:rPr>
            </w:pPr>
            <w:r>
              <w:rPr>
                <w:noProof/>
                <w:sz w:val="20"/>
                <w:szCs w:val="20"/>
              </w:rPr>
              <w:t>Direct observation prior to fishing</w:t>
            </w:r>
          </w:p>
        </w:tc>
        <w:tc>
          <w:tcPr>
            <w:tcW w:w="794" w:type="dxa"/>
            <w:shd w:val="clear" w:color="auto" w:fill="auto"/>
          </w:tcPr>
          <w:p>
            <w:pPr>
              <w:spacing w:before="60" w:after="60"/>
              <w:rPr>
                <w:noProof/>
                <w:sz w:val="20"/>
                <w:szCs w:val="20"/>
              </w:rPr>
            </w:pPr>
            <w:r>
              <w:rPr>
                <w:noProof/>
                <w:sz w:val="20"/>
                <w:szCs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iCs/>
                <w:noProof/>
                <w:sz w:val="20"/>
                <w:szCs w:val="20"/>
              </w:rPr>
              <w:t>M</w:t>
            </w:r>
            <w:r>
              <w:rPr>
                <w:noProof/>
                <w:sz w:val="20"/>
                <w:szCs w:val="20"/>
              </w:rPr>
              <w:t xml:space="preserve"> = mean mass of krill and tray combined</w:t>
            </w:r>
          </w:p>
        </w:tc>
        <w:tc>
          <w:tcPr>
            <w:tcW w:w="1394" w:type="dxa"/>
            <w:shd w:val="clear" w:color="auto" w:fill="auto"/>
          </w:tcPr>
          <w:p>
            <w:pPr>
              <w:spacing w:before="60" w:after="60"/>
              <w:rPr>
                <w:noProof/>
                <w:sz w:val="20"/>
                <w:szCs w:val="20"/>
              </w:rPr>
            </w:pPr>
            <w:r>
              <w:rPr>
                <w:noProof/>
                <w:sz w:val="20"/>
                <w:szCs w:val="20"/>
              </w:rPr>
              <w:t>Variable</w:t>
            </w:r>
          </w:p>
        </w:tc>
        <w:tc>
          <w:tcPr>
            <w:tcW w:w="2177" w:type="dxa"/>
            <w:shd w:val="clear" w:color="auto" w:fill="auto"/>
          </w:tcPr>
          <w:p>
            <w:pPr>
              <w:spacing w:before="60" w:after="60"/>
              <w:rPr>
                <w:noProof/>
                <w:sz w:val="20"/>
                <w:szCs w:val="20"/>
              </w:rPr>
            </w:pPr>
            <w:r>
              <w:rPr>
                <w:noProof/>
                <w:sz w:val="20"/>
                <w:szCs w:val="20"/>
              </w:rPr>
              <w:t>Direct observation, prior to freezing with water drained</w:t>
            </w:r>
          </w:p>
        </w:tc>
        <w:tc>
          <w:tcPr>
            <w:tcW w:w="794" w:type="dxa"/>
            <w:shd w:val="clear" w:color="auto" w:fill="auto"/>
          </w:tcPr>
          <w:p>
            <w:pPr>
              <w:spacing w:before="60" w:after="60"/>
              <w:rPr>
                <w:noProof/>
                <w:sz w:val="20"/>
                <w:szCs w:val="20"/>
              </w:rPr>
            </w:pPr>
            <w:r>
              <w:rPr>
                <w:noProof/>
                <w:sz w:val="20"/>
                <w:szCs w:val="20"/>
              </w:rPr>
              <w:t>kg</w:t>
            </w:r>
          </w:p>
        </w:tc>
      </w:tr>
      <w:tr>
        <w:trPr>
          <w:trHeight w:val="90"/>
        </w:trP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iCs/>
                <w:noProof/>
                <w:sz w:val="20"/>
                <w:szCs w:val="20"/>
              </w:rPr>
              <w:t>N</w:t>
            </w:r>
            <w:r>
              <w:rPr>
                <w:noProof/>
                <w:sz w:val="20"/>
                <w:szCs w:val="20"/>
              </w:rPr>
              <w:t xml:space="preserve"> = number of trays</w:t>
            </w:r>
          </w:p>
        </w:tc>
        <w:tc>
          <w:tcPr>
            <w:tcW w:w="1394" w:type="dxa"/>
            <w:shd w:val="clear" w:color="auto" w:fill="auto"/>
          </w:tcPr>
          <w:p>
            <w:pPr>
              <w:spacing w:before="60" w:after="60"/>
              <w:rPr>
                <w:noProof/>
                <w:sz w:val="20"/>
                <w:szCs w:val="20"/>
              </w:rPr>
            </w:pPr>
            <w:r>
              <w:rPr>
                <w:noProof/>
                <w:sz w:val="20"/>
                <w:szCs w:val="20"/>
              </w:rPr>
              <w:t>Haul</w:t>
            </w:r>
            <w:r>
              <w:rPr>
                <w:noProof/>
                <w:sz w:val="20"/>
                <w:szCs w:val="20"/>
              </w:rPr>
              <w:noBreakHyphen/>
              <w:t>specific</w:t>
            </w:r>
          </w:p>
        </w:tc>
        <w:tc>
          <w:tcPr>
            <w:tcW w:w="2177" w:type="dxa"/>
            <w:shd w:val="clear" w:color="auto" w:fill="auto"/>
          </w:tcPr>
          <w:p>
            <w:pPr>
              <w:spacing w:before="60" w:after="60"/>
              <w:rPr>
                <w:noProof/>
                <w:sz w:val="20"/>
                <w:szCs w:val="20"/>
              </w:rPr>
            </w:pPr>
            <w:r>
              <w:rPr>
                <w:noProof/>
                <w:sz w:val="20"/>
                <w:szCs w:val="20"/>
              </w:rPr>
              <w:t>Direct observation</w:t>
            </w:r>
          </w:p>
        </w:tc>
        <w:tc>
          <w:tcPr>
            <w:tcW w:w="794" w:type="dxa"/>
            <w:shd w:val="clear" w:color="auto" w:fill="auto"/>
          </w:tcPr>
          <w:p>
            <w:pPr>
              <w:spacing w:before="60" w:after="60"/>
              <w:rPr>
                <w:noProof/>
                <w:sz w:val="20"/>
                <w:szCs w:val="20"/>
              </w:rPr>
            </w:pPr>
            <w:r>
              <w:rPr>
                <w:noProof/>
                <w:sz w:val="20"/>
                <w:szCs w:val="20"/>
              </w:rPr>
              <w:noBreakHyphen/>
            </w:r>
          </w:p>
        </w:tc>
      </w:tr>
      <w:tr>
        <w:tc>
          <w:tcPr>
            <w:tcW w:w="1384" w:type="dxa"/>
            <w:vMerge w:val="restart"/>
            <w:shd w:val="clear" w:color="auto" w:fill="auto"/>
          </w:tcPr>
          <w:p>
            <w:pPr>
              <w:spacing w:before="60" w:after="60"/>
              <w:rPr>
                <w:noProof/>
                <w:sz w:val="20"/>
                <w:szCs w:val="20"/>
              </w:rPr>
            </w:pPr>
            <w:r>
              <w:rPr>
                <w:noProof/>
                <w:sz w:val="20"/>
                <w:szCs w:val="20"/>
              </w:rPr>
              <w:t>Meal conversion</w:t>
            </w:r>
          </w:p>
        </w:tc>
        <w:tc>
          <w:tcPr>
            <w:tcW w:w="1985" w:type="dxa"/>
            <w:vMerge w:val="restart"/>
            <w:shd w:val="clear" w:color="auto" w:fill="auto"/>
          </w:tcPr>
          <w:p>
            <w:pPr>
              <w:spacing w:before="60" w:after="60"/>
              <w:rPr>
                <w:i/>
                <w:iCs/>
                <w:noProof/>
                <w:sz w:val="20"/>
                <w:szCs w:val="20"/>
              </w:rPr>
            </w:pPr>
            <w:r>
              <w:rPr>
                <w:i/>
                <w:iCs/>
                <w:noProof/>
                <w:sz w:val="20"/>
                <w:szCs w:val="20"/>
              </w:rPr>
              <w:t>M</w:t>
            </w:r>
            <w:r>
              <w:rPr>
                <w:i/>
                <w:iCs/>
                <w:noProof/>
                <w:sz w:val="20"/>
                <w:szCs w:val="20"/>
                <w:vertAlign w:val="subscript"/>
              </w:rPr>
              <w:t>meal</w:t>
            </w:r>
            <w:r>
              <w:rPr>
                <w:i/>
                <w:iCs/>
                <w:noProof/>
                <w:sz w:val="20"/>
                <w:szCs w:val="20"/>
              </w:rPr>
              <w:t>*MCF</w:t>
            </w:r>
          </w:p>
        </w:tc>
        <w:tc>
          <w:tcPr>
            <w:tcW w:w="2120" w:type="dxa"/>
            <w:shd w:val="clear" w:color="auto" w:fill="auto"/>
          </w:tcPr>
          <w:p>
            <w:pPr>
              <w:spacing w:before="60" w:after="60"/>
              <w:rPr>
                <w:noProof/>
                <w:sz w:val="20"/>
                <w:szCs w:val="20"/>
              </w:rPr>
            </w:pPr>
            <w:r>
              <w:rPr>
                <w:i/>
                <w:iCs/>
                <w:noProof/>
                <w:sz w:val="20"/>
                <w:szCs w:val="20"/>
              </w:rPr>
              <w:t>M</w:t>
            </w:r>
            <w:r>
              <w:rPr>
                <w:i/>
                <w:iCs/>
                <w:noProof/>
                <w:sz w:val="20"/>
                <w:szCs w:val="20"/>
                <w:vertAlign w:val="subscript"/>
              </w:rPr>
              <w:t>meal</w:t>
            </w:r>
            <w:r>
              <w:rPr>
                <w:noProof/>
                <w:sz w:val="20"/>
                <w:szCs w:val="20"/>
              </w:rPr>
              <w:t xml:space="preserve"> = mass of meal produced</w:t>
            </w:r>
          </w:p>
        </w:tc>
        <w:tc>
          <w:tcPr>
            <w:tcW w:w="1394" w:type="dxa"/>
            <w:shd w:val="clear" w:color="auto" w:fill="auto"/>
          </w:tcPr>
          <w:p>
            <w:pPr>
              <w:spacing w:before="60" w:after="60"/>
              <w:rPr>
                <w:noProof/>
                <w:sz w:val="20"/>
                <w:szCs w:val="20"/>
              </w:rPr>
            </w:pPr>
            <w:r>
              <w:rPr>
                <w:noProof/>
                <w:sz w:val="20"/>
                <w:szCs w:val="20"/>
              </w:rPr>
              <w:t>Haul</w:t>
            </w:r>
            <w:r>
              <w:rPr>
                <w:noProof/>
                <w:sz w:val="20"/>
                <w:szCs w:val="20"/>
              </w:rPr>
              <w:noBreakHyphen/>
              <w:t>specific</w:t>
            </w:r>
          </w:p>
        </w:tc>
        <w:tc>
          <w:tcPr>
            <w:tcW w:w="2177" w:type="dxa"/>
            <w:shd w:val="clear" w:color="auto" w:fill="auto"/>
          </w:tcPr>
          <w:p>
            <w:pPr>
              <w:spacing w:before="60" w:after="60"/>
              <w:rPr>
                <w:noProof/>
                <w:sz w:val="20"/>
                <w:szCs w:val="20"/>
              </w:rPr>
            </w:pPr>
            <w:r>
              <w:rPr>
                <w:noProof/>
                <w:sz w:val="20"/>
                <w:szCs w:val="20"/>
              </w:rPr>
              <w:t>Direct observation</w:t>
            </w:r>
          </w:p>
        </w:tc>
        <w:tc>
          <w:tcPr>
            <w:tcW w:w="794" w:type="dxa"/>
            <w:shd w:val="clear" w:color="auto" w:fill="auto"/>
          </w:tcPr>
          <w:p>
            <w:pPr>
              <w:spacing w:before="60" w:after="60"/>
              <w:rPr>
                <w:noProof/>
                <w:sz w:val="20"/>
                <w:szCs w:val="20"/>
              </w:rPr>
            </w:pPr>
            <w:r>
              <w:rPr>
                <w:noProof/>
                <w:sz w:val="20"/>
                <w:szCs w:val="20"/>
              </w:rPr>
              <w:t>kg</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i/>
                <w:iCs/>
                <w:noProof/>
                <w:sz w:val="20"/>
                <w:szCs w:val="20"/>
              </w:rPr>
            </w:pPr>
          </w:p>
        </w:tc>
        <w:tc>
          <w:tcPr>
            <w:tcW w:w="2120" w:type="dxa"/>
            <w:shd w:val="clear" w:color="auto" w:fill="auto"/>
          </w:tcPr>
          <w:p>
            <w:pPr>
              <w:spacing w:before="60" w:after="60"/>
              <w:rPr>
                <w:noProof/>
                <w:sz w:val="20"/>
                <w:szCs w:val="20"/>
              </w:rPr>
            </w:pPr>
            <w:r>
              <w:rPr>
                <w:i/>
                <w:iCs/>
                <w:noProof/>
                <w:sz w:val="20"/>
                <w:szCs w:val="20"/>
              </w:rPr>
              <w:t>MCF</w:t>
            </w:r>
            <w:r>
              <w:rPr>
                <w:noProof/>
                <w:sz w:val="20"/>
                <w:szCs w:val="20"/>
              </w:rPr>
              <w:t xml:space="preserve"> = meal conversion factor</w:t>
            </w:r>
          </w:p>
        </w:tc>
        <w:tc>
          <w:tcPr>
            <w:tcW w:w="1394" w:type="dxa"/>
            <w:shd w:val="clear" w:color="auto" w:fill="auto"/>
          </w:tcPr>
          <w:p>
            <w:pPr>
              <w:spacing w:before="60" w:after="60"/>
              <w:rPr>
                <w:noProof/>
                <w:sz w:val="20"/>
                <w:szCs w:val="20"/>
              </w:rPr>
            </w:pPr>
            <w:r>
              <w:rPr>
                <w:noProof/>
                <w:sz w:val="20"/>
                <w:szCs w:val="20"/>
              </w:rPr>
              <w:t>Variable</w:t>
            </w:r>
          </w:p>
        </w:tc>
        <w:tc>
          <w:tcPr>
            <w:tcW w:w="2177" w:type="dxa"/>
            <w:shd w:val="clear" w:color="auto" w:fill="auto"/>
          </w:tcPr>
          <w:p>
            <w:pPr>
              <w:spacing w:before="60" w:after="60"/>
              <w:rPr>
                <w:noProof/>
                <w:sz w:val="20"/>
                <w:szCs w:val="20"/>
              </w:rPr>
            </w:pPr>
            <w:r>
              <w:rPr>
                <w:noProof/>
                <w:sz w:val="20"/>
                <w:szCs w:val="20"/>
              </w:rPr>
              <w:t>Meal to whole krill conversion</w:t>
            </w:r>
          </w:p>
        </w:tc>
        <w:tc>
          <w:tcPr>
            <w:tcW w:w="794" w:type="dxa"/>
            <w:shd w:val="clear" w:color="auto" w:fill="auto"/>
          </w:tcPr>
          <w:p>
            <w:pPr>
              <w:spacing w:before="60" w:after="60"/>
              <w:rPr>
                <w:noProof/>
                <w:sz w:val="20"/>
                <w:szCs w:val="20"/>
              </w:rPr>
            </w:pPr>
            <w:r>
              <w:rPr>
                <w:noProof/>
                <w:sz w:val="20"/>
                <w:szCs w:val="20"/>
              </w:rPr>
              <w:noBreakHyphen/>
            </w:r>
          </w:p>
        </w:tc>
      </w:tr>
      <w:tr>
        <w:tc>
          <w:tcPr>
            <w:tcW w:w="1384" w:type="dxa"/>
            <w:vMerge w:val="restart"/>
            <w:shd w:val="clear" w:color="auto" w:fill="auto"/>
          </w:tcPr>
          <w:p>
            <w:pPr>
              <w:spacing w:before="60" w:after="60"/>
              <w:rPr>
                <w:noProof/>
                <w:sz w:val="20"/>
                <w:szCs w:val="20"/>
              </w:rPr>
            </w:pPr>
            <w:r>
              <w:rPr>
                <w:noProof/>
                <w:sz w:val="20"/>
                <w:szCs w:val="20"/>
              </w:rPr>
              <w:t>Codend volume </w:t>
            </w:r>
          </w:p>
        </w:tc>
        <w:tc>
          <w:tcPr>
            <w:tcW w:w="1985" w:type="dxa"/>
            <w:vMerge w:val="restart"/>
            <w:shd w:val="clear" w:color="auto" w:fill="auto"/>
          </w:tcPr>
          <w:p>
            <w:pPr>
              <w:spacing w:before="60" w:after="60"/>
              <w:rPr>
                <w:i/>
                <w:iCs/>
                <w:noProof/>
                <w:sz w:val="20"/>
                <w:szCs w:val="20"/>
              </w:rPr>
            </w:pPr>
            <w:r>
              <w:rPr>
                <w:i/>
                <w:iCs/>
                <w:noProof/>
                <w:sz w:val="20"/>
                <w:szCs w:val="20"/>
              </w:rPr>
              <w:t>W*H*L*ρ</w:t>
            </w:r>
            <w:r>
              <w:rPr>
                <w:noProof/>
                <w:sz w:val="20"/>
                <w:szCs w:val="20"/>
              </w:rPr>
              <w:t>*π</w:t>
            </w:r>
            <w:r>
              <w:rPr>
                <w:i/>
                <w:iCs/>
                <w:noProof/>
                <w:sz w:val="20"/>
                <w:szCs w:val="20"/>
              </w:rPr>
              <w:t>/</w:t>
            </w:r>
            <w:r>
              <w:rPr>
                <w:noProof/>
                <w:sz w:val="20"/>
                <w:szCs w:val="20"/>
              </w:rPr>
              <w:t>4*1 000</w:t>
            </w:r>
          </w:p>
        </w:tc>
        <w:tc>
          <w:tcPr>
            <w:tcW w:w="2120" w:type="dxa"/>
            <w:shd w:val="clear" w:color="auto" w:fill="auto"/>
          </w:tcPr>
          <w:p>
            <w:pPr>
              <w:spacing w:before="60" w:after="60"/>
              <w:rPr>
                <w:noProof/>
                <w:sz w:val="20"/>
                <w:szCs w:val="20"/>
              </w:rPr>
            </w:pPr>
            <w:r>
              <w:rPr>
                <w:i/>
                <w:iCs/>
                <w:noProof/>
                <w:sz w:val="20"/>
                <w:szCs w:val="20"/>
              </w:rPr>
              <w:t>W</w:t>
            </w:r>
            <w:r>
              <w:rPr>
                <w:noProof/>
                <w:sz w:val="20"/>
                <w:szCs w:val="20"/>
              </w:rPr>
              <w:t xml:space="preserve"> = codend width</w:t>
            </w:r>
          </w:p>
        </w:tc>
        <w:tc>
          <w:tcPr>
            <w:tcW w:w="1394" w:type="dxa"/>
            <w:shd w:val="clear" w:color="auto" w:fill="auto"/>
          </w:tcPr>
          <w:p>
            <w:pPr>
              <w:spacing w:before="60" w:after="60"/>
              <w:rPr>
                <w:noProof/>
                <w:sz w:val="20"/>
                <w:szCs w:val="20"/>
              </w:rPr>
            </w:pPr>
            <w:r>
              <w:rPr>
                <w:noProof/>
                <w:sz w:val="20"/>
                <w:szCs w:val="20"/>
              </w:rPr>
              <w:t>Constant</w:t>
            </w:r>
          </w:p>
        </w:tc>
        <w:tc>
          <w:tcPr>
            <w:tcW w:w="2177" w:type="dxa"/>
            <w:shd w:val="clear" w:color="auto" w:fill="auto"/>
          </w:tcPr>
          <w:p>
            <w:pPr>
              <w:spacing w:before="60" w:after="60"/>
              <w:rPr>
                <w:noProof/>
                <w:sz w:val="20"/>
                <w:szCs w:val="20"/>
              </w:rPr>
            </w:pPr>
            <w:r>
              <w:rPr>
                <w:noProof/>
                <w:sz w:val="20"/>
                <w:szCs w:val="20"/>
              </w:rPr>
              <w:t>Measure at the start of fishing</w:t>
            </w:r>
          </w:p>
        </w:tc>
        <w:tc>
          <w:tcPr>
            <w:tcW w:w="794" w:type="dxa"/>
            <w:shd w:val="clear" w:color="auto" w:fill="auto"/>
          </w:tcPr>
          <w:p>
            <w:pPr>
              <w:spacing w:before="60" w:after="60"/>
              <w:rPr>
                <w:noProof/>
                <w:sz w:val="20"/>
                <w:szCs w:val="20"/>
              </w:rPr>
            </w:pPr>
            <w:r>
              <w:rPr>
                <w:noProof/>
                <w:sz w:val="20"/>
                <w:szCs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iCs/>
                <w:noProof/>
                <w:sz w:val="20"/>
                <w:szCs w:val="20"/>
              </w:rPr>
              <w:t>H</w:t>
            </w:r>
            <w:r>
              <w:rPr>
                <w:noProof/>
                <w:sz w:val="20"/>
                <w:szCs w:val="20"/>
              </w:rPr>
              <w:t xml:space="preserve"> = codend height</w:t>
            </w:r>
          </w:p>
        </w:tc>
        <w:tc>
          <w:tcPr>
            <w:tcW w:w="1394" w:type="dxa"/>
            <w:shd w:val="clear" w:color="auto" w:fill="auto"/>
          </w:tcPr>
          <w:p>
            <w:pPr>
              <w:spacing w:before="60" w:after="60"/>
              <w:rPr>
                <w:noProof/>
                <w:sz w:val="20"/>
                <w:szCs w:val="20"/>
              </w:rPr>
            </w:pPr>
            <w:r>
              <w:rPr>
                <w:noProof/>
                <w:sz w:val="20"/>
                <w:szCs w:val="20"/>
              </w:rPr>
              <w:t>Constant</w:t>
            </w:r>
          </w:p>
        </w:tc>
        <w:tc>
          <w:tcPr>
            <w:tcW w:w="2177" w:type="dxa"/>
            <w:shd w:val="clear" w:color="auto" w:fill="auto"/>
          </w:tcPr>
          <w:p>
            <w:pPr>
              <w:spacing w:before="60" w:after="60"/>
              <w:rPr>
                <w:noProof/>
                <w:sz w:val="20"/>
                <w:szCs w:val="20"/>
              </w:rPr>
            </w:pPr>
            <w:r>
              <w:rPr>
                <w:noProof/>
                <w:sz w:val="20"/>
                <w:szCs w:val="20"/>
              </w:rPr>
              <w:t>Measure at the start of fishing</w:t>
            </w:r>
          </w:p>
        </w:tc>
        <w:tc>
          <w:tcPr>
            <w:tcW w:w="794" w:type="dxa"/>
            <w:shd w:val="clear" w:color="auto" w:fill="auto"/>
          </w:tcPr>
          <w:p>
            <w:pPr>
              <w:spacing w:before="60" w:after="60"/>
              <w:rPr>
                <w:noProof/>
                <w:sz w:val="20"/>
                <w:szCs w:val="20"/>
              </w:rPr>
            </w:pPr>
            <w:r>
              <w:rPr>
                <w:noProof/>
                <w:sz w:val="20"/>
                <w:szCs w:val="20"/>
              </w:rPr>
              <w:t>m</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iCs/>
                <w:noProof/>
                <w:sz w:val="20"/>
                <w:szCs w:val="20"/>
              </w:rPr>
              <w:t>ρ</w:t>
            </w:r>
            <w:r>
              <w:rPr>
                <w:noProof/>
                <w:sz w:val="20"/>
                <w:szCs w:val="20"/>
              </w:rPr>
              <w:t xml:space="preserve"> = volume</w:t>
            </w:r>
            <w:r>
              <w:rPr>
                <w:noProof/>
                <w:sz w:val="20"/>
                <w:szCs w:val="20"/>
              </w:rPr>
              <w:noBreakHyphen/>
              <w:t>to</w:t>
            </w:r>
            <w:r>
              <w:rPr>
                <w:noProof/>
                <w:sz w:val="20"/>
                <w:szCs w:val="20"/>
              </w:rPr>
              <w:noBreakHyphen/>
              <w:t xml:space="preserve">mass conversion factor </w:t>
            </w:r>
          </w:p>
        </w:tc>
        <w:tc>
          <w:tcPr>
            <w:tcW w:w="1394" w:type="dxa"/>
            <w:shd w:val="clear" w:color="auto" w:fill="auto"/>
          </w:tcPr>
          <w:p>
            <w:pPr>
              <w:spacing w:before="60" w:after="60"/>
              <w:rPr>
                <w:noProof/>
                <w:sz w:val="20"/>
                <w:szCs w:val="20"/>
              </w:rPr>
            </w:pPr>
            <w:r>
              <w:rPr>
                <w:noProof/>
                <w:sz w:val="20"/>
                <w:szCs w:val="20"/>
              </w:rPr>
              <w:t>Variable</w:t>
            </w:r>
          </w:p>
        </w:tc>
        <w:tc>
          <w:tcPr>
            <w:tcW w:w="2177" w:type="dxa"/>
            <w:shd w:val="clear" w:color="auto" w:fill="auto"/>
          </w:tcPr>
          <w:p>
            <w:pPr>
              <w:spacing w:before="60" w:after="60"/>
              <w:rPr>
                <w:noProof/>
                <w:sz w:val="20"/>
                <w:szCs w:val="20"/>
              </w:rPr>
            </w:pPr>
            <w:r>
              <w:rPr>
                <w:noProof/>
                <w:sz w:val="20"/>
                <w:szCs w:val="20"/>
              </w:rPr>
              <w:t>Volume</w:t>
            </w:r>
            <w:r>
              <w:rPr>
                <w:noProof/>
                <w:sz w:val="20"/>
                <w:szCs w:val="20"/>
              </w:rPr>
              <w:noBreakHyphen/>
              <w:t>to</w:t>
            </w:r>
            <w:r>
              <w:rPr>
                <w:noProof/>
                <w:sz w:val="20"/>
                <w:szCs w:val="20"/>
              </w:rPr>
              <w:noBreakHyphen/>
              <w:t>mass conversion</w:t>
            </w:r>
          </w:p>
        </w:tc>
        <w:tc>
          <w:tcPr>
            <w:tcW w:w="794" w:type="dxa"/>
            <w:shd w:val="clear" w:color="auto" w:fill="auto"/>
          </w:tcPr>
          <w:p>
            <w:pPr>
              <w:spacing w:before="60" w:after="60"/>
              <w:rPr>
                <w:noProof/>
                <w:sz w:val="20"/>
                <w:szCs w:val="20"/>
              </w:rPr>
            </w:pPr>
            <w:r>
              <w:rPr>
                <w:noProof/>
                <w:sz w:val="20"/>
                <w:szCs w:val="20"/>
              </w:rPr>
              <w:t>kg/litre</w:t>
            </w:r>
          </w:p>
        </w:tc>
      </w:tr>
      <w:tr>
        <w:tc>
          <w:tcPr>
            <w:tcW w:w="1384" w:type="dxa"/>
            <w:vMerge/>
            <w:shd w:val="clear" w:color="auto" w:fill="auto"/>
          </w:tcPr>
          <w:p>
            <w:pPr>
              <w:spacing w:before="60" w:after="60"/>
              <w:rPr>
                <w:noProof/>
                <w:sz w:val="20"/>
                <w:szCs w:val="20"/>
              </w:rPr>
            </w:pPr>
          </w:p>
        </w:tc>
        <w:tc>
          <w:tcPr>
            <w:tcW w:w="1985" w:type="dxa"/>
            <w:vMerge/>
            <w:shd w:val="clear" w:color="auto" w:fill="auto"/>
          </w:tcPr>
          <w:p>
            <w:pPr>
              <w:spacing w:before="60" w:after="60"/>
              <w:rPr>
                <w:noProof/>
                <w:sz w:val="20"/>
                <w:szCs w:val="20"/>
              </w:rPr>
            </w:pPr>
          </w:p>
        </w:tc>
        <w:tc>
          <w:tcPr>
            <w:tcW w:w="2120" w:type="dxa"/>
            <w:shd w:val="clear" w:color="auto" w:fill="auto"/>
          </w:tcPr>
          <w:p>
            <w:pPr>
              <w:spacing w:before="60" w:after="60"/>
              <w:rPr>
                <w:noProof/>
                <w:sz w:val="20"/>
                <w:szCs w:val="20"/>
              </w:rPr>
            </w:pPr>
            <w:r>
              <w:rPr>
                <w:i/>
                <w:iCs/>
                <w:noProof/>
                <w:sz w:val="20"/>
                <w:szCs w:val="20"/>
              </w:rPr>
              <w:t>L</w:t>
            </w:r>
            <w:r>
              <w:rPr>
                <w:noProof/>
                <w:sz w:val="20"/>
                <w:szCs w:val="20"/>
              </w:rPr>
              <w:t xml:space="preserve"> = codend length</w:t>
            </w:r>
          </w:p>
        </w:tc>
        <w:tc>
          <w:tcPr>
            <w:tcW w:w="1394" w:type="dxa"/>
            <w:shd w:val="clear" w:color="auto" w:fill="auto"/>
          </w:tcPr>
          <w:p>
            <w:pPr>
              <w:spacing w:before="60" w:after="60"/>
              <w:rPr>
                <w:noProof/>
                <w:sz w:val="20"/>
                <w:szCs w:val="20"/>
              </w:rPr>
            </w:pPr>
            <w:r>
              <w:rPr>
                <w:noProof/>
                <w:sz w:val="20"/>
                <w:szCs w:val="20"/>
              </w:rPr>
              <w:t>Haul</w:t>
            </w:r>
            <w:r>
              <w:rPr>
                <w:noProof/>
                <w:sz w:val="20"/>
                <w:szCs w:val="20"/>
              </w:rPr>
              <w:noBreakHyphen/>
              <w:t>specific</w:t>
            </w:r>
          </w:p>
        </w:tc>
        <w:tc>
          <w:tcPr>
            <w:tcW w:w="2177" w:type="dxa"/>
            <w:shd w:val="clear" w:color="auto" w:fill="auto"/>
          </w:tcPr>
          <w:p>
            <w:pPr>
              <w:spacing w:before="60" w:after="60"/>
              <w:rPr>
                <w:noProof/>
                <w:sz w:val="20"/>
                <w:szCs w:val="20"/>
              </w:rPr>
            </w:pPr>
            <w:r>
              <w:rPr>
                <w:noProof/>
                <w:sz w:val="20"/>
                <w:szCs w:val="20"/>
              </w:rPr>
              <w:t>Direct observation</w:t>
            </w:r>
          </w:p>
        </w:tc>
        <w:tc>
          <w:tcPr>
            <w:tcW w:w="794" w:type="dxa"/>
            <w:shd w:val="clear" w:color="auto" w:fill="auto"/>
          </w:tcPr>
          <w:p>
            <w:pPr>
              <w:spacing w:before="60" w:after="60"/>
              <w:rPr>
                <w:noProof/>
                <w:sz w:val="20"/>
                <w:szCs w:val="20"/>
              </w:rPr>
            </w:pPr>
            <w:r>
              <w:rPr>
                <w:noProof/>
                <w:sz w:val="20"/>
                <w:szCs w:val="20"/>
              </w:rPr>
              <w:t>m</w:t>
            </w:r>
          </w:p>
        </w:tc>
      </w:tr>
      <w:tr>
        <w:trPr>
          <w:trHeight w:val="263"/>
        </w:trPr>
        <w:tc>
          <w:tcPr>
            <w:tcW w:w="1384" w:type="dxa"/>
            <w:shd w:val="clear" w:color="auto" w:fill="auto"/>
          </w:tcPr>
          <w:p>
            <w:pPr>
              <w:spacing w:before="60" w:after="60"/>
              <w:rPr>
                <w:noProof/>
                <w:sz w:val="20"/>
                <w:szCs w:val="20"/>
              </w:rPr>
            </w:pPr>
            <w:r>
              <w:rPr>
                <w:noProof/>
                <w:sz w:val="20"/>
                <w:szCs w:val="20"/>
              </w:rPr>
              <w:t>Other</w:t>
            </w:r>
          </w:p>
        </w:tc>
        <w:tc>
          <w:tcPr>
            <w:tcW w:w="1985" w:type="dxa"/>
            <w:shd w:val="clear" w:color="auto" w:fill="auto"/>
          </w:tcPr>
          <w:p>
            <w:pPr>
              <w:spacing w:before="60" w:after="60"/>
              <w:rPr>
                <w:noProof/>
                <w:sz w:val="20"/>
                <w:szCs w:val="20"/>
              </w:rPr>
            </w:pPr>
            <w:r>
              <w:rPr>
                <w:noProof/>
                <w:sz w:val="20"/>
                <w:szCs w:val="20"/>
              </w:rPr>
              <w:t>Please specify</w:t>
            </w:r>
          </w:p>
        </w:tc>
        <w:tc>
          <w:tcPr>
            <w:tcW w:w="2120" w:type="dxa"/>
            <w:shd w:val="clear" w:color="auto" w:fill="auto"/>
          </w:tcPr>
          <w:p>
            <w:pPr>
              <w:spacing w:before="60" w:after="60"/>
              <w:rPr>
                <w:noProof/>
                <w:sz w:val="20"/>
                <w:szCs w:val="20"/>
              </w:rPr>
            </w:pPr>
          </w:p>
        </w:tc>
        <w:tc>
          <w:tcPr>
            <w:tcW w:w="1394" w:type="dxa"/>
            <w:shd w:val="clear" w:color="auto" w:fill="auto"/>
          </w:tcPr>
          <w:p>
            <w:pPr>
              <w:spacing w:before="60" w:after="60"/>
              <w:rPr>
                <w:noProof/>
                <w:sz w:val="20"/>
                <w:szCs w:val="20"/>
              </w:rPr>
            </w:pPr>
          </w:p>
        </w:tc>
        <w:tc>
          <w:tcPr>
            <w:tcW w:w="2177" w:type="dxa"/>
            <w:shd w:val="clear" w:color="auto" w:fill="auto"/>
          </w:tcPr>
          <w:p>
            <w:pPr>
              <w:spacing w:before="60" w:after="60"/>
              <w:rPr>
                <w:noProof/>
                <w:sz w:val="20"/>
                <w:szCs w:val="20"/>
              </w:rPr>
            </w:pPr>
          </w:p>
        </w:tc>
        <w:tc>
          <w:tcPr>
            <w:tcW w:w="794" w:type="dxa"/>
            <w:shd w:val="clear" w:color="auto" w:fill="auto"/>
          </w:tcPr>
          <w:p>
            <w:pPr>
              <w:spacing w:before="60" w:after="60"/>
              <w:rPr>
                <w:noProof/>
                <w:sz w:val="20"/>
                <w:szCs w:val="20"/>
              </w:rPr>
            </w:pPr>
          </w:p>
        </w:tc>
      </w:tr>
      <w:tr>
        <w:trPr>
          <w:trHeight w:val="263"/>
        </w:trPr>
        <w:tc>
          <w:tcPr>
            <w:tcW w:w="9854" w:type="dxa"/>
            <w:gridSpan w:val="6"/>
            <w:shd w:val="clear" w:color="auto" w:fill="auto"/>
          </w:tcPr>
          <w:p>
            <w:pPr>
              <w:spacing w:before="0" w:after="0"/>
              <w:ind w:left="567" w:hanging="567"/>
              <w:rPr>
                <w:noProof/>
              </w:rPr>
            </w:pPr>
            <w:r>
              <w:rPr>
                <w:b/>
                <w:bCs/>
                <w:noProof/>
                <w:vertAlign w:val="superscript"/>
              </w:rPr>
              <w:t>(1)</w:t>
            </w:r>
            <w:r>
              <w:rPr>
                <w:noProof/>
              </w:rPr>
              <w:tab/>
              <w:t>Individual haul when using a conventional trawl, or integrated over a six</w:t>
            </w:r>
            <w:r>
              <w:rPr>
                <w:noProof/>
              </w:rPr>
              <w:noBreakHyphen/>
              <w:t>hour period when using the continuous fishing system.</w:t>
            </w:r>
          </w:p>
          <w:p>
            <w:pPr>
              <w:spacing w:before="0" w:after="0"/>
              <w:ind w:left="567" w:hanging="567"/>
              <w:rPr>
                <w:noProof/>
              </w:rPr>
            </w:pPr>
            <w:r>
              <w:rPr>
                <w:b/>
                <w:bCs/>
                <w:noProof/>
                <w:vertAlign w:val="superscript"/>
              </w:rPr>
              <w:t>(2)</w:t>
            </w:r>
            <w:r>
              <w:rPr>
                <w:noProof/>
              </w:rPr>
              <w:tab/>
              <w:t>Individual haul when using a conventional trawl, or a two</w:t>
            </w:r>
            <w:r>
              <w:rPr>
                <w:noProof/>
              </w:rPr>
              <w:noBreakHyphen/>
              <w:t>hour period when using the continuous fishing system.</w:t>
            </w:r>
          </w:p>
        </w:tc>
      </w:tr>
    </w:tbl>
    <w:p>
      <w:pPr>
        <w:rPr>
          <w:rFonts w:eastAsia="Calibri"/>
          <w:noProof/>
        </w:rPr>
      </w:pPr>
    </w:p>
    <w:p>
      <w:pPr>
        <w:rPr>
          <w:rFonts w:eastAsia="Calibri"/>
          <w:noProof/>
        </w:rPr>
      </w:pPr>
      <w:r>
        <w:rPr>
          <w:rFonts w:eastAsia="Calibri"/>
          <w:noProof/>
        </w:rPr>
        <w:br w:type="page"/>
      </w:r>
      <w:r>
        <w:rPr>
          <w:rFonts w:eastAsia="Calibri"/>
          <w:noProof/>
        </w:rPr>
        <w:lastRenderedPageBreak/>
        <w:t>Observation steps and frequency</w:t>
      </w:r>
    </w:p>
    <w:tbl>
      <w:tblPr>
        <w:tblW w:w="0" w:type="auto"/>
        <w:tblLook w:val="04A0" w:firstRow="1" w:lastRow="0" w:firstColumn="1" w:lastColumn="0" w:noHBand="0" w:noVBand="1"/>
      </w:tblPr>
      <w:tblGrid>
        <w:gridCol w:w="3085"/>
        <w:gridCol w:w="6769"/>
      </w:tblGrid>
      <w:tr>
        <w:tc>
          <w:tcPr>
            <w:tcW w:w="9854" w:type="dxa"/>
            <w:gridSpan w:val="2"/>
            <w:shd w:val="clear" w:color="auto" w:fill="auto"/>
          </w:tcPr>
          <w:p>
            <w:pPr>
              <w:spacing w:before="60" w:after="60"/>
              <w:rPr>
                <w:rFonts w:eastAsia="Calibri"/>
                <w:noProof/>
              </w:rPr>
            </w:pPr>
            <w:r>
              <w:rPr>
                <w:rFonts w:eastAsia="Calibri"/>
                <w:noProof/>
              </w:rPr>
              <w:t>Holding tank volume</w:t>
            </w:r>
          </w:p>
        </w:tc>
      </w:tr>
      <w:tr>
        <w:tc>
          <w:tcPr>
            <w:tcW w:w="3085" w:type="dxa"/>
            <w:shd w:val="clear" w:color="auto" w:fill="auto"/>
          </w:tcPr>
          <w:p>
            <w:pPr>
              <w:spacing w:before="60" w:after="60"/>
              <w:rPr>
                <w:rFonts w:eastAsia="Calibri"/>
                <w:noProof/>
              </w:rPr>
            </w:pPr>
            <w:r>
              <w:rPr>
                <w:rFonts w:eastAsia="Calibri"/>
                <w:noProof/>
              </w:rPr>
              <w:t>At the start of fishing</w:t>
            </w:r>
          </w:p>
        </w:tc>
        <w:tc>
          <w:tcPr>
            <w:tcW w:w="6769" w:type="dxa"/>
            <w:shd w:val="clear" w:color="auto" w:fill="auto"/>
          </w:tcPr>
          <w:p>
            <w:pPr>
              <w:spacing w:before="60" w:after="60"/>
              <w:rPr>
                <w:rFonts w:eastAsia="Calibri"/>
                <w:noProof/>
              </w:rPr>
            </w:pPr>
            <w:r>
              <w:rPr>
                <w:rFonts w:eastAsia="Calibri"/>
                <w:noProof/>
              </w:rPr>
              <w:t>Measure the width and length of the holding tank (if the tank is not rectangular in shape, then additional measurements may be required; precision ±0,05 m)</w:t>
            </w:r>
          </w:p>
        </w:tc>
      </w:tr>
      <w:tr>
        <w:tc>
          <w:tcPr>
            <w:tcW w:w="3085" w:type="dxa"/>
            <w:shd w:val="clear" w:color="auto" w:fill="auto"/>
          </w:tcPr>
          <w:p>
            <w:pPr>
              <w:spacing w:before="60" w:after="60"/>
              <w:rPr>
                <w:rFonts w:eastAsia="Calibri"/>
                <w:noProof/>
              </w:rPr>
            </w:pPr>
            <w:r>
              <w:rPr>
                <w:rFonts w:eastAsia="Calibri"/>
                <w:noProof/>
              </w:rPr>
              <w:t>Every month</w:t>
            </w:r>
            <w:r>
              <w:rPr>
                <w:rFonts w:eastAsia="Calibri"/>
                <w:b/>
                <w:bCs/>
                <w:noProof/>
                <w:vertAlign w:val="superscript"/>
              </w:rPr>
              <w:t>(1)</w:t>
            </w:r>
          </w:p>
        </w:tc>
        <w:tc>
          <w:tcPr>
            <w:tcW w:w="6769" w:type="dxa"/>
            <w:shd w:val="clear" w:color="auto" w:fill="auto"/>
          </w:tcPr>
          <w:p>
            <w:pPr>
              <w:spacing w:before="60" w:after="60"/>
              <w:rPr>
                <w:rFonts w:eastAsia="Calibri"/>
                <w:noProof/>
              </w:rPr>
            </w:pPr>
            <w:r>
              <w:rPr>
                <w:rFonts w:eastAsia="Calibri"/>
                <w:noProof/>
              </w:rPr>
              <w:t>Estimate the volume</w:t>
            </w:r>
            <w:r>
              <w:rPr>
                <w:rFonts w:eastAsia="Calibri"/>
                <w:noProof/>
              </w:rPr>
              <w:noBreakHyphen/>
              <w:t>to</w:t>
            </w:r>
            <w:r>
              <w:rPr>
                <w:rFonts w:eastAsia="Calibri"/>
                <w:noProof/>
              </w:rPr>
              <w:noBreakHyphen/>
              <w:t>mass conversion derived from the drained mass of krill in a known volume (e.g. 10 litres) taken from the holding tank</w:t>
            </w:r>
          </w:p>
        </w:tc>
      </w:tr>
      <w:tr>
        <w:tc>
          <w:tcPr>
            <w:tcW w:w="3085" w:type="dxa"/>
            <w:vMerge w:val="restart"/>
            <w:shd w:val="clear" w:color="auto" w:fill="auto"/>
          </w:tcPr>
          <w:p>
            <w:pPr>
              <w:spacing w:before="60" w:after="60"/>
              <w:rPr>
                <w:rFonts w:eastAsia="Calibri"/>
                <w:noProof/>
              </w:rPr>
            </w:pPr>
            <w:r>
              <w:rPr>
                <w:rFonts w:eastAsia="Calibri"/>
                <w:noProof/>
              </w:rPr>
              <w:t>Every haul</w:t>
            </w:r>
          </w:p>
        </w:tc>
        <w:tc>
          <w:tcPr>
            <w:tcW w:w="6769" w:type="dxa"/>
            <w:shd w:val="clear" w:color="auto" w:fill="auto"/>
          </w:tcPr>
          <w:p>
            <w:pPr>
              <w:spacing w:before="60" w:after="60"/>
              <w:rPr>
                <w:rFonts w:eastAsia="Calibri"/>
                <w:noProof/>
              </w:rPr>
            </w:pPr>
            <w:r>
              <w:rPr>
                <w:rFonts w:eastAsia="Calibri"/>
                <w:noProof/>
              </w:rPr>
              <w:t>Measure the depth of krill in the tank (if krill are held in the tank between hauls, then measure the difference in depth; precision ±0,1 m)</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Estimate the green weight of krill caught (using equation)</w:t>
            </w:r>
          </w:p>
        </w:tc>
      </w:tr>
      <w:tr>
        <w:tc>
          <w:tcPr>
            <w:tcW w:w="9854" w:type="dxa"/>
            <w:gridSpan w:val="2"/>
            <w:shd w:val="clear" w:color="auto" w:fill="auto"/>
          </w:tcPr>
          <w:p>
            <w:pPr>
              <w:spacing w:before="60" w:after="60"/>
              <w:rPr>
                <w:rFonts w:eastAsia="Calibri"/>
                <w:noProof/>
              </w:rPr>
            </w:pPr>
            <w:r>
              <w:rPr>
                <w:rFonts w:eastAsia="Calibri"/>
                <w:noProof/>
              </w:rPr>
              <w:t xml:space="preserve">Flow meter </w:t>
            </w:r>
            <w:r>
              <w:rPr>
                <w:rFonts w:eastAsia="Calibri"/>
                <w:b/>
                <w:bCs/>
                <w:noProof/>
                <w:vertAlign w:val="superscript"/>
              </w:rPr>
              <w:t>(1)</w:t>
            </w:r>
          </w:p>
        </w:tc>
      </w:tr>
      <w:tr>
        <w:tc>
          <w:tcPr>
            <w:tcW w:w="3085" w:type="dxa"/>
            <w:shd w:val="clear" w:color="auto" w:fill="auto"/>
          </w:tcPr>
          <w:p>
            <w:pPr>
              <w:spacing w:before="60" w:after="60"/>
              <w:rPr>
                <w:rFonts w:eastAsia="Calibri"/>
                <w:noProof/>
              </w:rPr>
            </w:pPr>
            <w:r>
              <w:rPr>
                <w:rFonts w:eastAsia="Calibri"/>
                <w:noProof/>
              </w:rPr>
              <w:t>Prior to fishing</w:t>
            </w:r>
          </w:p>
        </w:tc>
        <w:tc>
          <w:tcPr>
            <w:tcW w:w="6769" w:type="dxa"/>
            <w:shd w:val="clear" w:color="auto" w:fill="auto"/>
          </w:tcPr>
          <w:p>
            <w:pPr>
              <w:spacing w:before="60" w:after="60"/>
              <w:rPr>
                <w:rFonts w:eastAsia="Calibri"/>
                <w:noProof/>
              </w:rPr>
            </w:pPr>
            <w:r>
              <w:rPr>
                <w:rFonts w:eastAsia="Calibri"/>
                <w:noProof/>
              </w:rPr>
              <w:t>Ensure that the flow meter is measuring whole krill (i.e. prior to processing)</w:t>
            </w:r>
          </w:p>
        </w:tc>
      </w:tr>
      <w:tr>
        <w:tc>
          <w:tcPr>
            <w:tcW w:w="3085" w:type="dxa"/>
            <w:shd w:val="clear" w:color="auto" w:fill="auto"/>
          </w:tcPr>
          <w:p>
            <w:pPr>
              <w:spacing w:before="60" w:after="60"/>
              <w:rPr>
                <w:rFonts w:eastAsia="Calibri"/>
                <w:noProof/>
              </w:rPr>
            </w:pPr>
            <w:r>
              <w:rPr>
                <w:rFonts w:eastAsia="Calibri"/>
                <w:noProof/>
              </w:rPr>
              <w:t xml:space="preserve">More than once per month </w:t>
            </w:r>
            <w:r>
              <w:rPr>
                <w:rFonts w:eastAsia="Calibri"/>
                <w:b/>
                <w:bCs/>
                <w:noProof/>
                <w:vertAlign w:val="superscript"/>
              </w:rPr>
              <w:t>(1)</w:t>
            </w:r>
          </w:p>
        </w:tc>
        <w:tc>
          <w:tcPr>
            <w:tcW w:w="6769" w:type="dxa"/>
            <w:shd w:val="clear" w:color="auto" w:fill="auto"/>
          </w:tcPr>
          <w:p>
            <w:pPr>
              <w:spacing w:before="60" w:after="60"/>
              <w:rPr>
                <w:rFonts w:eastAsia="Calibri"/>
                <w:noProof/>
              </w:rPr>
            </w:pPr>
            <w:r>
              <w:rPr>
                <w:rFonts w:eastAsia="Calibri"/>
                <w:noProof/>
              </w:rPr>
              <w:t>Estimate the volume</w:t>
            </w:r>
            <w:r>
              <w:rPr>
                <w:rFonts w:eastAsia="Calibri"/>
                <w:noProof/>
              </w:rPr>
              <w:noBreakHyphen/>
              <w:t>to</w:t>
            </w:r>
            <w:r>
              <w:rPr>
                <w:rFonts w:eastAsia="Calibri"/>
                <w:noProof/>
              </w:rPr>
              <w:noBreakHyphen/>
              <w:t xml:space="preserve">mass conversion </w:t>
            </w:r>
            <w:r>
              <w:rPr>
                <w:rFonts w:eastAsia="Calibri" w:hint="eastAsia"/>
                <w:noProof/>
              </w:rPr>
              <w:t>(</w:t>
            </w:r>
            <w:r>
              <w:rPr>
                <w:rFonts w:eastAsia="Calibri"/>
                <w:noProof/>
              </w:rPr>
              <w:t>ρ</w:t>
            </w:r>
            <w:r>
              <w:rPr>
                <w:rFonts w:eastAsia="Calibri" w:hint="eastAsia"/>
                <w:noProof/>
              </w:rPr>
              <w:t>)</w:t>
            </w:r>
            <w:r>
              <w:rPr>
                <w:rFonts w:eastAsia="Calibri"/>
                <w:noProof/>
              </w:rPr>
              <w:t xml:space="preserve"> derived from the drained mass of krill in a known volume (e.g. 10 litres) taken from the flow meter</w:t>
            </w:r>
          </w:p>
        </w:tc>
      </w:tr>
      <w:tr>
        <w:tc>
          <w:tcPr>
            <w:tcW w:w="3085" w:type="dxa"/>
            <w:vMerge w:val="restart"/>
            <w:shd w:val="clear" w:color="auto" w:fill="auto"/>
          </w:tcPr>
          <w:p>
            <w:pPr>
              <w:spacing w:before="60" w:after="60"/>
              <w:rPr>
                <w:rFonts w:eastAsia="Calibri"/>
                <w:noProof/>
              </w:rPr>
            </w:pPr>
            <w:r>
              <w:rPr>
                <w:rFonts w:eastAsia="Calibri"/>
                <w:noProof/>
              </w:rPr>
              <w:t xml:space="preserve">Every haul </w:t>
            </w:r>
            <w:r>
              <w:rPr>
                <w:rFonts w:eastAsia="Calibri"/>
                <w:b/>
                <w:bCs/>
                <w:noProof/>
                <w:vertAlign w:val="superscript"/>
              </w:rPr>
              <w:t>(2)</w:t>
            </w:r>
          </w:p>
        </w:tc>
        <w:tc>
          <w:tcPr>
            <w:tcW w:w="6769" w:type="dxa"/>
            <w:shd w:val="clear" w:color="auto" w:fill="auto"/>
          </w:tcPr>
          <w:p>
            <w:pPr>
              <w:spacing w:before="60" w:after="60"/>
              <w:rPr>
                <w:rFonts w:eastAsia="Calibri"/>
                <w:noProof/>
              </w:rPr>
            </w:pPr>
            <w:r>
              <w:rPr>
                <w:rFonts w:eastAsia="Calibri"/>
                <w:noProof/>
              </w:rPr>
              <w:t>Obtain a sample from the flow meter and:</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measure the volume (e.g. 10 litres) of krill and water combined</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estimate the flow meter volume correction derived from the drained volume of krill</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Estimate the green weight of krill caught (using equation)</w:t>
            </w:r>
          </w:p>
        </w:tc>
      </w:tr>
      <w:tr>
        <w:tc>
          <w:tcPr>
            <w:tcW w:w="9854" w:type="dxa"/>
            <w:gridSpan w:val="2"/>
            <w:shd w:val="clear" w:color="auto" w:fill="auto"/>
          </w:tcPr>
          <w:p>
            <w:pPr>
              <w:pageBreakBefore/>
              <w:spacing w:before="60" w:after="60"/>
              <w:rPr>
                <w:rFonts w:eastAsia="Calibri"/>
                <w:noProof/>
              </w:rPr>
            </w:pPr>
            <w:r>
              <w:rPr>
                <w:rFonts w:eastAsia="Calibri"/>
                <w:noProof/>
              </w:rPr>
              <w:lastRenderedPageBreak/>
              <w:t>Flow meter</w:t>
            </w:r>
            <w:r>
              <w:rPr>
                <w:rFonts w:eastAsia="Calibri" w:hint="eastAsia"/>
                <w:noProof/>
              </w:rPr>
              <w:t xml:space="preserve"> </w:t>
            </w:r>
            <w:r>
              <w:rPr>
                <w:rFonts w:eastAsia="Calibri" w:hint="eastAsia"/>
                <w:b/>
                <w:bCs/>
                <w:noProof/>
                <w:vertAlign w:val="superscript"/>
              </w:rPr>
              <w:t>(2)</w:t>
            </w:r>
          </w:p>
        </w:tc>
      </w:tr>
      <w:tr>
        <w:tc>
          <w:tcPr>
            <w:tcW w:w="3085" w:type="dxa"/>
            <w:shd w:val="clear" w:color="auto" w:fill="auto"/>
          </w:tcPr>
          <w:p>
            <w:pPr>
              <w:spacing w:before="60" w:after="60"/>
              <w:rPr>
                <w:rFonts w:eastAsia="Calibri"/>
                <w:noProof/>
              </w:rPr>
            </w:pPr>
            <w:r>
              <w:rPr>
                <w:rFonts w:eastAsia="Calibri"/>
                <w:noProof/>
              </w:rPr>
              <w:t>Prior to fishing</w:t>
            </w:r>
          </w:p>
        </w:tc>
        <w:tc>
          <w:tcPr>
            <w:tcW w:w="6769" w:type="dxa"/>
            <w:shd w:val="clear" w:color="auto" w:fill="auto"/>
          </w:tcPr>
          <w:p>
            <w:pPr>
              <w:spacing w:before="60" w:after="60"/>
              <w:rPr>
                <w:rFonts w:eastAsia="Calibri"/>
                <w:noProof/>
              </w:rPr>
            </w:pPr>
            <w:r>
              <w:rPr>
                <w:rFonts w:eastAsia="Calibri"/>
                <w:noProof/>
              </w:rPr>
              <w:t xml:space="preserve">Ensure that </w:t>
            </w:r>
            <w:r>
              <w:rPr>
                <w:rFonts w:eastAsia="Calibri" w:hint="eastAsia"/>
                <w:noProof/>
              </w:rPr>
              <w:t xml:space="preserve">both </w:t>
            </w:r>
            <w:r>
              <w:rPr>
                <w:rFonts w:eastAsia="Calibri"/>
                <w:noProof/>
              </w:rPr>
              <w:t>flow meter</w:t>
            </w:r>
            <w:r>
              <w:rPr>
                <w:rFonts w:eastAsia="Calibri" w:hint="eastAsia"/>
                <w:noProof/>
              </w:rPr>
              <w:t xml:space="preserve">s (one for the krill product and one for the water added) are calibrated </w:t>
            </w:r>
            <w:r>
              <w:rPr>
                <w:rFonts w:eastAsia="Calibri"/>
                <w:noProof/>
              </w:rPr>
              <w:t>(i.e.</w:t>
            </w:r>
            <w:r>
              <w:rPr>
                <w:rFonts w:eastAsia="Calibri" w:hint="eastAsia"/>
                <w:noProof/>
              </w:rPr>
              <w:t xml:space="preserve"> show the same, correct reading</w:t>
            </w:r>
            <w:r>
              <w:rPr>
                <w:rFonts w:eastAsia="Calibri"/>
                <w:noProof/>
              </w:rPr>
              <w:t>)</w:t>
            </w:r>
          </w:p>
        </w:tc>
      </w:tr>
      <w:tr>
        <w:tc>
          <w:tcPr>
            <w:tcW w:w="3085" w:type="dxa"/>
            <w:shd w:val="clear" w:color="auto" w:fill="auto"/>
          </w:tcPr>
          <w:p>
            <w:pPr>
              <w:spacing w:before="60" w:after="60"/>
              <w:rPr>
                <w:rFonts w:eastAsia="Calibri"/>
                <w:noProof/>
              </w:rPr>
            </w:pPr>
            <w:r>
              <w:rPr>
                <w:rFonts w:eastAsia="Calibri"/>
                <w:noProof/>
              </w:rPr>
              <w:t xml:space="preserve">Every week </w:t>
            </w:r>
            <w:r>
              <w:rPr>
                <w:rFonts w:eastAsia="Calibri"/>
                <w:b/>
                <w:bCs/>
                <w:noProof/>
                <w:vertAlign w:val="superscript"/>
              </w:rPr>
              <w:t>(1)</w:t>
            </w:r>
          </w:p>
        </w:tc>
        <w:tc>
          <w:tcPr>
            <w:tcW w:w="6769" w:type="dxa"/>
            <w:shd w:val="clear" w:color="auto" w:fill="auto"/>
          </w:tcPr>
          <w:p>
            <w:pPr>
              <w:spacing w:before="60" w:after="60"/>
              <w:rPr>
                <w:rFonts w:eastAsia="Calibri"/>
                <w:noProof/>
              </w:rPr>
            </w:pPr>
            <w:r>
              <w:rPr>
                <w:rFonts w:eastAsia="Calibri" w:hint="eastAsia"/>
                <w:noProof/>
              </w:rPr>
              <w:t>Estimate the density (</w:t>
            </w:r>
            <w:r>
              <w:rPr>
                <w:rFonts w:eastAsia="Calibri"/>
                <w:noProof/>
              </w:rPr>
              <w:t>ρ</w:t>
            </w:r>
            <w:r>
              <w:rPr>
                <w:rFonts w:eastAsia="Calibri" w:hint="eastAsia"/>
                <w:noProof/>
              </w:rPr>
              <w:t>) of the krill product (</w:t>
            </w:r>
            <w:r>
              <w:rPr>
                <w:rFonts w:eastAsia="Calibri"/>
                <w:noProof/>
              </w:rPr>
              <w:t>ground krill paste</w:t>
            </w:r>
            <w:r>
              <w:rPr>
                <w:rFonts w:eastAsia="Calibri" w:hint="eastAsia"/>
                <w:noProof/>
              </w:rPr>
              <w:t xml:space="preserve">) </w:t>
            </w:r>
            <w:r>
              <w:rPr>
                <w:rFonts w:eastAsia="Calibri"/>
                <w:noProof/>
              </w:rPr>
              <w:t xml:space="preserve">by measuring </w:t>
            </w:r>
            <w:r>
              <w:rPr>
                <w:rFonts w:eastAsia="Calibri" w:hint="eastAsia"/>
                <w:noProof/>
              </w:rPr>
              <w:t xml:space="preserve">the mass of a known volume </w:t>
            </w:r>
            <w:r>
              <w:rPr>
                <w:rFonts w:eastAsia="Calibri"/>
                <w:noProof/>
              </w:rPr>
              <w:t xml:space="preserve">of krill product </w:t>
            </w:r>
            <w:r>
              <w:rPr>
                <w:rFonts w:eastAsia="Calibri" w:hint="eastAsia"/>
                <w:noProof/>
              </w:rPr>
              <w:t>(</w:t>
            </w:r>
            <w:r>
              <w:rPr>
                <w:rFonts w:eastAsia="Calibri"/>
                <w:noProof/>
              </w:rPr>
              <w:t>e.g. 10 litres</w:t>
            </w:r>
            <w:r>
              <w:rPr>
                <w:rFonts w:eastAsia="Calibri" w:hint="eastAsia"/>
                <w:noProof/>
              </w:rPr>
              <w:t>)</w:t>
            </w:r>
            <w:r>
              <w:rPr>
                <w:rFonts w:eastAsia="Calibri"/>
                <w:noProof/>
              </w:rPr>
              <w:t xml:space="preserve"> taken from the corresponding flow meter</w:t>
            </w:r>
          </w:p>
        </w:tc>
      </w:tr>
      <w:tr>
        <w:tc>
          <w:tcPr>
            <w:tcW w:w="3085" w:type="dxa"/>
            <w:vMerge w:val="restart"/>
            <w:shd w:val="clear" w:color="auto" w:fill="auto"/>
          </w:tcPr>
          <w:p>
            <w:pPr>
              <w:spacing w:before="60" w:after="60"/>
              <w:rPr>
                <w:rFonts w:eastAsia="Calibri"/>
                <w:noProof/>
              </w:rPr>
            </w:pPr>
            <w:r>
              <w:rPr>
                <w:rFonts w:eastAsia="Calibri" w:hint="eastAsia"/>
                <w:noProof/>
              </w:rPr>
              <w:t>Every haul</w:t>
            </w:r>
            <w:r>
              <w:rPr>
                <w:rFonts w:eastAsia="Calibri"/>
                <w:noProof/>
              </w:rPr>
              <w:t xml:space="preserve"> </w:t>
            </w:r>
            <w:r>
              <w:rPr>
                <w:rFonts w:eastAsia="Calibri"/>
                <w:b/>
                <w:bCs/>
                <w:noProof/>
                <w:vertAlign w:val="superscript"/>
              </w:rPr>
              <w:t>(</w:t>
            </w:r>
            <w:r>
              <w:rPr>
                <w:rFonts w:eastAsia="Calibri" w:hint="eastAsia"/>
                <w:b/>
                <w:bCs/>
                <w:noProof/>
                <w:vertAlign w:val="superscript"/>
              </w:rPr>
              <w:t>2</w:t>
            </w:r>
            <w:r>
              <w:rPr>
                <w:rFonts w:eastAsia="Calibri"/>
                <w:b/>
                <w:bCs/>
                <w:noProof/>
                <w:vertAlign w:val="superscript"/>
              </w:rPr>
              <w:t>)</w:t>
            </w:r>
          </w:p>
        </w:tc>
        <w:tc>
          <w:tcPr>
            <w:tcW w:w="6769" w:type="dxa"/>
            <w:shd w:val="clear" w:color="auto" w:fill="auto"/>
          </w:tcPr>
          <w:p>
            <w:pPr>
              <w:spacing w:before="60" w:after="60"/>
              <w:rPr>
                <w:rFonts w:eastAsia="Calibri"/>
                <w:noProof/>
              </w:rPr>
            </w:pPr>
            <w:r>
              <w:rPr>
                <w:rFonts w:eastAsia="Calibri" w:hint="eastAsia"/>
                <w:noProof/>
              </w:rPr>
              <w:t>Read both flow meters, and calculate the total volumes of the krill product</w:t>
            </w:r>
            <w:r>
              <w:rPr>
                <w:rFonts w:eastAsia="Calibri"/>
                <w:noProof/>
              </w:rPr>
              <w:t xml:space="preserve"> (ground krill paste) </w:t>
            </w:r>
            <w:r>
              <w:rPr>
                <w:rFonts w:eastAsia="Calibri" w:hint="eastAsia"/>
                <w:noProof/>
              </w:rPr>
              <w:t>and that of the water added</w:t>
            </w:r>
            <w:r>
              <w:rPr>
                <w:rFonts w:eastAsia="Calibri"/>
                <w:noProof/>
              </w:rPr>
              <w:t xml:space="preserve">; </w:t>
            </w:r>
            <w:r>
              <w:rPr>
                <w:rFonts w:eastAsia="Calibri" w:hint="eastAsia"/>
                <w:noProof/>
              </w:rPr>
              <w:t xml:space="preserve">density of the water is </w:t>
            </w:r>
            <w:r>
              <w:rPr>
                <w:rFonts w:eastAsia="Calibri"/>
                <w:noProof/>
              </w:rPr>
              <w:t>assumed to be 1</w:t>
            </w:r>
            <w:r>
              <w:rPr>
                <w:rFonts w:eastAsia="Calibri" w:hint="eastAsia"/>
                <w:noProof/>
              </w:rPr>
              <w:t xml:space="preserve"> kg/litr</w:t>
            </w:r>
            <w:r>
              <w:rPr>
                <w:rFonts w:eastAsia="Calibri"/>
                <w:noProof/>
              </w:rPr>
              <w:t>e</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Estimate the green weight of krill caught (using equation)</w:t>
            </w:r>
          </w:p>
        </w:tc>
      </w:tr>
      <w:tr>
        <w:tc>
          <w:tcPr>
            <w:tcW w:w="9854" w:type="dxa"/>
            <w:gridSpan w:val="2"/>
            <w:shd w:val="clear" w:color="auto" w:fill="auto"/>
          </w:tcPr>
          <w:p>
            <w:pPr>
              <w:spacing w:before="60" w:after="60"/>
              <w:rPr>
                <w:rFonts w:eastAsia="Calibri"/>
                <w:noProof/>
              </w:rPr>
            </w:pPr>
            <w:r>
              <w:rPr>
                <w:rFonts w:eastAsia="Calibri"/>
                <w:noProof/>
              </w:rPr>
              <w:t>Flow scale</w:t>
            </w:r>
          </w:p>
        </w:tc>
      </w:tr>
      <w:tr>
        <w:tc>
          <w:tcPr>
            <w:tcW w:w="3085" w:type="dxa"/>
            <w:shd w:val="clear" w:color="auto" w:fill="auto"/>
          </w:tcPr>
          <w:p>
            <w:pPr>
              <w:spacing w:before="60" w:after="60"/>
              <w:rPr>
                <w:rFonts w:eastAsia="Calibri"/>
                <w:noProof/>
              </w:rPr>
            </w:pPr>
            <w:r>
              <w:rPr>
                <w:rFonts w:eastAsia="Calibri"/>
                <w:noProof/>
              </w:rPr>
              <w:t>Prior to fishing</w:t>
            </w:r>
          </w:p>
        </w:tc>
        <w:tc>
          <w:tcPr>
            <w:tcW w:w="6769" w:type="dxa"/>
            <w:shd w:val="clear" w:color="auto" w:fill="auto"/>
          </w:tcPr>
          <w:p>
            <w:pPr>
              <w:spacing w:before="60" w:after="60"/>
              <w:rPr>
                <w:rFonts w:eastAsia="Calibri"/>
                <w:noProof/>
              </w:rPr>
            </w:pPr>
            <w:r>
              <w:rPr>
                <w:rFonts w:eastAsia="Calibri"/>
                <w:noProof/>
              </w:rPr>
              <w:t>Ensure that the flow scale is measuring whole krill (i.e. prior to processing)</w:t>
            </w:r>
          </w:p>
        </w:tc>
      </w:tr>
      <w:tr>
        <w:tc>
          <w:tcPr>
            <w:tcW w:w="3085" w:type="dxa"/>
            <w:vMerge w:val="restart"/>
            <w:shd w:val="clear" w:color="auto" w:fill="auto"/>
          </w:tcPr>
          <w:p>
            <w:pPr>
              <w:spacing w:before="60" w:after="60"/>
              <w:rPr>
                <w:rFonts w:eastAsia="Calibri"/>
                <w:noProof/>
              </w:rPr>
            </w:pPr>
            <w:r>
              <w:rPr>
                <w:rFonts w:eastAsia="Calibri"/>
                <w:noProof/>
              </w:rPr>
              <w:t xml:space="preserve">Every haul </w:t>
            </w:r>
            <w:r>
              <w:rPr>
                <w:rFonts w:eastAsia="Calibri"/>
                <w:b/>
                <w:bCs/>
                <w:noProof/>
                <w:vertAlign w:val="superscript"/>
              </w:rPr>
              <w:t>(2)</w:t>
            </w:r>
          </w:p>
        </w:tc>
        <w:tc>
          <w:tcPr>
            <w:tcW w:w="6769" w:type="dxa"/>
            <w:shd w:val="clear" w:color="auto" w:fill="auto"/>
          </w:tcPr>
          <w:p>
            <w:pPr>
              <w:spacing w:before="60" w:after="60"/>
              <w:rPr>
                <w:rFonts w:eastAsia="Calibri"/>
                <w:noProof/>
              </w:rPr>
            </w:pPr>
            <w:r>
              <w:rPr>
                <w:rFonts w:eastAsia="Calibri"/>
                <w:noProof/>
              </w:rPr>
              <w:t>Obtain a sample from the flow scale and:</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measure the mass of krill and water combined</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estimate the flow scale mass correction derived from the drained mass of krill</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Estimate the green weight of krill caught (using equation)</w:t>
            </w:r>
          </w:p>
        </w:tc>
      </w:tr>
      <w:tr>
        <w:tc>
          <w:tcPr>
            <w:tcW w:w="9854" w:type="dxa"/>
            <w:gridSpan w:val="2"/>
            <w:shd w:val="clear" w:color="auto" w:fill="auto"/>
          </w:tcPr>
          <w:p>
            <w:pPr>
              <w:spacing w:before="60" w:after="60"/>
              <w:rPr>
                <w:rFonts w:eastAsia="Calibri"/>
                <w:noProof/>
              </w:rPr>
            </w:pPr>
            <w:r>
              <w:rPr>
                <w:rFonts w:eastAsia="Calibri"/>
                <w:noProof/>
              </w:rPr>
              <w:t>Plate tray</w:t>
            </w:r>
          </w:p>
        </w:tc>
      </w:tr>
      <w:tr>
        <w:tc>
          <w:tcPr>
            <w:tcW w:w="3085" w:type="dxa"/>
            <w:shd w:val="clear" w:color="auto" w:fill="auto"/>
          </w:tcPr>
          <w:p>
            <w:pPr>
              <w:spacing w:before="60" w:after="60"/>
              <w:rPr>
                <w:rFonts w:eastAsia="Calibri"/>
                <w:noProof/>
              </w:rPr>
            </w:pPr>
            <w:r>
              <w:rPr>
                <w:rFonts w:eastAsia="Calibri"/>
                <w:noProof/>
              </w:rPr>
              <w:t>Prior to fishing</w:t>
            </w:r>
          </w:p>
        </w:tc>
        <w:tc>
          <w:tcPr>
            <w:tcW w:w="6769" w:type="dxa"/>
            <w:shd w:val="clear" w:color="auto" w:fill="auto"/>
          </w:tcPr>
          <w:p>
            <w:pPr>
              <w:spacing w:before="60" w:after="60"/>
              <w:rPr>
                <w:rFonts w:eastAsia="Calibri"/>
                <w:noProof/>
              </w:rPr>
            </w:pPr>
            <w:r>
              <w:rPr>
                <w:rFonts w:eastAsia="Calibri"/>
                <w:noProof/>
              </w:rPr>
              <w:t>Measure the mass of the tray (if trays vary in design, then measure the mass of each type; precision ±0,1 kg)</w:t>
            </w:r>
          </w:p>
        </w:tc>
      </w:tr>
      <w:tr>
        <w:tc>
          <w:tcPr>
            <w:tcW w:w="3085" w:type="dxa"/>
            <w:vMerge w:val="restart"/>
            <w:shd w:val="clear" w:color="auto" w:fill="auto"/>
          </w:tcPr>
          <w:p>
            <w:pPr>
              <w:spacing w:before="60" w:after="60"/>
              <w:rPr>
                <w:rFonts w:eastAsia="Calibri"/>
                <w:noProof/>
              </w:rPr>
            </w:pPr>
            <w:r>
              <w:rPr>
                <w:rFonts w:eastAsia="Calibri"/>
                <w:noProof/>
              </w:rPr>
              <w:t>Every haul</w:t>
            </w:r>
          </w:p>
        </w:tc>
        <w:tc>
          <w:tcPr>
            <w:tcW w:w="6769" w:type="dxa"/>
            <w:shd w:val="clear" w:color="auto" w:fill="auto"/>
          </w:tcPr>
          <w:p>
            <w:pPr>
              <w:spacing w:before="60" w:after="60"/>
              <w:rPr>
                <w:rFonts w:eastAsia="Calibri"/>
                <w:noProof/>
              </w:rPr>
            </w:pPr>
            <w:r>
              <w:rPr>
                <w:rFonts w:eastAsia="Calibri"/>
                <w:noProof/>
              </w:rPr>
              <w:t>Measure the mass of krill and tray combined (precision ±0,1 kg)</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Count the number of trays used (if trays vary in design, then count the number of trays of each type)</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Estimate the green weight of krill caught (using equation)</w:t>
            </w:r>
          </w:p>
        </w:tc>
      </w:tr>
      <w:tr>
        <w:tc>
          <w:tcPr>
            <w:tcW w:w="9854" w:type="dxa"/>
            <w:gridSpan w:val="2"/>
            <w:shd w:val="clear" w:color="auto" w:fill="auto"/>
          </w:tcPr>
          <w:p>
            <w:pPr>
              <w:pageBreakBefore/>
              <w:spacing w:before="60" w:after="60"/>
              <w:rPr>
                <w:rFonts w:eastAsia="Calibri"/>
                <w:noProof/>
              </w:rPr>
            </w:pPr>
            <w:r>
              <w:rPr>
                <w:rFonts w:eastAsia="Calibri"/>
                <w:noProof/>
              </w:rPr>
              <w:lastRenderedPageBreak/>
              <w:t>Meal conversion</w:t>
            </w:r>
          </w:p>
        </w:tc>
      </w:tr>
      <w:tr>
        <w:tc>
          <w:tcPr>
            <w:tcW w:w="3085" w:type="dxa"/>
            <w:shd w:val="clear" w:color="auto" w:fill="auto"/>
          </w:tcPr>
          <w:p>
            <w:pPr>
              <w:spacing w:before="60" w:after="60"/>
              <w:rPr>
                <w:rFonts w:eastAsia="Calibri"/>
                <w:noProof/>
              </w:rPr>
            </w:pPr>
            <w:r>
              <w:rPr>
                <w:rFonts w:eastAsia="Calibri"/>
                <w:noProof/>
              </w:rPr>
              <w:t>Every month</w:t>
            </w:r>
            <w:r>
              <w:rPr>
                <w:rFonts w:eastAsia="Calibri"/>
                <w:b/>
                <w:bCs/>
                <w:noProof/>
                <w:vertAlign w:val="superscript"/>
              </w:rPr>
              <w:t>(1)</w:t>
            </w:r>
          </w:p>
        </w:tc>
        <w:tc>
          <w:tcPr>
            <w:tcW w:w="6769" w:type="dxa"/>
            <w:shd w:val="clear" w:color="auto" w:fill="auto"/>
          </w:tcPr>
          <w:p>
            <w:pPr>
              <w:spacing w:before="60" w:after="60"/>
              <w:rPr>
                <w:rFonts w:eastAsia="Calibri"/>
                <w:noProof/>
              </w:rPr>
            </w:pPr>
            <w:r>
              <w:rPr>
                <w:rFonts w:eastAsia="Calibri"/>
                <w:noProof/>
              </w:rPr>
              <w:t>Estimate the meal to whole krill conversion by processing 1 000 to 5 000 kg (drained mass) of whole krill</w:t>
            </w:r>
          </w:p>
        </w:tc>
      </w:tr>
      <w:tr>
        <w:tc>
          <w:tcPr>
            <w:tcW w:w="3085" w:type="dxa"/>
            <w:vMerge w:val="restart"/>
            <w:shd w:val="clear" w:color="auto" w:fill="auto"/>
          </w:tcPr>
          <w:p>
            <w:pPr>
              <w:spacing w:before="60" w:after="60"/>
              <w:rPr>
                <w:rFonts w:eastAsia="Calibri"/>
                <w:noProof/>
              </w:rPr>
            </w:pPr>
            <w:r>
              <w:rPr>
                <w:rFonts w:eastAsia="Calibri"/>
                <w:noProof/>
              </w:rPr>
              <w:t>Every haul</w:t>
            </w:r>
          </w:p>
        </w:tc>
        <w:tc>
          <w:tcPr>
            <w:tcW w:w="6769" w:type="dxa"/>
            <w:shd w:val="clear" w:color="auto" w:fill="auto"/>
          </w:tcPr>
          <w:p>
            <w:pPr>
              <w:spacing w:before="60" w:after="60"/>
              <w:rPr>
                <w:rFonts w:eastAsia="Calibri"/>
                <w:noProof/>
              </w:rPr>
            </w:pPr>
            <w:r>
              <w:rPr>
                <w:rFonts w:eastAsia="Calibri"/>
                <w:noProof/>
              </w:rPr>
              <w:t>Measure the mass of meal produced</w:t>
            </w:r>
          </w:p>
        </w:tc>
      </w:tr>
      <w:tr>
        <w:tc>
          <w:tcPr>
            <w:tcW w:w="3085" w:type="dxa"/>
            <w:vMerge/>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Estimate the green weight of krill caught (using equation)</w:t>
            </w:r>
          </w:p>
        </w:tc>
      </w:tr>
      <w:tr>
        <w:tc>
          <w:tcPr>
            <w:tcW w:w="9854" w:type="dxa"/>
            <w:gridSpan w:val="2"/>
            <w:shd w:val="clear" w:color="auto" w:fill="auto"/>
          </w:tcPr>
          <w:p>
            <w:pPr>
              <w:spacing w:before="60" w:after="60"/>
              <w:rPr>
                <w:rFonts w:eastAsia="Calibri"/>
                <w:noProof/>
              </w:rPr>
            </w:pPr>
            <w:r>
              <w:rPr>
                <w:rFonts w:eastAsia="Calibri"/>
                <w:noProof/>
              </w:rPr>
              <w:t>Codend volume</w:t>
            </w:r>
          </w:p>
        </w:tc>
      </w:tr>
      <w:tr>
        <w:tc>
          <w:tcPr>
            <w:tcW w:w="3085" w:type="dxa"/>
            <w:shd w:val="clear" w:color="auto" w:fill="auto"/>
          </w:tcPr>
          <w:p>
            <w:pPr>
              <w:spacing w:before="60" w:after="60"/>
              <w:rPr>
                <w:rFonts w:eastAsia="Calibri"/>
                <w:noProof/>
              </w:rPr>
            </w:pPr>
            <w:r>
              <w:rPr>
                <w:rFonts w:eastAsia="Calibri"/>
                <w:noProof/>
              </w:rPr>
              <w:t>At the start of fishing</w:t>
            </w:r>
          </w:p>
        </w:tc>
        <w:tc>
          <w:tcPr>
            <w:tcW w:w="6769" w:type="dxa"/>
            <w:shd w:val="clear" w:color="auto" w:fill="auto"/>
          </w:tcPr>
          <w:p>
            <w:pPr>
              <w:spacing w:before="60" w:after="60"/>
              <w:rPr>
                <w:rFonts w:eastAsia="Calibri"/>
                <w:noProof/>
              </w:rPr>
            </w:pPr>
            <w:r>
              <w:rPr>
                <w:rFonts w:eastAsia="Calibri"/>
                <w:noProof/>
              </w:rPr>
              <w:t>Measure the width and height of the codend (precision ±0,1 m)</w:t>
            </w:r>
          </w:p>
        </w:tc>
      </w:tr>
      <w:tr>
        <w:tc>
          <w:tcPr>
            <w:tcW w:w="3085" w:type="dxa"/>
            <w:shd w:val="clear" w:color="auto" w:fill="auto"/>
          </w:tcPr>
          <w:p>
            <w:pPr>
              <w:spacing w:before="60" w:after="60"/>
              <w:rPr>
                <w:rFonts w:eastAsia="Calibri"/>
                <w:noProof/>
              </w:rPr>
            </w:pPr>
            <w:r>
              <w:rPr>
                <w:rFonts w:eastAsia="Calibri"/>
                <w:noProof/>
              </w:rPr>
              <w:t xml:space="preserve">Every month </w:t>
            </w:r>
            <w:r>
              <w:rPr>
                <w:rFonts w:eastAsia="Calibri"/>
                <w:b/>
                <w:bCs/>
                <w:noProof/>
                <w:vertAlign w:val="superscript"/>
              </w:rPr>
              <w:t>(1)</w:t>
            </w:r>
          </w:p>
        </w:tc>
        <w:tc>
          <w:tcPr>
            <w:tcW w:w="6769" w:type="dxa"/>
            <w:shd w:val="clear" w:color="auto" w:fill="auto"/>
          </w:tcPr>
          <w:p>
            <w:pPr>
              <w:spacing w:before="60" w:after="60"/>
              <w:rPr>
                <w:rFonts w:eastAsia="Calibri"/>
                <w:noProof/>
              </w:rPr>
            </w:pPr>
            <w:r>
              <w:rPr>
                <w:rFonts w:eastAsia="Calibri"/>
                <w:noProof/>
              </w:rPr>
              <w:t>Estimate the volume</w:t>
            </w:r>
            <w:r>
              <w:rPr>
                <w:rFonts w:eastAsia="Calibri"/>
                <w:noProof/>
              </w:rPr>
              <w:noBreakHyphen/>
              <w:t>to</w:t>
            </w:r>
            <w:r>
              <w:rPr>
                <w:rFonts w:eastAsia="Calibri"/>
                <w:noProof/>
              </w:rPr>
              <w:noBreakHyphen/>
              <w:t>mass conversion derived from the drained mass of krill in a known volume (e.g. 10 litres) taken from the codend</w:t>
            </w:r>
          </w:p>
        </w:tc>
      </w:tr>
      <w:tr>
        <w:tc>
          <w:tcPr>
            <w:tcW w:w="3085" w:type="dxa"/>
            <w:shd w:val="clear" w:color="auto" w:fill="auto"/>
          </w:tcPr>
          <w:p>
            <w:pPr>
              <w:spacing w:before="60" w:after="60"/>
              <w:rPr>
                <w:rFonts w:eastAsia="Calibri"/>
                <w:noProof/>
              </w:rPr>
            </w:pPr>
            <w:r>
              <w:rPr>
                <w:rFonts w:eastAsia="Calibri"/>
                <w:noProof/>
              </w:rPr>
              <w:t>Every haul</w:t>
            </w:r>
          </w:p>
        </w:tc>
        <w:tc>
          <w:tcPr>
            <w:tcW w:w="6769" w:type="dxa"/>
            <w:shd w:val="clear" w:color="auto" w:fill="auto"/>
          </w:tcPr>
          <w:p>
            <w:pPr>
              <w:spacing w:before="60" w:after="60"/>
              <w:rPr>
                <w:rFonts w:eastAsia="Calibri"/>
                <w:noProof/>
              </w:rPr>
            </w:pPr>
            <w:r>
              <w:rPr>
                <w:rFonts w:eastAsia="Calibri"/>
                <w:noProof/>
              </w:rPr>
              <w:t>Measure the length of codend containing krill (precision ±0,1 m)</w:t>
            </w:r>
          </w:p>
        </w:tc>
      </w:tr>
      <w:tr>
        <w:tc>
          <w:tcPr>
            <w:tcW w:w="3085" w:type="dxa"/>
            <w:shd w:val="clear" w:color="auto" w:fill="auto"/>
          </w:tcPr>
          <w:p>
            <w:pPr>
              <w:spacing w:before="60" w:after="60"/>
              <w:rPr>
                <w:rFonts w:eastAsia="Calibri"/>
                <w:noProof/>
              </w:rPr>
            </w:pPr>
          </w:p>
        </w:tc>
        <w:tc>
          <w:tcPr>
            <w:tcW w:w="6769" w:type="dxa"/>
            <w:shd w:val="clear" w:color="auto" w:fill="auto"/>
          </w:tcPr>
          <w:p>
            <w:pPr>
              <w:spacing w:before="60" w:after="60"/>
              <w:rPr>
                <w:rFonts w:eastAsia="Calibri"/>
                <w:noProof/>
              </w:rPr>
            </w:pPr>
            <w:r>
              <w:rPr>
                <w:rFonts w:eastAsia="Calibri"/>
                <w:noProof/>
              </w:rPr>
              <w:t>Estimate the green weight of krill caught (using equation)</w:t>
            </w:r>
          </w:p>
        </w:tc>
      </w:tr>
      <w:tr>
        <w:tc>
          <w:tcPr>
            <w:tcW w:w="9854" w:type="dxa"/>
            <w:gridSpan w:val="2"/>
            <w:shd w:val="clear" w:color="auto" w:fill="auto"/>
          </w:tcPr>
          <w:p>
            <w:pPr>
              <w:spacing w:before="0" w:after="0"/>
              <w:ind w:left="567" w:hanging="567"/>
              <w:rPr>
                <w:noProof/>
                <w:vertAlign w:val="superscript"/>
              </w:rPr>
            </w:pPr>
            <w:r>
              <w:rPr>
                <w:noProof/>
                <w:vertAlign w:val="superscript"/>
              </w:rPr>
              <w:t>_________________</w:t>
            </w:r>
          </w:p>
          <w:p>
            <w:pPr>
              <w:spacing w:before="0" w:after="0"/>
              <w:ind w:left="567" w:hanging="567"/>
              <w:rPr>
                <w:noProof/>
              </w:rPr>
            </w:pPr>
            <w:r>
              <w:rPr>
                <w:b/>
                <w:bCs/>
                <w:noProof/>
                <w:vertAlign w:val="superscript"/>
              </w:rPr>
              <w:t>(1)</w:t>
            </w:r>
            <w:r>
              <w:rPr>
                <w:noProof/>
              </w:rPr>
              <w:tab/>
              <w:t>A new period will commence when the vessel moves to a new subarea or division.</w:t>
            </w:r>
          </w:p>
          <w:p>
            <w:pPr>
              <w:spacing w:before="0" w:after="0"/>
              <w:ind w:left="567" w:hanging="567"/>
              <w:rPr>
                <w:noProof/>
              </w:rPr>
            </w:pPr>
            <w:r>
              <w:rPr>
                <w:b/>
                <w:bCs/>
                <w:noProof/>
                <w:vertAlign w:val="superscript"/>
              </w:rPr>
              <w:t>(2)</w:t>
            </w:r>
            <w:r>
              <w:rPr>
                <w:noProof/>
              </w:rPr>
              <w:tab/>
              <w:t>Individual haul when using a conventional trawl, or integrated over a six</w:t>
            </w:r>
            <w:r>
              <w:rPr>
                <w:noProof/>
              </w:rPr>
              <w:noBreakHyphen/>
              <w:t>hour period when using the continuous fishing system.</w:t>
            </w:r>
          </w:p>
        </w:tc>
      </w:tr>
    </w:tbl>
    <w:p>
      <w:pPr>
        <w:pStyle w:val="Lignefinal"/>
        <w:rPr>
          <w:noProof/>
        </w:rPr>
      </w:pPr>
    </w:p>
    <w:p>
      <w:pPr>
        <w:rPr>
          <w:rFonts w:eastAsia="Calibri"/>
          <w:noProof/>
        </w:rPr>
        <w:sectPr>
          <w:headerReference w:type="default" r:id="rId48"/>
          <w:footerReference w:type="default" r:id="rId49"/>
          <w:headerReference w:type="first" r:id="rId50"/>
          <w:footerReference w:type="first" r:id="rId51"/>
          <w:footnotePr>
            <w:numRestart w:val="eachPage"/>
          </w:footnotePr>
          <w:pgSz w:w="11906" w:h="16838"/>
          <w:pgMar w:top="1134" w:right="1134" w:bottom="1134" w:left="1134" w:header="709" w:footer="709" w:gutter="0"/>
          <w:cols w:space="720"/>
          <w:docGrid w:linePitch="360"/>
        </w:sectPr>
      </w:pPr>
    </w:p>
    <w:p>
      <w:pPr>
        <w:pStyle w:val="Annexetitre"/>
        <w:rPr>
          <w:rFonts w:eastAsia="Calibri"/>
          <w:noProof/>
        </w:rPr>
      </w:pPr>
      <w:r>
        <w:rPr>
          <w:rFonts w:eastAsia="Calibri"/>
          <w:noProof/>
        </w:rPr>
        <w:lastRenderedPageBreak/>
        <w:t>ANNEX VI</w:t>
      </w:r>
    </w:p>
    <w:p>
      <w:pPr>
        <w:pStyle w:val="Times"/>
        <w:jc w:val="center"/>
        <w:rPr>
          <w:rFonts w:ascii="Times New Roman" w:hAnsi="Times New Roman" w:cs="Times New Roman"/>
          <w:bCs/>
          <w:noProof/>
        </w:rPr>
      </w:pPr>
      <w:r>
        <w:rPr>
          <w:rFonts w:ascii="Times New Roman" w:hAnsi="Times New Roman" w:cs="Times New Roman"/>
          <w:b/>
          <w:bCs/>
          <w:noProof/>
        </w:rPr>
        <w:t>IOTC Convention Area</w:t>
      </w:r>
    </w:p>
    <w:p>
      <w:pPr>
        <w:pStyle w:val="Point0"/>
        <w:rPr>
          <w:rFonts w:eastAsia="Calibri"/>
          <w:noProof/>
        </w:rPr>
      </w:pPr>
      <w:r>
        <w:rPr>
          <w:rFonts w:eastAsia="Calibri"/>
          <w:noProof/>
        </w:rPr>
        <w:t>1.</w:t>
      </w:r>
      <w:r>
        <w:rPr>
          <w:rFonts w:eastAsia="Calibri"/>
          <w:noProof/>
        </w:rPr>
        <w:tab/>
        <w:t xml:space="preserve">Maximum number of </w:t>
      </w:r>
      <w:r>
        <w:rPr>
          <w:noProof/>
        </w:rPr>
        <w:t>Union</w:t>
      </w:r>
      <w:r>
        <w:rPr>
          <w:rFonts w:eastAsia="Calibri"/>
          <w:noProof/>
        </w:rPr>
        <w:t xml:space="preserve"> vessels authorised to fish for tropical tunas in the IOTC Convention Area</w:t>
      </w:r>
    </w:p>
    <w:tbl>
      <w:tblPr>
        <w:tblW w:w="5000" w:type="pct"/>
        <w:tblLook w:val="0000" w:firstRow="0" w:lastRow="0" w:firstColumn="0" w:lastColumn="0" w:noHBand="0" w:noVBand="0"/>
      </w:tblPr>
      <w:tblGrid>
        <w:gridCol w:w="3284"/>
        <w:gridCol w:w="3285"/>
        <w:gridCol w:w="3285"/>
      </w:tblGrid>
      <w:tr>
        <w:tc>
          <w:tcPr>
            <w:tcW w:w="1666"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cs="Times New Roman"/>
                <w:noProof/>
                <w:sz w:val="20"/>
                <w:szCs w:val="20"/>
              </w:rPr>
              <w:t>Member State</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cs="Times New Roman"/>
                <w:noProof/>
                <w:sz w:val="20"/>
                <w:szCs w:val="20"/>
              </w:rPr>
              <w:t>Maximum number of vessels</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cs="Times New Roman"/>
                <w:noProof/>
                <w:sz w:val="20"/>
                <w:szCs w:val="20"/>
              </w:rPr>
              <w:t>Capacity (gross tonnage)</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Spain</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22</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61 364</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France</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27</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45 383</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Portugal</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1 627</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Italy</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2 137</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Union</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55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110 511</w:t>
            </w:r>
          </w:p>
        </w:tc>
      </w:tr>
    </w:tbl>
    <w:p>
      <w:pPr>
        <w:pStyle w:val="Point0"/>
        <w:rPr>
          <w:rFonts w:eastAsia="Calibri"/>
          <w:noProof/>
        </w:rPr>
      </w:pPr>
      <w:r>
        <w:rPr>
          <w:rFonts w:eastAsia="Calibri"/>
          <w:noProof/>
        </w:rPr>
        <w:t>2.</w:t>
      </w:r>
      <w:r>
        <w:rPr>
          <w:rFonts w:eastAsia="Calibri"/>
          <w:noProof/>
        </w:rPr>
        <w:tab/>
        <w:t xml:space="preserve">Maximum number of Union </w:t>
      </w:r>
      <w:r>
        <w:rPr>
          <w:noProof/>
        </w:rPr>
        <w:t>vessels</w:t>
      </w:r>
      <w:r>
        <w:rPr>
          <w:rFonts w:eastAsia="Calibri"/>
          <w:noProof/>
        </w:rPr>
        <w:t xml:space="preserve"> authorised to fish for swordfish and albacore in the IOTC Convention Area</w:t>
      </w:r>
    </w:p>
    <w:tbl>
      <w:tblPr>
        <w:tblW w:w="5000" w:type="pct"/>
        <w:tblLook w:val="0000" w:firstRow="0" w:lastRow="0" w:firstColumn="0" w:lastColumn="0" w:noHBand="0" w:noVBand="0"/>
      </w:tblPr>
      <w:tblGrid>
        <w:gridCol w:w="3284"/>
        <w:gridCol w:w="3285"/>
        <w:gridCol w:w="3285"/>
      </w:tblGrid>
      <w:tr>
        <w:tc>
          <w:tcPr>
            <w:tcW w:w="1666"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cs="Times New Roman"/>
                <w:noProof/>
                <w:sz w:val="20"/>
                <w:szCs w:val="20"/>
              </w:rPr>
              <w:t>Member State</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cs="Times New Roman"/>
                <w:noProof/>
                <w:sz w:val="20"/>
                <w:szCs w:val="20"/>
              </w:rPr>
              <w:t>Maximum number of vessels</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cs="Times New Roman"/>
                <w:noProof/>
                <w:sz w:val="20"/>
                <w:szCs w:val="20"/>
              </w:rPr>
              <w:t>Capacity (gross tonnage)</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Spain</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cs="Times New Roman"/>
                <w:noProof/>
                <w:sz w:val="20"/>
                <w:szCs w:val="20"/>
              </w:rPr>
              <w:t>27</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cs="Times New Roman"/>
                <w:noProof/>
                <w:sz w:val="20"/>
                <w:szCs w:val="20"/>
              </w:rPr>
              <w:t>11 590</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France</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41</w:t>
            </w:r>
            <w:r>
              <w:rPr>
                <w:rFonts w:ascii="Times New Roman" w:hAnsi="Times New Roman" w:cs="Times New Roman"/>
                <w:b/>
                <w:bCs/>
                <w:noProof/>
                <w:sz w:val="20"/>
                <w:szCs w:val="20"/>
                <w:vertAlign w:val="superscript"/>
              </w:rPr>
              <w:t>(1)</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7 882</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Portugal</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15</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6 925</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United Kingdom</w:t>
            </w:r>
          </w:p>
        </w:tc>
        <w:tc>
          <w:tcPr>
            <w:tcW w:w="1667"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4</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1 400</w:t>
            </w:r>
          </w:p>
        </w:tc>
      </w:tr>
      <w:tr>
        <w:tc>
          <w:tcPr>
            <w:tcW w:w="1666" w:type="pct"/>
            <w:tcBorders>
              <w:top w:val="single" w:sz="4" w:space="0" w:color="000000"/>
              <w:left w:val="single" w:sz="4" w:space="0" w:color="000000"/>
              <w:bottom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noProof/>
                <w:sz w:val="20"/>
                <w:szCs w:val="20"/>
              </w:rPr>
              <w:t>Union</w:t>
            </w:r>
          </w:p>
        </w:tc>
        <w:tc>
          <w:tcPr>
            <w:tcW w:w="1667" w:type="pct"/>
            <w:tcBorders>
              <w:top w:val="single" w:sz="4" w:space="0" w:color="000000"/>
              <w:left w:val="single" w:sz="4" w:space="0" w:color="000000"/>
              <w:bottom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cs="Times New Roman"/>
                <w:noProof/>
                <w:sz w:val="20"/>
                <w:szCs w:val="20"/>
              </w:rPr>
              <w:t>87</w:t>
            </w:r>
          </w:p>
        </w:tc>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Times"/>
              <w:rPr>
                <w:rFonts w:ascii="Times New Roman" w:hAnsi="Times New Roman" w:cs="Times New Roman"/>
                <w:noProof/>
                <w:sz w:val="20"/>
                <w:szCs w:val="20"/>
              </w:rPr>
            </w:pPr>
            <w:r>
              <w:rPr>
                <w:rFonts w:ascii="Times New Roman" w:hAnsi="Times New Roman" w:cs="Times New Roman"/>
                <w:noProof/>
                <w:sz w:val="20"/>
                <w:szCs w:val="20"/>
              </w:rPr>
              <w:t>27 797</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pStyle w:val="Times"/>
              <w:rPr>
                <w:rFonts w:ascii="Times New Roman" w:hAnsi="Times New Roman" w:cs="Times New Roman"/>
                <w:noProof/>
                <w:sz w:val="20"/>
                <w:szCs w:val="20"/>
              </w:rPr>
            </w:pPr>
            <w:r>
              <w:rPr>
                <w:rFonts w:ascii="Times New Roman" w:hAnsi="Times New Roman" w:cs="Times New Roman"/>
                <w:b/>
                <w:bCs/>
                <w:noProof/>
                <w:sz w:val="20"/>
                <w:szCs w:val="20"/>
                <w:vertAlign w:val="superscript"/>
              </w:rPr>
              <w:t>(1)</w:t>
            </w:r>
            <w:r>
              <w:rPr>
                <w:rFonts w:ascii="Times New Roman" w:hAnsi="Times New Roman" w:cs="Times New Roman"/>
                <w:noProof/>
                <w:sz w:val="20"/>
                <w:szCs w:val="20"/>
              </w:rPr>
              <w:tab/>
              <w:t>This figure does not include vessels registered in Mayotte; it may be increased in the future in accordance with Mayotte’s fleet development plan.</w:t>
            </w:r>
          </w:p>
        </w:tc>
      </w:tr>
    </w:tbl>
    <w:p>
      <w:pPr>
        <w:pStyle w:val="Point0"/>
        <w:rPr>
          <w:rFonts w:eastAsia="Calibri"/>
          <w:noProof/>
        </w:rPr>
      </w:pPr>
      <w:r>
        <w:rPr>
          <w:rFonts w:eastAsia="Calibri"/>
          <w:noProof/>
        </w:rPr>
        <w:t>3.</w:t>
      </w:r>
      <w:r>
        <w:rPr>
          <w:rFonts w:eastAsia="Calibri"/>
          <w:noProof/>
        </w:rPr>
        <w:tab/>
        <w:t xml:space="preserve">The </w:t>
      </w:r>
      <w:r>
        <w:rPr>
          <w:noProof/>
        </w:rPr>
        <w:t>vessels</w:t>
      </w:r>
      <w:r>
        <w:rPr>
          <w:rFonts w:eastAsia="Calibri"/>
          <w:noProof/>
        </w:rPr>
        <w:t xml:space="preserve"> referred to in point 1 shall also be authorised to fish for swordfish and albacore in the IOTC Convention Area.</w:t>
      </w:r>
    </w:p>
    <w:p>
      <w:pPr>
        <w:pStyle w:val="Point0"/>
        <w:rPr>
          <w:rFonts w:eastAsia="Calibri"/>
          <w:noProof/>
        </w:rPr>
        <w:sectPr>
          <w:footnotePr>
            <w:numRestart w:val="eachPage"/>
          </w:footnotePr>
          <w:pgSz w:w="11906" w:h="16838"/>
          <w:pgMar w:top="1134" w:right="1134" w:bottom="1134" w:left="1134" w:header="709" w:footer="709" w:gutter="0"/>
          <w:cols w:space="720"/>
          <w:docGrid w:linePitch="360"/>
        </w:sectPr>
      </w:pPr>
      <w:r>
        <w:rPr>
          <w:rFonts w:eastAsia="Calibri"/>
          <w:noProof/>
        </w:rPr>
        <w:t>4.</w:t>
      </w:r>
      <w:r>
        <w:rPr>
          <w:rFonts w:eastAsia="Calibri"/>
          <w:noProof/>
        </w:rPr>
        <w:tab/>
        <w:t xml:space="preserve">The vessels </w:t>
      </w:r>
      <w:r>
        <w:rPr>
          <w:noProof/>
        </w:rPr>
        <w:t>referred</w:t>
      </w:r>
      <w:r>
        <w:rPr>
          <w:rFonts w:eastAsia="Calibri"/>
          <w:noProof/>
        </w:rPr>
        <w:t xml:space="preserve"> to in point 2 shall also be authorised to fish for tropical tunas in the IOTC Convention Area.</w:t>
      </w:r>
    </w:p>
    <w:p>
      <w:pPr>
        <w:pStyle w:val="Annexetitre"/>
        <w:rPr>
          <w:rFonts w:eastAsia="Calibri"/>
          <w:noProof/>
        </w:rPr>
      </w:pPr>
      <w:r>
        <w:rPr>
          <w:rFonts w:eastAsia="Calibri"/>
          <w:noProof/>
        </w:rPr>
        <w:lastRenderedPageBreak/>
        <w:t>ANNEX VII</w:t>
      </w:r>
    </w:p>
    <w:p>
      <w:pPr>
        <w:pStyle w:val="NormalCentered"/>
        <w:rPr>
          <w:rFonts w:eastAsia="Calibri"/>
          <w:noProof/>
        </w:rPr>
      </w:pPr>
      <w:r>
        <w:rPr>
          <w:rFonts w:eastAsia="Calibri"/>
          <w:noProof/>
        </w:rPr>
        <w:t>WCPFC CONVENTION AREA</w:t>
      </w:r>
    </w:p>
    <w:p>
      <w:pPr>
        <w:rPr>
          <w:rFonts w:eastAsia="Calibri"/>
          <w:noProof/>
        </w:rPr>
      </w:pPr>
      <w:r>
        <w:rPr>
          <w:rFonts w:eastAsia="Calibri"/>
          <w:noProof/>
        </w:rPr>
        <w:t>Maximum number of Union vessels authorised to fish for swordfish in areas south of 20° S of the WCPFC Convention Area</w:t>
      </w:r>
    </w:p>
    <w:tbl>
      <w:tblPr>
        <w:tblW w:w="5000" w:type="pct"/>
        <w:jc w:val="center"/>
        <w:tblLook w:val="0000" w:firstRow="0" w:lastRow="0" w:firstColumn="0" w:lastColumn="0" w:noHBand="0" w:noVBand="0"/>
      </w:tblPr>
      <w:tblGrid>
        <w:gridCol w:w="4927"/>
        <w:gridCol w:w="4927"/>
      </w:tblGrid>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Spain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Union</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pm</w:t>
            </w:r>
          </w:p>
        </w:tc>
      </w:tr>
    </w:tbl>
    <w:p>
      <w:pPr>
        <w:pStyle w:val="Lignefinal"/>
        <w:rPr>
          <w:noProof/>
        </w:rPr>
      </w:pPr>
    </w:p>
    <w:p>
      <w:pPr>
        <w:rPr>
          <w:noProof/>
        </w:rPr>
        <w:sectPr>
          <w:footnotePr>
            <w:numRestart w:val="eachPage"/>
          </w:footnotePr>
          <w:pgSz w:w="11906" w:h="16838"/>
          <w:pgMar w:top="1134" w:right="1134" w:bottom="1134" w:left="1134" w:header="709" w:footer="709" w:gutter="0"/>
          <w:cols w:space="720"/>
          <w:docGrid w:linePitch="360"/>
        </w:sectPr>
      </w:pPr>
    </w:p>
    <w:p>
      <w:pPr>
        <w:pStyle w:val="Annexetitre"/>
        <w:rPr>
          <w:rFonts w:eastAsia="Calibri"/>
          <w:noProof/>
        </w:rPr>
      </w:pPr>
      <w:r>
        <w:rPr>
          <w:rFonts w:eastAsia="Calibri"/>
          <w:noProof/>
        </w:rPr>
        <w:lastRenderedPageBreak/>
        <w:t>ANNEX VIII</w:t>
      </w:r>
    </w:p>
    <w:p>
      <w:pPr>
        <w:pStyle w:val="NormalCentered"/>
        <w:rPr>
          <w:rFonts w:eastAsia="Calibri"/>
          <w:noProof/>
        </w:rPr>
      </w:pPr>
      <w:r>
        <w:rPr>
          <w:rFonts w:eastAsia="Calibri"/>
          <w:noProof/>
        </w:rPr>
        <w:t>QUANTITATIVE LIMITATIONS OF FISHING AUTHORISATIONS</w:t>
      </w:r>
      <w:r>
        <w:rPr>
          <w:rFonts w:eastAsia="Calibri"/>
          <w:noProof/>
        </w:rPr>
        <w:br/>
        <w:t>FOR THIRD</w:t>
      </w:r>
      <w:r>
        <w:rPr>
          <w:rFonts w:eastAsia="Calibri"/>
          <w:noProof/>
        </w:rPr>
        <w:noBreakHyphen/>
        <w:t>COUNTRY VESSELS FISHING IN UNION WATERS</w:t>
      </w:r>
    </w:p>
    <w:tbl>
      <w:tblPr>
        <w:tblW w:w="5000" w:type="pct"/>
        <w:tblLook w:val="0000" w:firstRow="0" w:lastRow="0" w:firstColumn="0" w:lastColumn="0" w:noHBand="0" w:noVBand="0"/>
      </w:tblPr>
      <w:tblGrid>
        <w:gridCol w:w="1486"/>
        <w:gridCol w:w="3649"/>
        <w:gridCol w:w="2071"/>
        <w:gridCol w:w="2083"/>
      </w:tblGrid>
      <w:tr>
        <w:trPr>
          <w:tblHeader/>
        </w:trPr>
        <w:tc>
          <w:tcPr>
            <w:tcW w:w="80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Flag State</w:t>
            </w:r>
          </w:p>
        </w:tc>
        <w:tc>
          <w:tcPr>
            <w:tcW w:w="19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Fishery</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eastAsia="Calibri"/>
                <w:noProof/>
              </w:rPr>
            </w:pPr>
            <w:r>
              <w:rPr>
                <w:rFonts w:eastAsia="Calibri"/>
                <w:noProof/>
              </w:rPr>
              <w:t>Number of fishing authorisations</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rFonts w:eastAsia="Calibri"/>
                <w:noProof/>
              </w:rPr>
            </w:pPr>
            <w:r>
              <w:rPr>
                <w:rFonts w:eastAsia="Calibri"/>
                <w:noProof/>
              </w:rPr>
              <w:t>Maximum number of vessels present at any time</w:t>
            </w:r>
          </w:p>
        </w:tc>
      </w:tr>
      <w:tr>
        <w:tc>
          <w:tcPr>
            <w:tcW w:w="800"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Norway</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Herring, north of 62° 00' N</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To be established</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To be established</w:t>
            </w:r>
          </w:p>
        </w:tc>
      </w:tr>
      <w:tr>
        <w:tc>
          <w:tcPr>
            <w:tcW w:w="800" w:type="pct"/>
            <w:vMerge w:val="restar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Faroe Islands</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Mackerel, VIa (north of 56° 30' N), IIa, IVa (north of 59º N)</w:t>
            </w:r>
          </w:p>
          <w:p>
            <w:pPr>
              <w:spacing w:before="60" w:after="60"/>
              <w:rPr>
                <w:rFonts w:eastAsia="Calibri"/>
                <w:noProof/>
              </w:rPr>
            </w:pPr>
            <w:r>
              <w:rPr>
                <w:rFonts w:eastAsia="Calibri"/>
                <w:noProof/>
              </w:rPr>
              <w:t>Horse mackerel, IV, VIa (north of 56° 30' N), VIIe, VIIf, VIIh</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To be established</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To be established</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Herring, north of 62° 00' N</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To be established</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To be established</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Herring, IIIa</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To be established</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To be established</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Industrial fishing for Norway pout, IV, VIa (north of 56° 30' N) (including unavoidable by</w:t>
            </w:r>
            <w:r>
              <w:rPr>
                <w:rFonts w:eastAsia="Calibri"/>
                <w:noProof/>
              </w:rPr>
              <w:noBreakHyphen/>
              <w:t>catches of blue whiting)</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To be established</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To be established</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Ling and tusk</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To be established</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To be established</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Blue whiting, II, IVa, V, VIa (north of 56° 30' N), VIb, VII (west of 12° 00' W)</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To be established</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To be established</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Blue ling</w:t>
            </w:r>
          </w:p>
        </w:tc>
        <w:tc>
          <w:tcPr>
            <w:tcW w:w="1115"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To be established</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rFonts w:eastAsia="Calibri"/>
                <w:noProof/>
              </w:rPr>
            </w:pPr>
            <w:r>
              <w:rPr>
                <w:rFonts w:eastAsia="Calibri"/>
                <w:noProof/>
              </w:rPr>
              <w:t>To be established</w:t>
            </w:r>
          </w:p>
        </w:tc>
      </w:tr>
      <w:tr>
        <w:tc>
          <w:tcPr>
            <w:tcW w:w="800"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bookmarkStart w:id="4" w:name="ControlPages"/>
            <w:bookmarkEnd w:id="4"/>
            <w:r>
              <w:rPr>
                <w:rFonts w:eastAsia="Calibri"/>
                <w:noProof/>
              </w:rPr>
              <w:lastRenderedPageBreak/>
              <w:t>Venezuela</w:t>
            </w:r>
            <w:r>
              <w:rPr>
                <w:rFonts w:eastAsia="Calibri"/>
                <w:b/>
                <w:bCs/>
                <w:noProof/>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eastAsia="Calibri"/>
                <w:noProof/>
              </w:rPr>
            </w:pPr>
            <w:r>
              <w:rPr>
                <w:rFonts w:eastAsia="Calibri"/>
                <w:noProof/>
              </w:rPr>
              <w:t>Snappers (French Guiana waters)</w:t>
            </w:r>
          </w:p>
        </w:tc>
        <w:tc>
          <w:tcPr>
            <w:tcW w:w="1115" w:type="pct"/>
            <w:tcBorders>
              <w:top w:val="single" w:sz="4" w:space="0" w:color="000000"/>
              <w:left w:val="single" w:sz="4" w:space="0" w:color="000000"/>
              <w:bottom w:val="single" w:sz="4" w:space="0" w:color="000000"/>
            </w:tcBorders>
            <w:shd w:val="clear" w:color="auto" w:fill="auto"/>
          </w:tcPr>
          <w:p>
            <w:pPr>
              <w:pageBreakBefore/>
              <w:spacing w:before="60" w:after="60"/>
              <w:rPr>
                <w:rFonts w:eastAsia="Calibri"/>
                <w:noProof/>
              </w:rPr>
            </w:pPr>
            <w:r>
              <w:rPr>
                <w:rFonts w:eastAsia="Calibri"/>
                <w:noProof/>
              </w:rPr>
              <w:t>To be established</w:t>
            </w:r>
          </w:p>
        </w:tc>
        <w:tc>
          <w:tcPr>
            <w:tcW w:w="1121" w:type="pct"/>
            <w:tcBorders>
              <w:top w:val="single" w:sz="4" w:space="0" w:color="000000"/>
              <w:left w:val="single" w:sz="4" w:space="0" w:color="000000"/>
              <w:bottom w:val="single" w:sz="4" w:space="0" w:color="000000"/>
              <w:right w:val="single" w:sz="4" w:space="0" w:color="000000"/>
            </w:tcBorders>
            <w:shd w:val="clear" w:color="auto" w:fill="auto"/>
          </w:tcPr>
          <w:p>
            <w:pPr>
              <w:pageBreakBefore/>
              <w:spacing w:before="60" w:after="60"/>
              <w:rPr>
                <w:rFonts w:eastAsia="Calibri"/>
                <w:noProof/>
              </w:rPr>
            </w:pPr>
            <w:r>
              <w:rPr>
                <w:rFonts w:eastAsia="Calibri"/>
                <w:noProof/>
              </w:rPr>
              <w:t>To be established</w:t>
            </w:r>
          </w:p>
        </w:tc>
      </w:tr>
      <w:t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0" w:after="0"/>
              <w:ind w:left="567" w:hanging="567"/>
              <w:rPr>
                <w:rFonts w:eastAsia="Calibri"/>
                <w:noProof/>
              </w:rPr>
            </w:pPr>
            <w:r>
              <w:rPr>
                <w:b/>
                <w:bCs/>
                <w:noProof/>
                <w:vertAlign w:val="superscript"/>
              </w:rPr>
              <w:t>(1)</w:t>
            </w:r>
            <w:r>
              <w:rPr>
                <w:noProof/>
              </w:rPr>
              <w:tab/>
              <w:t>To issue those fishing authorisations, proof must be produced that a valid contract exists between the ship owner applying for the fishing authorisation and a processing undertaking situated in the Department of French Guiana, and that it includes an obligation to land at least 75 % of all snapper catches from the vessel concerned in that department so that they may be processed in that undertaking’s plant. Such a contract must be endorsed by the French authorities, which shall ensure that it is consistent both with the actual capacity of the contracting processing undertaking and with the objectives for the development of the Guianese economy. A copy of the duly endorsed contract shall be appended to the fishing authorisation application. Where such an endorsement is refused, the French authorities shall give notification of this refusal and state their reasons for it to the party concerned and to the Commission.</w:t>
            </w:r>
          </w:p>
        </w:tc>
      </w:tr>
    </w:tbl>
    <w:p>
      <w:pPr>
        <w:pStyle w:val="Lignefinal"/>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1954/2003 of 4 November 2003 on the management of the fishing effort relating to certain Community fishing areas and resources and modifying Regulation (EC) No 2847/93 and repealing Regulations (EC) No 685/95 and (EC) No 2027/95 (OJ L 289, 7.11.2003, p. 1).</w:t>
      </w:r>
    </w:p>
  </w:footnote>
  <w:footnote w:id="2">
    <w:p>
      <w:pPr>
        <w:pStyle w:val="FootnoteText"/>
      </w:pPr>
      <w:r>
        <w:rPr>
          <w:rStyle w:val="FootnoteReference"/>
        </w:rPr>
        <w:footnoteRef/>
      </w:r>
      <w:r>
        <w:tab/>
        <w:t>Council Regulation (EC) No 1198/2006 of 27 July 2006 on the European Fisheries Fund (OJ L 223, 15.8.2006, p. 1).</w:t>
      </w:r>
    </w:p>
  </w:footnote>
  <w:footnote w:id="3">
    <w:p>
      <w:pPr>
        <w:pStyle w:val="FootnoteText"/>
      </w:pPr>
      <w:r>
        <w:rPr>
          <w:rStyle w:val="FootnoteReference"/>
        </w:rPr>
        <w:footnoteRef/>
      </w:r>
      <w:r>
        <w:tab/>
        <w:t>Council Regulation (EC) No 744/2008 of 24 July 2008 instituting a temporary specific action aiming to promote the restructuring of the European Community fishing fleets affected by the economic crisis (OJ L 202, 31.7.2008, p. 1).</w:t>
      </w:r>
    </w:p>
  </w:footnote>
  <w:footnote w:id="4">
    <w:p>
      <w:pPr>
        <w:pStyle w:val="FootnoteText"/>
      </w:pPr>
      <w:r>
        <w:rPr>
          <w:rStyle w:val="FootnoteReference"/>
        </w:rPr>
        <w:footnoteRef/>
      </w:r>
      <w:r>
        <w:tab/>
        <w:t>Council Regulation (EC) No 199/2008 of 25 February 2008 concerning the establishment of a Community framework for the collection, management and use of data in the fisheries sector and support for scientific advice regarding the Common Fisheries Policy (OJ L 60, 5.3.2008,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5">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0"/>
  </w:num>
  <w:num w:numId="2">
    <w:abstractNumId w:val="21"/>
  </w:num>
  <w:num w:numId="3">
    <w:abstractNumId w:val="19"/>
  </w:num>
  <w:num w:numId="4">
    <w:abstractNumId w:val="22"/>
  </w:num>
  <w:num w:numId="5">
    <w:abstractNumId w:val="15"/>
  </w:num>
  <w:num w:numId="6">
    <w:abstractNumId w:val="4"/>
  </w:num>
  <w:num w:numId="7">
    <w:abstractNumId w:val="14"/>
  </w:num>
  <w:num w:numId="8">
    <w:abstractNumId w:val="11"/>
  </w:num>
  <w:num w:numId="9">
    <w:abstractNumId w:val="9"/>
  </w:num>
  <w:num w:numId="10">
    <w:abstractNumId w:val="31"/>
  </w:num>
  <w:num w:numId="11">
    <w:abstractNumId w:val="32"/>
  </w:num>
  <w:num w:numId="12">
    <w:abstractNumId w:val="16"/>
  </w:num>
  <w:num w:numId="13">
    <w:abstractNumId w:val="27"/>
  </w:num>
  <w:num w:numId="14">
    <w:abstractNumId w:val="5"/>
  </w:num>
  <w:num w:numId="15">
    <w:abstractNumId w:val="33"/>
  </w:num>
  <w:num w:numId="16">
    <w:abstractNumId w:val="10"/>
  </w:num>
  <w:num w:numId="17">
    <w:abstractNumId w:val="3"/>
  </w:num>
  <w:num w:numId="18">
    <w:abstractNumId w:val="2"/>
  </w:num>
  <w:num w:numId="19">
    <w:abstractNumId w:val="1"/>
  </w:num>
  <w:num w:numId="20">
    <w:abstractNumId w:val="0"/>
  </w:num>
  <w:num w:numId="21">
    <w:abstractNumId w:val="6"/>
  </w:num>
  <w:num w:numId="22">
    <w:abstractNumId w:val="26"/>
  </w:num>
  <w:num w:numId="23">
    <w:abstractNumId w:val="17"/>
  </w:num>
  <w:num w:numId="24">
    <w:abstractNumId w:val="29"/>
  </w:num>
  <w:num w:numId="25">
    <w:abstractNumId w:val="13"/>
  </w:num>
  <w:num w:numId="26">
    <w:abstractNumId w:val="18"/>
  </w:num>
  <w:num w:numId="27">
    <w:abstractNumId w:val="8"/>
  </w:num>
  <w:num w:numId="28">
    <w:abstractNumId w:val="28"/>
  </w:num>
  <w:num w:numId="29">
    <w:abstractNumId w:val="7"/>
  </w:num>
  <w:num w:numId="30">
    <w:abstractNumId w:val="20"/>
  </w:num>
  <w:num w:numId="31">
    <w:abstractNumId w:val="24"/>
  </w:num>
  <w:num w:numId="32">
    <w:abstractNumId w:val="25"/>
  </w:num>
  <w:num w:numId="33">
    <w:abstractNumId w:val="12"/>
  </w:num>
  <w:num w:numId="34">
    <w:abstractNumId w:val="23"/>
  </w:num>
  <w:num w:numId="35">
    <w:abstractNumId w:val="34"/>
  </w:num>
  <w:num w:numId="36">
    <w:abstractNumId w:val="26"/>
  </w:num>
  <w:num w:numId="37">
    <w:abstractNumId w:val="17"/>
  </w:num>
  <w:num w:numId="38">
    <w:abstractNumId w:val="29"/>
  </w:num>
  <w:num w:numId="39">
    <w:abstractNumId w:val="13"/>
  </w:num>
  <w:num w:numId="40">
    <w:abstractNumId w:val="18"/>
  </w:num>
  <w:num w:numId="41">
    <w:abstractNumId w:val="8"/>
  </w:num>
  <w:num w:numId="42">
    <w:abstractNumId w:val="28"/>
  </w:num>
  <w:num w:numId="43">
    <w:abstractNumId w:val="7"/>
  </w:num>
  <w:num w:numId="44">
    <w:abstractNumId w:val="20"/>
  </w:num>
  <w:num w:numId="45">
    <w:abstractNumId w:val="24"/>
  </w:num>
  <w:num w:numId="46">
    <w:abstractNumId w:val="25"/>
  </w:num>
  <w:num w:numId="47">
    <w:abstractNumId w:val="12"/>
  </w:num>
  <w:num w:numId="48">
    <w:abstractNumId w:val="23"/>
  </w:num>
  <w:num w:numId="49">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0 09:18: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ACCOMPAGNANT.CP" w:val="to the"/>
    <w:docVar w:name="LW_ANNEX_NBR_FIRST" w:val="2"/>
    <w:docVar w:name="LW_ANNEX_NBR_LAST" w:val="8"/>
    <w:docVar w:name="LW_CONFIDENCE" w:val=" "/>
    <w:docVar w:name="LW_CONST_RESTREINT_UE" w:val="RESTREINT UE"/>
    <w:docVar w:name="LW_CORRIGENDUM" w:val="&lt;UNUSED&gt;"/>
    <w:docVar w:name="LW_COVERPAGE_GUID" w:val="C279EEE681664ECE948C82A8FE77F6F4"/>
    <w:docVar w:name="LW_CROSSREFERENCE" w:val="&lt;UNUSED&gt;"/>
    <w:docVar w:name="LW_DocType" w:val="ANNEX"/>
    <w:docVar w:name="LW_EMISSION" w:val="10.11.2015"/>
    <w:docVar w:name="LW_EMISSION_ISODATE" w:val="2015-11-10"/>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fixing for 2016 the fishing opportunities for certain fish stocks and groups of fish stocks, applicable in Union waters and, for Union vessels, in certain non-Union waters"/>
    <w:docVar w:name="LW_PART_NBR" w:val="&lt;UNUSED&gt;"/>
    <w:docVar w:name="LW_PART_NBR_TOTAL" w:val="&lt;UNUSED&gt;"/>
    <w:docVar w:name="LW_REF.INST.NEW" w:val="COM"/>
    <w:docVar w:name="LW_REF.INST.NEW_ADOPTED" w:val="final"/>
    <w:docVar w:name="LW_REF.INST.NEW_TEXT" w:val="(2015) 559"/>
    <w:docVar w:name="LW_REF.INTERNE" w:val="&lt;UNUSED&gt;"/>
    <w:docVar w:name="LW_SUPERTITRE" w:val="&lt;UNUSED&gt;"/>
    <w:docVar w:name="LW_TITRE.OBJ.CP" w:val="&lt;UNUSED&gt;"/>
    <w:docVar w:name="LW_TYPE.DOC.CP" w:val="ANNEXES"/>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en-GB"/>
    </w:rPr>
  </w:style>
  <w:style w:type="character" w:customStyle="1" w:styleId="HeaderCouncilLargeChar">
    <w:name w:val="Header Council Large Char"/>
    <w:link w:val="HeaderCouncilLarge"/>
    <w:rPr>
      <w:rFonts w:ascii="Times New Roman" w:eastAsia="Times New Roman" w:hAnsi="Times New Roman" w:cs="Times New Roman"/>
      <w:sz w:val="2"/>
      <w:szCs w:val="24"/>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character" w:customStyle="1" w:styleId="TechnicalBlockChar">
    <w:name w:val="Technical Block Char"/>
    <w:link w:val="TechnicalBlock"/>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lang w:eastAsia="en-GB"/>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nhideWhenUsed/>
    <w:pPr>
      <w:numPr>
        <w:numId w:val="17"/>
      </w:numPr>
      <w:contextualSpacing/>
    </w:pPr>
    <w:rPr>
      <w:rFonts w:eastAsia="Calibri"/>
      <w:lang w:eastAsia="en-GB"/>
    </w:rPr>
  </w:style>
  <w:style w:type="paragraph" w:styleId="ListNumber2">
    <w:name w:val="List Number 2"/>
    <w:basedOn w:val="Normal"/>
    <w:unhideWhenUsed/>
    <w:pPr>
      <w:numPr>
        <w:numId w:val="18"/>
      </w:numPr>
      <w:contextualSpacing/>
    </w:pPr>
    <w:rPr>
      <w:rFonts w:eastAsia="Calibri"/>
      <w:lang w:eastAsia="en-GB"/>
    </w:rPr>
  </w:style>
  <w:style w:type="paragraph" w:styleId="ListNumber3">
    <w:name w:val="List Number 3"/>
    <w:basedOn w:val="Normal"/>
    <w:unhideWhenUsed/>
    <w:pPr>
      <w:numPr>
        <w:numId w:val="19"/>
      </w:numPr>
      <w:contextualSpacing/>
    </w:pPr>
    <w:rPr>
      <w:rFonts w:eastAsia="Calibri"/>
      <w:lang w:eastAsia="en-GB"/>
    </w:rPr>
  </w:style>
  <w:style w:type="paragraph" w:styleId="ListNumber4">
    <w:name w:val="List Number 4"/>
    <w:basedOn w:val="Normal"/>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BalloonText">
    <w:name w:val="Balloon Text"/>
    <w:basedOn w:val="Normal"/>
    <w:link w:val="BalloonTextChar"/>
    <w:unhideWhenUsed/>
    <w:pPr>
      <w:spacing w:before="0" w:after="0"/>
    </w:pPr>
    <w:rPr>
      <w:rFonts w:ascii="Tahoma" w:eastAsia="Calibri" w:hAnsi="Tahoma" w:cs="Tahoma"/>
      <w:sz w:val="16"/>
      <w:szCs w:val="16"/>
      <w:lang w:eastAsia="en-GB"/>
    </w:rPr>
  </w:style>
  <w:style w:type="character" w:customStyle="1" w:styleId="BalloonTextChar">
    <w:name w:val="Balloon Text Char"/>
    <w:basedOn w:val="DefaultParagraphFont"/>
    <w:link w:val="BalloonText"/>
    <w:rPr>
      <w:rFonts w:ascii="Tahoma" w:eastAsia="Calibri" w:hAnsi="Tahoma" w:cs="Tahoma"/>
      <w:sz w:val="16"/>
      <w:szCs w:val="16"/>
      <w:lang w:val="en-GB" w:eastAsia="en-GB"/>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rFonts w:eastAsia="Calibri"/>
      <w:sz w:val="20"/>
      <w:szCs w:val="20"/>
      <w:lang w:eastAsia="en-GB"/>
    </w:rPr>
  </w:style>
  <w:style w:type="character" w:customStyle="1" w:styleId="CommentTextChar">
    <w:name w:val="Comment Text Char"/>
    <w:basedOn w:val="DefaultParagraphFont"/>
    <w:link w:val="CommentText"/>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Calibri" w:hAnsi="Times New Roman" w:cs="Times New Roman"/>
      <w:b/>
      <w:bCs/>
      <w:sz w:val="20"/>
      <w:szCs w:val="20"/>
      <w:lang w:val="en-GB" w:eastAsia="en-GB"/>
    </w:rPr>
  </w:style>
  <w:style w:type="paragraph" w:styleId="Revision">
    <w:name w:val="Revision"/>
    <w:hidden/>
    <w:rPr>
      <w:rFonts w:ascii="Times New Roman" w:eastAsia="Calibri" w:hAnsi="Times New Roman" w:cs="Times New Roman"/>
      <w:sz w:val="24"/>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en-GB"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en-GB" w:eastAsia="zh-CN"/>
    </w:rPr>
  </w:style>
  <w:style w:type="character" w:customStyle="1" w:styleId="BalloonTextChar1">
    <w:name w:val="Balloon Text Char1"/>
    <w:rPr>
      <w:rFonts w:ascii="Tahoma" w:eastAsia="Times New Roman" w:hAnsi="Tahoma" w:cs="Tahoma"/>
      <w:sz w:val="16"/>
      <w:szCs w:val="16"/>
      <w:lang w:val="en-GB"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val="en-GB"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rPr>
  </w:style>
  <w:style w:type="paragraph" w:customStyle="1" w:styleId="tabletext">
    <w:name w:val="table text"/>
    <w:aliases w:val="tt"/>
    <w:basedOn w:val="Normal"/>
    <w:pPr>
      <w:spacing w:before="0" w:after="0"/>
      <w:jc w:val="left"/>
    </w:pPr>
    <w:rPr>
      <w:rFonts w:eastAsia="Times New Roman"/>
      <w:sz w:val="20"/>
      <w:szCs w:val="20"/>
      <w:lang w:val="en-AU"/>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lang w:val="en-US"/>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en-GB"/>
    </w:rPr>
  </w:style>
  <w:style w:type="character" w:customStyle="1" w:styleId="FooterCouncilChar">
    <w:name w:val="Footer Council Char"/>
    <w:link w:val="FooterCouncil"/>
    <w:rPr>
      <w:rFonts w:ascii="Times New Roman" w:eastAsia="Times New Roman" w:hAnsi="Times New Roman" w:cs="Times New Roman"/>
      <w:sz w:val="2"/>
      <w:szCs w:val="24"/>
      <w:lang w:val="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en-GB"/>
    </w:rPr>
  </w:style>
  <w:style w:type="character" w:customStyle="1" w:styleId="HeaderCouncilLargeChar">
    <w:name w:val="Header Council Large Char"/>
    <w:link w:val="HeaderCouncilLarge"/>
    <w:rPr>
      <w:rFonts w:ascii="Times New Roman" w:eastAsia="Times New Roman" w:hAnsi="Times New Roman" w:cs="Times New Roman"/>
      <w:sz w:val="2"/>
      <w:szCs w:val="24"/>
      <w:lang w:val="en-GB"/>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lang w:val="de-LU"/>
    </w:rPr>
  </w:style>
  <w:style w:type="character" w:customStyle="1" w:styleId="TechnicalBlockChar">
    <w:name w:val="Technical Block Char"/>
    <w:link w:val="TechnicalBlock"/>
    <w:rPr>
      <w:rFonts w:ascii="Times New Roman" w:eastAsia="Times New Roman" w:hAnsi="Times New Roman" w:cs="Times New Roman"/>
      <w:sz w:val="24"/>
      <w:szCs w:val="24"/>
      <w:lang w:val="en-GB"/>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lang w:eastAsia="en-GB"/>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lang w:eastAsia="en-GB"/>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lang w:eastAsia="en-GB"/>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lang w:eastAsia="en-GB"/>
    </w:rPr>
  </w:style>
  <w:style w:type="character" w:styleId="Hyperlink">
    <w:name w:val="Hyperlink"/>
    <w:uiPriority w:val="99"/>
    <w:rPr>
      <w:color w:val="0000FF"/>
      <w:u w:val="single"/>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en-GB"/>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lang w:eastAsia="en-GB"/>
    </w:rPr>
  </w:style>
  <w:style w:type="paragraph" w:styleId="ListNumber">
    <w:name w:val="List Number"/>
    <w:basedOn w:val="Normal"/>
    <w:unhideWhenUsed/>
    <w:pPr>
      <w:numPr>
        <w:numId w:val="17"/>
      </w:numPr>
      <w:contextualSpacing/>
    </w:pPr>
    <w:rPr>
      <w:rFonts w:eastAsia="Calibri"/>
      <w:lang w:eastAsia="en-GB"/>
    </w:rPr>
  </w:style>
  <w:style w:type="paragraph" w:styleId="ListNumber2">
    <w:name w:val="List Number 2"/>
    <w:basedOn w:val="Normal"/>
    <w:unhideWhenUsed/>
    <w:pPr>
      <w:numPr>
        <w:numId w:val="18"/>
      </w:numPr>
      <w:contextualSpacing/>
    </w:pPr>
    <w:rPr>
      <w:rFonts w:eastAsia="Calibri"/>
      <w:lang w:eastAsia="en-GB"/>
    </w:rPr>
  </w:style>
  <w:style w:type="paragraph" w:styleId="ListNumber3">
    <w:name w:val="List Number 3"/>
    <w:basedOn w:val="Normal"/>
    <w:unhideWhenUsed/>
    <w:pPr>
      <w:numPr>
        <w:numId w:val="19"/>
      </w:numPr>
      <w:contextualSpacing/>
    </w:pPr>
    <w:rPr>
      <w:rFonts w:eastAsia="Calibri"/>
      <w:lang w:eastAsia="en-GB"/>
    </w:rPr>
  </w:style>
  <w:style w:type="paragraph" w:styleId="ListNumber4">
    <w:name w:val="List Number 4"/>
    <w:basedOn w:val="Normal"/>
    <w:unhideWhenUsed/>
    <w:pPr>
      <w:numPr>
        <w:numId w:val="20"/>
      </w:numPr>
      <w:contextualSpacing/>
    </w:pPr>
    <w:rPr>
      <w:rFonts w:eastAsia="Calibri"/>
      <w:lang w:eastAsia="en-GB"/>
    </w:rPr>
  </w:style>
  <w:style w:type="character" w:styleId="Strong">
    <w:name w:val="Strong"/>
    <w:uiPriority w:val="22"/>
    <w:qFormat/>
    <w:rPr>
      <w:b/>
    </w:rPr>
  </w:style>
  <w:style w:type="paragraph" w:customStyle="1" w:styleId="Manualpar1">
    <w:name w:val="Manualpar 1"/>
    <w:basedOn w:val="Titrearticle"/>
    <w:rPr>
      <w:rFonts w:eastAsia="Calibri"/>
      <w:i w:val="0"/>
      <w:lang w:eastAsia="en-GB"/>
    </w:rPr>
  </w:style>
  <w:style w:type="paragraph" w:styleId="BalloonText">
    <w:name w:val="Balloon Text"/>
    <w:basedOn w:val="Normal"/>
    <w:link w:val="BalloonTextChar"/>
    <w:unhideWhenUsed/>
    <w:pPr>
      <w:spacing w:before="0" w:after="0"/>
    </w:pPr>
    <w:rPr>
      <w:rFonts w:ascii="Tahoma" w:eastAsia="Calibri" w:hAnsi="Tahoma" w:cs="Tahoma"/>
      <w:sz w:val="16"/>
      <w:szCs w:val="16"/>
      <w:lang w:eastAsia="en-GB"/>
    </w:rPr>
  </w:style>
  <w:style w:type="character" w:customStyle="1" w:styleId="BalloonTextChar">
    <w:name w:val="Balloon Text Char"/>
    <w:basedOn w:val="DefaultParagraphFont"/>
    <w:link w:val="BalloonText"/>
    <w:rPr>
      <w:rFonts w:ascii="Tahoma" w:eastAsia="Calibri" w:hAnsi="Tahoma" w:cs="Tahoma"/>
      <w:sz w:val="16"/>
      <w:szCs w:val="16"/>
      <w:lang w:val="en-GB" w:eastAsia="en-GB"/>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rFonts w:eastAsia="Calibri"/>
      <w:sz w:val="20"/>
      <w:szCs w:val="20"/>
      <w:lang w:eastAsia="en-GB"/>
    </w:rPr>
  </w:style>
  <w:style w:type="character" w:customStyle="1" w:styleId="CommentTextChar">
    <w:name w:val="Comment Text Char"/>
    <w:basedOn w:val="DefaultParagraphFont"/>
    <w:link w:val="CommentText"/>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Calibri" w:hAnsi="Times New Roman" w:cs="Times New Roman"/>
      <w:b/>
      <w:bCs/>
      <w:sz w:val="20"/>
      <w:szCs w:val="20"/>
      <w:lang w:val="en-GB" w:eastAsia="en-GB"/>
    </w:rPr>
  </w:style>
  <w:style w:type="paragraph" w:styleId="Revision">
    <w:name w:val="Revision"/>
    <w:hidden/>
    <w:rPr>
      <w:rFonts w:ascii="Times New Roman" w:eastAsia="Calibri" w:hAnsi="Times New Roman" w:cs="Times New Roman"/>
      <w:sz w:val="24"/>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eastAsia="en-GB"/>
    </w:rPr>
  </w:style>
  <w:style w:type="paragraph" w:customStyle="1" w:styleId="Notmsl">
    <w:name w:val="Notmsl"/>
    <w:basedOn w:val="DatedadoptionPagedecouverture"/>
    <w:rPr>
      <w:rFonts w:eastAsia="Calibri"/>
      <w:noProof/>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lang w:eastAsia="zh-CN"/>
    </w:rPr>
  </w:style>
  <w:style w:type="character" w:customStyle="1" w:styleId="BodyTextChar">
    <w:name w:val="Body Text Char"/>
    <w:basedOn w:val="DefaultParagraphFont"/>
    <w:link w:val="BodyText"/>
    <w:rPr>
      <w:rFonts w:ascii="Times New Roman" w:eastAsia="Calibri" w:hAnsi="Times New Roman" w:cs="Times New Roman"/>
      <w:sz w:val="24"/>
      <w:lang w:val="en-GB"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lang w:eastAsia="zh-CN"/>
    </w:rPr>
  </w:style>
  <w:style w:type="character" w:customStyle="1" w:styleId="CommentSubjectChar1">
    <w:name w:val="Comment Subject Char1"/>
    <w:rPr>
      <w:rFonts w:ascii="Times New Roman" w:eastAsia="Times New Roman" w:hAnsi="Times New Roman" w:cs="Times New Roman"/>
      <w:b/>
      <w:bCs/>
      <w:sz w:val="20"/>
      <w:szCs w:val="20"/>
      <w:lang w:val="en-GB" w:eastAsia="zh-CN"/>
    </w:rPr>
  </w:style>
  <w:style w:type="character" w:customStyle="1" w:styleId="BalloonTextChar1">
    <w:name w:val="Balloon Text Char1"/>
    <w:rPr>
      <w:rFonts w:ascii="Tahoma" w:eastAsia="Times New Roman" w:hAnsi="Tahoma" w:cs="Tahoma"/>
      <w:sz w:val="16"/>
      <w:szCs w:val="16"/>
      <w:lang w:val="en-GB" w:eastAsia="zh-CN"/>
    </w:rPr>
  </w:style>
  <w:style w:type="paragraph" w:customStyle="1" w:styleId="WW-Default">
    <w:name w:val="WW-Default"/>
    <w:pPr>
      <w:suppressAutoHyphens/>
      <w:autoSpaceDE w:val="0"/>
    </w:pPr>
    <w:rPr>
      <w:rFonts w:ascii="EUAlbertina" w:eastAsia="Calibri" w:hAnsi="EUAlbertina" w:cs="EUAlbertina"/>
      <w:color w:val="000000"/>
      <w:sz w:val="24"/>
      <w:szCs w:val="24"/>
      <w:lang w:val="en-GB"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lang w:eastAsia="zh-CN"/>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pPr>
      <w:suppressLineNumbers/>
      <w:suppressAutoHyphens/>
    </w:pPr>
    <w:rPr>
      <w:rFonts w:eastAsia="Calibri"/>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rPr>
  </w:style>
  <w:style w:type="paragraph" w:customStyle="1" w:styleId="tabletext">
    <w:name w:val="table text"/>
    <w:aliases w:val="tt"/>
    <w:basedOn w:val="Normal"/>
    <w:pPr>
      <w:spacing w:before="0" w:after="0"/>
      <w:jc w:val="left"/>
    </w:pPr>
    <w:rPr>
      <w:rFonts w:eastAsia="Times New Roman"/>
      <w:sz w:val="20"/>
      <w:szCs w:val="20"/>
      <w:lang w:val="en-AU"/>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hAnsiTheme="minorHAnsi" w:cstheme="minorBidi"/>
      <w:sz w:val="16"/>
      <w:szCs w:val="16"/>
      <w:lang w:val="en-US"/>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link w:val="HeaderCouncil"/>
    <w:rPr>
      <w:rFonts w:ascii="Times New Roman" w:eastAsia="Times New Roman" w:hAnsi="Times New Roman" w:cs="Times New Roman"/>
      <w:sz w:val="2"/>
      <w:szCs w:val="24"/>
      <w:lang w:val="en-GB"/>
    </w:rPr>
  </w:style>
  <w:style w:type="character" w:customStyle="1" w:styleId="FooterCouncilChar">
    <w:name w:val="Footer Council Char"/>
    <w:link w:val="FooterCouncil"/>
    <w:rPr>
      <w:rFonts w:ascii="Times New Roman" w:eastAsia="Times New Roman" w:hAnsi="Times New Roman" w:cs="Times New Roman"/>
      <w:sz w:val="2"/>
      <w:szCs w:val="24"/>
      <w:lang w:val="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yperlink" Target="http://www.ccamlr.org/node/74407" TargetMode="External"/><Relationship Id="rId50"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2.jpeg"/><Relationship Id="rId38" Type="http://schemas.openxmlformats.org/officeDocument/2006/relationships/header" Target="header14.xml"/><Relationship Id="rId46" Type="http://schemas.openxmlformats.org/officeDocument/2006/relationships/hyperlink" Target="http://www.ccamlr.org/node/74407"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footer" Target="foot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8.xml"/><Relationship Id="rId8" Type="http://schemas.openxmlformats.org/officeDocument/2006/relationships/image" Target="media/image1.emf"/><Relationship Id="rId51" Type="http://schemas.openxmlformats.org/officeDocument/2006/relationships/footer" Target="foot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65</Pages>
  <Words>12994</Words>
  <Characters>59776</Characters>
  <Application>Microsoft Office Word</Application>
  <DocSecurity>0</DocSecurity>
  <Lines>3146</Lines>
  <Paragraphs>2079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7</cp:revision>
  <dcterms:created xsi:type="dcterms:W3CDTF">2015-10-16T13:26:00Z</dcterms:created>
  <dcterms:modified xsi:type="dcterms:W3CDTF">2015-11-10T08:18:00Z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8</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