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894C15BEBDF47E7BEAACEABAD0B668C" style="width:450.6pt;height:397.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ПРИЛОЖЕНИЯ</w:t>
      </w:r>
    </w:p>
    <w:p>
      <w:pPr>
        <w:pStyle w:val="Accompagnant"/>
        <w:rPr>
          <w:noProof/>
        </w:rPr>
      </w:pPr>
      <w:r>
        <w:rPr>
          <w:noProof/>
        </w:rPr>
        <w:t>към</w:t>
      </w:r>
    </w:p>
    <w:p>
      <w:pPr>
        <w:pStyle w:val="Typeacteprincipal"/>
        <w:rPr>
          <w:noProof/>
        </w:rPr>
      </w:pPr>
      <w:r>
        <w:rPr>
          <w:noProof/>
        </w:rPr>
        <w:t>Предложение за регламент на Съвета</w:t>
      </w:r>
    </w:p>
    <w:p>
      <w:pPr>
        <w:pStyle w:val="Objetacteprincipal"/>
        <w:rPr>
          <w:noProof/>
        </w:rPr>
      </w:pPr>
      <w:r>
        <w:rPr>
          <w:noProof/>
        </w:rPr>
        <w:t>за определяне за 2016 година на възможностите за риболов на определени рибни запаси и групи от рибни запаси, приложими във водите на Съюза и за корабите на Съюза в някои води извън Съюза</w:t>
      </w:r>
    </w:p>
    <w:p>
      <w:pPr>
        <w:pStyle w:val="Annexetitre"/>
        <w:rPr>
          <w:rFonts w:eastAsia="Calibri"/>
          <w:noProof/>
        </w:rPr>
      </w:pPr>
      <w:r>
        <w:rPr>
          <w:noProof/>
        </w:rPr>
        <w:t>ПРИЛОЖЕНИЕ IIA</w:t>
      </w:r>
    </w:p>
    <w:p>
      <w:pPr>
        <w:pStyle w:val="NormalCentered"/>
        <w:rPr>
          <w:rFonts w:eastAsia="Calibri"/>
          <w:noProof/>
        </w:rPr>
      </w:pPr>
      <w:r>
        <w:rPr>
          <w:noProof/>
        </w:rPr>
        <w:t>РИБОЛОВНО УСИЛИЕ ЗА КОРАБИТЕ</w:t>
      </w:r>
      <w:r>
        <w:rPr>
          <w:noProof/>
        </w:rPr>
        <w:br/>
        <w:t>В КОНТЕКСТА НА УПРАВЛЕНИЕТО НА НЯКОИ ЗАПАСИ ОТ АТЛАНТИЧЕСКА ТРЕСКА,</w:t>
      </w:r>
      <w:r>
        <w:rPr>
          <w:noProof/>
        </w:rPr>
        <w:br/>
        <w:t>ПИСИЯ И МОРСКИ ЕЗИК В УЧАСТЪЦИ IIIa, VIa, VIIa, VIId НА ICES,</w:t>
      </w:r>
      <w:r>
        <w:rPr>
          <w:noProof/>
        </w:rPr>
        <w:br/>
        <w:t>ПОДЗОНА IV НА ICES И ВОДИТЕ НА СЪЮЗА ОТ УЧАСТЪЦИ IIa И Vb НА ICES</w:t>
      </w:r>
    </w:p>
    <w:p>
      <w:pPr>
        <w:pStyle w:val="Point0"/>
        <w:rPr>
          <w:rFonts w:eastAsia="Calibri"/>
          <w:noProof/>
        </w:rPr>
      </w:pPr>
      <w:r>
        <w:rPr>
          <w:noProof/>
        </w:rPr>
        <w:t>1.</w:t>
      </w:r>
      <w:r>
        <w:rPr>
          <w:noProof/>
        </w:rPr>
        <w:tab/>
        <w:t>ОБХВАТ</w:t>
      </w:r>
    </w:p>
    <w:p>
      <w:pPr>
        <w:pStyle w:val="Point0"/>
        <w:rPr>
          <w:rFonts w:eastAsia="Calibri"/>
          <w:noProof/>
        </w:rPr>
      </w:pPr>
      <w:r>
        <w:rPr>
          <w:noProof/>
        </w:rPr>
        <w:t>1.1.</w:t>
      </w:r>
      <w:r>
        <w:rPr>
          <w:noProof/>
        </w:rPr>
        <w:tab/>
        <w:t>В обхвата на настоящото приложение попадат корабите на Съюза, които носят на борда или използват някой от уредите, посочени в точка 1 от приложение I към Регламент (ЕО) № 1342/2008, и се намират в някоя от географските зони, посочени в точка 2 от настоящото приложение.</w:t>
      </w:r>
    </w:p>
    <w:p>
      <w:pPr>
        <w:pStyle w:val="Point0"/>
        <w:rPr>
          <w:rFonts w:eastAsia="Calibri"/>
          <w:noProof/>
        </w:rPr>
      </w:pPr>
      <w:r>
        <w:rPr>
          <w:noProof/>
        </w:rPr>
        <w:t>1.2.</w:t>
      </w:r>
      <w:r>
        <w:rPr>
          <w:noProof/>
        </w:rPr>
        <w:tab/>
        <w:t>В обхвата на настоящото приложение не попадат корабите с обща дължина под 10 m. От тези кораби не се изисква да носят на борда разрешения за риболов, издадени в съответствие с член 7 от Регламент (ЕО) № 1224/2009. Съответните държави членки оценяват риболовното усилие на тези кораби въз основа на групите на риболовно усилие, към които те спадат, като използват подходящи методи за формиране на извадка. През периода на управление, посочен в член 8 от настоящия регламент, Комисията ще потърси научни становища за оценяване на използването на усилието от страна на посочените кораби с оглед на бъдещото им включване в режима за регулиране на усилието.</w:t>
      </w:r>
    </w:p>
    <w:p>
      <w:pPr>
        <w:pStyle w:val="Point0"/>
        <w:rPr>
          <w:rFonts w:eastAsia="Calibri"/>
          <w:noProof/>
        </w:rPr>
      </w:pPr>
      <w:r>
        <w:rPr>
          <w:noProof/>
        </w:rPr>
        <w:t>2.</w:t>
      </w:r>
      <w:r>
        <w:rPr>
          <w:noProof/>
        </w:rPr>
        <w:tab/>
        <w:t>РЕГЛАМЕНТИРАНИ УРЕДИ И ГЕОГРАФСКИ ЗОНИ</w:t>
      </w:r>
    </w:p>
    <w:p>
      <w:pPr>
        <w:pStyle w:val="Text1"/>
        <w:rPr>
          <w:rFonts w:eastAsia="Calibri"/>
          <w:noProof/>
        </w:rPr>
      </w:pPr>
      <w:r>
        <w:rPr>
          <w:noProof/>
        </w:rPr>
        <w:t>За целите на настоящото приложение се прилагат групите риболовни съоръжения, посочени в точка 1 от приложение I към Регламент (ЕО) № 1342/2008 („регламентирани уреди“), и групите географски зони, посочени в точка 2 от същото приложение.</w:t>
      </w:r>
    </w:p>
    <w:p>
      <w:pPr>
        <w:pStyle w:val="Point0"/>
        <w:rPr>
          <w:rFonts w:eastAsia="Calibri"/>
          <w:noProof/>
        </w:rPr>
      </w:pPr>
      <w:r>
        <w:rPr>
          <w:noProof/>
        </w:rPr>
        <w:t>3.</w:t>
      </w:r>
      <w:r>
        <w:rPr>
          <w:noProof/>
        </w:rPr>
        <w:tab/>
        <w:t>РАЗРЕШЕНИЯ</w:t>
      </w:r>
    </w:p>
    <w:p>
      <w:pPr>
        <w:pStyle w:val="Text1"/>
        <w:rPr>
          <w:rFonts w:eastAsia="Calibri"/>
          <w:noProof/>
        </w:rPr>
      </w:pPr>
      <w:r>
        <w:rPr>
          <w:noProof/>
        </w:rPr>
        <w:t>Ако дадена държава членка сметне за целесъобразно с оглед укрепването на устойчивото прилагане на режима за регулиране на усилието, тя може да въведе забрана за извършване на риболов с регламентиран уред в някоя от обхванатите от настоящото приложение географски зони от страна на кораби, плаващи под нейното знаме, за които няма записи, че са извършвали такава риболовна дейност, освен ако държавата членка гарантира в тази зона да не се извършва риболов с равностоен капацитет, измерен в киловати.</w:t>
      </w:r>
    </w:p>
    <w:p>
      <w:pPr>
        <w:pStyle w:val="Point0"/>
        <w:rPr>
          <w:rFonts w:eastAsia="Calibri"/>
          <w:noProof/>
        </w:rPr>
      </w:pPr>
      <w:r>
        <w:rPr>
          <w:noProof/>
        </w:rPr>
        <w:t>4.</w:t>
      </w:r>
      <w:r>
        <w:rPr>
          <w:noProof/>
        </w:rPr>
        <w:tab/>
        <w:t>МАКСИМАЛНО ДОПУСТИМО РИБОЛОВНО УСИЛИЕ</w:t>
      </w:r>
    </w:p>
    <w:p>
      <w:pPr>
        <w:pStyle w:val="Point0"/>
        <w:rPr>
          <w:rFonts w:eastAsia="Calibri"/>
          <w:noProof/>
        </w:rPr>
      </w:pPr>
      <w:r>
        <w:rPr>
          <w:noProof/>
        </w:rPr>
        <w:lastRenderedPageBreak/>
        <w:t>4.1.</w:t>
      </w:r>
      <w:r>
        <w:rPr>
          <w:noProof/>
        </w:rPr>
        <w:tab/>
        <w:t>В допълнение 1 към настоящото приложение е определено максимално допустимото риболовно усилие, посочено в член 12, параграф 1 от Регламент (ЕО) № 1342/2008 и в член 9, параграф 2 от Регламент (ЕО) № 676/2007 за периода на управление, определен в член 8 от настоящия регламент, за всяка група за риболовно усилие на всяка държава членка.</w:t>
      </w:r>
    </w:p>
    <w:p>
      <w:pPr>
        <w:pStyle w:val="Point0"/>
        <w:rPr>
          <w:rFonts w:eastAsia="Calibri"/>
          <w:noProof/>
        </w:rPr>
      </w:pPr>
      <w:r>
        <w:rPr>
          <w:noProof/>
        </w:rPr>
        <w:t>4.2.</w:t>
      </w:r>
      <w:r>
        <w:rPr>
          <w:noProof/>
        </w:rPr>
        <w:tab/>
        <w:t>Максималните равнища на годишното риболовно усилие, установени в съответствие с Регламент (ЕО) № 1954/2003 на Съвета</w:t>
      </w:r>
      <w:r>
        <w:rPr>
          <w:rStyle w:val="FootnoteReference"/>
          <w:noProof/>
        </w:rPr>
        <w:footnoteReference w:id="1"/>
      </w:r>
      <w:r>
        <w:rPr>
          <w:noProof/>
        </w:rPr>
        <w:t>, не засягат максимално допустимото риболовно усилие, определено в настоящото приложение.</w:t>
      </w:r>
    </w:p>
    <w:p>
      <w:pPr>
        <w:pStyle w:val="Point0"/>
        <w:rPr>
          <w:rFonts w:eastAsia="Calibri"/>
          <w:noProof/>
        </w:rPr>
      </w:pPr>
      <w:r>
        <w:rPr>
          <w:noProof/>
        </w:rPr>
        <w:t>5.</w:t>
      </w:r>
      <w:r>
        <w:rPr>
          <w:noProof/>
        </w:rPr>
        <w:tab/>
        <w:t>УПРАВЛЕНИЕ</w:t>
      </w:r>
    </w:p>
    <w:p>
      <w:pPr>
        <w:pStyle w:val="Point0"/>
        <w:rPr>
          <w:rFonts w:eastAsia="Calibri"/>
          <w:noProof/>
        </w:rPr>
      </w:pPr>
      <w:r>
        <w:rPr>
          <w:noProof/>
        </w:rPr>
        <w:t>5.1.</w:t>
      </w:r>
      <w:r>
        <w:rPr>
          <w:noProof/>
        </w:rPr>
        <w:tab/>
        <w:t>Държавите членки управляват максимално допустимото риболовно усилие в съответствие с условията, определени в член 9 от Регламент (ЕО) № 676/2007, член 4 и членове 13—17 от Регламент (ЕО) № 1342/2008 и членове 26—35 от Регламент (ЕО) № 1224/2009.</w:t>
      </w:r>
    </w:p>
    <w:p>
      <w:pPr>
        <w:pStyle w:val="Point0"/>
        <w:rPr>
          <w:rFonts w:eastAsia="Calibri"/>
          <w:noProof/>
        </w:rPr>
      </w:pPr>
      <w:r>
        <w:rPr>
          <w:noProof/>
        </w:rPr>
        <w:t>5.2.</w:t>
      </w:r>
      <w:r>
        <w:rPr>
          <w:noProof/>
        </w:rPr>
        <w:tab/>
        <w:t>Държавите членки могат да установяват периоди на управление за разпределяне на цялото или на част от максимално допустимото риболовно усилие между отделни кораби или групи от кораби. В такъв случай броят дни или часове, през които един кораб може да се намира в зоната по време на даден период на управление, се определя по преценка на съответната държава членка. По време на такива периоди на управление съответната държава членка може да преразпределя усилието между отделни кораби или групи от кораби.</w:t>
      </w:r>
    </w:p>
    <w:p>
      <w:pPr>
        <w:pStyle w:val="Point0"/>
        <w:rPr>
          <w:rFonts w:eastAsia="Calibri"/>
          <w:noProof/>
        </w:rPr>
      </w:pPr>
      <w:r>
        <w:rPr>
          <w:noProof/>
        </w:rPr>
        <w:t>5.3.</w:t>
      </w:r>
      <w:r>
        <w:rPr>
          <w:noProof/>
        </w:rPr>
        <w:tab/>
        <w:t>Ако държава членка разреши почасов престой в дадена зона на корабите, плаващи под нейното знаме, тя продължава да измерва използваните дни в съответствие с условията, посочени в точка 5.1. По искане на Комисията съответната държава членка представя предпазните мерки, които е взела с цел предотвратяване на прекомерното използване на риболовно усилие в зоната поради напускането на зоната от даден кораб преди изтичането на 24-часов период.</w:t>
      </w:r>
    </w:p>
    <w:p>
      <w:pPr>
        <w:pStyle w:val="Point0"/>
        <w:rPr>
          <w:rFonts w:eastAsia="Calibri"/>
          <w:noProof/>
        </w:rPr>
      </w:pPr>
      <w:r>
        <w:rPr>
          <w:noProof/>
        </w:rPr>
        <w:t>6.</w:t>
      </w:r>
      <w:r>
        <w:rPr>
          <w:noProof/>
        </w:rPr>
        <w:tab/>
        <w:t>ДОКЛАД ЗА РИБОЛОВНОТО УСИЛИЕ</w:t>
      </w:r>
    </w:p>
    <w:p>
      <w:pPr>
        <w:pStyle w:val="Text1"/>
        <w:rPr>
          <w:rFonts w:eastAsia="Calibri"/>
          <w:noProof/>
        </w:rPr>
      </w:pPr>
      <w:r>
        <w:rPr>
          <w:noProof/>
        </w:rPr>
        <w:t>По отношение на корабите, които попадат в обхвата на настоящото приложение, се прилага член 28 от Регламент (ЕО) № 1224/2009. За целите на управлението на запасите от атлантическа треска, географската зона, посочена в този член, се разбира като всяка от географските зони, посочени в точка 2 от настоящото приложение.</w:t>
      </w:r>
    </w:p>
    <w:p>
      <w:pPr>
        <w:pStyle w:val="Point0"/>
        <w:rPr>
          <w:rFonts w:eastAsia="Calibri"/>
          <w:noProof/>
        </w:rPr>
      </w:pPr>
      <w:r>
        <w:rPr>
          <w:noProof/>
        </w:rPr>
        <w:t>7.</w:t>
      </w:r>
      <w:r>
        <w:rPr>
          <w:noProof/>
        </w:rPr>
        <w:tab/>
        <w:t>СЪОБЩАВАНЕ НА НЕОБХОДИМИТЕ ДАННИ</w:t>
      </w:r>
    </w:p>
    <w:p>
      <w:pPr>
        <w:pStyle w:val="Text1"/>
        <w:rPr>
          <w:rFonts w:eastAsia="Calibri"/>
          <w:noProof/>
        </w:rPr>
      </w:pPr>
      <w:r>
        <w:rPr>
          <w:noProof/>
        </w:rPr>
        <w:t>Държавите членки предават на Комисията данните за риболовното усилие, използвано от техните риболовни кораби, в съответствие с членове 33 и 34 от Регламент (ЕО) № 1224/2009. Тези данни се предават чрез Системата за обмен на данни за рибарството или друга система за събиране на данни, която Комисията може да въведе в бъдеще.</w:t>
      </w:r>
    </w:p>
    <w:p>
      <w:pPr>
        <w:rPr>
          <w:rFonts w:eastAsia="Calibri"/>
          <w:noProof/>
        </w:rPr>
        <w:sectPr>
          <w:footerReference w:type="default" r:id="rId15"/>
          <w:footerReference w:type="first" r:id="rId16"/>
          <w:footnotePr>
            <w:numRestart w:val="eachPage"/>
          </w:footnotePr>
          <w:pgSz w:w="11906" w:h="16838"/>
          <w:pgMar w:top="1134" w:right="1134" w:bottom="1134" w:left="1134" w:header="720" w:footer="567" w:gutter="0"/>
          <w:pgNumType w:start="2"/>
          <w:cols w:space="720"/>
          <w:docGrid w:linePitch="326"/>
        </w:sectPr>
      </w:pPr>
    </w:p>
    <w:p>
      <w:pPr>
        <w:pStyle w:val="NormalRight"/>
        <w:rPr>
          <w:rFonts w:eastAsia="Calibri"/>
          <w:b/>
          <w:bCs/>
          <w:noProof/>
          <w:u w:val="single"/>
        </w:rPr>
      </w:pPr>
      <w:r>
        <w:rPr>
          <w:b/>
          <w:noProof/>
          <w:u w:val="single"/>
        </w:rPr>
        <w:lastRenderedPageBreak/>
        <w:t>Допълнение 1 към приложение IIA</w:t>
      </w:r>
    </w:p>
    <w:p>
      <w:pPr>
        <w:pStyle w:val="NormalCentered"/>
        <w:rPr>
          <w:rFonts w:eastAsia="Calibri"/>
          <w:noProof/>
        </w:rPr>
      </w:pPr>
      <w:r>
        <w:rPr>
          <w:noProof/>
        </w:rPr>
        <w:t>Максимално допустимо риболовно усилие в киловатдни</w:t>
      </w:r>
    </w:p>
    <w:p>
      <w:pPr>
        <w:pStyle w:val="Point0"/>
        <w:rPr>
          <w:rFonts w:eastAsia="Calibri"/>
          <w:noProof/>
        </w:rPr>
      </w:pPr>
      <w:r>
        <w:rPr>
          <w:noProof/>
        </w:rPr>
        <w:t>а)</w:t>
      </w:r>
      <w:r>
        <w:rPr>
          <w:noProof/>
        </w:rPr>
        <w:tab/>
        <w:t>Категат:</w:t>
      </w:r>
    </w:p>
    <w:tbl>
      <w:tblPr>
        <w:tblW w:w="5000" w:type="pct"/>
        <w:tblCellMar>
          <w:top w:w="28" w:type="dxa"/>
          <w:left w:w="28" w:type="dxa"/>
          <w:bottom w:w="28" w:type="dxa"/>
          <w:right w:w="28" w:type="dxa"/>
        </w:tblCellMar>
        <w:tblLook w:val="0000" w:firstRow="0" w:lastRow="0" w:firstColumn="0" w:lastColumn="0" w:noHBand="0" w:noVBand="0"/>
      </w:tblPr>
      <w:tblGrid>
        <w:gridCol w:w="2423"/>
        <w:gridCol w:w="2423"/>
        <w:gridCol w:w="2424"/>
        <w:gridCol w:w="2424"/>
      </w:tblGrid>
      <w:tr>
        <w:trPr>
          <w:trHeight w:val="20"/>
        </w:trPr>
        <w:tc>
          <w:tcPr>
            <w:tcW w:w="1250" w:type="pct"/>
            <w:tcBorders>
              <w:top w:val="single" w:sz="4" w:space="0" w:color="000000"/>
              <w:left w:val="single" w:sz="4" w:space="0" w:color="000000"/>
              <w:bottom w:val="single" w:sz="2" w:space="0" w:color="000000"/>
            </w:tcBorders>
            <w:shd w:val="clear" w:color="auto" w:fill="auto"/>
          </w:tcPr>
          <w:p>
            <w:pPr>
              <w:spacing w:before="60" w:after="60"/>
              <w:jc w:val="center"/>
              <w:rPr>
                <w:rFonts w:eastAsia="Calibri"/>
                <w:noProof/>
                <w:sz w:val="20"/>
                <w:szCs w:val="20"/>
              </w:rPr>
            </w:pPr>
            <w:r>
              <w:rPr>
                <w:noProof/>
                <w:sz w:val="20"/>
              </w:rPr>
              <w:t>Регламентирани уреди</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noProof/>
                <w:sz w:val="20"/>
              </w:rPr>
              <w:t>DK</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noProof/>
                <w:sz w:val="20"/>
              </w:rPr>
              <w:t>DE</w:t>
            </w:r>
          </w:p>
        </w:tc>
        <w:tc>
          <w:tcPr>
            <w:tcW w:w="1250" w:type="pct"/>
            <w:tcBorders>
              <w:top w:val="single" w:sz="4"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sz w:val="20"/>
                <w:szCs w:val="20"/>
              </w:rPr>
            </w:pPr>
            <w:r>
              <w:rPr>
                <w:noProof/>
                <w:sz w:val="20"/>
              </w:rPr>
              <w:t>SE</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TR1</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TR2</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TR3</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BT1</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BT2</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GN</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GT</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r>
        <w:trPr>
          <w:trHeight w:val="20"/>
        </w:trPr>
        <w:tc>
          <w:tcPr>
            <w:tcW w:w="1250" w:type="pct"/>
            <w:tcBorders>
              <w:top w:val="single" w:sz="2"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LL</w:t>
            </w:r>
          </w:p>
        </w:tc>
        <w:tc>
          <w:tcPr>
            <w:tcW w:w="1250" w:type="pct"/>
            <w:tcBorders>
              <w:top w:val="single" w:sz="2" w:space="0" w:color="000000"/>
              <w:left w:val="single" w:sz="2" w:space="0" w:color="000000"/>
              <w:bottom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c>
          <w:tcPr>
            <w:tcW w:w="1250" w:type="pct"/>
            <w:tcBorders>
              <w:top w:val="single" w:sz="2" w:space="0" w:color="000000"/>
              <w:left w:val="single" w:sz="2"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rPr>
              <w:t>pm</w:t>
            </w:r>
          </w:p>
        </w:tc>
      </w:tr>
    </w:tbl>
    <w:p>
      <w:pPr>
        <w:rPr>
          <w:rFonts w:eastAsia="Calibri"/>
          <w:noProof/>
        </w:rPr>
      </w:pPr>
    </w:p>
    <w:p>
      <w:pPr>
        <w:pStyle w:val="Point0"/>
        <w:rPr>
          <w:rFonts w:eastAsia="Calibri"/>
          <w:noProof/>
        </w:rPr>
      </w:pPr>
      <w:r>
        <w:rPr>
          <w:noProof/>
        </w:rPr>
        <w:t>б)</w:t>
      </w:r>
      <w:r>
        <w:rPr>
          <w:noProof/>
        </w:rPr>
        <w:tab/>
        <w:t>Скагерак, частта от участък IIIa на ICES, която не попада в Скагерак и Категат; подзона IV на ICES и водите на Съюза от участък IIa на ICES; участък VIId на ICES:</w:t>
      </w:r>
    </w:p>
    <w:tbl>
      <w:tblPr>
        <w:tblW w:w="5000" w:type="pct"/>
        <w:tblLook w:val="0000" w:firstRow="0" w:lastRow="0" w:firstColumn="0" w:lastColumn="0" w:noHBand="0" w:noVBand="0"/>
      </w:tblPr>
      <w:tblGrid>
        <w:gridCol w:w="1607"/>
        <w:gridCol w:w="991"/>
        <w:gridCol w:w="992"/>
        <w:gridCol w:w="992"/>
        <w:gridCol w:w="626"/>
        <w:gridCol w:w="992"/>
        <w:gridCol w:w="730"/>
        <w:gridCol w:w="1097"/>
        <w:gridCol w:w="835"/>
        <w:gridCol w:w="992"/>
      </w:tblGrid>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Регламентирани уреди</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BE</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DK</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DE</w:t>
            </w:r>
          </w:p>
        </w:tc>
        <w:tc>
          <w:tcPr>
            <w:tcW w:w="34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ES</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FR</w:t>
            </w:r>
          </w:p>
        </w:tc>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IE</w:t>
            </w:r>
          </w:p>
        </w:tc>
        <w:tc>
          <w:tcPr>
            <w:tcW w:w="58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NL</w:t>
            </w:r>
          </w:p>
        </w:tc>
        <w:tc>
          <w:tcPr>
            <w:tcW w:w="45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SE</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UK</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TR1</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TR2</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TR3</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BT1</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BT2</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GN</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GT</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noProof/>
                <w:sz w:val="20"/>
              </w:rPr>
              <w:t>LL</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bl>
    <w:p>
      <w:pPr>
        <w:rPr>
          <w:rFonts w:eastAsia="Calibri"/>
          <w:noProof/>
        </w:rPr>
      </w:pPr>
    </w:p>
    <w:p>
      <w:pPr>
        <w:pStyle w:val="Point0"/>
        <w:rPr>
          <w:rFonts w:eastAsia="Calibri"/>
          <w:noProof/>
        </w:rPr>
      </w:pPr>
      <w:r>
        <w:rPr>
          <w:noProof/>
        </w:rPr>
        <w:br w:type="page"/>
      </w:r>
      <w:r>
        <w:rPr>
          <w:noProof/>
        </w:rPr>
        <w:lastRenderedPageBreak/>
        <w:t>в)</w:t>
      </w:r>
      <w:r>
        <w:rPr>
          <w:noProof/>
        </w:rPr>
        <w:tab/>
        <w:t>участък VIIа на ICES:</w:t>
      </w:r>
    </w:p>
    <w:tbl>
      <w:tblPr>
        <w:tblW w:w="5000" w:type="pct"/>
        <w:tblBorders>
          <w:top w:val="single" w:sz="4" w:space="0" w:color="000000"/>
          <w:left w:val="single" w:sz="4" w:space="0" w:color="auto"/>
          <w:bottom w:val="single" w:sz="4" w:space="0" w:color="000000"/>
          <w:insideH w:val="single" w:sz="4" w:space="0" w:color="000000"/>
          <w:insideV w:val="single" w:sz="4" w:space="0" w:color="000000"/>
        </w:tblBorders>
        <w:tblLook w:val="0000" w:firstRow="0" w:lastRow="0" w:firstColumn="0" w:lastColumn="0" w:noHBand="0" w:noVBand="0"/>
      </w:tblPr>
      <w:tblGrid>
        <w:gridCol w:w="1641"/>
        <w:gridCol w:w="1641"/>
        <w:gridCol w:w="1644"/>
        <w:gridCol w:w="1642"/>
        <w:gridCol w:w="1642"/>
        <w:gridCol w:w="1644"/>
      </w:tblGrid>
      <w:tr>
        <w:tc>
          <w:tcPr>
            <w:tcW w:w="833" w:type="pct"/>
            <w:vAlign w:val="center"/>
          </w:tcPr>
          <w:p>
            <w:pPr>
              <w:spacing w:before="60" w:after="60"/>
              <w:jc w:val="center"/>
              <w:rPr>
                <w:rFonts w:eastAsia="Calibri"/>
                <w:noProof/>
                <w:sz w:val="20"/>
                <w:szCs w:val="20"/>
              </w:rPr>
            </w:pPr>
            <w:r>
              <w:rPr>
                <w:noProof/>
                <w:sz w:val="20"/>
              </w:rPr>
              <w:t>Регламентирани уреди</w:t>
            </w:r>
          </w:p>
        </w:tc>
        <w:tc>
          <w:tcPr>
            <w:tcW w:w="833" w:type="pct"/>
            <w:vAlign w:val="center"/>
          </w:tcPr>
          <w:p>
            <w:pPr>
              <w:spacing w:before="60" w:after="60"/>
              <w:jc w:val="center"/>
              <w:rPr>
                <w:rFonts w:eastAsia="Calibri"/>
                <w:noProof/>
                <w:sz w:val="20"/>
                <w:szCs w:val="20"/>
              </w:rPr>
            </w:pPr>
            <w:r>
              <w:rPr>
                <w:noProof/>
                <w:sz w:val="20"/>
              </w:rPr>
              <w:t>BE</w:t>
            </w:r>
          </w:p>
        </w:tc>
        <w:tc>
          <w:tcPr>
            <w:tcW w:w="834" w:type="pct"/>
            <w:vAlign w:val="center"/>
          </w:tcPr>
          <w:p>
            <w:pPr>
              <w:spacing w:before="60" w:after="60"/>
              <w:jc w:val="center"/>
              <w:rPr>
                <w:rFonts w:eastAsia="Calibri"/>
                <w:noProof/>
                <w:sz w:val="20"/>
                <w:szCs w:val="20"/>
              </w:rPr>
            </w:pPr>
            <w:r>
              <w:rPr>
                <w:noProof/>
                <w:sz w:val="20"/>
              </w:rPr>
              <w:t>FR</w:t>
            </w:r>
          </w:p>
        </w:tc>
        <w:tc>
          <w:tcPr>
            <w:tcW w:w="833" w:type="pct"/>
            <w:vAlign w:val="center"/>
          </w:tcPr>
          <w:p>
            <w:pPr>
              <w:spacing w:before="60" w:after="60"/>
              <w:jc w:val="center"/>
              <w:rPr>
                <w:rFonts w:eastAsia="Calibri"/>
                <w:noProof/>
                <w:sz w:val="20"/>
                <w:szCs w:val="20"/>
              </w:rPr>
            </w:pPr>
            <w:r>
              <w:rPr>
                <w:noProof/>
                <w:sz w:val="20"/>
              </w:rPr>
              <w:t>IE</w:t>
            </w:r>
          </w:p>
        </w:tc>
        <w:tc>
          <w:tcPr>
            <w:tcW w:w="833" w:type="pct"/>
            <w:vAlign w:val="center"/>
          </w:tcPr>
          <w:p>
            <w:pPr>
              <w:spacing w:before="60" w:after="60"/>
              <w:jc w:val="center"/>
              <w:rPr>
                <w:rFonts w:eastAsia="Calibri"/>
                <w:noProof/>
                <w:sz w:val="20"/>
                <w:szCs w:val="20"/>
              </w:rPr>
            </w:pPr>
            <w:r>
              <w:rPr>
                <w:noProof/>
                <w:sz w:val="20"/>
              </w:rPr>
              <w:t>NL</w:t>
            </w:r>
          </w:p>
        </w:tc>
        <w:tc>
          <w:tcPr>
            <w:tcW w:w="834" w:type="pct"/>
            <w:tcBorders>
              <w:right w:val="single" w:sz="4" w:space="0" w:color="auto"/>
            </w:tcBorders>
            <w:vAlign w:val="center"/>
          </w:tcPr>
          <w:p>
            <w:pPr>
              <w:spacing w:before="60" w:after="60"/>
              <w:jc w:val="center"/>
              <w:rPr>
                <w:rFonts w:eastAsia="Calibri"/>
                <w:noProof/>
                <w:sz w:val="20"/>
                <w:szCs w:val="20"/>
              </w:rPr>
            </w:pPr>
            <w:r>
              <w:rPr>
                <w:noProof/>
                <w:sz w:val="20"/>
              </w:rPr>
              <w:t>UK</w:t>
            </w:r>
          </w:p>
        </w:tc>
      </w:tr>
      <w:tr>
        <w:tc>
          <w:tcPr>
            <w:tcW w:w="833" w:type="pct"/>
          </w:tcPr>
          <w:p>
            <w:pPr>
              <w:spacing w:before="60" w:after="60"/>
              <w:rPr>
                <w:rFonts w:eastAsia="Calibri"/>
                <w:noProof/>
                <w:sz w:val="20"/>
                <w:szCs w:val="20"/>
              </w:rPr>
            </w:pPr>
            <w:r>
              <w:rPr>
                <w:noProof/>
                <w:sz w:val="20"/>
              </w:rPr>
              <w:t>TR1</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TR2</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TR3</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BT1</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BT2</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GN</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GT</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r>
        <w:tc>
          <w:tcPr>
            <w:tcW w:w="833" w:type="pct"/>
          </w:tcPr>
          <w:p>
            <w:pPr>
              <w:spacing w:before="60" w:after="60"/>
              <w:rPr>
                <w:rFonts w:eastAsia="Calibri"/>
                <w:noProof/>
                <w:sz w:val="20"/>
                <w:szCs w:val="20"/>
              </w:rPr>
            </w:pPr>
            <w:r>
              <w:rPr>
                <w:noProof/>
                <w:sz w:val="20"/>
              </w:rPr>
              <w:t>LL</w:t>
            </w:r>
          </w:p>
        </w:tc>
        <w:tc>
          <w:tcPr>
            <w:tcW w:w="833" w:type="pct"/>
          </w:tcPr>
          <w:p>
            <w:pPr>
              <w:spacing w:before="60" w:after="60"/>
              <w:jc w:val="right"/>
              <w:rPr>
                <w:rFonts w:eastAsia="Calibri"/>
                <w:noProof/>
                <w:sz w:val="20"/>
                <w:szCs w:val="20"/>
              </w:rPr>
            </w:pPr>
            <w:r>
              <w:rPr>
                <w:noProof/>
                <w:sz w:val="20"/>
              </w:rPr>
              <w:t>pm</w:t>
            </w:r>
          </w:p>
        </w:tc>
        <w:tc>
          <w:tcPr>
            <w:tcW w:w="834"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3" w:type="pct"/>
          </w:tcPr>
          <w:p>
            <w:pPr>
              <w:spacing w:before="60" w:after="60"/>
              <w:jc w:val="right"/>
              <w:rPr>
                <w:rFonts w:eastAsia="Calibri"/>
                <w:noProof/>
                <w:sz w:val="20"/>
                <w:szCs w:val="20"/>
              </w:rPr>
            </w:pPr>
            <w:r>
              <w:rPr>
                <w:noProof/>
                <w:sz w:val="20"/>
              </w:rPr>
              <w:t>pm</w:t>
            </w:r>
          </w:p>
        </w:tc>
        <w:tc>
          <w:tcPr>
            <w:tcW w:w="834" w:type="pct"/>
            <w:tcBorders>
              <w:right w:val="single" w:sz="4" w:space="0" w:color="auto"/>
            </w:tcBorders>
          </w:tcPr>
          <w:p>
            <w:pPr>
              <w:spacing w:before="60" w:after="60"/>
              <w:jc w:val="right"/>
              <w:rPr>
                <w:rFonts w:eastAsia="Calibri"/>
                <w:noProof/>
                <w:sz w:val="20"/>
                <w:szCs w:val="20"/>
              </w:rPr>
            </w:pPr>
            <w:r>
              <w:rPr>
                <w:noProof/>
                <w:sz w:val="20"/>
              </w:rPr>
              <w:t>pm</w:t>
            </w:r>
          </w:p>
        </w:tc>
      </w:tr>
    </w:tbl>
    <w:p>
      <w:pPr>
        <w:rPr>
          <w:rFonts w:eastAsia="Calibri"/>
          <w:noProof/>
        </w:rPr>
      </w:pPr>
    </w:p>
    <w:p>
      <w:pPr>
        <w:pStyle w:val="Point0"/>
        <w:rPr>
          <w:rFonts w:eastAsia="Calibri"/>
          <w:noProof/>
        </w:rPr>
      </w:pPr>
      <w:r>
        <w:rPr>
          <w:noProof/>
        </w:rPr>
        <w:t>г)</w:t>
      </w:r>
      <w:r>
        <w:rPr>
          <w:noProof/>
        </w:rPr>
        <w:tab/>
        <w:t>участък VIа на ICES и водите на Съюза от участък Vb на ICES:</w:t>
      </w:r>
    </w:p>
    <w:tbl>
      <w:tblPr>
        <w:tblW w:w="5000" w:type="pct"/>
        <w:tblLook w:val="0000" w:firstRow="0" w:lastRow="0" w:firstColumn="0" w:lastColumn="0" w:noHBand="0" w:noVBand="0"/>
      </w:tblPr>
      <w:tblGrid>
        <w:gridCol w:w="1607"/>
        <w:gridCol w:w="1374"/>
        <w:gridCol w:w="1374"/>
        <w:gridCol w:w="1374"/>
        <w:gridCol w:w="1375"/>
        <w:gridCol w:w="1375"/>
        <w:gridCol w:w="1375"/>
      </w:tblGrid>
      <w:tr>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Регламентирани уреди</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BE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ES</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FR</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IE</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UK</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TR1</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TR2</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TR3</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BT1</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BT2</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GN</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GT</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LL</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sz w:val="20"/>
              </w:rPr>
              <w:t>pm</w:t>
            </w:r>
          </w:p>
        </w:tc>
      </w:tr>
    </w:tbl>
    <w:p>
      <w:pPr>
        <w:pStyle w:val="Lignefinal"/>
        <w:rPr>
          <w:rFonts w:eastAsia="Calibri"/>
          <w:noProof/>
        </w:rPr>
      </w:pPr>
    </w:p>
    <w:p>
      <w:pPr>
        <w:rPr>
          <w:rFonts w:eastAsia="Calibri"/>
          <w:noProof/>
        </w:rPr>
        <w:sectPr>
          <w:footnotePr>
            <w:numRestart w:val="eachPage"/>
          </w:footnotePr>
          <w:pgSz w:w="11906" w:h="16838"/>
          <w:pgMar w:top="1134" w:right="1134" w:bottom="1134" w:left="1134" w:header="720" w:footer="567" w:gutter="0"/>
          <w:cols w:space="720"/>
          <w:docGrid w:linePitch="326"/>
        </w:sectPr>
      </w:pPr>
    </w:p>
    <w:p>
      <w:pPr>
        <w:pStyle w:val="Annexetitre"/>
        <w:rPr>
          <w:rFonts w:eastAsia="Calibri"/>
          <w:noProof/>
        </w:rPr>
      </w:pPr>
      <w:r>
        <w:rPr>
          <w:noProof/>
        </w:rPr>
        <w:lastRenderedPageBreak/>
        <w:t>ПРИЛОЖЕНИЕ IIБ</w:t>
      </w:r>
    </w:p>
    <w:p>
      <w:pPr>
        <w:pStyle w:val="NormalCentered"/>
        <w:rPr>
          <w:rFonts w:eastAsia="Calibri"/>
          <w:noProof/>
        </w:rPr>
      </w:pPr>
      <w:r>
        <w:rPr>
          <w:noProof/>
        </w:rPr>
        <w:t>РИБОЛОВНО УСИЛИЕ ЗА КОРАБИТЕ В КОНТЕКСТА НА</w:t>
      </w:r>
      <w:r>
        <w:rPr>
          <w:noProof/>
        </w:rPr>
        <w:br/>
        <w:t>ВЪЗСТАНОВЯВАНЕТО НА НЯКОИ ЗАПАСИ ОТ АВСТРАЛИЙСКА МЕРЛУЗА</w:t>
      </w:r>
      <w:r>
        <w:rPr>
          <w:noProof/>
        </w:rPr>
        <w:br/>
        <w:t>И НОРВЕЖКИ ОМАР</w:t>
      </w:r>
      <w:r>
        <w:rPr>
          <w:noProof/>
        </w:rPr>
        <w:br/>
        <w:t>В УЧАСТЪЦИ VIIIс И IXа НА ICES, С ИЗКЛЮЧЕНИЕ НА ЗАЛИВА КАДИС</w:t>
      </w:r>
    </w:p>
    <w:p>
      <w:pPr>
        <w:pStyle w:val="ChapterTitle"/>
        <w:rPr>
          <w:rFonts w:eastAsia="Calibri"/>
          <w:noProof/>
        </w:rPr>
      </w:pPr>
      <w:r>
        <w:rPr>
          <w:noProof/>
        </w:rPr>
        <w:t>Глава I</w:t>
      </w:r>
      <w:r>
        <w:rPr>
          <w:noProof/>
        </w:rPr>
        <w:br/>
        <w:t>Общи разпоредби</w:t>
      </w:r>
    </w:p>
    <w:p>
      <w:pPr>
        <w:pStyle w:val="Point0"/>
        <w:rPr>
          <w:rFonts w:eastAsia="Calibri"/>
          <w:noProof/>
        </w:rPr>
      </w:pPr>
      <w:r>
        <w:rPr>
          <w:noProof/>
        </w:rPr>
        <w:t>1.</w:t>
      </w:r>
      <w:r>
        <w:rPr>
          <w:noProof/>
        </w:rPr>
        <w:tab/>
        <w:t>ОБХВАТ</w:t>
      </w:r>
    </w:p>
    <w:p>
      <w:pPr>
        <w:pStyle w:val="Text1"/>
        <w:rPr>
          <w:rFonts w:eastAsia="Calibri"/>
          <w:noProof/>
        </w:rPr>
      </w:pPr>
      <w:r>
        <w:rPr>
          <w:noProof/>
        </w:rPr>
        <w:t>В обхвата на настоящото приложение попадат корабите на Съюза с обща дължина 10 m или повече, които носят на борда или използват тралове, датски грибове или подобни уреди с размер на окото 32 mm или повече и хрилни мрежи с размер на окото 60 mm или повече или дънни парагади в съответствие с Регламент (ЕО) № 2166/2005 и които се намират в участъци VIIIc и IXa на ICES, с изключение на залива Кадис.</w:t>
      </w:r>
    </w:p>
    <w:p>
      <w:pPr>
        <w:pStyle w:val="Point0"/>
        <w:rPr>
          <w:rFonts w:eastAsia="Calibri"/>
          <w:noProof/>
        </w:rPr>
      </w:pPr>
      <w:r>
        <w:rPr>
          <w:noProof/>
        </w:rPr>
        <w:t>2.</w:t>
      </w:r>
      <w:r>
        <w:rPr>
          <w:noProof/>
        </w:rPr>
        <w:tab/>
        <w:t>ОПРЕДЕЛЕНИЯ</w:t>
      </w:r>
    </w:p>
    <w:p>
      <w:pPr>
        <w:pStyle w:val="Text1"/>
        <w:rPr>
          <w:rFonts w:eastAsia="Calibri"/>
          <w:noProof/>
        </w:rPr>
      </w:pPr>
      <w:r>
        <w:rPr>
          <w:noProof/>
        </w:rPr>
        <w:t>За целите на настоящото приложение:</w:t>
      </w:r>
    </w:p>
    <w:p>
      <w:pPr>
        <w:pStyle w:val="Point1"/>
        <w:rPr>
          <w:rFonts w:eastAsia="Calibri"/>
          <w:noProof/>
        </w:rPr>
      </w:pPr>
      <w:r>
        <w:rPr>
          <w:noProof/>
        </w:rPr>
        <w:t>а)</w:t>
      </w:r>
      <w:r>
        <w:rPr>
          <w:noProof/>
        </w:rPr>
        <w:tab/>
        <w:t>„група уреди“ означава група, състояща се от следните две категории уреди:</w:t>
      </w:r>
    </w:p>
    <w:p>
      <w:pPr>
        <w:pStyle w:val="Point2"/>
        <w:rPr>
          <w:rFonts w:eastAsia="Calibri"/>
          <w:noProof/>
        </w:rPr>
      </w:pPr>
      <w:r>
        <w:rPr>
          <w:noProof/>
        </w:rPr>
        <w:t>i)</w:t>
      </w:r>
      <w:r>
        <w:rPr>
          <w:noProof/>
        </w:rPr>
        <w:tab/>
        <w:t>тралове, датски грибове или подобни риболовни уреди с размер на окото 32 mm или повече, и</w:t>
      </w:r>
    </w:p>
    <w:p>
      <w:pPr>
        <w:pStyle w:val="Point2"/>
        <w:rPr>
          <w:rFonts w:eastAsia="Calibri"/>
          <w:noProof/>
        </w:rPr>
      </w:pPr>
      <w:r>
        <w:rPr>
          <w:noProof/>
        </w:rPr>
        <w:t>ii)</w:t>
      </w:r>
      <w:r>
        <w:rPr>
          <w:noProof/>
        </w:rPr>
        <w:tab/>
        <w:t>хрилни мрежи с размер на окото 60 mm или повече и дънни парагади;</w:t>
      </w:r>
    </w:p>
    <w:p>
      <w:pPr>
        <w:pStyle w:val="Point1"/>
        <w:rPr>
          <w:rFonts w:eastAsia="Calibri"/>
          <w:noProof/>
        </w:rPr>
      </w:pPr>
      <w:r>
        <w:rPr>
          <w:noProof/>
        </w:rPr>
        <w:t>б)</w:t>
      </w:r>
      <w:r>
        <w:rPr>
          <w:noProof/>
        </w:rPr>
        <w:tab/>
        <w:t>„регламентирани уреди“ означава всяка от двете категории уреди, принадлежащи към групата уреди;</w:t>
      </w:r>
    </w:p>
    <w:p>
      <w:pPr>
        <w:pStyle w:val="Point1"/>
        <w:rPr>
          <w:rFonts w:eastAsia="Calibri"/>
          <w:noProof/>
        </w:rPr>
      </w:pPr>
      <w:r>
        <w:rPr>
          <w:noProof/>
        </w:rPr>
        <w:t>в)</w:t>
      </w:r>
      <w:r>
        <w:rPr>
          <w:noProof/>
        </w:rPr>
        <w:tab/>
        <w:t>„зона“ означава участъци VIIIc и IXa на ICES, с изключение на залива Кадис;</w:t>
      </w:r>
    </w:p>
    <w:p>
      <w:pPr>
        <w:pStyle w:val="Point1"/>
        <w:rPr>
          <w:rFonts w:eastAsia="Calibri"/>
          <w:noProof/>
        </w:rPr>
      </w:pPr>
      <w:r>
        <w:rPr>
          <w:noProof/>
        </w:rPr>
        <w:t>г)</w:t>
      </w:r>
      <w:r>
        <w:rPr>
          <w:noProof/>
        </w:rPr>
        <w:tab/>
        <w:t>„текущ период на управление“ означава периодът, посочен в член 8;</w:t>
      </w:r>
    </w:p>
    <w:p>
      <w:pPr>
        <w:pStyle w:val="Point1"/>
        <w:rPr>
          <w:rFonts w:eastAsia="Calibri"/>
          <w:noProof/>
        </w:rPr>
      </w:pPr>
      <w:r>
        <w:rPr>
          <w:noProof/>
        </w:rPr>
        <w:t>д)</w:t>
      </w:r>
      <w:r>
        <w:rPr>
          <w:noProof/>
        </w:rPr>
        <w:tab/>
        <w:t>„специални условия“ означава специалните условия, определени в точка 6.1.</w:t>
      </w:r>
    </w:p>
    <w:p>
      <w:pPr>
        <w:rPr>
          <w:rFonts w:eastAsia="Calibri"/>
          <w:noProof/>
        </w:rPr>
      </w:pPr>
      <w:r>
        <w:rPr>
          <w:noProof/>
        </w:rPr>
        <w:t>3.</w:t>
      </w:r>
      <w:r>
        <w:rPr>
          <w:noProof/>
        </w:rPr>
        <w:tab/>
        <w:t>ОГРАНИЧЕНИЯ НА ДЕЙНОСТТА</w:t>
      </w:r>
    </w:p>
    <w:p>
      <w:pPr>
        <w:pStyle w:val="Text1"/>
        <w:rPr>
          <w:rFonts w:eastAsia="Calibri"/>
          <w:noProof/>
        </w:rPr>
      </w:pPr>
      <w:r>
        <w:rPr>
          <w:noProof/>
        </w:rPr>
        <w:t>Без да се засяга член 29 от Регламент (ЕО) № 1224/2009, всяка държава членка гарантира, че когато плаващите под нейно знаме кораби на Съюза носят на борда регламентирани уреди, престоят им в зоната няма да надвишава броя дни, посочен в глава III от настоящото приложение.</w:t>
      </w:r>
    </w:p>
    <w:p>
      <w:pPr>
        <w:pStyle w:val="ChapterTitle"/>
        <w:rPr>
          <w:rFonts w:eastAsia="Calibri"/>
          <w:noProof/>
        </w:rPr>
      </w:pPr>
      <w:r>
        <w:rPr>
          <w:noProof/>
        </w:rPr>
        <w:t>Глава II</w:t>
      </w:r>
      <w:r>
        <w:rPr>
          <w:noProof/>
        </w:rPr>
        <w:br/>
        <w:t>Разрешения</w:t>
      </w:r>
    </w:p>
    <w:p>
      <w:pPr>
        <w:pStyle w:val="Point0"/>
        <w:rPr>
          <w:rFonts w:eastAsia="Calibri"/>
          <w:noProof/>
        </w:rPr>
      </w:pPr>
      <w:bookmarkStart w:id="1" w:name="OLE_LINK4"/>
      <w:r>
        <w:rPr>
          <w:noProof/>
        </w:rPr>
        <w:t>4.</w:t>
      </w:r>
      <w:r>
        <w:rPr>
          <w:noProof/>
        </w:rPr>
        <w:tab/>
        <w:t>КОРАБИ, ПРИТЕЖАВАЩИ РАЗРЕШЕНИЕ</w:t>
      </w:r>
    </w:p>
    <w:p>
      <w:pPr>
        <w:pStyle w:val="Point0"/>
        <w:rPr>
          <w:rFonts w:eastAsia="Calibri"/>
          <w:noProof/>
        </w:rPr>
      </w:pPr>
      <w:r>
        <w:rPr>
          <w:noProof/>
        </w:rPr>
        <w:t>4.1.</w:t>
      </w:r>
      <w:r>
        <w:rPr>
          <w:noProof/>
        </w:rPr>
        <w:tab/>
        <w:t xml:space="preserve">Държавите членки не разрешават риболов с регламентирани уреди в зоната от страна на кораби, плаващи под тяхното знаме, за които няма записи, че са извършвали такава риболовна дейност в тази зона в периода 2002—2015 г. (с изключение на записите за риболовни дейности в резултат на прехвърляне на дни между риболовни </w:t>
      </w:r>
      <w:r>
        <w:rPr>
          <w:noProof/>
        </w:rPr>
        <w:lastRenderedPageBreak/>
        <w:t>кораби), освен ако държавите членки гарантират в тази зона да не се извършва риболов с равностоен капацитет, измерен в киловати.</w:t>
      </w:r>
    </w:p>
    <w:bookmarkEnd w:id="1"/>
    <w:p>
      <w:pPr>
        <w:pStyle w:val="Point0"/>
        <w:rPr>
          <w:rFonts w:eastAsia="Calibri"/>
          <w:noProof/>
        </w:rPr>
      </w:pPr>
      <w:r>
        <w:rPr>
          <w:noProof/>
        </w:rPr>
        <w:t>4.2.</w:t>
      </w:r>
      <w:r>
        <w:rPr>
          <w:noProof/>
        </w:rPr>
        <w:tab/>
        <w:t>Кораб, плаващ под знамето на държава членка, която няма квоти в зоната, може да получи разрешение да извършва риболов с регламентирани уреди в зоната само ако му е предоставена квота след прехвърляне, разрешено съгласно член 16, параграф 8 от Регламент (ЕС) № 1380/2013, както и дни в морето съгласно точка 11 или точка 12 от настоящото приложение.</w:t>
      </w:r>
    </w:p>
    <w:p>
      <w:pPr>
        <w:pStyle w:val="ChapterTitle"/>
        <w:rPr>
          <w:rFonts w:eastAsia="Calibri"/>
          <w:noProof/>
        </w:rPr>
      </w:pPr>
      <w:r>
        <w:rPr>
          <w:noProof/>
        </w:rPr>
        <w:t>Глава III</w:t>
      </w:r>
      <w:r>
        <w:rPr>
          <w:noProof/>
        </w:rPr>
        <w:br/>
        <w:t xml:space="preserve">Брой дни на престой в зоната, </w:t>
      </w:r>
      <w:r>
        <w:rPr>
          <w:noProof/>
        </w:rPr>
        <w:br/>
        <w:t>разпределени на корабите на Съюза</w:t>
      </w:r>
    </w:p>
    <w:p>
      <w:pPr>
        <w:pStyle w:val="Point0"/>
        <w:rPr>
          <w:rFonts w:eastAsia="Calibri"/>
          <w:noProof/>
        </w:rPr>
      </w:pPr>
      <w:r>
        <w:rPr>
          <w:noProof/>
        </w:rPr>
        <w:t>5.</w:t>
      </w:r>
      <w:r>
        <w:rPr>
          <w:noProof/>
        </w:rPr>
        <w:tab/>
        <w:t>МАКСИМАЛЕН БРОЙ ДНИ</w:t>
      </w:r>
    </w:p>
    <w:p>
      <w:pPr>
        <w:pStyle w:val="Point0"/>
        <w:rPr>
          <w:rFonts w:eastAsia="Calibri"/>
          <w:noProof/>
        </w:rPr>
      </w:pPr>
      <w:r>
        <w:rPr>
          <w:noProof/>
        </w:rPr>
        <w:t>5.1.</w:t>
      </w:r>
      <w:r>
        <w:rPr>
          <w:noProof/>
        </w:rPr>
        <w:tab/>
        <w:t>В таблица I е определен максималният брой дни в морето през текущия период на управление, за които дадена държава членка може да даде разрешение за престой в зоната на кораб, плаващ под нейното знаме и носещ на борда регламентирани уреди.</w:t>
      </w:r>
    </w:p>
    <w:p>
      <w:pPr>
        <w:pStyle w:val="Point0"/>
        <w:rPr>
          <w:rFonts w:eastAsia="Calibri"/>
          <w:noProof/>
        </w:rPr>
      </w:pPr>
      <w:r>
        <w:rPr>
          <w:noProof/>
        </w:rPr>
        <w:t>5.2.</w:t>
      </w:r>
      <w:r>
        <w:rPr>
          <w:noProof/>
        </w:rPr>
        <w:tab/>
        <w:t>Ако даден кораб е в състояние да докаже, че неговият улов на мерлуза представлява по-малко от 8 % от общото живо тегло на рибата, уловена в рамките на даден риболовен рейс, държавата членка на знамето на кораба може да не приспада дните в морето, свързани с този риболовен рейс, от приложимия максимален брой дни в морето, определен в таблица I.</w:t>
      </w:r>
    </w:p>
    <w:p>
      <w:pPr>
        <w:pStyle w:val="Point0"/>
        <w:rPr>
          <w:rFonts w:eastAsia="Calibri"/>
          <w:noProof/>
        </w:rPr>
      </w:pPr>
      <w:r>
        <w:rPr>
          <w:noProof/>
        </w:rPr>
        <w:t>6.</w:t>
      </w:r>
      <w:r>
        <w:rPr>
          <w:noProof/>
        </w:rPr>
        <w:tab/>
        <w:t>СПЕЦИАЛНИ УСЛОВИЯ ЗА РАЗПРЕДЕЛЯНЕТО НА ДНИ</w:t>
      </w:r>
    </w:p>
    <w:p>
      <w:pPr>
        <w:pStyle w:val="Point0"/>
        <w:rPr>
          <w:rFonts w:eastAsia="Calibri"/>
          <w:noProof/>
        </w:rPr>
      </w:pPr>
      <w:r>
        <w:rPr>
          <w:noProof/>
        </w:rPr>
        <w:t>6.1.</w:t>
      </w:r>
      <w:r>
        <w:rPr>
          <w:noProof/>
        </w:rPr>
        <w:tab/>
        <w:t>За целите на определянето на максималния брой дни в морето, държава членка на знамето може да даде разрешение за престой в зоната на кораб на Съюза под нейно знаме, като се прилагат следните специални условия в съответствие с таблица I:</w:t>
      </w:r>
    </w:p>
    <w:p>
      <w:pPr>
        <w:pStyle w:val="Point1"/>
        <w:rPr>
          <w:rFonts w:eastAsia="Calibri"/>
          <w:noProof/>
        </w:rPr>
      </w:pPr>
      <w:r>
        <w:rPr>
          <w:noProof/>
        </w:rPr>
        <w:t>а)</w:t>
      </w:r>
      <w:r>
        <w:rPr>
          <w:noProof/>
        </w:rPr>
        <w:tab/>
        <w:t>общият обем разтоварвания на мерлуза, извършени от съответния кораб през всяка от двете календарни години 2013 г. и 2014 г., е под 5 тона според данните за разтоварванията в живо тегло, и</w:t>
      </w:r>
    </w:p>
    <w:p>
      <w:pPr>
        <w:pStyle w:val="Point1"/>
        <w:rPr>
          <w:rFonts w:eastAsia="Calibri"/>
          <w:noProof/>
        </w:rPr>
      </w:pPr>
      <w:r>
        <w:rPr>
          <w:noProof/>
        </w:rPr>
        <w:t>б)</w:t>
      </w:r>
      <w:r>
        <w:rPr>
          <w:noProof/>
        </w:rPr>
        <w:tab/>
        <w:t>общият обем разтоварвания на норвежки омар, извършени от съответния кораб през годините, посочени в буква а) по-горе, е под 2,5 тона според данните за разтоварванията в живо тегло.</w:t>
      </w:r>
    </w:p>
    <w:p>
      <w:pPr>
        <w:pStyle w:val="Point0"/>
        <w:rPr>
          <w:rFonts w:eastAsia="Calibri"/>
          <w:noProof/>
        </w:rPr>
      </w:pPr>
      <w:r>
        <w:rPr>
          <w:noProof/>
        </w:rPr>
        <w:t>6.2.</w:t>
      </w:r>
      <w:r>
        <w:rPr>
          <w:noProof/>
        </w:rPr>
        <w:tab/>
        <w:t>Ако даден кораб ползва неограничен брой дни в резултат на спазване на специалните условия, неговите разтоварвания през текущия период на управление не може да надвишават 5 тона от общия обем на разтоварванията в живо тегло за мерлуза и 2,5 тона от общия обем на разтоварванията в живо тегло за норвежки омар.</w:t>
      </w:r>
    </w:p>
    <w:p>
      <w:pPr>
        <w:pStyle w:val="Point0"/>
        <w:rPr>
          <w:rFonts w:eastAsia="Calibri"/>
          <w:noProof/>
        </w:rPr>
      </w:pPr>
      <w:r>
        <w:rPr>
          <w:noProof/>
        </w:rPr>
        <w:t>6.3.</w:t>
      </w:r>
      <w:r>
        <w:rPr>
          <w:noProof/>
        </w:rPr>
        <w:tab/>
        <w:t>Когато кораб наруши някое от специалните условия, той незабавно губи правото си да участва в разпределянето на дни, съответстващи на въпросното специално условие.</w:t>
      </w:r>
    </w:p>
    <w:p>
      <w:pPr>
        <w:pStyle w:val="Point0"/>
        <w:rPr>
          <w:rFonts w:eastAsia="Calibri"/>
          <w:noProof/>
        </w:rPr>
      </w:pPr>
      <w:r>
        <w:rPr>
          <w:noProof/>
        </w:rPr>
        <w:t>6.4.</w:t>
      </w:r>
      <w:r>
        <w:rPr>
          <w:noProof/>
        </w:rPr>
        <w:tab/>
        <w:t>Изпълнението на специалните условия, посочени в точка 6.1, може да бъде прехвърляно от даден кораб на един или повече други кораби, които заменят този кораб във флота, при условие че заменящите кораби използват подобни уреди и че през нито една от годините на експлоатацията им няма записани разтоварвания на мерлуза и норвежки омар, по-големи от количествата, посочени в точка 6.1.</w:t>
      </w:r>
    </w:p>
    <w:p>
      <w:pPr>
        <w:pStyle w:val="NormalCentered"/>
        <w:rPr>
          <w:rFonts w:eastAsia="Calibri"/>
          <w:noProof/>
        </w:rPr>
      </w:pPr>
      <w:r>
        <w:rPr>
          <w:noProof/>
        </w:rPr>
        <w:br w:type="page"/>
      </w:r>
      <w:r>
        <w:rPr>
          <w:noProof/>
        </w:rPr>
        <w:lastRenderedPageBreak/>
        <w:t>Таблица I</w:t>
      </w:r>
      <w:r>
        <w:rPr>
          <w:noProof/>
        </w:rPr>
        <w:br/>
        <w:t>Максимален брой дни разрешен престой на даден кораб в зоната (указани по риболовни уреди годишно)</w:t>
      </w:r>
    </w:p>
    <w:tbl>
      <w:tblPr>
        <w:tblW w:w="0" w:type="auto"/>
        <w:tblLook w:val="0000" w:firstRow="0" w:lastRow="0" w:firstColumn="0" w:lastColumn="0" w:noHBand="0" w:noVBand="0"/>
      </w:tblPr>
      <w:tblGrid>
        <w:gridCol w:w="1951"/>
        <w:gridCol w:w="5103"/>
        <w:gridCol w:w="1400"/>
        <w:gridCol w:w="1400"/>
      </w:tblGrid>
      <w:tr>
        <w:tc>
          <w:tcPr>
            <w:tcW w:w="1951" w:type="dxa"/>
            <w:tcBorders>
              <w:top w:val="single" w:sz="2" w:space="0" w:color="000000"/>
              <w:left w:val="single" w:sz="4" w:space="0" w:color="000000"/>
              <w:bottom w:val="single" w:sz="2" w:space="0" w:color="000000"/>
            </w:tcBorders>
            <w:shd w:val="clear" w:color="auto" w:fill="auto"/>
            <w:vAlign w:val="center"/>
          </w:tcPr>
          <w:p>
            <w:pPr>
              <w:spacing w:before="60" w:after="60"/>
              <w:jc w:val="center"/>
              <w:rPr>
                <w:rFonts w:eastAsia="Calibri"/>
                <w:noProof/>
              </w:rPr>
            </w:pPr>
            <w:r>
              <w:rPr>
                <w:noProof/>
              </w:rPr>
              <w:t>Специално условие</w:t>
            </w:r>
          </w:p>
        </w:tc>
        <w:tc>
          <w:tcPr>
            <w:tcW w:w="5103" w:type="dxa"/>
            <w:tcBorders>
              <w:top w:val="single" w:sz="2" w:space="0" w:color="000000"/>
              <w:left w:val="single" w:sz="2" w:space="0" w:color="000000"/>
              <w:bottom w:val="single" w:sz="2" w:space="0" w:color="000000"/>
            </w:tcBorders>
            <w:shd w:val="clear" w:color="auto" w:fill="auto"/>
            <w:vAlign w:val="center"/>
          </w:tcPr>
          <w:p>
            <w:pPr>
              <w:spacing w:before="60" w:after="60"/>
              <w:jc w:val="center"/>
              <w:rPr>
                <w:rFonts w:eastAsia="Calibri"/>
                <w:noProof/>
              </w:rPr>
            </w:pPr>
            <w:r>
              <w:rPr>
                <w:noProof/>
              </w:rPr>
              <w:t>Регламентирани уреди</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noProof/>
              </w:rPr>
              <w:t>Максимален брой дни</w:t>
            </w:r>
          </w:p>
        </w:tc>
      </w:tr>
      <w:tr>
        <w:trPr>
          <w:trHeight w:val="365"/>
        </w:trPr>
        <w:tc>
          <w:tcPr>
            <w:tcW w:w="1951" w:type="dxa"/>
            <w:vMerge w:val="restart"/>
            <w:tcBorders>
              <w:top w:val="single" w:sz="2" w:space="0" w:color="000000"/>
              <w:left w:val="single" w:sz="4" w:space="0" w:color="000000"/>
            </w:tcBorders>
            <w:shd w:val="clear" w:color="auto" w:fill="auto"/>
          </w:tcPr>
          <w:p>
            <w:pPr>
              <w:spacing w:before="60" w:after="60"/>
              <w:rPr>
                <w:rFonts w:eastAsia="Calibri"/>
                <w:noProof/>
              </w:rPr>
            </w:pPr>
          </w:p>
        </w:tc>
        <w:tc>
          <w:tcPr>
            <w:tcW w:w="5103" w:type="dxa"/>
            <w:vMerge w:val="restart"/>
            <w:tcBorders>
              <w:top w:val="single" w:sz="2" w:space="0" w:color="000000"/>
              <w:left w:val="single" w:sz="2" w:space="0" w:color="000000"/>
            </w:tcBorders>
            <w:shd w:val="clear" w:color="auto" w:fill="auto"/>
          </w:tcPr>
          <w:p>
            <w:pPr>
              <w:spacing w:before="60" w:after="60"/>
              <w:rPr>
                <w:rFonts w:eastAsia="Calibri"/>
                <w:noProof/>
              </w:rPr>
            </w:pPr>
            <w:r>
              <w:rPr>
                <w:noProof/>
              </w:rPr>
              <w:t>Дънни тралове, датски грибове и подобни тралове с размер на окото ≥ 32 mm, хрилни мрежи с размер на окото ≥ 60 mm и дънни парагади</w:t>
            </w: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ES</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117</w:t>
            </w:r>
          </w:p>
        </w:tc>
      </w:tr>
      <w:tr>
        <w:trPr>
          <w:trHeight w:val="365"/>
        </w:trPr>
        <w:tc>
          <w:tcPr>
            <w:tcW w:w="1951" w:type="dxa"/>
            <w:vMerge/>
            <w:tcBorders>
              <w:left w:val="single" w:sz="4" w:space="0" w:color="000000"/>
            </w:tcBorders>
            <w:shd w:val="clear" w:color="auto" w:fill="auto"/>
          </w:tcPr>
          <w:p>
            <w:pPr>
              <w:spacing w:before="60" w:after="60"/>
              <w:rPr>
                <w:rFonts w:eastAsia="Calibri"/>
                <w:noProof/>
              </w:rPr>
            </w:pPr>
          </w:p>
        </w:tc>
        <w:tc>
          <w:tcPr>
            <w:tcW w:w="5103" w:type="dxa"/>
            <w:vMerge/>
            <w:tcBorders>
              <w:left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FR</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109</w:t>
            </w:r>
          </w:p>
        </w:tc>
      </w:tr>
      <w:tr>
        <w:trPr>
          <w:trHeight w:val="365"/>
        </w:trPr>
        <w:tc>
          <w:tcPr>
            <w:tcW w:w="1951" w:type="dxa"/>
            <w:vMerge/>
            <w:tcBorders>
              <w:left w:val="single" w:sz="4" w:space="0" w:color="000000"/>
              <w:bottom w:val="single" w:sz="2" w:space="0" w:color="000000"/>
            </w:tcBorders>
            <w:shd w:val="clear" w:color="auto" w:fill="auto"/>
          </w:tcPr>
          <w:p>
            <w:pPr>
              <w:spacing w:before="60" w:after="60"/>
              <w:rPr>
                <w:rFonts w:eastAsia="Calibri"/>
                <w:noProof/>
              </w:rPr>
            </w:pPr>
          </w:p>
        </w:tc>
        <w:tc>
          <w:tcPr>
            <w:tcW w:w="5103" w:type="dxa"/>
            <w:vMerge/>
            <w:tcBorders>
              <w:left w:val="single" w:sz="2" w:space="0" w:color="000000"/>
              <w:bottom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PT</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113</w:t>
            </w:r>
          </w:p>
        </w:tc>
      </w:tr>
      <w:tr>
        <w:tc>
          <w:tcPr>
            <w:tcW w:w="1951" w:type="dxa"/>
            <w:tcBorders>
              <w:top w:val="single" w:sz="2" w:space="0" w:color="000000"/>
              <w:left w:val="single" w:sz="4" w:space="0" w:color="000000"/>
              <w:bottom w:val="single" w:sz="2" w:space="0" w:color="000000"/>
            </w:tcBorders>
            <w:shd w:val="clear" w:color="auto" w:fill="auto"/>
          </w:tcPr>
          <w:p>
            <w:pPr>
              <w:spacing w:before="60" w:after="60"/>
              <w:rPr>
                <w:rFonts w:eastAsia="Calibri"/>
                <w:noProof/>
              </w:rPr>
            </w:pPr>
            <w:r>
              <w:rPr>
                <w:noProof/>
              </w:rPr>
              <w:t>6.1, буква a) и 6.1, буква б)</w:t>
            </w:r>
          </w:p>
        </w:tc>
        <w:tc>
          <w:tcPr>
            <w:tcW w:w="5103" w:type="dxa"/>
            <w:tcBorders>
              <w:top w:val="single" w:sz="2" w:space="0" w:color="000000"/>
              <w:left w:val="single" w:sz="2" w:space="0" w:color="000000"/>
              <w:bottom w:val="single" w:sz="2" w:space="0" w:color="000000"/>
            </w:tcBorders>
            <w:shd w:val="clear" w:color="auto" w:fill="auto"/>
          </w:tcPr>
          <w:p>
            <w:pPr>
              <w:spacing w:before="60" w:after="60"/>
              <w:rPr>
                <w:rFonts w:eastAsia="Calibri"/>
                <w:noProof/>
              </w:rPr>
            </w:pPr>
            <w:r>
              <w:rPr>
                <w:noProof/>
              </w:rPr>
              <w:t>Дънни тралове, датски грибове и подобни тралове с размер на окото ≥ 32 mm, хрилни мрежи с размер на окото ≥ 60 mm и дънни парагади</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noProof/>
              </w:rPr>
              <w:t>Неограничен</w:t>
            </w:r>
          </w:p>
        </w:tc>
      </w:tr>
    </w:tbl>
    <w:p>
      <w:pPr>
        <w:rPr>
          <w:rFonts w:eastAsia="Calibri"/>
          <w:noProof/>
        </w:rPr>
      </w:pPr>
    </w:p>
    <w:p>
      <w:pPr>
        <w:pStyle w:val="Point0"/>
        <w:rPr>
          <w:rFonts w:eastAsia="Calibri"/>
          <w:noProof/>
        </w:rPr>
      </w:pPr>
      <w:r>
        <w:rPr>
          <w:noProof/>
        </w:rPr>
        <w:t>7.</w:t>
      </w:r>
      <w:r>
        <w:rPr>
          <w:noProof/>
        </w:rPr>
        <w:tab/>
        <w:t>СХЕМА ПО КИЛОВАТДНИ</w:t>
      </w:r>
    </w:p>
    <w:p>
      <w:pPr>
        <w:pStyle w:val="Point0"/>
        <w:rPr>
          <w:rFonts w:eastAsia="Calibri"/>
          <w:noProof/>
        </w:rPr>
      </w:pPr>
      <w:r>
        <w:rPr>
          <w:noProof/>
        </w:rPr>
        <w:t>7.1.</w:t>
      </w:r>
      <w:r>
        <w:rPr>
          <w:noProof/>
        </w:rPr>
        <w:tab/>
        <w:t>Всяка държава членка може да управлява разпределянето на риболовното си усилие в съответствие със схемата по киловатдни. Посредством тази схема всяка държава членка може да разреши престоя в зоната на всеки кораб, който използва регламентиран уред и е обхванат от специалните условия, посочени в таблица I, за максимален брой дни, различен от определения в същата таблица, при условие че е спазено общото количество киловатдни, съответстващо на регламентирания уред и на специалните условия.</w:t>
      </w:r>
    </w:p>
    <w:p>
      <w:pPr>
        <w:pStyle w:val="Point0"/>
        <w:rPr>
          <w:rFonts w:eastAsia="Calibri"/>
          <w:noProof/>
        </w:rPr>
      </w:pPr>
      <w:r>
        <w:rPr>
          <w:noProof/>
        </w:rPr>
        <w:t>7.2.</w:t>
      </w:r>
      <w:r>
        <w:rPr>
          <w:noProof/>
        </w:rPr>
        <w:tab/>
        <w:t>Това общо количество киловатдни е сборът от всички отделни риболовни усилия, разпределени на корабите, плаващи под знамето на съответната държава членка и отговарящи на изискванията за регламентираните уреди и — когато е приложимо — за специалните условия. Отделните риболовни усилия се изчисляват в киловатдни, като мощността на двигателя на всеки кораб се умножи по броя на дните в морето, които корабът би ползвал в съответствие с таблица I, ако не се прилага точка 7.1. При положение че броят на дните съгласно таблица I е неограничен, съответният брой дни, които би ползвал корабът, е равен на 360.</w:t>
      </w:r>
    </w:p>
    <w:p>
      <w:pPr>
        <w:pStyle w:val="Point0"/>
        <w:rPr>
          <w:rFonts w:eastAsia="Calibri"/>
          <w:noProof/>
        </w:rPr>
      </w:pPr>
      <w:r>
        <w:rPr>
          <w:noProof/>
        </w:rPr>
        <w:t>7.3.</w:t>
      </w:r>
      <w:r>
        <w:rPr>
          <w:noProof/>
        </w:rPr>
        <w:tab/>
        <w:t>Всяка държава членка, желаеща да се възползва от схемата по точка 7.1, подава заявление до Комисията за регламентираните уреди и специалните условия, посочени в таблица I, заедно с доклади в електронен формат, които съдържат подробна информация за изчисленията въз основа на:</w:t>
      </w:r>
    </w:p>
    <w:p>
      <w:pPr>
        <w:pStyle w:val="Point1"/>
        <w:rPr>
          <w:rFonts w:eastAsia="Calibri"/>
          <w:noProof/>
        </w:rPr>
      </w:pPr>
      <w:r>
        <w:rPr>
          <w:noProof/>
        </w:rPr>
        <w:t>а)</w:t>
      </w:r>
      <w:r>
        <w:rPr>
          <w:noProof/>
        </w:rPr>
        <w:tab/>
        <w:t>списъка на корабите с разрешение за риболов, като се посочва техният номер в регистъра на риболовния флот на Съюза (CFR) и мощността на двигателя им;</w:t>
      </w:r>
    </w:p>
    <w:p>
      <w:pPr>
        <w:pStyle w:val="Point1"/>
        <w:rPr>
          <w:rFonts w:eastAsia="Calibri"/>
          <w:noProof/>
        </w:rPr>
      </w:pPr>
      <w:r>
        <w:rPr>
          <w:noProof/>
        </w:rPr>
        <w:t>б)</w:t>
      </w:r>
      <w:r>
        <w:rPr>
          <w:noProof/>
        </w:rPr>
        <w:tab/>
        <w:t>записите за улова на тези кораби през посочените в точка 6.1, буква а) години, които показват състава на улова, определен в специалното условие по точка 6.1, буква а) или буква б), ако въпросните кораби отговарят на изискванията за такива специални условия;</w:t>
      </w:r>
    </w:p>
    <w:p>
      <w:pPr>
        <w:pStyle w:val="Point1"/>
        <w:rPr>
          <w:rFonts w:eastAsia="Calibri"/>
          <w:noProof/>
        </w:rPr>
      </w:pPr>
      <w:r>
        <w:rPr>
          <w:noProof/>
        </w:rPr>
        <w:t>в)</w:t>
      </w:r>
      <w:r>
        <w:rPr>
          <w:noProof/>
        </w:rPr>
        <w:tab/>
        <w:t>броя дни в морето, за които всеки кораб първоначално би получил разрешение да извършва риболов в съответствие с таблица I, както и броя дни в морето, които би ползвал всеки кораб при прилагане на точка 7.1.</w:t>
      </w:r>
    </w:p>
    <w:p>
      <w:pPr>
        <w:pStyle w:val="Point0"/>
        <w:rPr>
          <w:rFonts w:eastAsia="Calibri"/>
          <w:noProof/>
        </w:rPr>
      </w:pPr>
      <w:r>
        <w:rPr>
          <w:noProof/>
        </w:rPr>
        <w:lastRenderedPageBreak/>
        <w:t>7.4.</w:t>
      </w:r>
      <w:r>
        <w:rPr>
          <w:noProof/>
        </w:rPr>
        <w:tab/>
        <w:t>Въз основа на това заявление Комисията преценява дали посочените в точка 7 условия са изпълнени и — когато е приложимо — може да разреши на тази държава членка да се възползва от посочената в точка 7.1 система.</w:t>
      </w:r>
    </w:p>
    <w:p>
      <w:pPr>
        <w:pStyle w:val="Point0"/>
        <w:rPr>
          <w:rFonts w:eastAsia="Calibri"/>
          <w:noProof/>
        </w:rPr>
      </w:pPr>
      <w:r>
        <w:rPr>
          <w:noProof/>
        </w:rPr>
        <w:t>8.</w:t>
      </w:r>
      <w:r>
        <w:rPr>
          <w:noProof/>
        </w:rPr>
        <w:tab/>
        <w:t>РАЗПРЕДЕЛЯНЕ НА ДОПЪЛНИТЕЛНИ ДНИ ЗА ОКОНЧАТЕЛНО ПРЕУСТАНОВЯВАНЕ НА РИБОЛОВНИТЕ ДЕЙНОСТИ</w:t>
      </w:r>
    </w:p>
    <w:p>
      <w:pPr>
        <w:pStyle w:val="Point0"/>
        <w:rPr>
          <w:rFonts w:eastAsia="Calibri"/>
          <w:noProof/>
        </w:rPr>
      </w:pPr>
      <w:r>
        <w:rPr>
          <w:noProof/>
        </w:rPr>
        <w:t>8.1.</w:t>
      </w:r>
      <w:r>
        <w:rPr>
          <w:noProof/>
        </w:rPr>
        <w:tab/>
        <w:t>На основание окончателното преустановяване на риболовни дейности, извършено през предходния период на управление в съответствие с член 23 от Регламент (ЕО) № 1198/2006 на Съвета</w:t>
      </w:r>
      <w:r>
        <w:rPr>
          <w:rStyle w:val="FootnoteReference"/>
          <w:noProof/>
        </w:rPr>
        <w:footnoteReference w:id="2"/>
      </w:r>
      <w:r>
        <w:rPr>
          <w:noProof/>
        </w:rPr>
        <w:t xml:space="preserve"> или Регламент (ЕО) № 744/2008 на Съвета</w:t>
      </w:r>
      <w:r>
        <w:rPr>
          <w:rStyle w:val="FootnoteReference"/>
          <w:noProof/>
        </w:rPr>
        <w:footnoteReference w:id="3"/>
      </w:r>
      <w:r>
        <w:rPr>
          <w:noProof/>
        </w:rPr>
        <w:t>, Комисията може да разпредели на дадена държава членка допълнителен брой дни в морето за престой в зоната, които държавата членка може да разпредели на кораб, плаващ под нейното знаме, когато той носи на борда си регламентиран уред. Случаите на окончателно преустановяване по други причини могат да бъдат разглеждани от Комисията поотделно след писмено и надлежно мотивирано искане от съответната държава членка. В писменото заявление се посочват съответните кораби, като за всеки един от тях се потвърждава поотделно, че никога повече няма да извършва риболовни дейности.</w:t>
      </w:r>
    </w:p>
    <w:p>
      <w:pPr>
        <w:pStyle w:val="Point0"/>
        <w:rPr>
          <w:rFonts w:eastAsia="Calibri"/>
          <w:noProof/>
        </w:rPr>
      </w:pPr>
      <w:r>
        <w:rPr>
          <w:noProof/>
        </w:rPr>
        <w:t>8.2.</w:t>
      </w:r>
      <w:r>
        <w:rPr>
          <w:noProof/>
        </w:rPr>
        <w:tab/>
        <w:t>Предприетото през 2003 г. усилие, измерено в киловатдни, на оттеглените кораби, използващи регламентирания уред, се разделя на усилието, предприето от всички кораби, използвали този уред през същата година. След това допълнителният брой дни в морето се изчислява, като така полученият резултат се умножава по броя на дните, които биха били разпределени в съответствие с таблица I. Всеки непълен ден, получен в резултат на това изчисление, се закръглява до най-близката цяла стойност.</w:t>
      </w:r>
    </w:p>
    <w:p>
      <w:pPr>
        <w:pStyle w:val="Point0"/>
        <w:rPr>
          <w:rFonts w:eastAsia="Calibri"/>
          <w:noProof/>
        </w:rPr>
      </w:pPr>
      <w:r>
        <w:rPr>
          <w:noProof/>
        </w:rPr>
        <w:t>8.3.</w:t>
      </w:r>
      <w:r>
        <w:rPr>
          <w:noProof/>
        </w:rPr>
        <w:tab/>
        <w:t>Точки 8.1 и 8.2 не се прилагат, когато кораб е бил заменен съгласно точка 3 или точка 6.4 или когато оттеглянето вече е било използвано през предходни години за получаване на допълнителни дни в морето.</w:t>
      </w:r>
    </w:p>
    <w:p>
      <w:pPr>
        <w:pStyle w:val="Point0"/>
        <w:rPr>
          <w:rFonts w:eastAsia="Calibri"/>
          <w:noProof/>
        </w:rPr>
      </w:pPr>
      <w:r>
        <w:rPr>
          <w:noProof/>
        </w:rPr>
        <w:t>8.4.</w:t>
      </w:r>
      <w:r>
        <w:rPr>
          <w:noProof/>
        </w:rPr>
        <w:tab/>
        <w:t>В срок до 15 юни на текущия период на управление всяка държава членка, желаеща да се възползва от разпределянето по точка 8.1, подава заявление до Комисията заедно с доклади в електронен формат, които съдържат — по отношение на групата уреди и специалните условия, посочени в таблица I — подробна информация за изчисленията въз основа на:</w:t>
      </w:r>
    </w:p>
    <w:p>
      <w:pPr>
        <w:pStyle w:val="Point1"/>
        <w:rPr>
          <w:rFonts w:eastAsia="Calibri"/>
          <w:noProof/>
        </w:rPr>
      </w:pPr>
      <w:r>
        <w:rPr>
          <w:noProof/>
        </w:rPr>
        <w:t>а)</w:t>
      </w:r>
      <w:r>
        <w:rPr>
          <w:noProof/>
        </w:rPr>
        <w:tab/>
        <w:t>списъци на оттеглените кораби с техния номер в регистъра на риболовния флот на Съюза (CFR) и мощността на двигателя им;</w:t>
      </w:r>
    </w:p>
    <w:p>
      <w:pPr>
        <w:pStyle w:val="Point1"/>
        <w:rPr>
          <w:rFonts w:eastAsia="Calibri"/>
          <w:noProof/>
        </w:rPr>
      </w:pPr>
      <w:r>
        <w:rPr>
          <w:noProof/>
        </w:rPr>
        <w:t>б)</w:t>
      </w:r>
      <w:r>
        <w:rPr>
          <w:noProof/>
        </w:rPr>
        <w:tab/>
        <w:t>извършената от тези кораби риболовна дейност през 2003 г., изчислена в дни в морето в съответствие с групата риболовни уреди и, при необходимост, със специалните условия.</w:t>
      </w:r>
    </w:p>
    <w:p>
      <w:pPr>
        <w:pStyle w:val="Point0"/>
        <w:rPr>
          <w:rFonts w:eastAsia="Calibri"/>
          <w:noProof/>
        </w:rPr>
      </w:pPr>
      <w:r>
        <w:rPr>
          <w:noProof/>
        </w:rPr>
        <w:t>8.5.</w:t>
      </w:r>
      <w:r>
        <w:rPr>
          <w:noProof/>
        </w:rPr>
        <w:tab/>
        <w:t>Въз основа на такова заявление от държава членка Комисията може — посредством актове за изпълнение — да разпредели на съответната държава членка допълнителен брой дни към определените в точка 5.1. за тази държава членка. Тези актове за изпълнение се приемат в съответствие с процедурата по разглеждане, посочена в член 42, параграф 2.</w:t>
      </w:r>
    </w:p>
    <w:p>
      <w:pPr>
        <w:pStyle w:val="Point0"/>
        <w:rPr>
          <w:rFonts w:eastAsia="Calibri"/>
          <w:noProof/>
        </w:rPr>
      </w:pPr>
      <w:r>
        <w:rPr>
          <w:noProof/>
        </w:rPr>
        <w:lastRenderedPageBreak/>
        <w:t>8.6.</w:t>
      </w:r>
      <w:r>
        <w:rPr>
          <w:noProof/>
        </w:rPr>
        <w:tab/>
        <w:t>През текущия период на управление всяка държава членка може да преразпределя тези допълнителни дни в морето между всички или между част от оставащите кораби във флота, които отговарят на изискванията за регламентираните уреди. Допълнителните дни, получени в резултат на оттегляне на кораб, който се е ползвал от специално условие по точка 6.1, буква a) или б), не могат да бъдат разпределени на кораб, който продължава да извършва риболовна дейност и не се ползва от специално условие.</w:t>
      </w:r>
    </w:p>
    <w:p>
      <w:pPr>
        <w:pStyle w:val="Point0"/>
        <w:rPr>
          <w:rFonts w:eastAsia="Calibri"/>
          <w:noProof/>
        </w:rPr>
      </w:pPr>
      <w:r>
        <w:rPr>
          <w:noProof/>
        </w:rPr>
        <w:t>8.7.</w:t>
      </w:r>
      <w:r>
        <w:rPr>
          <w:noProof/>
        </w:rPr>
        <w:tab/>
        <w:t>Когато Комисията разпределя допълнителни дни в морето поради окончателно преустановяване на риболовните дейности през предходния период на управление, определеният в таблица I максимален брой дни по държави членки и по уреди се коригира съответно за текущия период на управление.</w:t>
      </w:r>
    </w:p>
    <w:p>
      <w:pPr>
        <w:pStyle w:val="Point0"/>
        <w:rPr>
          <w:rFonts w:eastAsia="Calibri"/>
          <w:noProof/>
        </w:rPr>
      </w:pPr>
      <w:r>
        <w:rPr>
          <w:noProof/>
        </w:rPr>
        <w:t>9.</w:t>
      </w:r>
      <w:r>
        <w:rPr>
          <w:noProof/>
        </w:rPr>
        <w:tab/>
        <w:t>РАЗПРЕДЕЛЕНИЕ НА ДОПЪЛНИТЕЛНИ ДНИ ЗА ЗАСИЛЕНО ПРИСЪСТВИЕ НА НАУЧНИ НАБЛЮДАТЕЛИ</w:t>
      </w:r>
    </w:p>
    <w:p>
      <w:pPr>
        <w:pStyle w:val="Point0"/>
        <w:rPr>
          <w:rFonts w:eastAsia="Calibri"/>
          <w:noProof/>
        </w:rPr>
      </w:pPr>
      <w:r>
        <w:rPr>
          <w:noProof/>
        </w:rPr>
        <w:t>9.1.</w:t>
      </w:r>
      <w:r>
        <w:rPr>
          <w:noProof/>
        </w:rPr>
        <w:tab/>
        <w:t>Въз основа на програма за засилено присъствие на научни наблюдатели при партньорство между научните среди и риболовния отрасъл Комисията може да разпредели на дадена държава членка три допълнителни дни за разрешен престой в зоната на кораб, носещ на борда си някой от регламентираните уреди. Програмата акцентира по-специално върху равнищата на изхвърляне на улов и състава на улова, като надхвърля изискванията за събиране на данни, посочени в Регламент (ЕО) № 199/2008</w:t>
      </w:r>
      <w:r>
        <w:rPr>
          <w:rStyle w:val="FootnoteReference"/>
          <w:noProof/>
        </w:rPr>
        <w:footnoteReference w:id="4"/>
      </w:r>
      <w:r>
        <w:rPr>
          <w:noProof/>
        </w:rPr>
        <w:t xml:space="preserve"> и в правилата за неговото прилагане в националните програми.</w:t>
      </w:r>
    </w:p>
    <w:p>
      <w:pPr>
        <w:pStyle w:val="Point0"/>
        <w:rPr>
          <w:rFonts w:eastAsia="Calibri"/>
          <w:noProof/>
        </w:rPr>
      </w:pPr>
      <w:r>
        <w:rPr>
          <w:noProof/>
        </w:rPr>
        <w:t>9.2.</w:t>
      </w:r>
      <w:r>
        <w:rPr>
          <w:noProof/>
        </w:rPr>
        <w:tab/>
        <w:t>Научните наблюдатели са независими от собственика, капитана на кораба и който и да е член на екипажа.</w:t>
      </w:r>
    </w:p>
    <w:p>
      <w:pPr>
        <w:pStyle w:val="Point0"/>
        <w:rPr>
          <w:rFonts w:eastAsia="Calibri"/>
          <w:noProof/>
        </w:rPr>
      </w:pPr>
      <w:r>
        <w:rPr>
          <w:noProof/>
        </w:rPr>
        <w:t>9.3.</w:t>
      </w:r>
      <w:r>
        <w:rPr>
          <w:noProof/>
        </w:rPr>
        <w:tab/>
        <w:t>Всяка държава членка, желаеща да се възползва от разпределянето по точка 9.1, представя на Комисията за одобрение описание на своята програма за засилено присъствие на научни наблюдатели.</w:t>
      </w:r>
    </w:p>
    <w:p>
      <w:pPr>
        <w:pStyle w:val="Point0"/>
        <w:rPr>
          <w:rFonts w:eastAsia="Calibri"/>
          <w:noProof/>
        </w:rPr>
      </w:pPr>
      <w:r>
        <w:rPr>
          <w:noProof/>
        </w:rPr>
        <w:t>9.4.</w:t>
      </w:r>
      <w:r>
        <w:rPr>
          <w:noProof/>
        </w:rPr>
        <w:tab/>
        <w:t>Въз основа на това описание и след консултация с НТИКР Комисията може — посредством актове за изпълнение — да разпредели на съответната държава членка допълнителен брой дни към определените в точка 5.1. за тази държава членка и за съответните кораби, зона и риболовни уреди, обхванати от програмата за засилено присъствие на научни наблюдатели. Тези актове за изпълнение се приемат в съответствие с процедурата по разглеждане, посочена в член 42, параграф 2.</w:t>
      </w:r>
    </w:p>
    <w:p>
      <w:pPr>
        <w:pStyle w:val="Point0"/>
        <w:rPr>
          <w:rFonts w:eastAsia="Calibri"/>
          <w:noProof/>
        </w:rPr>
      </w:pPr>
      <w:r>
        <w:rPr>
          <w:noProof/>
        </w:rPr>
        <w:t>9.5.</w:t>
      </w:r>
      <w:r>
        <w:rPr>
          <w:noProof/>
        </w:rPr>
        <w:tab/>
        <w:t>Ако дадена програма за засилено присъствие на научни наблюдатели, представена от държава членка, е била одобрена от Комисията по-рано и тази държава членка желае да продължи прилагането ѝ без изменения, тя информира Комисията за продължаването на програмата четири седмици преди началото на периода, през който тя ще се прилага.</w:t>
      </w:r>
    </w:p>
    <w:p>
      <w:pPr>
        <w:pStyle w:val="ChapterTitle"/>
        <w:rPr>
          <w:rFonts w:eastAsia="Calibri"/>
          <w:noProof/>
        </w:rPr>
      </w:pPr>
      <w:r>
        <w:rPr>
          <w:noProof/>
        </w:rPr>
        <w:t>Глава IV</w:t>
      </w:r>
      <w:r>
        <w:rPr>
          <w:noProof/>
        </w:rPr>
        <w:br/>
        <w:t>Управление</w:t>
      </w:r>
    </w:p>
    <w:p>
      <w:pPr>
        <w:pStyle w:val="Point0"/>
        <w:rPr>
          <w:rFonts w:eastAsia="Calibri"/>
          <w:noProof/>
        </w:rPr>
      </w:pPr>
      <w:r>
        <w:rPr>
          <w:noProof/>
        </w:rPr>
        <w:t>10.</w:t>
      </w:r>
      <w:r>
        <w:rPr>
          <w:noProof/>
        </w:rPr>
        <w:tab/>
        <w:t>ОБЩИ ЗАДЪЛЖЕНИЯ</w:t>
      </w:r>
    </w:p>
    <w:p>
      <w:pPr>
        <w:pStyle w:val="Text1"/>
        <w:rPr>
          <w:rFonts w:eastAsia="Calibri"/>
          <w:noProof/>
        </w:rPr>
      </w:pPr>
      <w:r>
        <w:rPr>
          <w:noProof/>
        </w:rPr>
        <w:lastRenderedPageBreak/>
        <w:t>Държавите членки управляват максимално допустимото риболовно усилие в съответствие с условията, определени в член 8 от Регламент (ЕО) № 2166/2005 и членове 26—35 от Регламент (ЕО) № 1224/2009.</w:t>
      </w:r>
    </w:p>
    <w:p>
      <w:pPr>
        <w:pStyle w:val="Point0"/>
        <w:rPr>
          <w:rFonts w:eastAsia="Calibri"/>
          <w:noProof/>
        </w:rPr>
      </w:pPr>
      <w:r>
        <w:rPr>
          <w:noProof/>
        </w:rPr>
        <w:t>11.</w:t>
      </w:r>
      <w:r>
        <w:rPr>
          <w:noProof/>
        </w:rPr>
        <w:tab/>
        <w:t>ПЕРИОДИ НА УПРАВЛЕНИЕ</w:t>
      </w:r>
    </w:p>
    <w:p>
      <w:pPr>
        <w:pStyle w:val="Point0"/>
        <w:rPr>
          <w:rFonts w:eastAsia="Calibri"/>
          <w:noProof/>
        </w:rPr>
      </w:pPr>
      <w:r>
        <w:rPr>
          <w:noProof/>
        </w:rPr>
        <w:t>11.1.</w:t>
      </w:r>
      <w:r>
        <w:rPr>
          <w:noProof/>
        </w:rPr>
        <w:tab/>
        <w:t>Държавите членки могат да разделят определените в таблица I дни на престой в зоната на периоди на управление с продължителност един или повече календарни месеци.</w:t>
      </w:r>
    </w:p>
    <w:p>
      <w:pPr>
        <w:pStyle w:val="Point0"/>
        <w:rPr>
          <w:rFonts w:eastAsia="Calibri"/>
          <w:noProof/>
        </w:rPr>
      </w:pPr>
      <w:r>
        <w:rPr>
          <w:noProof/>
        </w:rPr>
        <w:t>11.2.</w:t>
      </w:r>
      <w:r>
        <w:rPr>
          <w:noProof/>
        </w:rPr>
        <w:tab/>
        <w:t>Броят дни или часове, през които даден кораб може да се намира в зоната по време на период на управление, се определя от съответната държава членка.</w:t>
      </w:r>
    </w:p>
    <w:p>
      <w:pPr>
        <w:pStyle w:val="Point0"/>
        <w:rPr>
          <w:rFonts w:eastAsia="Calibri"/>
          <w:noProof/>
        </w:rPr>
      </w:pPr>
      <w:r>
        <w:rPr>
          <w:noProof/>
        </w:rPr>
        <w:t>11.3.</w:t>
      </w:r>
      <w:r>
        <w:rPr>
          <w:noProof/>
        </w:rPr>
        <w:tab/>
        <w:t>Когато дадена държава членка разреши на плаващите под нейното знаме кораби почасов престой в зоната, тя продължава да измерва използваните дни, както е определено в точка 10. По искане на Комисията държавата членка представя предпазните мерки, които е взела с цел предотвратяване на прекомерното използване на дни в зоната поради напускането на зоната от даден кораб преди изтичането на 24-часов период.</w:t>
      </w:r>
    </w:p>
    <w:p>
      <w:pPr>
        <w:pStyle w:val="ChapterTitle"/>
        <w:rPr>
          <w:rFonts w:eastAsia="Calibri"/>
          <w:noProof/>
        </w:rPr>
      </w:pPr>
      <w:r>
        <w:rPr>
          <w:noProof/>
        </w:rPr>
        <w:t>Глава V</w:t>
      </w:r>
      <w:r>
        <w:rPr>
          <w:noProof/>
        </w:rPr>
        <w:br/>
        <w:t>Размяна на разпределените количества риболовно усилие</w:t>
      </w:r>
    </w:p>
    <w:p>
      <w:pPr>
        <w:pStyle w:val="Point0"/>
        <w:rPr>
          <w:rFonts w:eastAsia="Calibri"/>
          <w:noProof/>
        </w:rPr>
      </w:pPr>
      <w:r>
        <w:rPr>
          <w:noProof/>
        </w:rPr>
        <w:t>12.</w:t>
      </w:r>
      <w:r>
        <w:rPr>
          <w:noProof/>
        </w:rPr>
        <w:tab/>
        <w:t>ПРЕХВЪРЛЯНЕ НА ДНИ МЕЖДУ РИБОЛОВНИТЕ КОРАБИ, ПЛАВАЩИ ПОД ЗНАМЕТО НА ЕДНА И СЪЩА ДЪРЖАВА ЧЛЕНКА</w:t>
      </w:r>
    </w:p>
    <w:p>
      <w:pPr>
        <w:pStyle w:val="Point0"/>
        <w:rPr>
          <w:rFonts w:eastAsia="Calibri"/>
          <w:noProof/>
        </w:rPr>
      </w:pPr>
      <w:r>
        <w:rPr>
          <w:noProof/>
        </w:rPr>
        <w:t>12.1.</w:t>
      </w:r>
      <w:r>
        <w:rPr>
          <w:noProof/>
        </w:rPr>
        <w:tab/>
        <w:t>Дадена държава членка може да разреши на всеки риболовен кораб, плаващ под нейното знаме, да прехвърли дни на престой в зоната, за които има разрешение, на друг кораб, плаващ под нейното знаме в зоната, при условие че произведението от дните, получени от получаващия кораб, и мощността на двигателя му в киловати (киловатдни) е по-малка или равна на произведението от дните, прехвърлени от прехвърлящия кораб, и мощността на неговия двигател в киловати. Мощността на корабния двигател в киловати е вписаната за всеки кораб в регистъра на риболовния флот на Съюза.</w:t>
      </w:r>
    </w:p>
    <w:p>
      <w:pPr>
        <w:pStyle w:val="Point0"/>
        <w:rPr>
          <w:rFonts w:eastAsia="Calibri"/>
          <w:noProof/>
        </w:rPr>
      </w:pPr>
      <w:r>
        <w:rPr>
          <w:noProof/>
        </w:rPr>
        <w:t>12.2.</w:t>
      </w:r>
      <w:r>
        <w:rPr>
          <w:noProof/>
        </w:rPr>
        <w:tab/>
        <w:t>Общият брой дни на престой в зоната, прехвърлени в съответствие с точка 12.1, умножен по мощността на двигателя на прехвърлящия кораб в киловати, не може да надвишава записания в риболовния дневник средногодишен брой дни на прехвърлящия кораб в зоната през годините, посочени в точка 6.1, буква а), умножен по мощността на двигателя в киловати на този кораб.</w:t>
      </w:r>
    </w:p>
    <w:p>
      <w:pPr>
        <w:pStyle w:val="Point0"/>
        <w:rPr>
          <w:rFonts w:eastAsia="Calibri"/>
          <w:noProof/>
        </w:rPr>
      </w:pPr>
      <w:r>
        <w:rPr>
          <w:noProof/>
        </w:rPr>
        <w:t>12.3.</w:t>
      </w:r>
      <w:r>
        <w:rPr>
          <w:noProof/>
        </w:rPr>
        <w:tab/>
        <w:t>Посоченото в точка 12.1 прехвърляне на дни се разрешава между кораби, които извършват дейност с регламентирани уреди и по време на един и същ период на управление.</w:t>
      </w:r>
    </w:p>
    <w:p>
      <w:pPr>
        <w:pStyle w:val="Point0"/>
        <w:rPr>
          <w:rFonts w:eastAsia="Calibri"/>
          <w:noProof/>
        </w:rPr>
      </w:pPr>
      <w:r>
        <w:rPr>
          <w:noProof/>
        </w:rPr>
        <w:t>12.4.</w:t>
      </w:r>
      <w:r>
        <w:rPr>
          <w:noProof/>
        </w:rPr>
        <w:tab/>
        <w:t>Прехвърлянето на дни се разрешава само за корабите, които се ползват от разпределение на риболовни дни без специални условия.</w:t>
      </w:r>
    </w:p>
    <w:p>
      <w:pPr>
        <w:pStyle w:val="Point0"/>
        <w:rPr>
          <w:rFonts w:eastAsia="Calibri"/>
          <w:noProof/>
        </w:rPr>
      </w:pPr>
      <w:r>
        <w:rPr>
          <w:noProof/>
        </w:rPr>
        <w:t>12.5.</w:t>
      </w:r>
      <w:r>
        <w:rPr>
          <w:noProof/>
        </w:rPr>
        <w:tab/>
        <w:t>По искане на Комисията държавите членки предоставят информация относно извършените прехвърляния. Форматът на таблиците за събиране и предаване на посочената в настоящата точка информация може да бъде определен от Комисията посредством актове за изпълнение. Тези актове за изпълнение се приемат в съответствие с процедурата по разглеждане, посочена в член 42, параграф 2.</w:t>
      </w:r>
    </w:p>
    <w:p>
      <w:pPr>
        <w:pStyle w:val="Point0"/>
        <w:rPr>
          <w:rFonts w:eastAsia="Calibri"/>
          <w:noProof/>
        </w:rPr>
      </w:pPr>
      <w:r>
        <w:rPr>
          <w:noProof/>
        </w:rPr>
        <w:lastRenderedPageBreak/>
        <w:t>13.</w:t>
      </w:r>
      <w:r>
        <w:rPr>
          <w:noProof/>
        </w:rPr>
        <w:tab/>
        <w:t>ПРЕХВЪРЛЯНЕ НА ДНИ МЕЖДУ РИБОЛОВНИТЕ КОРАБИ, ПЛАВАЩИ ПОД ЗНАМЕТО НА РАЗЛИЧНИ ДЪРЖАВИ ЧЛЕНКИ</w:t>
      </w:r>
    </w:p>
    <w:p>
      <w:pPr>
        <w:pStyle w:val="Text1"/>
        <w:rPr>
          <w:rFonts w:eastAsia="Calibri"/>
          <w:noProof/>
        </w:rPr>
      </w:pPr>
      <w:r>
        <w:rPr>
          <w:noProof/>
        </w:rPr>
        <w:t xml:space="preserve">Държавите членки могат да разрешават прехвърлянето на дни на престой в зоната за един и същ период на управление и в рамките на зоната между риболовните кораби, плаващи под тяхното знаме, при условие че се прилагат </w:t>
      </w:r>
      <w:r>
        <w:rPr>
          <w:i/>
          <w:noProof/>
        </w:rPr>
        <w:t>mutatis mutandis</w:t>
      </w:r>
      <w:r>
        <w:rPr>
          <w:noProof/>
        </w:rPr>
        <w:t xml:space="preserve"> точки 4.1, 4.2 и 12. Когато държавите членки вземат решение да разрешат такова прехвърляне, преди неговото извършване те изпращат на Комисията подробни данни за прехвърлянето, включително за броя на дните, които ще се прехвърлят, за риболовното усилие и — когато е приложимо — за свързаните с него риболовни квоти.</w:t>
      </w:r>
    </w:p>
    <w:p>
      <w:pPr>
        <w:pStyle w:val="ChapterTitle"/>
        <w:rPr>
          <w:rFonts w:eastAsia="Calibri"/>
          <w:noProof/>
        </w:rPr>
      </w:pPr>
      <w:r>
        <w:rPr>
          <w:noProof/>
        </w:rPr>
        <w:t>Глава VI</w:t>
      </w:r>
      <w:r>
        <w:rPr>
          <w:noProof/>
        </w:rPr>
        <w:br/>
        <w:t>Задължения за докладване</w:t>
      </w:r>
    </w:p>
    <w:p>
      <w:pPr>
        <w:pStyle w:val="Point0"/>
        <w:rPr>
          <w:rFonts w:eastAsia="Calibri"/>
          <w:noProof/>
        </w:rPr>
      </w:pPr>
      <w:r>
        <w:rPr>
          <w:noProof/>
        </w:rPr>
        <w:t>14.</w:t>
      </w:r>
      <w:r>
        <w:rPr>
          <w:noProof/>
        </w:rPr>
        <w:tab/>
        <w:t>ДОКЛАД ЗА РИБОЛОВНОТО УСИЛИЕ</w:t>
      </w:r>
    </w:p>
    <w:p>
      <w:pPr>
        <w:pStyle w:val="Text1"/>
        <w:rPr>
          <w:rFonts w:eastAsia="Calibri"/>
          <w:noProof/>
        </w:rPr>
      </w:pPr>
      <w:r>
        <w:rPr>
          <w:noProof/>
        </w:rPr>
        <w:t>По отношение на корабите, които попадат в обхвата на настоящото приложение, се прилага член 28 от Регламент (ЕО) № 1224/2009. Географската зона, посочена в този член, се разбира като зоната, определена в точка 2 от настоящото приложение.</w:t>
      </w:r>
    </w:p>
    <w:p>
      <w:pPr>
        <w:pStyle w:val="Point0"/>
        <w:rPr>
          <w:rFonts w:eastAsia="Calibri"/>
          <w:noProof/>
        </w:rPr>
      </w:pPr>
      <w:r>
        <w:rPr>
          <w:noProof/>
        </w:rPr>
        <w:t>15.</w:t>
      </w:r>
      <w:r>
        <w:rPr>
          <w:noProof/>
        </w:rPr>
        <w:tab/>
        <w:t>СЪБИРАНЕ НА НЕОБХОДИМИТЕ ДАННИ</w:t>
      </w:r>
    </w:p>
    <w:p>
      <w:pPr>
        <w:pStyle w:val="Text1"/>
        <w:rPr>
          <w:rFonts w:eastAsia="Calibri"/>
          <w:noProof/>
        </w:rPr>
      </w:pPr>
      <w:r>
        <w:rPr>
          <w:noProof/>
        </w:rPr>
        <w:t>Въз основа на информацията, използвана за управление на риболовните дни на престой в зоната съгласно настоящото приложение, държавите членки събират информация по тримесечия относно общото риболовно усилие, използвано в зоната за теглени и статични риболовни уреди, усилието, използвано от кораби, които извършват риболов с различни видове уреди в зоната, и мощността на двигателите на тези кораби в киловатдни.</w:t>
      </w:r>
    </w:p>
    <w:p>
      <w:pPr>
        <w:pStyle w:val="Point0"/>
        <w:rPr>
          <w:rFonts w:eastAsia="Calibri"/>
          <w:noProof/>
        </w:rPr>
      </w:pPr>
      <w:r>
        <w:rPr>
          <w:noProof/>
        </w:rPr>
        <w:t>16.</w:t>
      </w:r>
      <w:r>
        <w:rPr>
          <w:noProof/>
        </w:rPr>
        <w:tab/>
        <w:t>СЪОБЩАВАНЕ НА НЕОБХОДИМИТЕ ДАННИ</w:t>
      </w:r>
    </w:p>
    <w:p>
      <w:pPr>
        <w:pStyle w:val="Text1"/>
        <w:rPr>
          <w:rFonts w:eastAsia="Calibri"/>
          <w:noProof/>
        </w:rPr>
        <w:sectPr>
          <w:footnotePr>
            <w:numRestart w:val="eachPage"/>
          </w:footnotePr>
          <w:pgSz w:w="11906" w:h="16838"/>
          <w:pgMar w:top="1134" w:right="1134" w:bottom="1134" w:left="1134" w:header="720" w:footer="567" w:gutter="0"/>
          <w:cols w:space="720"/>
          <w:docGrid w:linePitch="326"/>
        </w:sectPr>
      </w:pPr>
      <w:r>
        <w:rPr>
          <w:noProof/>
        </w:rPr>
        <w:t>По искане на Комисията държавите членки ѝ предоставят таблица с посочените в точка 15 данни във формата, определен в таблици II и III, като я изпращат по електронна поща на съответния адрес, предоставен им от Комисията. По искане на Комисията държавите членки ѝ изпращат подробна информация относно разпределеното и използваното усилие през целия или през части от текущия и предходния период на управление, като използват формата за данни, определен в таблици IV и V.</w:t>
      </w:r>
    </w:p>
    <w:p>
      <w:pPr>
        <w:pStyle w:val="NormalCentered"/>
        <w:rPr>
          <w:rFonts w:eastAsia="Calibri"/>
          <w:noProof/>
        </w:rPr>
      </w:pPr>
      <w:r>
        <w:rPr>
          <w:noProof/>
        </w:rPr>
        <w:lastRenderedPageBreak/>
        <w:t>Таблица II</w:t>
      </w:r>
      <w:r>
        <w:rPr>
          <w:noProof/>
        </w:rPr>
        <w:br/>
        <w:t>Формат на докладите за информация относно киловатдните, по периоди на управление</w:t>
      </w:r>
    </w:p>
    <w:tbl>
      <w:tblPr>
        <w:tblW w:w="5000" w:type="pct"/>
        <w:tblLook w:val="0000" w:firstRow="0" w:lastRow="0" w:firstColumn="0" w:lastColumn="0" w:noHBand="0" w:noVBand="0"/>
      </w:tblPr>
      <w:tblGrid>
        <w:gridCol w:w="3696"/>
        <w:gridCol w:w="3696"/>
        <w:gridCol w:w="3697"/>
        <w:gridCol w:w="3697"/>
      </w:tblGrid>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Държава членка</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Уред</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Период на управление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Декларация за кумулативното усилие</w:t>
            </w:r>
          </w:p>
        </w:tc>
      </w:tr>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(4)</w:t>
            </w:r>
          </w:p>
        </w:tc>
      </w:tr>
    </w:tbl>
    <w:p>
      <w:pPr>
        <w:rPr>
          <w:rFonts w:eastAsia="Calibri"/>
          <w:noProof/>
        </w:rPr>
      </w:pPr>
    </w:p>
    <w:p>
      <w:pPr>
        <w:pStyle w:val="NormalCentered"/>
        <w:rPr>
          <w:rFonts w:eastAsia="Calibri"/>
          <w:noProof/>
        </w:rPr>
      </w:pPr>
      <w:r>
        <w:rPr>
          <w:noProof/>
        </w:rPr>
        <w:br w:type="page"/>
      </w:r>
      <w:r>
        <w:rPr>
          <w:noProof/>
        </w:rPr>
        <w:lastRenderedPageBreak/>
        <w:t>Таблица III</w:t>
      </w:r>
      <w:r>
        <w:rPr>
          <w:noProof/>
        </w:rPr>
        <w:br/>
        <w:t>Формат на данните, представящи информация относно киловатдните, по периоди на управление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gridCol w:w="7307"/>
      </w:tblGrid>
      <w:tr>
        <w:trPr>
          <w:tblHeader/>
        </w:trPr>
        <w:tc>
          <w:tcPr>
            <w:tcW w:w="843" w:type="pct"/>
            <w:shd w:val="clear" w:color="auto" w:fill="auto"/>
            <w:vAlign w:val="center"/>
          </w:tcPr>
          <w:p>
            <w:pPr>
              <w:spacing w:before="60" w:after="60"/>
              <w:jc w:val="center"/>
              <w:rPr>
                <w:rFonts w:eastAsia="Calibri"/>
                <w:noProof/>
              </w:rPr>
            </w:pPr>
            <w:r>
              <w:rPr>
                <w:noProof/>
              </w:rPr>
              <w:t>Име на полето</w:t>
            </w:r>
          </w:p>
        </w:tc>
        <w:tc>
          <w:tcPr>
            <w:tcW w:w="843" w:type="pct"/>
            <w:shd w:val="clear" w:color="auto" w:fill="auto"/>
            <w:vAlign w:val="center"/>
          </w:tcPr>
          <w:p>
            <w:pPr>
              <w:spacing w:before="60" w:after="60"/>
              <w:jc w:val="center"/>
              <w:rPr>
                <w:rFonts w:eastAsia="Calibri"/>
                <w:noProof/>
              </w:rPr>
            </w:pPr>
            <w:r>
              <w:rPr>
                <w:noProof/>
              </w:rPr>
              <w:t>Максимален брой букви/цифри</w:t>
            </w:r>
          </w:p>
        </w:tc>
        <w:tc>
          <w:tcPr>
            <w:tcW w:w="843" w:type="pct"/>
            <w:shd w:val="clear" w:color="auto" w:fill="auto"/>
            <w:vAlign w:val="center"/>
          </w:tcPr>
          <w:p>
            <w:pPr>
              <w:spacing w:before="60" w:after="60"/>
              <w:jc w:val="center"/>
              <w:rPr>
                <w:rFonts w:eastAsia="Calibri"/>
                <w:noProof/>
              </w:rPr>
            </w:pPr>
            <w:r>
              <w:rPr>
                <w:noProof/>
              </w:rPr>
              <w:t>Подравняване</w:t>
            </w:r>
            <w:r>
              <w:rPr>
                <w:b/>
                <w:noProof/>
                <w:vertAlign w:val="superscript"/>
              </w:rPr>
              <w:t>(1)</w:t>
            </w:r>
            <w:r>
              <w:rPr>
                <w:noProof/>
              </w:rPr>
              <w:t xml:space="preserve"> Л(яво)/Д(ясно)</w:t>
            </w:r>
          </w:p>
        </w:tc>
        <w:tc>
          <w:tcPr>
            <w:tcW w:w="2471" w:type="pct"/>
            <w:shd w:val="clear" w:color="auto" w:fill="auto"/>
            <w:vAlign w:val="center"/>
          </w:tcPr>
          <w:p>
            <w:pPr>
              <w:spacing w:before="60" w:after="60"/>
              <w:jc w:val="center"/>
              <w:rPr>
                <w:rFonts w:eastAsia="Calibri"/>
                <w:noProof/>
              </w:rPr>
            </w:pPr>
            <w:r>
              <w:rPr>
                <w:noProof/>
              </w:rPr>
              <w:t>Определения и коментари</w:t>
            </w:r>
          </w:p>
        </w:tc>
      </w:tr>
      <w:tr>
        <w:tc>
          <w:tcPr>
            <w:tcW w:w="843" w:type="pct"/>
            <w:shd w:val="clear" w:color="auto" w:fill="auto"/>
          </w:tcPr>
          <w:p>
            <w:pPr>
              <w:spacing w:before="60" w:after="60"/>
              <w:ind w:left="397" w:hanging="397"/>
              <w:rPr>
                <w:rFonts w:eastAsia="Calibri"/>
                <w:noProof/>
              </w:rPr>
            </w:pPr>
            <w:r>
              <w:rPr>
                <w:noProof/>
              </w:rPr>
              <w:t>(1)</w:t>
            </w:r>
            <w:r>
              <w:rPr>
                <w:noProof/>
              </w:rPr>
              <w:tab/>
              <w:t>Държава членка</w:t>
            </w:r>
          </w:p>
        </w:tc>
        <w:tc>
          <w:tcPr>
            <w:tcW w:w="843" w:type="pct"/>
            <w:shd w:val="clear" w:color="auto" w:fill="auto"/>
          </w:tcPr>
          <w:p>
            <w:pPr>
              <w:spacing w:before="60" w:after="60"/>
              <w:jc w:val="center"/>
              <w:rPr>
                <w:rFonts w:eastAsia="Calibri"/>
                <w:noProof/>
              </w:rPr>
            </w:pPr>
            <w:r>
              <w:rPr>
                <w:noProof/>
              </w:rPr>
              <w:t>3</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Държава членка (3-буквен ISO код), в която е регистриран корабът</w:t>
            </w:r>
          </w:p>
        </w:tc>
      </w:tr>
      <w:tr>
        <w:tc>
          <w:tcPr>
            <w:tcW w:w="843" w:type="pct"/>
            <w:shd w:val="clear" w:color="auto" w:fill="auto"/>
          </w:tcPr>
          <w:p>
            <w:pPr>
              <w:spacing w:before="60" w:after="60"/>
              <w:ind w:left="397" w:hanging="397"/>
              <w:rPr>
                <w:rFonts w:eastAsia="Calibri"/>
                <w:noProof/>
              </w:rPr>
            </w:pPr>
            <w:r>
              <w:rPr>
                <w:noProof/>
              </w:rPr>
              <w:t>(2)</w:t>
            </w:r>
            <w:r>
              <w:rPr>
                <w:noProof/>
              </w:rPr>
              <w:tab/>
              <w:t>Уред</w:t>
            </w:r>
          </w:p>
        </w:tc>
        <w:tc>
          <w:tcPr>
            <w:tcW w:w="843" w:type="pct"/>
            <w:shd w:val="clear" w:color="auto" w:fill="auto"/>
          </w:tcPr>
          <w:p>
            <w:pPr>
              <w:spacing w:before="60" w:after="60"/>
              <w:jc w:val="center"/>
              <w:rPr>
                <w:rFonts w:eastAsia="Calibri"/>
                <w:noProof/>
              </w:rPr>
            </w:pPr>
            <w:r>
              <w:rPr>
                <w:noProof/>
              </w:rPr>
              <w:t>2</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Един от следните видове уреди:</w:t>
            </w:r>
          </w:p>
          <w:p>
            <w:pPr>
              <w:spacing w:before="60" w:after="60"/>
              <w:rPr>
                <w:rFonts w:eastAsia="Calibri"/>
                <w:noProof/>
              </w:rPr>
            </w:pPr>
            <w:r>
              <w:rPr>
                <w:noProof/>
              </w:rPr>
              <w:t>TR = тралове, датски грибове и подобни уреди ≥ 32 mm</w:t>
            </w:r>
          </w:p>
          <w:p>
            <w:pPr>
              <w:spacing w:before="60" w:after="60"/>
              <w:rPr>
                <w:rFonts w:eastAsia="Calibri"/>
                <w:noProof/>
              </w:rPr>
            </w:pPr>
            <w:r>
              <w:rPr>
                <w:noProof/>
              </w:rPr>
              <w:t>GN = хрилни мрежи ≥ 60 mm</w:t>
            </w:r>
          </w:p>
          <w:p>
            <w:pPr>
              <w:spacing w:before="60" w:after="60"/>
              <w:rPr>
                <w:rFonts w:eastAsia="Calibri"/>
                <w:noProof/>
              </w:rPr>
            </w:pPr>
            <w:r>
              <w:rPr>
                <w:noProof/>
              </w:rPr>
              <w:t>LL = дънни парагади</w:t>
            </w:r>
          </w:p>
        </w:tc>
      </w:tr>
      <w:tr>
        <w:tc>
          <w:tcPr>
            <w:tcW w:w="843" w:type="pct"/>
            <w:shd w:val="clear" w:color="auto" w:fill="auto"/>
          </w:tcPr>
          <w:p>
            <w:pPr>
              <w:spacing w:before="60" w:after="60"/>
              <w:ind w:left="397" w:hanging="397"/>
              <w:rPr>
                <w:rFonts w:eastAsia="Calibri"/>
                <w:noProof/>
              </w:rPr>
            </w:pPr>
            <w:r>
              <w:rPr>
                <w:noProof/>
              </w:rPr>
              <w:t>(3)</w:t>
            </w:r>
            <w:r>
              <w:rPr>
                <w:noProof/>
              </w:rPr>
              <w:tab/>
              <w:t>Период на управление</w:t>
            </w:r>
          </w:p>
        </w:tc>
        <w:tc>
          <w:tcPr>
            <w:tcW w:w="843" w:type="pct"/>
            <w:shd w:val="clear" w:color="auto" w:fill="auto"/>
          </w:tcPr>
          <w:p>
            <w:pPr>
              <w:spacing w:before="60" w:after="60"/>
              <w:jc w:val="center"/>
              <w:rPr>
                <w:rFonts w:eastAsia="Calibri"/>
                <w:noProof/>
              </w:rPr>
            </w:pPr>
            <w:r>
              <w:rPr>
                <w:noProof/>
              </w:rPr>
              <w:t>4</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Един период на управление в периода от периода на управление 2006 г. до текущия период на управление</w:t>
            </w:r>
          </w:p>
        </w:tc>
      </w:tr>
      <w:tr>
        <w:tc>
          <w:tcPr>
            <w:tcW w:w="843" w:type="pct"/>
            <w:shd w:val="clear" w:color="auto" w:fill="auto"/>
          </w:tcPr>
          <w:p>
            <w:pPr>
              <w:spacing w:before="60" w:after="60"/>
              <w:ind w:left="397" w:hanging="397"/>
              <w:rPr>
                <w:rFonts w:eastAsia="Calibri"/>
                <w:noProof/>
              </w:rPr>
            </w:pPr>
            <w:r>
              <w:rPr>
                <w:noProof/>
              </w:rPr>
              <w:t>(4)</w:t>
            </w:r>
            <w:r>
              <w:rPr>
                <w:noProof/>
              </w:rPr>
              <w:tab/>
              <w:t>Декларация за кумулативното усилие</w:t>
            </w:r>
          </w:p>
        </w:tc>
        <w:tc>
          <w:tcPr>
            <w:tcW w:w="843" w:type="pct"/>
            <w:shd w:val="clear" w:color="auto" w:fill="auto"/>
          </w:tcPr>
          <w:p>
            <w:pPr>
              <w:spacing w:before="60" w:after="60"/>
              <w:jc w:val="center"/>
              <w:rPr>
                <w:rFonts w:eastAsia="Calibri"/>
                <w:noProof/>
              </w:rPr>
            </w:pPr>
            <w:r>
              <w:rPr>
                <w:noProof/>
              </w:rPr>
              <w:t>7</w:t>
            </w:r>
          </w:p>
        </w:tc>
        <w:tc>
          <w:tcPr>
            <w:tcW w:w="843" w:type="pct"/>
            <w:shd w:val="clear" w:color="auto" w:fill="auto"/>
          </w:tcPr>
          <w:p>
            <w:pPr>
              <w:spacing w:before="60" w:after="60"/>
              <w:jc w:val="center"/>
              <w:rPr>
                <w:rFonts w:eastAsia="Calibri"/>
                <w:noProof/>
              </w:rPr>
            </w:pPr>
            <w:r>
              <w:rPr>
                <w:noProof/>
              </w:rPr>
              <w:t>Д</w:t>
            </w:r>
          </w:p>
        </w:tc>
        <w:tc>
          <w:tcPr>
            <w:tcW w:w="2471" w:type="pct"/>
            <w:shd w:val="clear" w:color="auto" w:fill="auto"/>
          </w:tcPr>
          <w:p>
            <w:pPr>
              <w:spacing w:before="60" w:after="60"/>
              <w:rPr>
                <w:rFonts w:eastAsia="Calibri"/>
                <w:noProof/>
              </w:rPr>
            </w:pPr>
            <w:r>
              <w:rPr>
                <w:noProof/>
              </w:rPr>
              <w:t>Изразено в киловатдни кумулативно количество на риболовното усилие, използвано от 1 февруари до 31 януари на съответния период на управление.</w:t>
            </w:r>
          </w:p>
        </w:tc>
      </w:tr>
      <w:tr>
        <w:tc>
          <w:tcPr>
            <w:tcW w:w="5000" w:type="pct"/>
            <w:gridSpan w:val="4"/>
            <w:shd w:val="clear" w:color="auto" w:fill="auto"/>
          </w:tcPr>
          <w:p>
            <w:pPr>
              <w:spacing w:before="60" w:after="60"/>
              <w:rPr>
                <w:rFonts w:eastAsia="Calibri"/>
                <w:noProof/>
              </w:rPr>
            </w:pPr>
            <w:r>
              <w:rPr>
                <w:b/>
                <w:noProof/>
                <w:vertAlign w:val="superscript"/>
              </w:rPr>
              <w:t>(1)</w:t>
            </w:r>
            <w:r>
              <w:rPr>
                <w:noProof/>
              </w:rPr>
              <w:tab/>
              <w:t>Информация, която е от значение за предаването на данни чрез формат с фиксирана дължина.</w:t>
            </w:r>
          </w:p>
        </w:tc>
      </w:tr>
    </w:tbl>
    <w:p>
      <w:pPr>
        <w:pStyle w:val="NormalCentered"/>
        <w:rPr>
          <w:rFonts w:eastAsia="Calibri"/>
          <w:noProof/>
        </w:rPr>
      </w:pPr>
    </w:p>
    <w:p>
      <w:pPr>
        <w:pStyle w:val="NormalCentered"/>
        <w:rPr>
          <w:rFonts w:eastAsia="Calibri"/>
          <w:noProof/>
        </w:rPr>
      </w:pPr>
      <w:r>
        <w:rPr>
          <w:noProof/>
        </w:rPr>
        <w:br w:type="page"/>
      </w:r>
      <w:r>
        <w:rPr>
          <w:noProof/>
        </w:rPr>
        <w:lastRenderedPageBreak/>
        <w:t>Таблица IV</w:t>
      </w:r>
      <w:r>
        <w:rPr>
          <w:noProof/>
        </w:rPr>
        <w:br/>
        <w:t>Формат за докладване на информация във връзка с корабите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595"/>
        <w:gridCol w:w="1216"/>
        <w:gridCol w:w="1770"/>
        <w:gridCol w:w="557"/>
        <w:gridCol w:w="719"/>
        <w:gridCol w:w="557"/>
        <w:gridCol w:w="450"/>
        <w:gridCol w:w="557"/>
        <w:gridCol w:w="557"/>
        <w:gridCol w:w="557"/>
        <w:gridCol w:w="450"/>
        <w:gridCol w:w="557"/>
        <w:gridCol w:w="557"/>
        <w:gridCol w:w="557"/>
        <w:gridCol w:w="450"/>
        <w:gridCol w:w="557"/>
        <w:gridCol w:w="557"/>
        <w:gridCol w:w="557"/>
        <w:gridCol w:w="450"/>
        <w:gridCol w:w="1335"/>
      </w:tblGrid>
      <w:tr>
        <w:trPr>
          <w:trHeight w:val="20"/>
        </w:trPr>
        <w:tc>
          <w:tcPr>
            <w:tcW w:w="454" w:type="pct"/>
            <w:vMerge w:val="restart"/>
            <w:shd w:val="clear" w:color="auto" w:fill="auto"/>
            <w:vAlign w:val="center"/>
          </w:tcPr>
          <w:p>
            <w:pPr>
              <w:spacing w:before="60" w:after="60"/>
              <w:jc w:val="center"/>
              <w:rPr>
                <w:rFonts w:eastAsia="Calibri"/>
                <w:noProof/>
                <w:sz w:val="20"/>
                <w:szCs w:val="20"/>
              </w:rPr>
            </w:pPr>
            <w:r>
              <w:rPr>
                <w:noProof/>
                <w:sz w:val="20"/>
              </w:rPr>
              <w:t>Държава членка</w:t>
            </w:r>
          </w:p>
        </w:tc>
        <w:tc>
          <w:tcPr>
            <w:tcW w:w="201" w:type="pct"/>
            <w:vMerge w:val="restart"/>
            <w:shd w:val="clear" w:color="auto" w:fill="auto"/>
            <w:vAlign w:val="center"/>
          </w:tcPr>
          <w:p>
            <w:pPr>
              <w:spacing w:before="60" w:after="60"/>
              <w:jc w:val="center"/>
              <w:rPr>
                <w:rFonts w:eastAsia="Calibri"/>
                <w:noProof/>
                <w:sz w:val="20"/>
                <w:szCs w:val="20"/>
              </w:rPr>
            </w:pPr>
            <w:r>
              <w:rPr>
                <w:noProof/>
                <w:sz w:val="20"/>
              </w:rPr>
              <w:t>CFR</w:t>
            </w:r>
          </w:p>
        </w:tc>
        <w:tc>
          <w:tcPr>
            <w:tcW w:w="327" w:type="pct"/>
            <w:vMerge w:val="restart"/>
            <w:shd w:val="clear" w:color="auto" w:fill="auto"/>
            <w:vAlign w:val="center"/>
          </w:tcPr>
          <w:p>
            <w:pPr>
              <w:spacing w:before="60" w:after="60"/>
              <w:jc w:val="center"/>
              <w:rPr>
                <w:rFonts w:eastAsia="Calibri"/>
                <w:noProof/>
                <w:sz w:val="20"/>
                <w:szCs w:val="20"/>
              </w:rPr>
            </w:pPr>
            <w:r>
              <w:rPr>
                <w:noProof/>
                <w:sz w:val="20"/>
              </w:rPr>
              <w:t>Външна маркировка</w:t>
            </w:r>
          </w:p>
        </w:tc>
        <w:tc>
          <w:tcPr>
            <w:tcW w:w="397" w:type="pct"/>
            <w:vMerge w:val="restart"/>
            <w:shd w:val="clear" w:color="auto" w:fill="auto"/>
            <w:vAlign w:val="center"/>
          </w:tcPr>
          <w:p>
            <w:pPr>
              <w:spacing w:before="60" w:after="60"/>
              <w:jc w:val="center"/>
              <w:rPr>
                <w:rFonts w:eastAsia="Calibri"/>
                <w:noProof/>
                <w:sz w:val="20"/>
                <w:szCs w:val="20"/>
              </w:rPr>
            </w:pPr>
            <w:r>
              <w:rPr>
                <w:noProof/>
                <w:sz w:val="20"/>
              </w:rPr>
              <w:t>Продължителност на периода на управление</w:t>
            </w:r>
          </w:p>
        </w:tc>
        <w:tc>
          <w:tcPr>
            <w:tcW w:w="911" w:type="pct"/>
            <w:gridSpan w:val="4"/>
            <w:shd w:val="clear" w:color="auto" w:fill="auto"/>
            <w:vAlign w:val="center"/>
          </w:tcPr>
          <w:p>
            <w:pPr>
              <w:spacing w:before="60" w:after="60"/>
              <w:jc w:val="center"/>
              <w:rPr>
                <w:rFonts w:eastAsia="Calibri"/>
                <w:noProof/>
                <w:sz w:val="20"/>
                <w:szCs w:val="20"/>
              </w:rPr>
            </w:pPr>
            <w:r>
              <w:rPr>
                <w:noProof/>
                <w:sz w:val="20"/>
              </w:rPr>
              <w:t>Декларирани уреди</w:t>
            </w:r>
          </w:p>
        </w:tc>
        <w:tc>
          <w:tcPr>
            <w:tcW w:w="815" w:type="pct"/>
            <w:gridSpan w:val="4"/>
            <w:shd w:val="clear" w:color="auto" w:fill="auto"/>
            <w:vAlign w:val="center"/>
          </w:tcPr>
          <w:p>
            <w:pPr>
              <w:spacing w:before="60" w:after="60"/>
              <w:jc w:val="center"/>
              <w:rPr>
                <w:rFonts w:eastAsia="Calibri"/>
                <w:noProof/>
                <w:sz w:val="20"/>
                <w:szCs w:val="20"/>
              </w:rPr>
            </w:pPr>
            <w:r>
              <w:rPr>
                <w:noProof/>
                <w:sz w:val="20"/>
              </w:rPr>
              <w:t>Специално условие, прилагано към декларирания(ите) уред(и)</w:t>
            </w:r>
          </w:p>
        </w:tc>
        <w:tc>
          <w:tcPr>
            <w:tcW w:w="766" w:type="pct"/>
            <w:gridSpan w:val="4"/>
            <w:shd w:val="clear" w:color="auto" w:fill="auto"/>
            <w:vAlign w:val="center"/>
          </w:tcPr>
          <w:p>
            <w:pPr>
              <w:spacing w:before="60" w:after="60"/>
              <w:jc w:val="center"/>
              <w:rPr>
                <w:rFonts w:eastAsia="Calibri"/>
                <w:noProof/>
                <w:sz w:val="20"/>
                <w:szCs w:val="20"/>
              </w:rPr>
            </w:pPr>
            <w:r>
              <w:rPr>
                <w:noProof/>
                <w:sz w:val="20"/>
              </w:rPr>
              <w:t>Допустими дни за използване на декларирания(ите) уред(и)</w:t>
            </w:r>
          </w:p>
        </w:tc>
        <w:tc>
          <w:tcPr>
            <w:tcW w:w="864" w:type="pct"/>
            <w:gridSpan w:val="4"/>
            <w:shd w:val="clear" w:color="auto" w:fill="auto"/>
            <w:vAlign w:val="center"/>
          </w:tcPr>
          <w:p>
            <w:pPr>
              <w:spacing w:before="60" w:after="60"/>
              <w:jc w:val="center"/>
              <w:rPr>
                <w:rFonts w:eastAsia="Calibri"/>
                <w:noProof/>
                <w:sz w:val="20"/>
                <w:szCs w:val="20"/>
              </w:rPr>
            </w:pPr>
            <w:r>
              <w:rPr>
                <w:noProof/>
                <w:sz w:val="20"/>
              </w:rPr>
              <w:t>Дни, прекарани с декларирания(ите) уред(и)</w:t>
            </w:r>
          </w:p>
        </w:tc>
        <w:tc>
          <w:tcPr>
            <w:tcW w:w="265" w:type="pct"/>
            <w:shd w:val="clear" w:color="auto" w:fill="auto"/>
            <w:vAlign w:val="center"/>
          </w:tcPr>
          <w:p>
            <w:pPr>
              <w:spacing w:before="60" w:after="60"/>
              <w:jc w:val="center"/>
              <w:rPr>
                <w:rFonts w:eastAsia="Calibri"/>
                <w:noProof/>
                <w:sz w:val="20"/>
                <w:szCs w:val="20"/>
              </w:rPr>
            </w:pPr>
            <w:r>
              <w:rPr>
                <w:noProof/>
                <w:sz w:val="20"/>
              </w:rPr>
              <w:t>Прехвърляне на дни</w:t>
            </w:r>
          </w:p>
        </w:tc>
      </w:tr>
      <w:tr>
        <w:trPr>
          <w:trHeight w:val="20"/>
        </w:trPr>
        <w:tc>
          <w:tcPr>
            <w:tcW w:w="454" w:type="pct"/>
            <w:vMerge/>
            <w:shd w:val="clear" w:color="auto" w:fill="auto"/>
            <w:vAlign w:val="center"/>
          </w:tcPr>
          <w:p>
            <w:pPr>
              <w:spacing w:before="60" w:after="60"/>
              <w:jc w:val="center"/>
              <w:rPr>
                <w:rFonts w:eastAsia="Calibri"/>
                <w:noProof/>
                <w:sz w:val="20"/>
                <w:szCs w:val="20"/>
              </w:rPr>
            </w:pPr>
          </w:p>
        </w:tc>
        <w:tc>
          <w:tcPr>
            <w:tcW w:w="201" w:type="pct"/>
            <w:vMerge/>
            <w:shd w:val="clear" w:color="auto" w:fill="auto"/>
            <w:vAlign w:val="center"/>
          </w:tcPr>
          <w:p>
            <w:pPr>
              <w:spacing w:before="60" w:after="60"/>
              <w:jc w:val="center"/>
              <w:rPr>
                <w:rFonts w:eastAsia="Calibri"/>
                <w:noProof/>
                <w:sz w:val="20"/>
                <w:szCs w:val="20"/>
              </w:rPr>
            </w:pPr>
          </w:p>
        </w:tc>
        <w:tc>
          <w:tcPr>
            <w:tcW w:w="327" w:type="pct"/>
            <w:vMerge/>
            <w:shd w:val="clear" w:color="auto" w:fill="auto"/>
            <w:vAlign w:val="center"/>
          </w:tcPr>
          <w:p>
            <w:pPr>
              <w:spacing w:before="60" w:after="60"/>
              <w:jc w:val="center"/>
              <w:rPr>
                <w:rFonts w:eastAsia="Calibri"/>
                <w:noProof/>
                <w:sz w:val="20"/>
                <w:szCs w:val="20"/>
              </w:rPr>
            </w:pPr>
          </w:p>
        </w:tc>
        <w:tc>
          <w:tcPr>
            <w:tcW w:w="397" w:type="pct"/>
            <w:vMerge/>
            <w:shd w:val="clear" w:color="auto" w:fill="auto"/>
            <w:vAlign w:val="center"/>
          </w:tcPr>
          <w:p>
            <w:pPr>
              <w:spacing w:before="60" w:after="60"/>
              <w:jc w:val="center"/>
              <w:rPr>
                <w:rFonts w:eastAsia="Calibri"/>
                <w:noProof/>
                <w:sz w:val="20"/>
                <w:szCs w:val="20"/>
              </w:rPr>
            </w:pPr>
          </w:p>
        </w:tc>
        <w:tc>
          <w:tcPr>
            <w:tcW w:w="191" w:type="pct"/>
            <w:shd w:val="clear" w:color="auto" w:fill="auto"/>
            <w:vAlign w:val="center"/>
          </w:tcPr>
          <w:p>
            <w:pPr>
              <w:spacing w:before="60" w:after="60"/>
              <w:jc w:val="center"/>
              <w:rPr>
                <w:rFonts w:eastAsia="Calibri"/>
                <w:noProof/>
                <w:sz w:val="20"/>
                <w:szCs w:val="20"/>
              </w:rPr>
            </w:pPr>
            <w:r>
              <w:rPr>
                <w:noProof/>
                <w:sz w:val="20"/>
              </w:rPr>
              <w:t>№ 1</w:t>
            </w:r>
          </w:p>
        </w:tc>
        <w:tc>
          <w:tcPr>
            <w:tcW w:w="311" w:type="pct"/>
            <w:shd w:val="clear" w:color="auto" w:fill="auto"/>
            <w:vAlign w:val="center"/>
          </w:tcPr>
          <w:p>
            <w:pPr>
              <w:spacing w:before="60" w:after="60"/>
              <w:jc w:val="center"/>
              <w:rPr>
                <w:rFonts w:eastAsia="Calibri"/>
                <w:noProof/>
                <w:sz w:val="20"/>
                <w:szCs w:val="20"/>
              </w:rPr>
            </w:pPr>
            <w:r>
              <w:rPr>
                <w:noProof/>
                <w:sz w:val="20"/>
              </w:rPr>
              <w:t>№ 2</w:t>
            </w:r>
          </w:p>
        </w:tc>
        <w:tc>
          <w:tcPr>
            <w:tcW w:w="207" w:type="pct"/>
            <w:shd w:val="clear" w:color="auto" w:fill="auto"/>
            <w:vAlign w:val="center"/>
          </w:tcPr>
          <w:p>
            <w:pPr>
              <w:spacing w:before="60" w:after="60"/>
              <w:jc w:val="center"/>
              <w:rPr>
                <w:noProof/>
                <w:sz w:val="20"/>
                <w:szCs w:val="20"/>
              </w:rPr>
            </w:pPr>
            <w:r>
              <w:rPr>
                <w:noProof/>
                <w:sz w:val="20"/>
              </w:rPr>
              <w:t>№ 3</w:t>
            </w:r>
          </w:p>
        </w:tc>
        <w:tc>
          <w:tcPr>
            <w:tcW w:w="202" w:type="pct"/>
            <w:shd w:val="clear" w:color="auto" w:fill="auto"/>
            <w:vAlign w:val="center"/>
          </w:tcPr>
          <w:p>
            <w:pPr>
              <w:spacing w:before="60" w:after="60"/>
              <w:jc w:val="center"/>
              <w:rPr>
                <w:rFonts w:eastAsia="Calibri"/>
                <w:noProof/>
                <w:sz w:val="20"/>
                <w:szCs w:val="20"/>
              </w:rPr>
            </w:pPr>
            <w:r>
              <w:rPr>
                <w:noProof/>
                <w:sz w:val="20"/>
              </w:rPr>
              <w:t>…</w:t>
            </w:r>
          </w:p>
        </w:tc>
        <w:tc>
          <w:tcPr>
            <w:tcW w:w="193" w:type="pct"/>
            <w:shd w:val="clear" w:color="auto" w:fill="auto"/>
            <w:vAlign w:val="center"/>
          </w:tcPr>
          <w:p>
            <w:pPr>
              <w:spacing w:before="60" w:after="60"/>
              <w:jc w:val="center"/>
              <w:rPr>
                <w:rFonts w:eastAsia="Calibri"/>
                <w:noProof/>
                <w:sz w:val="20"/>
                <w:szCs w:val="20"/>
              </w:rPr>
            </w:pPr>
            <w:r>
              <w:rPr>
                <w:noProof/>
                <w:sz w:val="20"/>
              </w:rPr>
              <w:t>№ 1</w:t>
            </w:r>
          </w:p>
        </w:tc>
        <w:tc>
          <w:tcPr>
            <w:tcW w:w="207" w:type="pct"/>
            <w:shd w:val="clear" w:color="auto" w:fill="auto"/>
            <w:vAlign w:val="center"/>
          </w:tcPr>
          <w:p>
            <w:pPr>
              <w:spacing w:before="60" w:after="60"/>
              <w:jc w:val="center"/>
              <w:rPr>
                <w:rFonts w:eastAsia="Calibri"/>
                <w:noProof/>
                <w:sz w:val="20"/>
                <w:szCs w:val="20"/>
              </w:rPr>
            </w:pPr>
            <w:r>
              <w:rPr>
                <w:noProof/>
                <w:sz w:val="20"/>
              </w:rPr>
              <w:t>№ 2</w:t>
            </w:r>
          </w:p>
        </w:tc>
        <w:tc>
          <w:tcPr>
            <w:tcW w:w="218" w:type="pct"/>
            <w:shd w:val="clear" w:color="auto" w:fill="auto"/>
            <w:vAlign w:val="center"/>
          </w:tcPr>
          <w:p>
            <w:pPr>
              <w:spacing w:before="60" w:after="60"/>
              <w:jc w:val="center"/>
              <w:rPr>
                <w:noProof/>
                <w:sz w:val="20"/>
                <w:szCs w:val="20"/>
              </w:rPr>
            </w:pPr>
            <w:r>
              <w:rPr>
                <w:noProof/>
                <w:sz w:val="20"/>
              </w:rPr>
              <w:t>№ 3</w:t>
            </w:r>
          </w:p>
        </w:tc>
        <w:tc>
          <w:tcPr>
            <w:tcW w:w="197" w:type="pct"/>
            <w:shd w:val="clear" w:color="auto" w:fill="auto"/>
            <w:vAlign w:val="center"/>
          </w:tcPr>
          <w:p>
            <w:pPr>
              <w:spacing w:before="60" w:after="60"/>
              <w:jc w:val="center"/>
              <w:rPr>
                <w:rFonts w:eastAsia="Calibri"/>
                <w:noProof/>
                <w:sz w:val="20"/>
                <w:szCs w:val="20"/>
              </w:rPr>
            </w:pPr>
            <w:r>
              <w:rPr>
                <w:noProof/>
                <w:sz w:val="20"/>
              </w:rPr>
              <w:t>…</w:t>
            </w:r>
          </w:p>
        </w:tc>
        <w:tc>
          <w:tcPr>
            <w:tcW w:w="200" w:type="pct"/>
            <w:shd w:val="clear" w:color="auto" w:fill="auto"/>
            <w:vAlign w:val="center"/>
          </w:tcPr>
          <w:p>
            <w:pPr>
              <w:spacing w:before="60" w:after="60"/>
              <w:jc w:val="center"/>
              <w:rPr>
                <w:rFonts w:eastAsia="Calibri"/>
                <w:noProof/>
                <w:sz w:val="20"/>
                <w:szCs w:val="20"/>
              </w:rPr>
            </w:pPr>
            <w:r>
              <w:rPr>
                <w:noProof/>
                <w:sz w:val="20"/>
              </w:rPr>
              <w:t>№ 1</w:t>
            </w:r>
          </w:p>
        </w:tc>
        <w:tc>
          <w:tcPr>
            <w:tcW w:w="207" w:type="pct"/>
            <w:shd w:val="clear" w:color="auto" w:fill="auto"/>
            <w:vAlign w:val="center"/>
          </w:tcPr>
          <w:p>
            <w:pPr>
              <w:spacing w:before="60" w:after="60"/>
              <w:jc w:val="center"/>
              <w:rPr>
                <w:rFonts w:eastAsia="Calibri"/>
                <w:noProof/>
                <w:sz w:val="20"/>
                <w:szCs w:val="20"/>
              </w:rPr>
            </w:pPr>
            <w:r>
              <w:rPr>
                <w:noProof/>
                <w:sz w:val="20"/>
              </w:rPr>
              <w:t>№ 2</w:t>
            </w:r>
          </w:p>
        </w:tc>
        <w:tc>
          <w:tcPr>
            <w:tcW w:w="219" w:type="pct"/>
            <w:shd w:val="clear" w:color="auto" w:fill="auto"/>
            <w:vAlign w:val="center"/>
          </w:tcPr>
          <w:p>
            <w:pPr>
              <w:spacing w:before="60" w:after="60"/>
              <w:jc w:val="center"/>
              <w:rPr>
                <w:noProof/>
                <w:sz w:val="20"/>
                <w:szCs w:val="20"/>
              </w:rPr>
            </w:pPr>
            <w:r>
              <w:rPr>
                <w:noProof/>
                <w:sz w:val="20"/>
              </w:rPr>
              <w:t>№ 3</w:t>
            </w:r>
          </w:p>
        </w:tc>
        <w:tc>
          <w:tcPr>
            <w:tcW w:w="140" w:type="pct"/>
            <w:shd w:val="clear" w:color="auto" w:fill="auto"/>
            <w:vAlign w:val="center"/>
          </w:tcPr>
          <w:p>
            <w:pPr>
              <w:spacing w:before="60" w:after="60"/>
              <w:jc w:val="center"/>
              <w:rPr>
                <w:rFonts w:eastAsia="Calibri"/>
                <w:noProof/>
                <w:sz w:val="20"/>
                <w:szCs w:val="20"/>
              </w:rPr>
            </w:pPr>
            <w:r>
              <w:rPr>
                <w:noProof/>
                <w:sz w:val="20"/>
              </w:rPr>
              <w:t>…</w:t>
            </w:r>
          </w:p>
        </w:tc>
        <w:tc>
          <w:tcPr>
            <w:tcW w:w="277" w:type="pct"/>
            <w:shd w:val="clear" w:color="auto" w:fill="auto"/>
            <w:vAlign w:val="center"/>
          </w:tcPr>
          <w:p>
            <w:pPr>
              <w:spacing w:before="60" w:after="60"/>
              <w:jc w:val="center"/>
              <w:rPr>
                <w:rFonts w:eastAsia="Calibri"/>
                <w:noProof/>
                <w:sz w:val="20"/>
                <w:szCs w:val="20"/>
              </w:rPr>
            </w:pPr>
            <w:r>
              <w:rPr>
                <w:noProof/>
                <w:sz w:val="20"/>
              </w:rPr>
              <w:t>№ 1</w:t>
            </w:r>
          </w:p>
        </w:tc>
        <w:tc>
          <w:tcPr>
            <w:tcW w:w="207" w:type="pct"/>
            <w:shd w:val="clear" w:color="auto" w:fill="auto"/>
            <w:vAlign w:val="center"/>
          </w:tcPr>
          <w:p>
            <w:pPr>
              <w:spacing w:before="60" w:after="60"/>
              <w:jc w:val="center"/>
              <w:rPr>
                <w:rFonts w:eastAsia="Calibri"/>
                <w:noProof/>
                <w:sz w:val="20"/>
                <w:szCs w:val="20"/>
              </w:rPr>
            </w:pPr>
            <w:r>
              <w:rPr>
                <w:noProof/>
                <w:sz w:val="20"/>
              </w:rPr>
              <w:t>№ 2</w:t>
            </w:r>
          </w:p>
        </w:tc>
        <w:tc>
          <w:tcPr>
            <w:tcW w:w="207" w:type="pct"/>
            <w:shd w:val="clear" w:color="auto" w:fill="auto"/>
            <w:vAlign w:val="center"/>
          </w:tcPr>
          <w:p>
            <w:pPr>
              <w:spacing w:before="60" w:after="60"/>
              <w:jc w:val="center"/>
              <w:rPr>
                <w:noProof/>
                <w:sz w:val="20"/>
                <w:szCs w:val="20"/>
              </w:rPr>
            </w:pPr>
            <w:r>
              <w:rPr>
                <w:noProof/>
                <w:sz w:val="20"/>
              </w:rPr>
              <w:t>№ 3</w:t>
            </w:r>
          </w:p>
        </w:tc>
        <w:tc>
          <w:tcPr>
            <w:tcW w:w="173" w:type="pct"/>
            <w:shd w:val="clear" w:color="auto" w:fill="auto"/>
            <w:vAlign w:val="center"/>
          </w:tcPr>
          <w:p>
            <w:pPr>
              <w:spacing w:before="60" w:after="60"/>
              <w:jc w:val="center"/>
              <w:rPr>
                <w:rFonts w:eastAsia="Calibri"/>
                <w:noProof/>
                <w:sz w:val="20"/>
                <w:szCs w:val="20"/>
              </w:rPr>
            </w:pPr>
            <w:r>
              <w:rPr>
                <w:noProof/>
                <w:sz w:val="20"/>
              </w:rPr>
              <w:t>…</w:t>
            </w:r>
          </w:p>
        </w:tc>
        <w:tc>
          <w:tcPr>
            <w:tcW w:w="265" w:type="pct"/>
            <w:shd w:val="clear" w:color="auto" w:fill="auto"/>
            <w:vAlign w:val="center"/>
          </w:tcPr>
          <w:p>
            <w:pPr>
              <w:spacing w:before="60" w:after="60"/>
              <w:jc w:val="center"/>
              <w:rPr>
                <w:rFonts w:eastAsia="Calibri"/>
                <w:noProof/>
                <w:sz w:val="20"/>
                <w:szCs w:val="20"/>
              </w:rPr>
            </w:pPr>
          </w:p>
        </w:tc>
      </w:tr>
      <w:tr>
        <w:trPr>
          <w:trHeight w:val="20"/>
        </w:trPr>
        <w:tc>
          <w:tcPr>
            <w:tcW w:w="454" w:type="pct"/>
            <w:shd w:val="clear" w:color="auto" w:fill="auto"/>
            <w:vAlign w:val="center"/>
          </w:tcPr>
          <w:p>
            <w:pPr>
              <w:spacing w:before="60" w:after="60"/>
              <w:jc w:val="center"/>
              <w:rPr>
                <w:rFonts w:eastAsia="Calibri"/>
                <w:noProof/>
                <w:sz w:val="20"/>
                <w:szCs w:val="20"/>
              </w:rPr>
            </w:pPr>
            <w:r>
              <w:rPr>
                <w:noProof/>
                <w:sz w:val="20"/>
              </w:rPr>
              <w:t>(1)</w:t>
            </w:r>
          </w:p>
        </w:tc>
        <w:tc>
          <w:tcPr>
            <w:tcW w:w="201" w:type="pct"/>
            <w:shd w:val="clear" w:color="auto" w:fill="auto"/>
            <w:vAlign w:val="center"/>
          </w:tcPr>
          <w:p>
            <w:pPr>
              <w:spacing w:before="60" w:after="60"/>
              <w:jc w:val="center"/>
              <w:rPr>
                <w:rFonts w:eastAsia="Calibri"/>
                <w:noProof/>
                <w:sz w:val="20"/>
                <w:szCs w:val="20"/>
              </w:rPr>
            </w:pPr>
            <w:r>
              <w:rPr>
                <w:noProof/>
                <w:sz w:val="20"/>
              </w:rPr>
              <w:t>(2)</w:t>
            </w:r>
          </w:p>
        </w:tc>
        <w:tc>
          <w:tcPr>
            <w:tcW w:w="327" w:type="pct"/>
            <w:shd w:val="clear" w:color="auto" w:fill="auto"/>
            <w:vAlign w:val="center"/>
          </w:tcPr>
          <w:p>
            <w:pPr>
              <w:spacing w:before="60" w:after="60"/>
              <w:jc w:val="center"/>
              <w:rPr>
                <w:rFonts w:eastAsia="Calibri"/>
                <w:noProof/>
                <w:sz w:val="20"/>
                <w:szCs w:val="20"/>
              </w:rPr>
            </w:pPr>
            <w:r>
              <w:rPr>
                <w:noProof/>
                <w:sz w:val="20"/>
              </w:rPr>
              <w:t>(3)</w:t>
            </w:r>
          </w:p>
        </w:tc>
        <w:tc>
          <w:tcPr>
            <w:tcW w:w="397" w:type="pct"/>
            <w:shd w:val="clear" w:color="auto" w:fill="auto"/>
            <w:vAlign w:val="center"/>
          </w:tcPr>
          <w:p>
            <w:pPr>
              <w:spacing w:before="60" w:after="60"/>
              <w:jc w:val="center"/>
              <w:rPr>
                <w:rFonts w:eastAsia="Calibri"/>
                <w:noProof/>
                <w:sz w:val="20"/>
                <w:szCs w:val="20"/>
              </w:rPr>
            </w:pPr>
            <w:r>
              <w:rPr>
                <w:noProof/>
                <w:sz w:val="20"/>
              </w:rPr>
              <w:t>(4)</w:t>
            </w:r>
          </w:p>
        </w:tc>
        <w:tc>
          <w:tcPr>
            <w:tcW w:w="191" w:type="pct"/>
            <w:shd w:val="clear" w:color="auto" w:fill="auto"/>
            <w:vAlign w:val="center"/>
          </w:tcPr>
          <w:p>
            <w:pPr>
              <w:spacing w:before="60" w:after="60"/>
              <w:jc w:val="center"/>
              <w:rPr>
                <w:rFonts w:eastAsia="Calibri"/>
                <w:noProof/>
                <w:sz w:val="20"/>
                <w:szCs w:val="20"/>
              </w:rPr>
            </w:pPr>
            <w:r>
              <w:rPr>
                <w:noProof/>
                <w:sz w:val="20"/>
              </w:rPr>
              <w:t>(5)</w:t>
            </w:r>
          </w:p>
        </w:tc>
        <w:tc>
          <w:tcPr>
            <w:tcW w:w="311" w:type="pct"/>
            <w:shd w:val="clear" w:color="auto" w:fill="auto"/>
            <w:vAlign w:val="center"/>
          </w:tcPr>
          <w:p>
            <w:pPr>
              <w:spacing w:before="60" w:after="60"/>
              <w:jc w:val="center"/>
              <w:rPr>
                <w:rFonts w:eastAsia="Calibri"/>
                <w:noProof/>
                <w:sz w:val="20"/>
                <w:szCs w:val="20"/>
              </w:rPr>
            </w:pPr>
            <w:r>
              <w:rPr>
                <w:noProof/>
                <w:sz w:val="20"/>
              </w:rPr>
              <w:t>(5)</w:t>
            </w:r>
          </w:p>
        </w:tc>
        <w:tc>
          <w:tcPr>
            <w:tcW w:w="207" w:type="pct"/>
            <w:shd w:val="clear" w:color="auto" w:fill="auto"/>
            <w:vAlign w:val="center"/>
          </w:tcPr>
          <w:p>
            <w:pPr>
              <w:spacing w:before="60" w:after="60"/>
              <w:jc w:val="center"/>
              <w:rPr>
                <w:rFonts w:eastAsia="Calibri"/>
                <w:noProof/>
                <w:sz w:val="20"/>
                <w:szCs w:val="20"/>
              </w:rPr>
            </w:pPr>
            <w:r>
              <w:rPr>
                <w:noProof/>
                <w:sz w:val="20"/>
              </w:rPr>
              <w:t>(5)</w:t>
            </w:r>
          </w:p>
        </w:tc>
        <w:tc>
          <w:tcPr>
            <w:tcW w:w="202" w:type="pct"/>
            <w:shd w:val="clear" w:color="auto" w:fill="auto"/>
            <w:vAlign w:val="center"/>
          </w:tcPr>
          <w:p>
            <w:pPr>
              <w:spacing w:before="60" w:after="60"/>
              <w:jc w:val="center"/>
              <w:rPr>
                <w:noProof/>
                <w:sz w:val="20"/>
                <w:szCs w:val="20"/>
              </w:rPr>
            </w:pPr>
            <w:r>
              <w:rPr>
                <w:noProof/>
                <w:sz w:val="20"/>
              </w:rPr>
              <w:t>(5)</w:t>
            </w:r>
          </w:p>
        </w:tc>
        <w:tc>
          <w:tcPr>
            <w:tcW w:w="193" w:type="pct"/>
            <w:shd w:val="clear" w:color="auto" w:fill="auto"/>
            <w:vAlign w:val="center"/>
          </w:tcPr>
          <w:p>
            <w:pPr>
              <w:spacing w:before="60" w:after="60"/>
              <w:jc w:val="center"/>
              <w:rPr>
                <w:rFonts w:eastAsia="Calibri"/>
                <w:noProof/>
                <w:sz w:val="20"/>
                <w:szCs w:val="20"/>
              </w:rPr>
            </w:pPr>
            <w:r>
              <w:rPr>
                <w:noProof/>
                <w:sz w:val="20"/>
              </w:rPr>
              <w:t>(6)</w:t>
            </w:r>
          </w:p>
        </w:tc>
        <w:tc>
          <w:tcPr>
            <w:tcW w:w="207" w:type="pct"/>
            <w:shd w:val="clear" w:color="auto" w:fill="auto"/>
            <w:vAlign w:val="center"/>
          </w:tcPr>
          <w:p>
            <w:pPr>
              <w:spacing w:before="60" w:after="60"/>
              <w:jc w:val="center"/>
              <w:rPr>
                <w:rFonts w:eastAsia="Calibri"/>
                <w:noProof/>
                <w:sz w:val="20"/>
                <w:szCs w:val="20"/>
              </w:rPr>
            </w:pPr>
            <w:r>
              <w:rPr>
                <w:noProof/>
                <w:sz w:val="20"/>
              </w:rPr>
              <w:t>(6)</w:t>
            </w:r>
          </w:p>
        </w:tc>
        <w:tc>
          <w:tcPr>
            <w:tcW w:w="218" w:type="pct"/>
            <w:shd w:val="clear" w:color="auto" w:fill="auto"/>
            <w:vAlign w:val="center"/>
          </w:tcPr>
          <w:p>
            <w:pPr>
              <w:spacing w:before="60" w:after="60"/>
              <w:jc w:val="center"/>
              <w:rPr>
                <w:rFonts w:eastAsia="Calibri"/>
                <w:noProof/>
                <w:sz w:val="20"/>
                <w:szCs w:val="20"/>
              </w:rPr>
            </w:pPr>
            <w:r>
              <w:rPr>
                <w:noProof/>
                <w:sz w:val="20"/>
              </w:rPr>
              <w:t>(6)</w:t>
            </w:r>
          </w:p>
        </w:tc>
        <w:tc>
          <w:tcPr>
            <w:tcW w:w="197" w:type="pct"/>
            <w:shd w:val="clear" w:color="auto" w:fill="auto"/>
            <w:vAlign w:val="center"/>
          </w:tcPr>
          <w:p>
            <w:pPr>
              <w:spacing w:before="60" w:after="60"/>
              <w:jc w:val="center"/>
              <w:rPr>
                <w:noProof/>
                <w:sz w:val="20"/>
                <w:szCs w:val="20"/>
              </w:rPr>
            </w:pPr>
            <w:r>
              <w:rPr>
                <w:noProof/>
                <w:sz w:val="20"/>
              </w:rPr>
              <w:t>(6)</w:t>
            </w:r>
          </w:p>
        </w:tc>
        <w:tc>
          <w:tcPr>
            <w:tcW w:w="200" w:type="pct"/>
            <w:shd w:val="clear" w:color="auto" w:fill="auto"/>
            <w:vAlign w:val="center"/>
          </w:tcPr>
          <w:p>
            <w:pPr>
              <w:spacing w:before="60" w:after="60"/>
              <w:jc w:val="center"/>
              <w:rPr>
                <w:rFonts w:eastAsia="Calibri"/>
                <w:noProof/>
                <w:sz w:val="20"/>
                <w:szCs w:val="20"/>
              </w:rPr>
            </w:pPr>
            <w:r>
              <w:rPr>
                <w:noProof/>
                <w:sz w:val="20"/>
              </w:rPr>
              <w:t>(7)</w:t>
            </w:r>
          </w:p>
        </w:tc>
        <w:tc>
          <w:tcPr>
            <w:tcW w:w="207" w:type="pct"/>
            <w:shd w:val="clear" w:color="auto" w:fill="auto"/>
            <w:vAlign w:val="center"/>
          </w:tcPr>
          <w:p>
            <w:pPr>
              <w:spacing w:before="60" w:after="60"/>
              <w:jc w:val="center"/>
              <w:rPr>
                <w:rFonts w:eastAsia="Calibri"/>
                <w:noProof/>
                <w:sz w:val="20"/>
                <w:szCs w:val="20"/>
              </w:rPr>
            </w:pPr>
            <w:r>
              <w:rPr>
                <w:noProof/>
                <w:sz w:val="20"/>
              </w:rPr>
              <w:t>(7)</w:t>
            </w:r>
          </w:p>
        </w:tc>
        <w:tc>
          <w:tcPr>
            <w:tcW w:w="219" w:type="pct"/>
            <w:shd w:val="clear" w:color="auto" w:fill="auto"/>
            <w:vAlign w:val="center"/>
          </w:tcPr>
          <w:p>
            <w:pPr>
              <w:spacing w:before="60" w:after="60"/>
              <w:jc w:val="center"/>
              <w:rPr>
                <w:rFonts w:eastAsia="Calibri"/>
                <w:noProof/>
                <w:sz w:val="20"/>
                <w:szCs w:val="20"/>
              </w:rPr>
            </w:pPr>
            <w:r>
              <w:rPr>
                <w:noProof/>
                <w:sz w:val="20"/>
              </w:rPr>
              <w:t>(7)</w:t>
            </w:r>
          </w:p>
        </w:tc>
        <w:tc>
          <w:tcPr>
            <w:tcW w:w="140" w:type="pct"/>
            <w:shd w:val="clear" w:color="auto" w:fill="auto"/>
            <w:vAlign w:val="center"/>
          </w:tcPr>
          <w:p>
            <w:pPr>
              <w:spacing w:before="60" w:after="60"/>
              <w:jc w:val="center"/>
              <w:rPr>
                <w:noProof/>
                <w:sz w:val="20"/>
                <w:szCs w:val="20"/>
              </w:rPr>
            </w:pPr>
            <w:r>
              <w:rPr>
                <w:noProof/>
                <w:sz w:val="20"/>
              </w:rPr>
              <w:t>(7)</w:t>
            </w:r>
          </w:p>
        </w:tc>
        <w:tc>
          <w:tcPr>
            <w:tcW w:w="277" w:type="pct"/>
            <w:shd w:val="clear" w:color="auto" w:fill="auto"/>
            <w:vAlign w:val="center"/>
          </w:tcPr>
          <w:p>
            <w:pPr>
              <w:spacing w:before="60" w:after="60"/>
              <w:jc w:val="center"/>
              <w:rPr>
                <w:rFonts w:eastAsia="Calibri"/>
                <w:noProof/>
                <w:sz w:val="20"/>
                <w:szCs w:val="20"/>
              </w:rPr>
            </w:pPr>
            <w:r>
              <w:rPr>
                <w:noProof/>
                <w:sz w:val="20"/>
              </w:rPr>
              <w:t>(8)</w:t>
            </w:r>
          </w:p>
        </w:tc>
        <w:tc>
          <w:tcPr>
            <w:tcW w:w="207" w:type="pct"/>
            <w:shd w:val="clear" w:color="auto" w:fill="auto"/>
            <w:vAlign w:val="center"/>
          </w:tcPr>
          <w:p>
            <w:pPr>
              <w:spacing w:before="60" w:after="60"/>
              <w:jc w:val="center"/>
              <w:rPr>
                <w:rFonts w:eastAsia="Calibri"/>
                <w:noProof/>
                <w:sz w:val="20"/>
                <w:szCs w:val="20"/>
              </w:rPr>
            </w:pPr>
            <w:r>
              <w:rPr>
                <w:noProof/>
                <w:sz w:val="20"/>
              </w:rPr>
              <w:t>(8)</w:t>
            </w:r>
          </w:p>
        </w:tc>
        <w:tc>
          <w:tcPr>
            <w:tcW w:w="207" w:type="pct"/>
            <w:shd w:val="clear" w:color="auto" w:fill="auto"/>
            <w:vAlign w:val="center"/>
          </w:tcPr>
          <w:p>
            <w:pPr>
              <w:spacing w:before="60" w:after="60"/>
              <w:jc w:val="center"/>
              <w:rPr>
                <w:rFonts w:eastAsia="Calibri"/>
                <w:noProof/>
                <w:sz w:val="20"/>
                <w:szCs w:val="20"/>
              </w:rPr>
            </w:pPr>
            <w:r>
              <w:rPr>
                <w:noProof/>
                <w:sz w:val="20"/>
              </w:rPr>
              <w:t>(8)</w:t>
            </w:r>
          </w:p>
        </w:tc>
        <w:tc>
          <w:tcPr>
            <w:tcW w:w="173" w:type="pct"/>
            <w:shd w:val="clear" w:color="auto" w:fill="auto"/>
            <w:vAlign w:val="center"/>
          </w:tcPr>
          <w:p>
            <w:pPr>
              <w:spacing w:before="60" w:after="60"/>
              <w:jc w:val="center"/>
              <w:rPr>
                <w:noProof/>
                <w:sz w:val="20"/>
                <w:szCs w:val="20"/>
              </w:rPr>
            </w:pPr>
            <w:r>
              <w:rPr>
                <w:noProof/>
                <w:sz w:val="20"/>
              </w:rPr>
              <w:t>(8)</w:t>
            </w:r>
          </w:p>
        </w:tc>
        <w:tc>
          <w:tcPr>
            <w:tcW w:w="265" w:type="pct"/>
            <w:shd w:val="clear" w:color="auto" w:fill="auto"/>
            <w:vAlign w:val="center"/>
          </w:tcPr>
          <w:p>
            <w:pPr>
              <w:spacing w:before="60" w:after="60"/>
              <w:jc w:val="center"/>
              <w:rPr>
                <w:rFonts w:eastAsia="Calibri"/>
                <w:noProof/>
                <w:sz w:val="20"/>
                <w:szCs w:val="20"/>
              </w:rPr>
            </w:pPr>
            <w:r>
              <w:rPr>
                <w:noProof/>
                <w:sz w:val="20"/>
              </w:rPr>
              <w:t>(9)</w:t>
            </w:r>
          </w:p>
        </w:tc>
      </w:tr>
    </w:tbl>
    <w:p>
      <w:pPr>
        <w:rPr>
          <w:rFonts w:eastAsia="Calibri"/>
          <w:noProof/>
        </w:rPr>
      </w:pPr>
    </w:p>
    <w:p>
      <w:pPr>
        <w:pStyle w:val="NormalCentered"/>
        <w:rPr>
          <w:rFonts w:eastAsia="Calibri"/>
          <w:noProof/>
        </w:rPr>
      </w:pPr>
      <w:r>
        <w:rPr>
          <w:noProof/>
        </w:rPr>
        <w:br w:type="page"/>
        <w:t>Таблица V</w:t>
      </w:r>
      <w:r>
        <w:rPr>
          <w:noProof/>
        </w:rPr>
        <w:br/>
        <w:t>Формат на данните, представящи информация във връзка с корабите</w:t>
      </w:r>
    </w:p>
    <w:tbl>
      <w:tblPr>
        <w:tblW w:w="0" w:type="auto"/>
        <w:tblLook w:val="0000" w:firstRow="0" w:lastRow="0" w:firstColumn="0" w:lastColumn="0" w:noHBand="0" w:noVBand="0"/>
      </w:tblPr>
      <w:tblGrid>
        <w:gridCol w:w="3670"/>
        <w:gridCol w:w="2051"/>
        <w:gridCol w:w="2051"/>
        <w:gridCol w:w="7014"/>
      </w:tblGrid>
      <w:tr>
        <w:trPr>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Име на полето</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Максимален брой букви/цифри</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Подравняване</w:t>
            </w:r>
            <w:r>
              <w:rPr>
                <w:b/>
                <w:noProof/>
                <w:vertAlign w:val="superscript"/>
              </w:rPr>
              <w:t>(1)</w:t>
            </w:r>
          </w:p>
          <w:p>
            <w:pPr>
              <w:spacing w:before="60" w:after="60"/>
              <w:jc w:val="center"/>
              <w:rPr>
                <w:rFonts w:eastAsia="Calibri"/>
                <w:noProof/>
              </w:rPr>
            </w:pPr>
            <w:r>
              <w:rPr>
                <w:noProof/>
              </w:rPr>
              <w:t>Л(яво)/Д(ясно)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Определения и коментари</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Държава членка</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Държава членка (3-буквен ISO код), в която е регистриран корабът</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CFR</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12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Номер в регистъра на риболовния флот на Съюза (CFR)</w:t>
            </w:r>
          </w:p>
          <w:p>
            <w:pPr>
              <w:spacing w:before="60" w:after="60"/>
              <w:rPr>
                <w:rFonts w:eastAsia="Calibri"/>
                <w:noProof/>
              </w:rPr>
            </w:pPr>
            <w:r>
              <w:rPr>
                <w:noProof/>
              </w:rPr>
              <w:t>Уникален идентификационен номер на риболовния кораб</w:t>
            </w:r>
          </w:p>
          <w:p>
            <w:pPr>
              <w:spacing w:before="60" w:after="60"/>
              <w:rPr>
                <w:rFonts w:eastAsia="Calibri"/>
                <w:noProof/>
              </w:rPr>
            </w:pPr>
            <w:r>
              <w:rPr>
                <w:noProof/>
              </w:rPr>
              <w:t>Държава членка (3-буквен ISO код), следвана от идентификационна серия (9 знака). Когато серията има по-малко от 9 знака, от лявата страна се добавят допълнителни нули.</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Външна маркировка</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14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Съгласно Регламент (ЕИО) № 1381/87 на Комисията</w:t>
            </w:r>
            <w:r>
              <w:rPr>
                <w:b/>
                <w:noProof/>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Продължителност на периода на управление</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Продължителност на периода на управление в месеци</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(5)</w:t>
            </w:r>
            <w:r>
              <w:rPr>
                <w:noProof/>
              </w:rPr>
              <w:tab/>
              <w:t>Декларирани уреди</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Един от следните видове уреди:</w:t>
            </w:r>
          </w:p>
          <w:p>
            <w:pPr>
              <w:spacing w:before="60" w:after="60"/>
              <w:rPr>
                <w:rFonts w:eastAsia="Calibri"/>
                <w:noProof/>
              </w:rPr>
            </w:pPr>
            <w:r>
              <w:rPr>
                <w:noProof/>
              </w:rPr>
              <w:t>TR = тралове, датски грибове и подобни уреди ≥ 32 mm</w:t>
            </w:r>
          </w:p>
          <w:p>
            <w:pPr>
              <w:spacing w:before="60" w:after="60"/>
              <w:rPr>
                <w:rFonts w:eastAsia="Calibri"/>
                <w:noProof/>
              </w:rPr>
            </w:pPr>
            <w:r>
              <w:rPr>
                <w:noProof/>
              </w:rPr>
              <w:t>GN = хрилни мрежи ≥ 60 mm</w:t>
            </w:r>
          </w:p>
          <w:p>
            <w:pPr>
              <w:spacing w:before="60" w:after="60"/>
              <w:rPr>
                <w:rFonts w:eastAsia="Calibri"/>
                <w:noProof/>
              </w:rPr>
            </w:pPr>
            <w:r>
              <w:rPr>
                <w:noProof/>
              </w:rPr>
              <w:t>LL = дънни парагади</w:t>
            </w:r>
          </w:p>
        </w:tc>
      </w:tr>
      <w:t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noProof/>
              </w:rPr>
              <w:t>(6)</w:t>
            </w:r>
            <w:r>
              <w:rPr>
                <w:noProof/>
              </w:rPr>
              <w:tab/>
              <w:t>Специално условие, прилагано към декларирания(ите) уред(и)</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Посочва се кое (ако има такова) от специалните условия по точка 6.1, букви а) или б) от приложение IIБ се прилага</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(7)</w:t>
            </w:r>
            <w:r>
              <w:rPr>
                <w:noProof/>
              </w:rPr>
              <w:tab/>
              <w:t>Допустими дни за използване на декларирания(ите) уред(и)</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Брой дни, които корабът може да получи съгласно приложение IIБ за избраните уреди и за декларираната продължителност на периода на управление</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(8)</w:t>
            </w:r>
            <w:r>
              <w:rPr>
                <w:noProof/>
              </w:rPr>
              <w:tab/>
              <w:t>Дни, прекарани с декларирания(ите) уред(и)</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Брой дни, през които корабът действително се е намирал в зоната и е използвал уред, съответстващ на декларирания уред през декларирания период на управление</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(9)</w:t>
            </w:r>
            <w:r>
              <w:rPr>
                <w:noProof/>
              </w:rPr>
              <w:tab/>
              <w:t>Прехвърляне на дни</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За прехвърлените дни да се посочи „– брой прехвърлени дни“, а за получените дни да се посочи „+ брой прехвърлени дни“.</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noProof/>
              </w:rPr>
            </w:pPr>
            <w:r>
              <w:rPr>
                <w:b/>
                <w:noProof/>
                <w:vertAlign w:val="superscript"/>
              </w:rPr>
              <w:t>(1)</w:t>
            </w:r>
            <w:r>
              <w:rPr>
                <w:noProof/>
              </w:rPr>
              <w:tab/>
              <w:t>Информация, която е от значение за предаването на данни чрез формат с фиксирана дължина.</w:t>
            </w:r>
          </w:p>
          <w:p>
            <w:pPr>
              <w:spacing w:before="0" w:after="0"/>
              <w:ind w:left="567" w:hanging="567"/>
              <w:rPr>
                <w:rFonts w:eastAsia="Calibri"/>
                <w:noProof/>
              </w:rPr>
            </w:pPr>
            <w:r>
              <w:rPr>
                <w:b/>
                <w:noProof/>
                <w:vertAlign w:val="superscript"/>
              </w:rPr>
              <w:t>(2)</w:t>
            </w:r>
            <w:r>
              <w:rPr>
                <w:noProof/>
              </w:rPr>
              <w:tab/>
              <w:t>Регламент (ЕИО) № 1381/87 на Комисията от 20 май 1987 г. относно установяване на подробни правила по отношение на обозначаването и документацията на риболовните кораби (ОВ L 132, 21.5.1987 г., стр. 9).</w:t>
            </w:r>
          </w:p>
        </w:tc>
      </w:tr>
    </w:tbl>
    <w:p>
      <w:pPr>
        <w:pStyle w:val="LignefinalLandscape"/>
        <w:rPr>
          <w:rFonts w:eastAsia="Calibri"/>
          <w:noProof/>
        </w:rPr>
      </w:pPr>
    </w:p>
    <w:p>
      <w:pPr>
        <w:rPr>
          <w:rFonts w:eastAsia="Calibri"/>
          <w:noProof/>
        </w:rPr>
        <w:sectPr>
          <w:headerReference w:type="default" r:id="rId17"/>
          <w:footerReference w:type="default" r:id="rId18"/>
          <w:headerReference w:type="first" r:id="rId19"/>
          <w:footerReference w:type="first" r:id="rId20"/>
          <w:footnotePr>
            <w:numRestart w:val="eachPage"/>
          </w:footnotePr>
          <w:pgSz w:w="16838" w:h="11906" w:orient="landscape"/>
          <w:pgMar w:top="1134" w:right="1134" w:bottom="1134" w:left="1134" w:header="567" w:footer="567" w:gutter="0"/>
          <w:cols w:space="720"/>
          <w:docGrid w:linePitch="326"/>
        </w:sectPr>
      </w:pPr>
    </w:p>
    <w:p>
      <w:pPr>
        <w:pStyle w:val="Annexetitre"/>
        <w:rPr>
          <w:rFonts w:eastAsia="Calibri"/>
          <w:noProof/>
        </w:rPr>
      </w:pPr>
      <w:r>
        <w:rPr>
          <w:noProof/>
        </w:rPr>
        <w:t>ПРИЛОЖЕНИЕ IIВ</w:t>
      </w:r>
    </w:p>
    <w:p>
      <w:pPr>
        <w:pStyle w:val="NormalCentered"/>
        <w:rPr>
          <w:rFonts w:eastAsia="Calibri"/>
          <w:noProof/>
        </w:rPr>
      </w:pPr>
      <w:r>
        <w:rPr>
          <w:noProof/>
        </w:rPr>
        <w:t xml:space="preserve">РИБОЛОВНО УСИЛИЕ ЗА КОРАБИТЕ В КОНТЕКСТА </w:t>
      </w:r>
      <w:r>
        <w:rPr>
          <w:noProof/>
        </w:rPr>
        <w:br/>
        <w:t xml:space="preserve">НА УПРАВЛЕНИЕТО НА ЗАПАСИТЕ ОТ МОРСКИ ЕЗИК В ЗАПАДНАТА ЧАСТ </w:t>
      </w:r>
      <w:r>
        <w:rPr>
          <w:noProof/>
        </w:rPr>
        <w:br/>
        <w:t>НА ЛАМАНША В УЧАСТЪК VIIe НА ICES</w:t>
      </w:r>
    </w:p>
    <w:p>
      <w:pPr>
        <w:pStyle w:val="ChapterTitle"/>
        <w:rPr>
          <w:rFonts w:eastAsia="Calibri"/>
          <w:noProof/>
        </w:rPr>
      </w:pPr>
      <w:r>
        <w:rPr>
          <w:noProof/>
        </w:rPr>
        <w:t>Глава I</w:t>
      </w:r>
      <w:r>
        <w:rPr>
          <w:noProof/>
        </w:rPr>
        <w:br/>
        <w:t>Общи разпоредби</w:t>
      </w:r>
    </w:p>
    <w:p>
      <w:pPr>
        <w:pStyle w:val="Point0"/>
        <w:rPr>
          <w:rFonts w:eastAsia="Calibri"/>
          <w:noProof/>
        </w:rPr>
      </w:pPr>
      <w:r>
        <w:rPr>
          <w:noProof/>
        </w:rPr>
        <w:t>1.</w:t>
      </w:r>
      <w:r>
        <w:rPr>
          <w:noProof/>
        </w:rPr>
        <w:tab/>
        <w:t>ОБХВАТ</w:t>
      </w:r>
    </w:p>
    <w:p>
      <w:pPr>
        <w:pStyle w:val="Point0"/>
        <w:rPr>
          <w:rFonts w:eastAsia="Calibri"/>
          <w:noProof/>
        </w:rPr>
      </w:pPr>
      <w:r>
        <w:rPr>
          <w:noProof/>
        </w:rPr>
        <w:t>1.1.</w:t>
      </w:r>
      <w:r>
        <w:rPr>
          <w:noProof/>
        </w:rPr>
        <w:tab/>
        <w:t>В обхвата на настоящото приложение попадат корабите на Съюза с обща дължина 10 m или повече, които носят на борда или използват бим тралове с размер на окото 80 mm или повече и статични мрежи, включително хрилни мрежи, тройни мрежи и заплитащи мрежи с размер на окото 220 mm или по-малко в съответствие с Регламент (ЕО) № 509/2007 и се намират в участък VIIe на ICES.</w:t>
      </w:r>
    </w:p>
    <w:p>
      <w:pPr>
        <w:pStyle w:val="Point0"/>
        <w:rPr>
          <w:rFonts w:eastAsia="Calibri"/>
          <w:noProof/>
        </w:rPr>
      </w:pPr>
      <w:r>
        <w:rPr>
          <w:noProof/>
        </w:rPr>
        <w:t>1.2.</w:t>
      </w:r>
      <w:r>
        <w:rPr>
          <w:noProof/>
        </w:rPr>
        <w:tab/>
        <w:t>Корабите, извършващи риболов със статични мрежи с размер на окото 120 mm или повече и със записи за извършен улов на по-малко от 300 kg живо тегло морски език годишно през предходните три години съгласно риболовния дневник, се освобождават от прилагането на настоящото приложение при следните условия:</w:t>
      </w:r>
    </w:p>
    <w:p>
      <w:pPr>
        <w:pStyle w:val="Point1"/>
        <w:rPr>
          <w:rFonts w:eastAsia="Calibri"/>
          <w:noProof/>
        </w:rPr>
      </w:pPr>
      <w:r>
        <w:rPr>
          <w:noProof/>
        </w:rPr>
        <w:t>а)</w:t>
      </w:r>
      <w:r>
        <w:rPr>
          <w:noProof/>
        </w:rPr>
        <w:tab/>
        <w:t>уловът на морски език от страна на тези кораби не надвишава 300 kg живо тегло през периода на управление 2015 г.;</w:t>
      </w:r>
    </w:p>
    <w:p>
      <w:pPr>
        <w:pStyle w:val="Point1"/>
        <w:rPr>
          <w:rFonts w:eastAsia="Calibri"/>
          <w:noProof/>
        </w:rPr>
      </w:pPr>
      <w:r>
        <w:rPr>
          <w:noProof/>
        </w:rPr>
        <w:t>б)</w:t>
      </w:r>
      <w:r>
        <w:rPr>
          <w:noProof/>
        </w:rPr>
        <w:tab/>
        <w:t>от тези кораби не се извършва трансбордиране в морето на риба към друг кораб;</w:t>
      </w:r>
    </w:p>
    <w:p>
      <w:pPr>
        <w:pStyle w:val="Point1"/>
        <w:rPr>
          <w:rFonts w:eastAsia="Calibri"/>
          <w:noProof/>
        </w:rPr>
      </w:pPr>
      <w:r>
        <w:rPr>
          <w:noProof/>
        </w:rPr>
        <w:t>в)</w:t>
      </w:r>
      <w:r>
        <w:rPr>
          <w:noProof/>
        </w:rPr>
        <w:tab/>
        <w:t>до 31 юли 2016 г. и до 31 януари 2017 г. всяка заинтересована държава членка представя на Комисията доклад относно записите за улов на морски език от страна на тези кораби през предходните три години, както и относно улова на морски език през 2016 г.</w:t>
      </w:r>
    </w:p>
    <w:p>
      <w:pPr>
        <w:pStyle w:val="Text1"/>
        <w:rPr>
          <w:rFonts w:eastAsia="Calibri"/>
          <w:noProof/>
        </w:rPr>
      </w:pPr>
      <w:r>
        <w:rPr>
          <w:noProof/>
        </w:rPr>
        <w:t>Когато не е спазено някое от тези условия, съответните кораби незабавно престават да бъдат освободени от прилагането на настоящото приложение.</w:t>
      </w:r>
    </w:p>
    <w:p>
      <w:pPr>
        <w:pStyle w:val="Point0"/>
        <w:rPr>
          <w:rFonts w:eastAsia="Calibri"/>
          <w:noProof/>
        </w:rPr>
      </w:pPr>
      <w:r>
        <w:rPr>
          <w:noProof/>
        </w:rPr>
        <w:t>2.</w:t>
      </w:r>
      <w:r>
        <w:rPr>
          <w:noProof/>
        </w:rPr>
        <w:tab/>
        <w:t>ОПРЕДЕЛЕНИЯ</w:t>
      </w:r>
    </w:p>
    <w:p>
      <w:pPr>
        <w:pStyle w:val="Text1"/>
        <w:rPr>
          <w:rFonts w:eastAsia="Calibri"/>
          <w:noProof/>
        </w:rPr>
      </w:pPr>
      <w:r>
        <w:rPr>
          <w:noProof/>
        </w:rPr>
        <w:t>За целите на настоящото приложение се прилагат следните определения:</w:t>
      </w:r>
    </w:p>
    <w:p>
      <w:pPr>
        <w:pStyle w:val="Point1"/>
        <w:rPr>
          <w:rFonts w:eastAsia="Calibri"/>
          <w:noProof/>
        </w:rPr>
      </w:pPr>
      <w:r>
        <w:rPr>
          <w:noProof/>
        </w:rPr>
        <w:t>а)</w:t>
      </w:r>
      <w:r>
        <w:rPr>
          <w:noProof/>
        </w:rPr>
        <w:tab/>
        <w:t>„група уреди“ означава група, състояща се от следните две категории уреди:</w:t>
      </w:r>
    </w:p>
    <w:p>
      <w:pPr>
        <w:pStyle w:val="Point2"/>
        <w:rPr>
          <w:rFonts w:eastAsia="Calibri"/>
          <w:noProof/>
        </w:rPr>
      </w:pPr>
      <w:r>
        <w:rPr>
          <w:noProof/>
        </w:rPr>
        <w:t>i)</w:t>
      </w:r>
      <w:r>
        <w:rPr>
          <w:noProof/>
        </w:rPr>
        <w:tab/>
        <w:t>бим тралове с размер на окото 80 mm или повече, и</w:t>
      </w:r>
    </w:p>
    <w:p>
      <w:pPr>
        <w:pStyle w:val="Point2"/>
        <w:rPr>
          <w:rFonts w:eastAsia="Calibri"/>
          <w:noProof/>
        </w:rPr>
      </w:pPr>
      <w:r>
        <w:rPr>
          <w:noProof/>
        </w:rPr>
        <w:t>ii)</w:t>
      </w:r>
      <w:r>
        <w:rPr>
          <w:noProof/>
        </w:rPr>
        <w:tab/>
        <w:t>статични мрежи, включително хрилни мрежи, тройни мрежи и заплитащи мрежи с размер на окото 220 mm или по-малко;</w:t>
      </w:r>
    </w:p>
    <w:p>
      <w:pPr>
        <w:pStyle w:val="Point1"/>
        <w:rPr>
          <w:rFonts w:eastAsia="Calibri"/>
          <w:noProof/>
        </w:rPr>
      </w:pPr>
      <w:r>
        <w:rPr>
          <w:noProof/>
        </w:rPr>
        <w:t>б)</w:t>
      </w:r>
      <w:r>
        <w:rPr>
          <w:noProof/>
        </w:rPr>
        <w:tab/>
        <w:t>„регламентирани уреди“ означава всяка от двете категории уреди, принадлежащи към групата уреди;</w:t>
      </w:r>
    </w:p>
    <w:p>
      <w:pPr>
        <w:pStyle w:val="Point1"/>
        <w:rPr>
          <w:rFonts w:eastAsia="Calibri"/>
          <w:noProof/>
        </w:rPr>
      </w:pPr>
      <w:r>
        <w:rPr>
          <w:noProof/>
        </w:rPr>
        <w:t>в)</w:t>
      </w:r>
      <w:r>
        <w:rPr>
          <w:noProof/>
        </w:rPr>
        <w:tab/>
        <w:t>„зона“ означава участък VIIe на ICES;</w:t>
      </w:r>
    </w:p>
    <w:p>
      <w:pPr>
        <w:pStyle w:val="Point1"/>
        <w:rPr>
          <w:rFonts w:eastAsia="Calibri"/>
          <w:noProof/>
        </w:rPr>
      </w:pPr>
      <w:r>
        <w:rPr>
          <w:noProof/>
        </w:rPr>
        <w:t>г)</w:t>
      </w:r>
      <w:r>
        <w:rPr>
          <w:noProof/>
        </w:rPr>
        <w:tab/>
        <w:t>„текущ период на управление“ означава периодът от 1 февруари 2016 г. до 31 януари 2017 г.</w:t>
      </w:r>
    </w:p>
    <w:p>
      <w:pPr>
        <w:pStyle w:val="Point0"/>
        <w:rPr>
          <w:rFonts w:eastAsia="Calibri"/>
          <w:noProof/>
        </w:rPr>
      </w:pPr>
      <w:r>
        <w:rPr>
          <w:noProof/>
        </w:rPr>
        <w:t>3.</w:t>
      </w:r>
      <w:r>
        <w:rPr>
          <w:noProof/>
        </w:rPr>
        <w:tab/>
        <w:t>ОГРАНИЧЕНИЯ НА ДЕЙНОСТТА</w:t>
      </w:r>
    </w:p>
    <w:p>
      <w:pPr>
        <w:pStyle w:val="Text1"/>
        <w:rPr>
          <w:rFonts w:eastAsia="Calibri"/>
          <w:noProof/>
        </w:rPr>
      </w:pPr>
      <w:r>
        <w:rPr>
          <w:noProof/>
        </w:rPr>
        <w:t>Без да се засяга член 29 от Регламент (ЕО) № 1224/2009, всяка държава членка гарантира, че когато плаващите под нейно знаме и регистрирани в Съюза кораби на Съюза носят на борда регламентирани уреди, престоят им в зоната няма да надвишава броя дни, посочен в глава III от настоящото приложение.</w:t>
      </w:r>
    </w:p>
    <w:p>
      <w:pPr>
        <w:pStyle w:val="ChapterTitle"/>
        <w:rPr>
          <w:rFonts w:eastAsia="Calibri"/>
          <w:noProof/>
        </w:rPr>
      </w:pPr>
      <w:r>
        <w:rPr>
          <w:noProof/>
        </w:rPr>
        <w:t>Глава II</w:t>
      </w:r>
      <w:r>
        <w:rPr>
          <w:noProof/>
        </w:rPr>
        <w:br/>
        <w:t>Разрешения</w:t>
      </w:r>
    </w:p>
    <w:p>
      <w:pPr>
        <w:pStyle w:val="Point0"/>
        <w:rPr>
          <w:rFonts w:eastAsia="Calibri"/>
          <w:noProof/>
        </w:rPr>
      </w:pPr>
      <w:r>
        <w:rPr>
          <w:noProof/>
        </w:rPr>
        <w:t>4.</w:t>
      </w:r>
      <w:r>
        <w:rPr>
          <w:noProof/>
        </w:rPr>
        <w:tab/>
        <w:t>КОРАБИ, ПРИТЕЖАВАЩИ РАЗРЕШЕНИЕ</w:t>
      </w:r>
    </w:p>
    <w:p>
      <w:pPr>
        <w:pStyle w:val="Point0"/>
        <w:rPr>
          <w:rFonts w:eastAsia="Calibri"/>
          <w:noProof/>
        </w:rPr>
      </w:pPr>
      <w:r>
        <w:rPr>
          <w:noProof/>
        </w:rPr>
        <w:t>4.1</w:t>
      </w:r>
      <w:r>
        <w:rPr>
          <w:noProof/>
        </w:rPr>
        <w:tab/>
        <w:t>Държавите членки не разрешават риболов с регламентирани уреди в зоната от страна на кораби, плаващи под тяхното знаме, за които няма записи, че са извършвали такава риболовна дейност в тази зона в периода 2002—2015 г. (с изключение на записите за риболовни дейности в резултат на прехвърляне на дни между риболовни кораби), освен ако държавите членки гарантират в тази зона да не се извършва риболов с равностоен капацитет, измерен в киловати.</w:t>
      </w:r>
    </w:p>
    <w:p>
      <w:pPr>
        <w:pStyle w:val="Point0"/>
        <w:rPr>
          <w:rFonts w:eastAsia="Calibri"/>
          <w:noProof/>
        </w:rPr>
      </w:pPr>
      <w:r>
        <w:rPr>
          <w:noProof/>
        </w:rPr>
        <w:t>4.2</w:t>
      </w:r>
      <w:r>
        <w:rPr>
          <w:noProof/>
        </w:rPr>
        <w:tab/>
        <w:t>Независимо от това кораб, за който има запис, показващ, че е използвал регламентиран уред, може да получи разрешение да използва различен риболовен уред, при условие че броят дни, разпределен за този различен уред, е равен или по-голям от броя дни, разпределен за регламентирания уред.</w:t>
      </w:r>
    </w:p>
    <w:p>
      <w:pPr>
        <w:pStyle w:val="Point0"/>
        <w:rPr>
          <w:rFonts w:eastAsia="Calibri"/>
          <w:noProof/>
        </w:rPr>
      </w:pPr>
      <w:r>
        <w:rPr>
          <w:noProof/>
        </w:rPr>
        <w:t>4.3</w:t>
      </w:r>
      <w:r>
        <w:rPr>
          <w:noProof/>
        </w:rPr>
        <w:tab/>
        <w:t>Кораб, плаващ под знамето на държава членка, която няма квоти в зоната, може да получи разрешение да извършва риболов с регламентирани уреди в зоната само ако му е предоставена квота след прехвърляне, разрешено съгласно член 16, параграф 8 от Регламент (ЕС) № 1380/2013, както и дни в морето съгласно точка 10 или точка 11 от настоящото приложение.</w:t>
      </w:r>
    </w:p>
    <w:p>
      <w:pPr>
        <w:pStyle w:val="ChapterTitle"/>
        <w:rPr>
          <w:rFonts w:eastAsia="Calibri"/>
          <w:noProof/>
        </w:rPr>
      </w:pPr>
      <w:r>
        <w:rPr>
          <w:noProof/>
        </w:rPr>
        <w:br w:type="page"/>
        <w:t>Глава III</w:t>
      </w:r>
      <w:r>
        <w:rPr>
          <w:noProof/>
        </w:rPr>
        <w:br/>
        <w:t xml:space="preserve">Брой дни на престой в зоната, </w:t>
      </w:r>
      <w:r>
        <w:rPr>
          <w:noProof/>
        </w:rPr>
        <w:br/>
        <w:t>разпределени на корабите на Съюза</w:t>
      </w:r>
    </w:p>
    <w:p>
      <w:pPr>
        <w:pStyle w:val="Point0"/>
        <w:rPr>
          <w:rFonts w:eastAsia="Calibri"/>
          <w:noProof/>
        </w:rPr>
      </w:pPr>
      <w:r>
        <w:rPr>
          <w:noProof/>
        </w:rPr>
        <w:t>5.</w:t>
      </w:r>
      <w:r>
        <w:rPr>
          <w:noProof/>
        </w:rPr>
        <w:tab/>
        <w:t>МАКСИМАЛЕН БРОЙ ДНИ</w:t>
      </w:r>
    </w:p>
    <w:p>
      <w:pPr>
        <w:pStyle w:val="Text1"/>
        <w:rPr>
          <w:noProof/>
        </w:rPr>
      </w:pPr>
      <w:r>
        <w:rPr>
          <w:noProof/>
        </w:rPr>
        <w:t>В таблица I е определен максималният брой дни в морето през текущия период на управление, за които дадена държава членка може да даде разрешение за престой в зоната на кораб, плаващ под нейното знаме и носещ на борда регламентирани уреди.</w:t>
      </w:r>
    </w:p>
    <w:p>
      <w:pPr>
        <w:pStyle w:val="NormalCentered"/>
        <w:rPr>
          <w:rFonts w:eastAsia="Calibri"/>
          <w:noProof/>
        </w:rPr>
      </w:pPr>
      <w:r>
        <w:rPr>
          <w:noProof/>
        </w:rPr>
        <w:t>Таблица I</w:t>
      </w:r>
      <w:r>
        <w:rPr>
          <w:noProof/>
        </w:rPr>
        <w:br/>
        <w:t xml:space="preserve">Максимален брой дни разрешен престой на даден кораб в зоната </w:t>
      </w:r>
      <w:r>
        <w:rPr>
          <w:noProof/>
        </w:rPr>
        <w:br/>
        <w:t>(указани по риболовни уреди годишно)</w:t>
      </w:r>
    </w:p>
    <w:tbl>
      <w:tblPr>
        <w:tblW w:w="5000" w:type="pct"/>
        <w:tblLook w:val="0000" w:firstRow="0" w:lastRow="0" w:firstColumn="0" w:lastColumn="0" w:noHBand="0" w:noVBand="0"/>
      </w:tblPr>
      <w:tblGrid>
        <w:gridCol w:w="6488"/>
        <w:gridCol w:w="1683"/>
        <w:gridCol w:w="1683"/>
      </w:tblGrid>
      <w:t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Регламентирани уреди</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Максимален брой дни</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Бим тралове с размер на окото ≥ 80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Статични мрежи с размер на окото ≤ 220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sz w:val="20"/>
              </w:rPr>
              <w:t>pm</w:t>
            </w:r>
          </w:p>
        </w:tc>
      </w:tr>
    </w:tbl>
    <w:p>
      <w:pPr>
        <w:rPr>
          <w:rFonts w:eastAsia="Calibri"/>
          <w:noProof/>
        </w:rPr>
      </w:pPr>
    </w:p>
    <w:p>
      <w:pPr>
        <w:pStyle w:val="Point0"/>
        <w:rPr>
          <w:rFonts w:eastAsia="Calibri"/>
          <w:noProof/>
        </w:rPr>
      </w:pPr>
      <w:r>
        <w:rPr>
          <w:noProof/>
        </w:rPr>
        <w:br w:type="page"/>
        <w:t>6.</w:t>
      </w:r>
      <w:r>
        <w:rPr>
          <w:noProof/>
        </w:rPr>
        <w:tab/>
        <w:t>СХЕМА ПО КИЛОВАТДНИ</w:t>
      </w:r>
    </w:p>
    <w:p>
      <w:pPr>
        <w:pStyle w:val="Point0"/>
        <w:rPr>
          <w:rFonts w:eastAsia="Calibri"/>
          <w:noProof/>
        </w:rPr>
      </w:pPr>
      <w:r>
        <w:rPr>
          <w:noProof/>
        </w:rPr>
        <w:t>6.1.</w:t>
      </w:r>
      <w:r>
        <w:rPr>
          <w:noProof/>
        </w:rPr>
        <w:tab/>
        <w:t>През текущия период на управление всяка държава членка може да управлява разпределянето на риболовното си усилие в съответствие със схемата по киловатдни. Посредством тази схема всяка държава членка може да разреши престоя в зоната на всеки кораб, който използва регламентиран уред, посочен в таблица I, за максимален брой дни, различен от определения в същата таблица, при условие че е спазено общото количество киловатдни, съответстващо на регламентирания уред.</w:t>
      </w:r>
    </w:p>
    <w:p>
      <w:pPr>
        <w:pStyle w:val="Point0"/>
        <w:rPr>
          <w:rFonts w:eastAsia="Calibri"/>
          <w:noProof/>
        </w:rPr>
      </w:pPr>
      <w:r>
        <w:rPr>
          <w:noProof/>
        </w:rPr>
        <w:t>6.2.</w:t>
      </w:r>
      <w:r>
        <w:rPr>
          <w:noProof/>
        </w:rPr>
        <w:tab/>
        <w:t>Това общо количество киловатдни е сборът от всички отделни риболовни усилия, разпределени на корабите, плаващи под знамето на съответната държава членка и отговарящи на изискванията за регламентираните уреди. Отделните риболовни усилия се изчисляват в киловатдни, като мощността на двигателя на всеки кораб се умножи по броя на дните в морето, които корабът би ползвал в съответствие с таблица I, ако не се прилага точка 6.1.</w:t>
      </w:r>
    </w:p>
    <w:p>
      <w:pPr>
        <w:pStyle w:val="Point0"/>
        <w:rPr>
          <w:rFonts w:eastAsia="Calibri"/>
          <w:noProof/>
        </w:rPr>
      </w:pPr>
      <w:r>
        <w:rPr>
          <w:noProof/>
        </w:rPr>
        <w:t>6.3.</w:t>
      </w:r>
      <w:r>
        <w:rPr>
          <w:noProof/>
        </w:rPr>
        <w:tab/>
        <w:t>Всяка държава членка, желаеща да се възползва от схемата по точка 6.1, подава заявление до Комисията за регламентираните уреди, посочени в таблица I, заедно с доклади в електронен формат, които съдържат подробна информация за изчисленията въз основа на:</w:t>
      </w:r>
    </w:p>
    <w:p>
      <w:pPr>
        <w:pStyle w:val="Point1"/>
        <w:rPr>
          <w:rFonts w:eastAsia="Calibri"/>
          <w:noProof/>
        </w:rPr>
      </w:pPr>
      <w:r>
        <w:rPr>
          <w:noProof/>
        </w:rPr>
        <w:t>а)</w:t>
      </w:r>
      <w:r>
        <w:rPr>
          <w:noProof/>
        </w:rPr>
        <w:tab/>
        <w:t>списъка на корабите с разрешение за риболов, като се посочва техният номер в регистъра на риболовния флот на Съюза (CFR) и мощността на двигателя им;</w:t>
      </w:r>
    </w:p>
    <w:p>
      <w:pPr>
        <w:pStyle w:val="Point1"/>
        <w:rPr>
          <w:rFonts w:eastAsia="Calibri"/>
          <w:noProof/>
        </w:rPr>
      </w:pPr>
      <w:r>
        <w:rPr>
          <w:noProof/>
        </w:rPr>
        <w:t>б)</w:t>
      </w:r>
      <w:r>
        <w:rPr>
          <w:noProof/>
        </w:rPr>
        <w:tab/>
        <w:t>броя дни в морето, за които всеки кораб първоначално би получил разрешение да извършва риболов в съответствие с таблица I, както и броя дни в морето, които би ползвал всеки кораб при прилагане на точка 6.1.</w:t>
      </w:r>
    </w:p>
    <w:p>
      <w:pPr>
        <w:pStyle w:val="Point0"/>
        <w:rPr>
          <w:rFonts w:eastAsia="Calibri"/>
          <w:noProof/>
        </w:rPr>
      </w:pPr>
      <w:r>
        <w:rPr>
          <w:noProof/>
        </w:rPr>
        <w:t>6.4.</w:t>
      </w:r>
      <w:r>
        <w:rPr>
          <w:noProof/>
        </w:rPr>
        <w:tab/>
        <w:t>Въз основа на това заявление Комисията преценява дали посочените в точка 6 условия са изпълнени и — когато е приложимо — може да разреши на тази държава членка да се възползва от посочената в точка 6.1 система.</w:t>
      </w:r>
    </w:p>
    <w:p>
      <w:pPr>
        <w:pStyle w:val="Point0"/>
        <w:rPr>
          <w:rFonts w:eastAsia="Calibri"/>
          <w:noProof/>
        </w:rPr>
      </w:pPr>
      <w:r>
        <w:rPr>
          <w:noProof/>
        </w:rPr>
        <w:t>7.</w:t>
      </w:r>
      <w:r>
        <w:rPr>
          <w:noProof/>
        </w:rPr>
        <w:tab/>
        <w:t>РАЗПРЕДЕЛЯНЕ НА ДОПЪЛНИТЕЛНИ ДНИ ЗА ОКОНЧАТЕЛНО ПРЕУСТАНОВЯВАНЕ НА РИБОЛОВНИТЕ ДЕЙНОСТИ</w:t>
      </w:r>
    </w:p>
    <w:p>
      <w:pPr>
        <w:pStyle w:val="Point0"/>
        <w:rPr>
          <w:rFonts w:eastAsia="Calibri"/>
          <w:noProof/>
        </w:rPr>
      </w:pPr>
      <w:r>
        <w:rPr>
          <w:noProof/>
        </w:rPr>
        <w:t>7.1.</w:t>
      </w:r>
      <w:r>
        <w:rPr>
          <w:noProof/>
        </w:rPr>
        <w:tab/>
        <w:t>На основание окончателното преустановяване на риболовни дейности, извършено през предходния период на управление в съответствие с член 23 от Регламент (ЕО) № 1198/2006 или Регламент (ЕО) № 744/2008, Комисията може да разпредели на дадена държава членка допълнителен брой дни в морето за престой в зоната, които държавата членка може да разпредели на кораб, плаващ под нейното знаме, когато той носи на борда си регламентиран уред. Случаите на окончателно преустановяване по други причини могат да бъдат разглеждани от Комисията поотделно след писмено и надлежно мотивирано искане от съответната държава членка. В писменото заявление се посочват съответните кораби, като за всеки един от тях се потвърждава поотделно, че никога повече няма да извършва риболовни дейности.</w:t>
      </w:r>
    </w:p>
    <w:p>
      <w:pPr>
        <w:pStyle w:val="Point0"/>
        <w:rPr>
          <w:rFonts w:eastAsia="Calibri"/>
          <w:noProof/>
        </w:rPr>
      </w:pPr>
      <w:r>
        <w:rPr>
          <w:noProof/>
        </w:rPr>
        <w:t>7.2.</w:t>
      </w:r>
      <w:r>
        <w:rPr>
          <w:noProof/>
        </w:rPr>
        <w:tab/>
        <w:t>Предприетото през 2003 г. усилие, измерено в киловатдни, на оттеглените кораби, използващи дадена група уреди, се разделя на усилието, предприето от всички кораби, използвали тази група уреди през същата година. След това допълнителният брой дни в морето се изчислява, като така полученият резултат се умножава по броя на дните, които биха били разпределени в съответствие с таблица I. Всеки непълен ден, получен в резултат на това изчисление, се закръглява до най-близката цяла стойност.</w:t>
      </w:r>
    </w:p>
    <w:p>
      <w:pPr>
        <w:pStyle w:val="Point0"/>
        <w:rPr>
          <w:rFonts w:eastAsia="Calibri"/>
          <w:noProof/>
        </w:rPr>
      </w:pPr>
      <w:r>
        <w:rPr>
          <w:noProof/>
        </w:rPr>
        <w:t>7.3.</w:t>
      </w:r>
      <w:r>
        <w:rPr>
          <w:noProof/>
        </w:rPr>
        <w:tab/>
        <w:t>Точки 7.1 и 7.2 не се прилагат, когато кораб е бил заменен съгласно точка 4.2 или когато оттеглянето вече е било използвано през предходни години за получаване на допълнителни дни в морето.</w:t>
      </w:r>
    </w:p>
    <w:p>
      <w:pPr>
        <w:pStyle w:val="Point0"/>
        <w:rPr>
          <w:rFonts w:eastAsia="Calibri"/>
          <w:noProof/>
        </w:rPr>
      </w:pPr>
      <w:r>
        <w:rPr>
          <w:noProof/>
        </w:rPr>
        <w:t>7.4.</w:t>
      </w:r>
      <w:r>
        <w:rPr>
          <w:noProof/>
        </w:rPr>
        <w:tab/>
        <w:t>В срок до 15 юни на текущия период на управление всяка държава членка, желаеща да се възползва от разпределянето по точка 7.1, подава заявление до Комисията заедно с доклади в електронен формат, които съдържат — по отношение на групата уреди, посочена в таблица I — подробна информация за изчисленията въз основа на:</w:t>
      </w:r>
    </w:p>
    <w:p>
      <w:pPr>
        <w:pStyle w:val="Point1"/>
        <w:rPr>
          <w:rFonts w:eastAsia="Calibri"/>
          <w:noProof/>
        </w:rPr>
      </w:pPr>
      <w:r>
        <w:rPr>
          <w:noProof/>
        </w:rPr>
        <w:t>а)</w:t>
      </w:r>
      <w:r>
        <w:rPr>
          <w:noProof/>
        </w:rPr>
        <w:tab/>
        <w:t>списъци на оттеглените кораби с техния номер в регистъра на риболовния флот на Съюза (CFR) и мощността на двигателя им;</w:t>
      </w:r>
    </w:p>
    <w:p>
      <w:pPr>
        <w:pStyle w:val="Point1"/>
        <w:rPr>
          <w:rFonts w:eastAsia="Calibri"/>
          <w:noProof/>
        </w:rPr>
      </w:pPr>
      <w:r>
        <w:rPr>
          <w:noProof/>
        </w:rPr>
        <w:t>б)</w:t>
      </w:r>
      <w:r>
        <w:rPr>
          <w:noProof/>
        </w:rPr>
        <w:tab/>
        <w:t>извършената от тези кораби риболовна дейност през 2003 г., изчислена в дни в морето в съответствие с групата риболовни уреди.</w:t>
      </w:r>
    </w:p>
    <w:p>
      <w:pPr>
        <w:pStyle w:val="Point0"/>
        <w:rPr>
          <w:rFonts w:eastAsia="Calibri"/>
          <w:noProof/>
        </w:rPr>
      </w:pPr>
      <w:r>
        <w:rPr>
          <w:noProof/>
        </w:rPr>
        <w:t>7.5.</w:t>
      </w:r>
      <w:r>
        <w:rPr>
          <w:noProof/>
        </w:rPr>
        <w:tab/>
        <w:t>Въз основа на такова заявление от държава членка Комисията може — посредством актове за изпълнение — да разпредели на съответната държава членка допълнителен брой дни към определените в точка 5 за тази държава членка. Тези актове за изпълнение се приемат в съответствие с процедурата по разглеждане, посочена в член 42, параграф 2.</w:t>
      </w:r>
    </w:p>
    <w:p>
      <w:pPr>
        <w:pStyle w:val="Point0"/>
        <w:rPr>
          <w:rFonts w:eastAsia="Calibri"/>
          <w:noProof/>
        </w:rPr>
      </w:pPr>
      <w:r>
        <w:rPr>
          <w:noProof/>
        </w:rPr>
        <w:t>7.6.</w:t>
      </w:r>
      <w:r>
        <w:rPr>
          <w:noProof/>
        </w:rPr>
        <w:tab/>
        <w:t>През текущия период на управление всяка държава членка може да преразпределя тези допълнителни дни в морето между всички или между част от оставащите кораби във флота, които отговарят на изискванията за регламентираните уреди.</w:t>
      </w:r>
    </w:p>
    <w:p>
      <w:pPr>
        <w:pStyle w:val="Point0"/>
        <w:rPr>
          <w:rFonts w:eastAsia="Calibri"/>
          <w:noProof/>
        </w:rPr>
      </w:pPr>
      <w:r>
        <w:rPr>
          <w:noProof/>
        </w:rPr>
        <w:t>7.7.</w:t>
      </w:r>
      <w:r>
        <w:rPr>
          <w:noProof/>
        </w:rPr>
        <w:tab/>
        <w:t>Когато Комисията разпределя допълнителни дни в морето поради окончателно преустановяване на риболовните дейности през предходния период на управление, определеният в таблица I максимален брой дни по държави членки и по уреди се коригира съответно за текущия период на управление.</w:t>
      </w:r>
    </w:p>
    <w:p>
      <w:pPr>
        <w:pStyle w:val="Point0"/>
        <w:rPr>
          <w:rFonts w:eastAsia="Calibri"/>
          <w:noProof/>
        </w:rPr>
      </w:pPr>
      <w:r>
        <w:rPr>
          <w:noProof/>
        </w:rPr>
        <w:t>8.</w:t>
      </w:r>
      <w:r>
        <w:rPr>
          <w:noProof/>
        </w:rPr>
        <w:tab/>
        <w:t>РАЗПРЕДЕЛЕНИЕ НА ДОПЪЛНИТЕЛНИ ДНИ ЗА ЗАСИЛЕНО ПРИСЪСТВИЕ НА НАУЧНИ НАБЛЮДАТЕЛИ</w:t>
      </w:r>
    </w:p>
    <w:p>
      <w:pPr>
        <w:pStyle w:val="Point0"/>
        <w:rPr>
          <w:rFonts w:eastAsia="Calibri"/>
          <w:noProof/>
        </w:rPr>
      </w:pPr>
      <w:r>
        <w:rPr>
          <w:noProof/>
        </w:rPr>
        <w:t>8.1.</w:t>
      </w:r>
      <w:r>
        <w:rPr>
          <w:noProof/>
        </w:rPr>
        <w:tab/>
        <w:t>Въз основа на програма за засилено присъствие на научни наблюдатели при партньорство между научните среди и риболовния отрасъл Комисията може да разпредели на дадена държава членка три допълнителни дни в периода между 1 февруари 2016 г. и 31 януари 2017 г. за разрешен престой в зоната на кораб, носещ на борда си някой от регламентираните уреди. Програмата акцентира по-специално върху равнищата на изхвърляне на улов и състава на улова, като надхвърля изискванията за събиране на данни, посочени в Регламент (ЕО) № 199/2008 и в правилата за неговото прилагане в националните програми.</w:t>
      </w:r>
    </w:p>
    <w:p>
      <w:pPr>
        <w:pStyle w:val="Point0"/>
        <w:rPr>
          <w:rFonts w:eastAsia="Calibri"/>
          <w:noProof/>
        </w:rPr>
      </w:pPr>
      <w:r>
        <w:rPr>
          <w:noProof/>
        </w:rPr>
        <w:t>8.2.</w:t>
      </w:r>
      <w:r>
        <w:rPr>
          <w:noProof/>
        </w:rPr>
        <w:tab/>
        <w:t>Научните наблюдатели са независими от собственика, капитана на риболовния кораб и който и да е член на екипажа.</w:t>
      </w:r>
    </w:p>
    <w:p>
      <w:pPr>
        <w:pStyle w:val="Point0"/>
        <w:rPr>
          <w:rFonts w:eastAsia="Calibri"/>
          <w:noProof/>
        </w:rPr>
      </w:pPr>
      <w:r>
        <w:rPr>
          <w:noProof/>
        </w:rPr>
        <w:t>8.3.</w:t>
      </w:r>
      <w:r>
        <w:rPr>
          <w:noProof/>
        </w:rPr>
        <w:tab/>
        <w:t>Всяка държава членка, желаеща да се възползва от разпределянето по точка 8.1, представя на Комисията за одобрение описание на своята програма за засилено присъствие на научни наблюдатели.</w:t>
      </w:r>
    </w:p>
    <w:p>
      <w:pPr>
        <w:pStyle w:val="Point0"/>
        <w:rPr>
          <w:rFonts w:eastAsia="Calibri"/>
          <w:noProof/>
        </w:rPr>
      </w:pPr>
      <w:r>
        <w:rPr>
          <w:noProof/>
        </w:rPr>
        <w:t>8.4.</w:t>
      </w:r>
      <w:r>
        <w:rPr>
          <w:noProof/>
        </w:rPr>
        <w:tab/>
        <w:t>Въз основа на това описание и след консултация с НТИКР Комисията може — посредством актове за изпълнение — да разпредели на съответната държава членка допълнителен брой дни към определените в точка 5 за тази държава членка и за съответните кораби, зона и риболовни уреди, обхванати от програмата за засилено присъствие на научни наблюдатели. Тези актове за изпълнение се приемат в съответствие с процедурата по разглеждане, посочена в член 42, параграф 2.</w:t>
      </w:r>
    </w:p>
    <w:p>
      <w:pPr>
        <w:pStyle w:val="Point0"/>
        <w:rPr>
          <w:rFonts w:eastAsia="Calibri"/>
          <w:noProof/>
        </w:rPr>
      </w:pPr>
      <w:r>
        <w:rPr>
          <w:noProof/>
        </w:rPr>
        <w:t>8.5.</w:t>
      </w:r>
      <w:r>
        <w:rPr>
          <w:noProof/>
        </w:rPr>
        <w:tab/>
        <w:t>Ако дадена програма за засилено присъствие на научни наблюдатели, представена от държава членка, е била одобрена от Комисията по-рано и тази държава членка желае да продължи прилагането ѝ без изменения, тя информира Комисията за продължаването на програмата четири седмици преди началото на периода, през който тя ще се прилага.</w:t>
      </w:r>
    </w:p>
    <w:p>
      <w:pPr>
        <w:pStyle w:val="ChapterTitle"/>
        <w:rPr>
          <w:rFonts w:eastAsia="Calibri"/>
          <w:noProof/>
        </w:rPr>
      </w:pPr>
      <w:r>
        <w:rPr>
          <w:noProof/>
        </w:rPr>
        <w:t>Глава IV</w:t>
      </w:r>
      <w:r>
        <w:rPr>
          <w:noProof/>
        </w:rPr>
        <w:br/>
        <w:t>Управление</w:t>
      </w:r>
    </w:p>
    <w:p>
      <w:pPr>
        <w:pStyle w:val="Point0"/>
        <w:rPr>
          <w:rFonts w:eastAsia="Calibri"/>
          <w:noProof/>
        </w:rPr>
      </w:pPr>
      <w:r>
        <w:rPr>
          <w:noProof/>
        </w:rPr>
        <w:t>9.</w:t>
      </w:r>
      <w:r>
        <w:rPr>
          <w:noProof/>
        </w:rPr>
        <w:tab/>
        <w:t>ОБЩИ ЗАДЪЛЖЕНИЯ</w:t>
      </w:r>
    </w:p>
    <w:p>
      <w:pPr>
        <w:pStyle w:val="Text1"/>
        <w:rPr>
          <w:rFonts w:eastAsia="Calibri"/>
          <w:noProof/>
        </w:rPr>
      </w:pPr>
      <w:r>
        <w:rPr>
          <w:noProof/>
        </w:rPr>
        <w:t>Държавите членки управляват максимално допустимото риболовно усилие в съответствие с членове 26—35 от Регламент (ЕО) № 1224/2009.</w:t>
      </w:r>
    </w:p>
    <w:p>
      <w:pPr>
        <w:pStyle w:val="Point0"/>
        <w:rPr>
          <w:rFonts w:eastAsia="Calibri"/>
          <w:noProof/>
        </w:rPr>
      </w:pPr>
      <w:r>
        <w:rPr>
          <w:noProof/>
        </w:rPr>
        <w:t>10.</w:t>
      </w:r>
      <w:r>
        <w:rPr>
          <w:noProof/>
        </w:rPr>
        <w:tab/>
        <w:t>ПЕРИОДИ НА УПРАВЛЕНИЕ</w:t>
      </w:r>
    </w:p>
    <w:p>
      <w:pPr>
        <w:pStyle w:val="Point0"/>
        <w:rPr>
          <w:rFonts w:eastAsia="Calibri"/>
          <w:noProof/>
        </w:rPr>
      </w:pPr>
      <w:r>
        <w:rPr>
          <w:noProof/>
        </w:rPr>
        <w:t>10.1.</w:t>
      </w:r>
      <w:r>
        <w:rPr>
          <w:noProof/>
        </w:rPr>
        <w:tab/>
        <w:t>Държавите членки могат да разделят определените в таблица I дни на престой в зоната на периоди на управление с продължителност един или повече календарни месеци.</w:t>
      </w:r>
    </w:p>
    <w:p>
      <w:pPr>
        <w:pStyle w:val="Point0"/>
        <w:rPr>
          <w:rFonts w:eastAsia="Calibri"/>
          <w:noProof/>
        </w:rPr>
      </w:pPr>
      <w:r>
        <w:rPr>
          <w:noProof/>
        </w:rPr>
        <w:t>10.2.</w:t>
      </w:r>
      <w:r>
        <w:rPr>
          <w:noProof/>
        </w:rPr>
        <w:tab/>
        <w:t>Броят дни или часове, през които даден кораб може да се намира в зоната по време на период на управление, се определя от съответната държава членка.</w:t>
      </w:r>
    </w:p>
    <w:p>
      <w:pPr>
        <w:pStyle w:val="Point0"/>
        <w:rPr>
          <w:rFonts w:eastAsia="Calibri"/>
          <w:noProof/>
        </w:rPr>
      </w:pPr>
      <w:r>
        <w:rPr>
          <w:noProof/>
        </w:rPr>
        <w:t>10.3.</w:t>
      </w:r>
      <w:r>
        <w:rPr>
          <w:noProof/>
        </w:rPr>
        <w:tab/>
        <w:t>Когато дадена държава членка разреши на плаващите под нейното знаме кораби почасов престой в зоната, тя продължава да измерва използваните дни, както е определено в точка 9. По искане на Комисията държавата членка представя предпазните мерки, които е взела с цел предотвратяване на прекомерното използване на дни в зоната поради напускането на зоната от даден кораб преди изтичането на 24-часов период.</w:t>
      </w:r>
    </w:p>
    <w:p>
      <w:pPr>
        <w:pStyle w:val="ChapterTitle"/>
        <w:rPr>
          <w:rFonts w:eastAsia="Calibri"/>
          <w:noProof/>
        </w:rPr>
      </w:pPr>
      <w:r>
        <w:rPr>
          <w:noProof/>
        </w:rPr>
        <w:t>Глава V</w:t>
      </w:r>
      <w:r>
        <w:rPr>
          <w:noProof/>
        </w:rPr>
        <w:br/>
        <w:t>Размяна на разпределените количества риболовно усилие</w:t>
      </w:r>
    </w:p>
    <w:p>
      <w:pPr>
        <w:pStyle w:val="Point0"/>
        <w:rPr>
          <w:rFonts w:eastAsia="Calibri"/>
          <w:noProof/>
        </w:rPr>
      </w:pPr>
      <w:r>
        <w:rPr>
          <w:noProof/>
        </w:rPr>
        <w:t>11.</w:t>
      </w:r>
      <w:r>
        <w:rPr>
          <w:noProof/>
        </w:rPr>
        <w:tab/>
        <w:t>ПРЕХВЪРЛЯНЕ НА ДНИ МЕЖДУ РИБОЛОВНИТЕ КОРАБИ, ПЛАВАЩИ ПОД ЗНАМЕТО НА ЕДНА И СЪЩА ДЪРЖАВА ЧЛЕНКА</w:t>
      </w:r>
    </w:p>
    <w:p>
      <w:pPr>
        <w:pStyle w:val="Point0"/>
        <w:rPr>
          <w:rFonts w:eastAsia="Calibri"/>
          <w:noProof/>
        </w:rPr>
      </w:pPr>
      <w:r>
        <w:rPr>
          <w:noProof/>
        </w:rPr>
        <w:t>11.1.</w:t>
      </w:r>
      <w:r>
        <w:rPr>
          <w:noProof/>
        </w:rPr>
        <w:tab/>
        <w:t>Дадена държава членка може да разреши на всеки риболовен кораб, плаващ под нейното знаме, да прехвърли дни на престой в зоната, за които има разрешение, на друг кораб, плаващ под нейното знаме в зоната, при условие че произведението от дните, получени от получаващия кораб, и мощността на двигателя му в киловати (киловатдни) е по-малка или равна на произведението от дните, прехвърлени от прехвърлящия кораб, и мощността на неговия двигател в киловати. Мощността на корабния двигател в киловати е вписаната за всеки кораб в регистъра на риболовния флот на Съюза.</w:t>
      </w:r>
    </w:p>
    <w:p>
      <w:pPr>
        <w:pStyle w:val="Point0"/>
        <w:rPr>
          <w:rFonts w:eastAsia="Calibri"/>
          <w:noProof/>
        </w:rPr>
      </w:pPr>
      <w:r>
        <w:rPr>
          <w:noProof/>
        </w:rPr>
        <w:t>11.2.</w:t>
      </w:r>
      <w:r>
        <w:rPr>
          <w:noProof/>
        </w:rPr>
        <w:tab/>
        <w:t>Общият брой дни на престой в зоната, прехвърлени в съответствие с точка 11.1, умножен по мощността на двигателя на прехвърлящия кораб в киловати, не може да надвишава записания в риболовния дневник средногодишен брой дни на прехвърлящия кораб в зоната през годините 2001, 2002, 2003, 2004 и 2005, умножен по мощността на двигателя в киловати на този кораб.</w:t>
      </w:r>
    </w:p>
    <w:p>
      <w:pPr>
        <w:pStyle w:val="Point0"/>
        <w:rPr>
          <w:rFonts w:eastAsia="Calibri"/>
          <w:noProof/>
        </w:rPr>
      </w:pPr>
      <w:r>
        <w:rPr>
          <w:noProof/>
        </w:rPr>
        <w:t>11.3.</w:t>
      </w:r>
      <w:r>
        <w:rPr>
          <w:noProof/>
        </w:rPr>
        <w:tab/>
        <w:t>Посоченото в точка 11.1 прехвърляне на дни се разрешава между кораби, които извършват дейност с регламентирани уреди и по време на един и същ период на управление.</w:t>
      </w:r>
    </w:p>
    <w:p>
      <w:pPr>
        <w:pStyle w:val="Point0"/>
        <w:rPr>
          <w:rFonts w:eastAsia="Calibri"/>
          <w:noProof/>
        </w:rPr>
      </w:pPr>
      <w:r>
        <w:rPr>
          <w:noProof/>
        </w:rPr>
        <w:t>11.4.</w:t>
      </w:r>
      <w:r>
        <w:rPr>
          <w:noProof/>
        </w:rPr>
        <w:tab/>
        <w:t>По искане на Комисията държавите членки предоставят информация относно извършените прехвърляния. Форматите на таблицата за събиране и предаване на посочената в настоящата точка информация могат да бъдат определени от Комисията посредством актове за изпълнение. Тези актове за изпълнение се приемат в съответствие с процедурата по разглеждане, посочена в член 42, параграф 2.</w:t>
      </w:r>
    </w:p>
    <w:p>
      <w:pPr>
        <w:pStyle w:val="Point0"/>
        <w:rPr>
          <w:rFonts w:eastAsia="Calibri"/>
          <w:noProof/>
        </w:rPr>
      </w:pPr>
      <w:r>
        <w:rPr>
          <w:noProof/>
        </w:rPr>
        <w:t>12.</w:t>
      </w:r>
      <w:r>
        <w:rPr>
          <w:noProof/>
        </w:rPr>
        <w:tab/>
        <w:t>ПРЕХВЪРЛЯНЕ НА ДНИ МЕЖДУ РИБОЛОВНИТЕ КОРАБИ, ПЛАВАЩИ ПОД ЗНАМЕТО НА РАЗЛИЧНИ ДЪРЖАВИ ЧЛЕНКИ</w:t>
      </w:r>
    </w:p>
    <w:p>
      <w:pPr>
        <w:pStyle w:val="Text1"/>
        <w:rPr>
          <w:rFonts w:eastAsia="Calibri"/>
          <w:noProof/>
        </w:rPr>
      </w:pPr>
      <w:r>
        <w:rPr>
          <w:noProof/>
        </w:rPr>
        <w:t xml:space="preserve">Държавите членки могат да разрешават прехвърлянето на дни на престой в зоната за един и същ период на управление и в рамките на зоната между риболовните кораби, плаващи под тяхното знаме, при условие че се прилагат </w:t>
      </w:r>
      <w:r>
        <w:rPr>
          <w:i/>
          <w:noProof/>
        </w:rPr>
        <w:t>mutatis mutandis</w:t>
      </w:r>
      <w:r>
        <w:rPr>
          <w:noProof/>
        </w:rPr>
        <w:t xml:space="preserve"> точки 4.2, 4.4, 5, 6 и 10. Когато държавите членки вземат решение да разрешат такова прехвърляне, преди неговото извършване те изпращат на Комисията подробни данни за прехвърлянето, включително за броя на дните, които ще се прехвърлят, за риболовното усилие и — когато е приложимо — за свързаните с него риболовни квоти.</w:t>
      </w:r>
    </w:p>
    <w:p>
      <w:pPr>
        <w:pStyle w:val="ChapterTitle"/>
        <w:rPr>
          <w:rFonts w:eastAsia="Calibri"/>
          <w:noProof/>
        </w:rPr>
      </w:pPr>
      <w:r>
        <w:rPr>
          <w:noProof/>
        </w:rPr>
        <w:t>Глава VI</w:t>
      </w:r>
      <w:r>
        <w:rPr>
          <w:noProof/>
        </w:rPr>
        <w:br/>
        <w:t>Задължения за докладване</w:t>
      </w:r>
    </w:p>
    <w:p>
      <w:pPr>
        <w:pStyle w:val="Point0"/>
        <w:rPr>
          <w:rFonts w:eastAsia="Calibri"/>
          <w:noProof/>
        </w:rPr>
      </w:pPr>
      <w:r>
        <w:rPr>
          <w:noProof/>
        </w:rPr>
        <w:t>13.</w:t>
      </w:r>
      <w:r>
        <w:rPr>
          <w:noProof/>
        </w:rPr>
        <w:tab/>
        <w:t>ДОКЛАД ЗА РИБОЛОВНОТО УСИЛИЕ</w:t>
      </w:r>
    </w:p>
    <w:p>
      <w:pPr>
        <w:pStyle w:val="Text1"/>
        <w:rPr>
          <w:rFonts w:eastAsia="Calibri"/>
          <w:noProof/>
        </w:rPr>
      </w:pPr>
      <w:r>
        <w:rPr>
          <w:noProof/>
        </w:rPr>
        <w:t>По отношение на корабите, които попадат в обхвата на настоящото приложение, се прилага член 28 от Регламент (ЕО) № 1224/2009. Географската зона, посочена в този член, се разбира като зоната, определена в точка 2 от настоящото приложение.</w:t>
      </w:r>
    </w:p>
    <w:p>
      <w:pPr>
        <w:pStyle w:val="Point0"/>
        <w:rPr>
          <w:rFonts w:eastAsia="Calibri"/>
          <w:noProof/>
        </w:rPr>
      </w:pPr>
      <w:r>
        <w:rPr>
          <w:noProof/>
        </w:rPr>
        <w:t>14.</w:t>
      </w:r>
      <w:r>
        <w:rPr>
          <w:noProof/>
        </w:rPr>
        <w:tab/>
        <w:t>СЪБИРАНЕ НА НЕОБХОДИМИТЕ ДАННИ</w:t>
      </w:r>
    </w:p>
    <w:p>
      <w:pPr>
        <w:pStyle w:val="Text1"/>
        <w:rPr>
          <w:rFonts w:eastAsia="Calibri"/>
          <w:noProof/>
        </w:rPr>
      </w:pPr>
      <w:r>
        <w:rPr>
          <w:noProof/>
        </w:rPr>
        <w:t>Въз основа на информацията, използвана за управление на риболовните дни на престой в зоната съгласно настоящото приложение, държавите членки събират информация по тримесечия относно общото риболовно усилие, използвано в зоната за теглени и статични риболовни уреди, усилието, използвано от кораби, които извършват риболов с различни видове уреди в зоната, и мощността на двигателите на тези кораби в киловатдни.</w:t>
      </w:r>
    </w:p>
    <w:p>
      <w:pPr>
        <w:pStyle w:val="Point0"/>
        <w:rPr>
          <w:rFonts w:eastAsia="Calibri"/>
          <w:noProof/>
        </w:rPr>
      </w:pPr>
      <w:r>
        <w:rPr>
          <w:noProof/>
        </w:rPr>
        <w:t>15.</w:t>
      </w:r>
      <w:r>
        <w:rPr>
          <w:noProof/>
        </w:rPr>
        <w:tab/>
        <w:t>СЪОБЩАВАНЕ НА НЕОБХОДИМИТЕ ДАННИ</w:t>
      </w:r>
    </w:p>
    <w:p>
      <w:pPr>
        <w:pStyle w:val="Text1"/>
        <w:rPr>
          <w:rFonts w:eastAsia="Calibri"/>
          <w:noProof/>
        </w:rPr>
      </w:pPr>
      <w:r>
        <w:rPr>
          <w:noProof/>
        </w:rPr>
        <w:t>По искане на Комисията държавите членки ѝ предоставят таблица с посочените в точка 14 данни във формата, определен в таблици II и III, като я изпращат по електронна поща на съответния адрес, предоставен им от Комисията. По искане на Комисията държавите членки ѝ изпращат подробна информация относно разпределеното и използваното усилие през целите или през части от периодите на управление 2014 г. и 2015 г., като използват формата за данни, определен в таблици IV и V.</w:t>
      </w:r>
    </w:p>
    <w:p>
      <w:pPr>
        <w:pStyle w:val="NormalCentered"/>
        <w:rPr>
          <w:rFonts w:eastAsia="Calibri"/>
          <w:noProof/>
        </w:rPr>
        <w:sectPr>
          <w:headerReference w:type="default" r:id="rId21"/>
          <w:footerReference w:type="default" r:id="rId22"/>
          <w:headerReference w:type="first" r:id="rId23"/>
          <w:footerReference w:type="first" r:id="rId24"/>
          <w:footnotePr>
            <w:numRestart w:val="eachPage"/>
          </w:footnotePr>
          <w:pgSz w:w="11906" w:h="16838"/>
          <w:pgMar w:top="1134" w:right="1134" w:bottom="1134" w:left="1134" w:header="567" w:footer="567" w:gutter="0"/>
          <w:cols w:space="720"/>
          <w:docGrid w:linePitch="326"/>
        </w:sectPr>
      </w:pPr>
    </w:p>
    <w:p>
      <w:pPr>
        <w:pStyle w:val="NormalCentered"/>
        <w:rPr>
          <w:rFonts w:eastAsia="Calibri"/>
          <w:noProof/>
        </w:rPr>
      </w:pPr>
      <w:r>
        <w:rPr>
          <w:noProof/>
        </w:rPr>
        <w:t>Таблица II</w:t>
      </w:r>
      <w:r>
        <w:rPr>
          <w:noProof/>
        </w:rPr>
        <w:br/>
        <w:t>Формат на докладите за информация относно киловатдните, по периоди на управление</w:t>
      </w:r>
    </w:p>
    <w:tbl>
      <w:tblPr>
        <w:tblW w:w="5000" w:type="pct"/>
        <w:tblLook w:val="0000" w:firstRow="0" w:lastRow="0" w:firstColumn="0" w:lastColumn="0" w:noHBand="0" w:noVBand="0"/>
      </w:tblPr>
      <w:tblGrid>
        <w:gridCol w:w="3696"/>
        <w:gridCol w:w="3696"/>
        <w:gridCol w:w="3697"/>
        <w:gridCol w:w="3697"/>
      </w:tblGrid>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Държава членка</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Уред</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Период на управление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Декларация за кумулативното усилие</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(4)</w:t>
            </w:r>
          </w:p>
        </w:tc>
      </w:tr>
    </w:tbl>
    <w:p>
      <w:pPr>
        <w:rPr>
          <w:rFonts w:eastAsia="Calibri"/>
          <w:noProof/>
        </w:rPr>
      </w:pPr>
    </w:p>
    <w:p>
      <w:pPr>
        <w:pStyle w:val="NormalCentered"/>
        <w:rPr>
          <w:rFonts w:eastAsia="Calibri"/>
          <w:noProof/>
        </w:rPr>
      </w:pPr>
      <w:r>
        <w:rPr>
          <w:noProof/>
        </w:rPr>
        <w:br w:type="page"/>
        <w:t>Таблица III</w:t>
      </w:r>
      <w:r>
        <w:rPr>
          <w:noProof/>
        </w:rPr>
        <w:br/>
        <w:t>Формат на данните, представящи информация относно киловатдните, по периоди на управление</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Име на полето</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Максимален брой букви/цифри</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Подравняване</w:t>
            </w:r>
            <w:r>
              <w:rPr>
                <w:b/>
                <w:noProof/>
                <w:vertAlign w:val="superscript"/>
              </w:rPr>
              <w:t>(1)</w:t>
            </w:r>
          </w:p>
          <w:p>
            <w:pPr>
              <w:spacing w:before="60" w:after="60"/>
              <w:jc w:val="center"/>
              <w:rPr>
                <w:rFonts w:eastAsia="Calibri"/>
                <w:noProof/>
              </w:rPr>
            </w:pPr>
            <w:r>
              <w:rPr>
                <w:noProof/>
              </w:rPr>
              <w:t>Л(яво)/Д(ясно)</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Определения и коментари</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Държава членка</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Държава членка (3-буквен ISO код), в която е регистриран корабът</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Уред</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Един от следните видове уреди:</w:t>
            </w:r>
          </w:p>
          <w:p>
            <w:pPr>
              <w:spacing w:before="60" w:after="60"/>
              <w:rPr>
                <w:rFonts w:eastAsia="Calibri"/>
                <w:noProof/>
              </w:rPr>
            </w:pPr>
            <w:r>
              <w:rPr>
                <w:noProof/>
              </w:rPr>
              <w:t>BT = бим тралове ≥ 80 mm</w:t>
            </w:r>
          </w:p>
          <w:p>
            <w:pPr>
              <w:spacing w:before="60" w:after="60"/>
              <w:rPr>
                <w:rFonts w:eastAsia="Calibri"/>
                <w:noProof/>
              </w:rPr>
            </w:pPr>
            <w:r>
              <w:rPr>
                <w:noProof/>
              </w:rPr>
              <w:t>GN = хрилни мрежи &lt; 220 mm</w:t>
            </w:r>
          </w:p>
          <w:p>
            <w:pPr>
              <w:spacing w:before="60" w:after="60"/>
              <w:rPr>
                <w:rFonts w:eastAsia="Calibri"/>
                <w:noProof/>
              </w:rPr>
            </w:pPr>
            <w:r>
              <w:rPr>
                <w:noProof/>
              </w:rPr>
              <w:t>TN = тройна мрежа или заплитаща мрежа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Период на управление</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4</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Една година в периода от периода на управление 2006 г. до текущия период на управление</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Декларация за кумулативното усилие</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Д</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Изразено в киловатдни кумулативно количество на риболовното усилие, използвано от 1 февруари до 31 януари на съответния период на управление.</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Информация, която е от значение за предаването на данни чрез формат с фиксирана дължина.</w:t>
            </w:r>
          </w:p>
        </w:tc>
      </w:tr>
    </w:tbl>
    <w:p>
      <w:pPr>
        <w:rPr>
          <w:rFonts w:eastAsia="Calibri"/>
          <w:noProof/>
        </w:rPr>
      </w:pPr>
    </w:p>
    <w:p>
      <w:pPr>
        <w:pStyle w:val="NormalCentered"/>
        <w:rPr>
          <w:rFonts w:eastAsia="Calibri"/>
          <w:noProof/>
        </w:rPr>
      </w:pPr>
      <w:r>
        <w:rPr>
          <w:noProof/>
        </w:rPr>
        <w:br w:type="page"/>
        <w:t>Таблица IV</w:t>
      </w:r>
      <w:r>
        <w:rPr>
          <w:noProof/>
        </w:rPr>
        <w:br/>
        <w:t>Формат за докладване на информация във връзка с корабите</w:t>
      </w:r>
    </w:p>
    <w:tbl>
      <w:tblPr>
        <w:tblW w:w="5000" w:type="pct"/>
        <w:tblLook w:val="0000" w:firstRow="0" w:lastRow="0" w:firstColumn="0" w:lastColumn="0" w:noHBand="0" w:noVBand="0"/>
      </w:tblPr>
      <w:tblGrid>
        <w:gridCol w:w="1111"/>
        <w:gridCol w:w="827"/>
        <w:gridCol w:w="1216"/>
        <w:gridCol w:w="1770"/>
        <w:gridCol w:w="614"/>
        <w:gridCol w:w="703"/>
        <w:gridCol w:w="703"/>
        <w:gridCol w:w="703"/>
        <w:gridCol w:w="703"/>
        <w:gridCol w:w="703"/>
        <w:gridCol w:w="703"/>
        <w:gridCol w:w="703"/>
        <w:gridCol w:w="615"/>
        <w:gridCol w:w="704"/>
        <w:gridCol w:w="704"/>
        <w:gridCol w:w="707"/>
        <w:gridCol w:w="1597"/>
      </w:tblGrid>
      <w:tr>
        <w:trPr>
          <w:trHeight w:val="20"/>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Държава членка</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CFR</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Външна маркировка</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Продължителност на периода на управление</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Декларирани уреди</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Допустими дни за използване на декларирания(ите) уред(и)</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Дни, прекарани с декларирания(ите) уред(и)</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Прехвърляне на дни</w:t>
            </w:r>
          </w:p>
        </w:tc>
      </w:tr>
      <w:tr>
        <w:trPr>
          <w:trHeight w:val="20"/>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(8)</w:t>
            </w:r>
          </w:p>
        </w:tc>
      </w:tr>
    </w:tbl>
    <w:p>
      <w:pPr>
        <w:rPr>
          <w:rFonts w:eastAsia="Calibri"/>
          <w:noProof/>
        </w:rPr>
      </w:pPr>
    </w:p>
    <w:p>
      <w:pPr>
        <w:pStyle w:val="NormalCentered"/>
        <w:rPr>
          <w:rFonts w:eastAsia="Calibri"/>
          <w:noProof/>
        </w:rPr>
      </w:pPr>
      <w:r>
        <w:rPr>
          <w:noProof/>
        </w:rPr>
        <w:br w:type="page"/>
        <w:t>Таблица V</w:t>
      </w:r>
      <w:r>
        <w:rPr>
          <w:noProof/>
        </w:rPr>
        <w:br/>
        <w:t>Формат на данните, представящи информация във връзка с корабите</w:t>
      </w:r>
    </w:p>
    <w:tbl>
      <w:tblPr>
        <w:tblW w:w="5000" w:type="pct"/>
        <w:tblLook w:val="0000" w:firstRow="0" w:lastRow="0" w:firstColumn="0" w:lastColumn="0" w:noHBand="0" w:noVBand="0"/>
      </w:tblPr>
      <w:tblGrid>
        <w:gridCol w:w="3084"/>
        <w:gridCol w:w="2552"/>
        <w:gridCol w:w="2552"/>
        <w:gridCol w:w="6598"/>
      </w:tblGrid>
      <w:tr>
        <w:tc>
          <w:tcPr>
            <w:tcW w:w="104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Име на полето</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Максимален брой букви/цифри</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Подравняване</w:t>
            </w:r>
            <w:r>
              <w:rPr>
                <w:b/>
                <w:noProof/>
                <w:vertAlign w:val="superscript"/>
              </w:rPr>
              <w:t>(1)</w:t>
            </w:r>
          </w:p>
          <w:p>
            <w:pPr>
              <w:spacing w:before="60" w:after="60"/>
              <w:jc w:val="center"/>
              <w:rPr>
                <w:rFonts w:eastAsia="Calibri"/>
                <w:noProof/>
              </w:rPr>
            </w:pPr>
            <w:r>
              <w:rPr>
                <w:noProof/>
              </w:rPr>
              <w:t>Л(яво)/Д(ясно)</w:t>
            </w:r>
          </w:p>
        </w:tc>
        <w:tc>
          <w:tcPr>
            <w:tcW w:w="223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Определения и коментари</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Държава членка</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 xml:space="preserve">Държава членка (3-буквен ISO код), в която е регистриран корабът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CFR</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Номер в регистъра на риболовния флот на Съюза (CFR)</w:t>
            </w:r>
          </w:p>
          <w:p>
            <w:pPr>
              <w:spacing w:before="60" w:after="60"/>
              <w:rPr>
                <w:rFonts w:eastAsia="Calibri"/>
                <w:noProof/>
              </w:rPr>
            </w:pPr>
            <w:r>
              <w:rPr>
                <w:noProof/>
              </w:rPr>
              <w:t>Уникален идентификационен номер на риболовния кораб</w:t>
            </w:r>
          </w:p>
          <w:p>
            <w:pPr>
              <w:spacing w:before="60" w:after="60"/>
              <w:rPr>
                <w:rFonts w:eastAsia="Calibri"/>
                <w:noProof/>
              </w:rPr>
            </w:pPr>
            <w:r>
              <w:rPr>
                <w:noProof/>
              </w:rPr>
              <w:t xml:space="preserve">Държава членка (3-буквен ISO код), следвана от идентификационна серия (9 знака). Когато серията има по-малко от 9 знака, от лявата страна се добавят допълнителни нули.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Външна маркировка</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Л</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Съгласно Регламент (ЕИО) № 1381/87</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Продължителност на периода на управление</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Л</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Продължителност на периода на управление в месеци</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(5)</w:t>
            </w:r>
            <w:r>
              <w:rPr>
                <w:noProof/>
              </w:rPr>
              <w:tab/>
              <w:t>Декларирани уреди</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Л</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Един от следните видове уреди:</w:t>
            </w:r>
          </w:p>
          <w:p>
            <w:pPr>
              <w:spacing w:before="60" w:after="60"/>
              <w:rPr>
                <w:rFonts w:eastAsia="Calibri"/>
                <w:noProof/>
              </w:rPr>
            </w:pPr>
            <w:r>
              <w:rPr>
                <w:noProof/>
              </w:rPr>
              <w:t>BT = бим тралове ≥ 80 mm</w:t>
            </w:r>
          </w:p>
          <w:p>
            <w:pPr>
              <w:spacing w:before="60" w:after="60"/>
              <w:rPr>
                <w:rFonts w:eastAsia="Calibri"/>
                <w:noProof/>
              </w:rPr>
            </w:pPr>
            <w:r>
              <w:rPr>
                <w:noProof/>
              </w:rPr>
              <w:t>GN = хрилни мрежи &lt; 220 mm</w:t>
            </w:r>
          </w:p>
          <w:p>
            <w:pPr>
              <w:spacing w:before="60" w:after="60"/>
              <w:rPr>
                <w:rFonts w:eastAsia="Calibri"/>
                <w:noProof/>
              </w:rPr>
            </w:pPr>
            <w:r>
              <w:rPr>
                <w:noProof/>
              </w:rPr>
              <w:t>TN = тройна мрежа или заплитаща мрежа &lt; 220 mm</w:t>
            </w:r>
          </w:p>
        </w:tc>
      </w:tr>
      <w:tr>
        <w:tc>
          <w:tcPr>
            <w:tcW w:w="1043" w:type="pct"/>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noProof/>
              </w:rPr>
              <w:t>(6)</w:t>
            </w:r>
            <w:r>
              <w:rPr>
                <w:noProof/>
              </w:rPr>
              <w:tab/>
              <w:t>Специално условие, прилагано към декларирания(ите) уред(и)</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Л</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Брой дни, които корабът може да получи съгласно приложение IIВ за избраните уреди и за декларираната продължителност на периода на управление</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(7)</w:t>
            </w:r>
            <w:r>
              <w:rPr>
                <w:noProof/>
              </w:rPr>
              <w:tab/>
              <w:t>Дни, прекарани с декларирания(ите) уред(и)</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Л</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Брой дни, през които корабът действително се е намирал в зоната и е използвал уред, съответстващ на декларирания уред през декларирания период на управление</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(8)</w:t>
            </w:r>
            <w:r>
              <w:rPr>
                <w:noProof/>
              </w:rPr>
              <w:tab/>
              <w:t>Прехвърляне на дни</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Л</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За прехвърлените дни да се посочи „– брой прехвърлени дни“, а за получените дни да се посочи „+ брой прехвърлени дни“.</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Информация, която е от значение за предаването на данни чрез формат с фиксирана дължина.</w:t>
            </w:r>
          </w:p>
        </w:tc>
      </w:tr>
    </w:tbl>
    <w:p>
      <w:pPr>
        <w:pStyle w:val="LignefinalLandscape"/>
        <w:rPr>
          <w:rFonts w:eastAsia="Calibri"/>
          <w:noProof/>
        </w:rPr>
      </w:pPr>
    </w:p>
    <w:p>
      <w:pPr>
        <w:rPr>
          <w:rFonts w:eastAsia="Calibri"/>
          <w:noProof/>
        </w:rPr>
        <w:sectPr>
          <w:headerReference w:type="default" r:id="rId25"/>
          <w:footerReference w:type="default" r:id="rId26"/>
          <w:headerReference w:type="first" r:id="rId27"/>
          <w:footerReference w:type="first" r:id="rId28"/>
          <w:footnotePr>
            <w:numRestart w:val="eachPage"/>
          </w:footnotePr>
          <w:pgSz w:w="16838" w:h="11906" w:orient="landscape"/>
          <w:pgMar w:top="1134" w:right="1134" w:bottom="1134" w:left="1134" w:header="709" w:footer="709" w:gutter="0"/>
          <w:cols w:space="720"/>
          <w:docGrid w:linePitch="360"/>
        </w:sectPr>
      </w:pPr>
    </w:p>
    <w:p>
      <w:pPr>
        <w:pStyle w:val="Annexetitre"/>
        <w:rPr>
          <w:rFonts w:eastAsia="Calibri"/>
          <w:noProof/>
        </w:rPr>
      </w:pPr>
      <w:r>
        <w:rPr>
          <w:noProof/>
        </w:rPr>
        <w:t>ПРИЛОЖЕНИЕ IIГ</w:t>
      </w:r>
    </w:p>
    <w:p>
      <w:pPr>
        <w:pStyle w:val="NormalCentered"/>
        <w:rPr>
          <w:rFonts w:eastAsia="Calibri"/>
          <w:noProof/>
        </w:rPr>
      </w:pPr>
      <w:r>
        <w:rPr>
          <w:noProof/>
        </w:rPr>
        <w:t>ЗОНИ НА УПРАВЛЕНИЕ ЗА ПЯСЪЧНИЦА</w:t>
      </w:r>
      <w:r>
        <w:rPr>
          <w:noProof/>
        </w:rPr>
        <w:br/>
        <w:t>В УЧАСТЪЦИ IIa И IIIa НА ICES И ПОДЗОНА IV НА ICES</w:t>
      </w:r>
    </w:p>
    <w:p>
      <w:pPr>
        <w:rPr>
          <w:rFonts w:eastAsia="Calibri"/>
          <w:noProof/>
        </w:rPr>
      </w:pPr>
      <w:r>
        <w:rPr>
          <w:noProof/>
        </w:rPr>
        <w:t>За целите на управлението на определените в приложение IA възможности за риболов на пясъчница в участъци IIa и IIIa на ICES и подзона IV на ICES, зоните на управление, в които се прилагат специфични ограничения на улова, се установяват по-долу и в допълнението към настоящото приложение:</w:t>
      </w:r>
    </w:p>
    <w:tbl>
      <w:tblPr>
        <w:tblW w:w="5000" w:type="pct"/>
        <w:tblLook w:val="0000" w:firstRow="0" w:lastRow="0" w:firstColumn="0" w:lastColumn="0" w:noHBand="0" w:noVBand="0"/>
      </w:tblPr>
      <w:tblGrid>
        <w:gridCol w:w="2802"/>
        <w:gridCol w:w="7052"/>
      </w:tblGrid>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ЗОНА НА УПРАВЛЕНИЕ ЗА ЗАПАСИТЕ ОТ ПЯСЪЧНИЦА</w:t>
            </w:r>
          </w:p>
        </w:tc>
        <w:tc>
          <w:tcPr>
            <w:tcW w:w="3578"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Статистически квадранти на ICES</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31-34 E9-F2; 35 E9- F3; 36 E9-F4; 37 E9-F5; 38-40 F0-F5; 41 F5-F6</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31-34 F3-F4; 35 F4-F6; 36 F5-F8; 37-40 F6-F8; 41 F7-F8</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41 F1-F4; 42-43 F1-F9; 44 F1-G0; 45-46 F1-G1; 47 G0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4</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38-40 E7-E9; 41-46 E6-F0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5</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47-51 E6 + F0-F5; 52 E6-F5</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6</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41-43 G0-G3; 44 G1</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7</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47-51 E7-E9</w:t>
            </w:r>
          </w:p>
        </w:tc>
      </w:tr>
    </w:tbl>
    <w:p>
      <w:pPr>
        <w:rPr>
          <w:rFonts w:eastAsia="Calibri"/>
          <w:noProof/>
        </w:rPr>
      </w:pPr>
    </w:p>
    <w:p>
      <w:pPr>
        <w:rPr>
          <w:rFonts w:eastAsia="Calibri"/>
          <w:noProof/>
        </w:rPr>
        <w:sectPr>
          <w:headerReference w:type="default" r:id="rId29"/>
          <w:footerReference w:type="default" r:id="rId30"/>
          <w:headerReference w:type="first" r:id="rId31"/>
          <w:footerReference w:type="first" r:id="rId32"/>
          <w:footnotePr>
            <w:numRestart w:val="eachPage"/>
          </w:footnotePr>
          <w:pgSz w:w="11906" w:h="16838"/>
          <w:pgMar w:top="1134" w:right="1134" w:bottom="1134" w:left="1134" w:header="567" w:footer="567" w:gutter="0"/>
          <w:cols w:space="720"/>
          <w:docGrid w:linePitch="326"/>
        </w:sectPr>
      </w:pPr>
    </w:p>
    <w:p>
      <w:pPr>
        <w:pStyle w:val="NormalRight"/>
        <w:rPr>
          <w:rFonts w:eastAsia="Calibri"/>
          <w:b/>
          <w:bCs/>
          <w:noProof/>
          <w:u w:val="single"/>
        </w:rPr>
      </w:pPr>
      <w:r>
        <w:rPr>
          <w:b/>
          <w:noProof/>
          <w:u w:val="single"/>
        </w:rPr>
        <w:t>Допълнение 1 към приложение IIГ</w:t>
      </w:r>
    </w:p>
    <w:p>
      <w:pPr>
        <w:pStyle w:val="NormalCentered"/>
        <w:rPr>
          <w:rFonts w:eastAsia="Calibri"/>
          <w:noProof/>
        </w:rPr>
      </w:pPr>
      <w:r>
        <w:rPr>
          <w:noProof/>
        </w:rPr>
        <w:t>ЗОНИ НА УПРАВЛЕНИЕ ЗА ЗАПАСИТЕ ОТ ПЯСЪЧНИЦА</w:t>
      </w:r>
    </w:p>
    <w:p>
      <w:pPr>
        <w:rPr>
          <w:rFonts w:eastAsia="Calibri"/>
          <w:noProof/>
        </w:rPr>
      </w:pPr>
      <w:r>
        <w:rPr>
          <w:rFonts w:eastAsia="Calibri"/>
          <w:noProof/>
          <w:lang w:val="en-US" w:eastAsia="en-US" w:bidi="ar-SA"/>
        </w:rPr>
        <w:drawing>
          <wp:inline distT="0" distB="0" distL="0" distR="0">
            <wp:extent cx="5796280" cy="644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b="6158"/>
                    <a:stretch>
                      <a:fillRect/>
                    </a:stretch>
                  </pic:blipFill>
                  <pic:spPr bwMode="auto">
                    <a:xfrm>
                      <a:off x="0" y="0"/>
                      <a:ext cx="5796280" cy="6448425"/>
                    </a:xfrm>
                    <a:prstGeom prst="rect">
                      <a:avLst/>
                    </a:prstGeom>
                    <a:solidFill>
                      <a:srgbClr val="FFFFFF">
                        <a:alpha val="0"/>
                      </a:srgbClr>
                    </a:solidFill>
                    <a:ln>
                      <a:noFill/>
                    </a:ln>
                  </pic:spPr>
                </pic:pic>
              </a:graphicData>
            </a:graphic>
          </wp:inline>
        </w:drawing>
      </w:r>
    </w:p>
    <w:p>
      <w:pPr>
        <w:pStyle w:val="Lignefinal"/>
        <w:rPr>
          <w:noProof/>
        </w:rPr>
      </w:pPr>
    </w:p>
    <w:p>
      <w:pPr>
        <w:rPr>
          <w:rFonts w:eastAsia="Calibri"/>
          <w:noProof/>
        </w:rPr>
        <w:sectPr>
          <w:footnotePr>
            <w:numRestart w:val="eachPage"/>
          </w:footnotePr>
          <w:pgSz w:w="11906" w:h="16838"/>
          <w:pgMar w:top="1134" w:right="1134" w:bottom="1134" w:left="1134" w:header="567" w:footer="567" w:gutter="0"/>
          <w:cols w:space="720"/>
          <w:docGrid w:linePitch="326"/>
        </w:sectPr>
      </w:pPr>
    </w:p>
    <w:p>
      <w:pPr>
        <w:pStyle w:val="Annexetitre"/>
        <w:rPr>
          <w:rFonts w:eastAsia="Calibri"/>
          <w:noProof/>
        </w:rPr>
      </w:pPr>
      <w:r>
        <w:rPr>
          <w:noProof/>
        </w:rPr>
        <w:t>ПРИЛОЖЕНИЕ III</w:t>
      </w:r>
    </w:p>
    <w:p>
      <w:pPr>
        <w:pStyle w:val="NormalCentered"/>
        <w:rPr>
          <w:rFonts w:eastAsia="Calibri"/>
          <w:noProof/>
        </w:rPr>
      </w:pPr>
      <w:r>
        <w:rPr>
          <w:noProof/>
        </w:rPr>
        <w:t>МАКСИМАЛЕН БРОЙ РАЗРЕШЕНИЯ ЗА РИБОЛОВ</w:t>
      </w:r>
      <w:r>
        <w:rPr>
          <w:noProof/>
        </w:rPr>
        <w:br/>
        <w:t>ЗА КОРАБИТЕ НА СЪЮЗА, ИЗВЪРШВАЩИ РИБОЛОВ ВЪВ ВОДИТЕ НА ТРЕТИ ДЪРЖАВИ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3401"/>
        <w:gridCol w:w="2032"/>
        <w:gridCol w:w="1940"/>
        <w:gridCol w:w="2265"/>
        <w:gridCol w:w="2345"/>
      </w:tblGrid>
      <w:tr>
        <w:trPr>
          <w:trHeight w:val="20"/>
          <w:tblHeader/>
        </w:trPr>
        <w:tc>
          <w:tcPr>
            <w:tcW w:w="948" w:type="pct"/>
            <w:tcBorders>
              <w:bottom w:val="single" w:sz="4" w:space="0" w:color="auto"/>
            </w:tcBorders>
            <w:shd w:val="clear" w:color="auto" w:fill="auto"/>
            <w:vAlign w:val="center"/>
          </w:tcPr>
          <w:p>
            <w:pPr>
              <w:spacing w:before="60" w:after="60"/>
              <w:jc w:val="center"/>
              <w:rPr>
                <w:noProof/>
              </w:rPr>
            </w:pPr>
            <w:r>
              <w:rPr>
                <w:noProof/>
              </w:rPr>
              <w:t>Риболовна зона</w:t>
            </w:r>
          </w:p>
        </w:tc>
        <w:tc>
          <w:tcPr>
            <w:tcW w:w="1150" w:type="pct"/>
            <w:shd w:val="clear" w:color="auto" w:fill="auto"/>
            <w:vAlign w:val="center"/>
          </w:tcPr>
          <w:p>
            <w:pPr>
              <w:spacing w:before="60" w:after="60"/>
              <w:jc w:val="center"/>
              <w:rPr>
                <w:noProof/>
              </w:rPr>
            </w:pPr>
            <w:r>
              <w:rPr>
                <w:noProof/>
              </w:rPr>
              <w:t>Риболов</w:t>
            </w:r>
          </w:p>
        </w:tc>
        <w:tc>
          <w:tcPr>
            <w:tcW w:w="687" w:type="pct"/>
            <w:shd w:val="clear" w:color="auto" w:fill="auto"/>
            <w:vAlign w:val="center"/>
          </w:tcPr>
          <w:p>
            <w:pPr>
              <w:spacing w:before="60" w:after="60"/>
              <w:jc w:val="center"/>
              <w:rPr>
                <w:noProof/>
              </w:rPr>
            </w:pPr>
            <w:r>
              <w:rPr>
                <w:noProof/>
              </w:rPr>
              <w:t>БРОЙ РАЗРЕШЕНИЯ ЗА РИБОЛОВ</w:t>
            </w:r>
          </w:p>
        </w:tc>
        <w:tc>
          <w:tcPr>
            <w:tcW w:w="1422" w:type="pct"/>
            <w:gridSpan w:val="2"/>
            <w:shd w:val="clear" w:color="auto" w:fill="auto"/>
            <w:vAlign w:val="center"/>
          </w:tcPr>
          <w:p>
            <w:pPr>
              <w:spacing w:before="60" w:after="60"/>
              <w:jc w:val="center"/>
              <w:rPr>
                <w:noProof/>
              </w:rPr>
            </w:pPr>
            <w:r>
              <w:rPr>
                <w:noProof/>
              </w:rPr>
              <w:t>Разпределение на разрешенията за риболов между държавите членки</w:t>
            </w:r>
          </w:p>
        </w:tc>
        <w:tc>
          <w:tcPr>
            <w:tcW w:w="793" w:type="pct"/>
            <w:shd w:val="clear" w:color="auto" w:fill="auto"/>
            <w:vAlign w:val="center"/>
          </w:tcPr>
          <w:p>
            <w:pPr>
              <w:spacing w:before="60" w:after="60"/>
              <w:jc w:val="center"/>
              <w:rPr>
                <w:noProof/>
              </w:rPr>
            </w:pPr>
            <w:r>
              <w:rPr>
                <w:noProof/>
              </w:rPr>
              <w:t>Максимален брой кораби в зоната във всеки един момент</w:t>
            </w:r>
          </w:p>
        </w:tc>
      </w:tr>
      <w:tr>
        <w:trPr>
          <w:trHeight w:val="20"/>
        </w:trPr>
        <w:tc>
          <w:tcPr>
            <w:tcW w:w="948" w:type="pct"/>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rPr>
                <w:noProof/>
              </w:rPr>
            </w:pPr>
            <w:r>
              <w:rPr>
                <w:noProof/>
              </w:rPr>
              <w:t>Норвежки води и риболовна зона около остров Jan Mayen</w:t>
            </w:r>
          </w:p>
        </w:tc>
        <w:tc>
          <w:tcPr>
            <w:tcW w:w="1150" w:type="pct"/>
            <w:vMerge w:val="restart"/>
            <w:tcBorders>
              <w:left w:val="single" w:sz="4" w:space="0" w:color="auto"/>
            </w:tcBorders>
            <w:shd w:val="clear" w:color="auto" w:fill="auto"/>
          </w:tcPr>
          <w:p>
            <w:pPr>
              <w:spacing w:before="60" w:after="60"/>
              <w:rPr>
                <w:noProof/>
              </w:rPr>
            </w:pPr>
            <w:r>
              <w:rPr>
                <w:noProof/>
              </w:rPr>
              <w:t>Херинга, на север от 62° 00′ с.ш.</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Подлежи на определяне</w:t>
            </w:r>
          </w:p>
        </w:tc>
        <w:tc>
          <w:tcPr>
            <w:tcW w:w="793" w:type="pct"/>
            <w:vMerge w:val="restart"/>
            <w:shd w:val="clear" w:color="auto" w:fill="auto"/>
          </w:tcPr>
          <w:p>
            <w:pPr>
              <w:spacing w:before="60" w:after="60"/>
              <w:rPr>
                <w:noProof/>
              </w:rPr>
            </w:pPr>
            <w:r>
              <w:rPr>
                <w:noProof/>
              </w:rPr>
              <w:t>Подлежи на определяне</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PL</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SV</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val="restart"/>
            <w:tcBorders>
              <w:top w:val="nil"/>
              <w:left w:val="single" w:sz="4" w:space="0" w:color="auto"/>
              <w:bottom w:val="single" w:sz="4" w:space="0" w:color="auto"/>
              <w:right w:val="single" w:sz="4" w:space="0" w:color="auto"/>
            </w:tcBorders>
            <w:shd w:val="clear" w:color="auto" w:fill="auto"/>
          </w:tcPr>
          <w:p>
            <w:pPr>
              <w:pageBreakBefore/>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Неразпределени</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Подлежи на определяне</w:t>
            </w:r>
          </w:p>
        </w:tc>
        <w:tc>
          <w:tcPr>
            <w:tcW w:w="793" w:type="pct"/>
            <w:vMerge w:val="restart"/>
            <w:shd w:val="clear" w:color="auto" w:fill="auto"/>
          </w:tcPr>
          <w:p>
            <w:pPr>
              <w:spacing w:before="60" w:after="60"/>
              <w:rPr>
                <w:noProof/>
              </w:rPr>
            </w:pPr>
            <w:r>
              <w:rPr>
                <w:noProof/>
              </w:rPr>
              <w:t>Подлежи на определяне</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Неразпределени</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tcBorders>
              <w:left w:val="single" w:sz="4" w:space="0" w:color="auto"/>
            </w:tcBorders>
            <w:shd w:val="clear" w:color="auto" w:fill="auto"/>
          </w:tcPr>
          <w:p>
            <w:pPr>
              <w:spacing w:before="60" w:after="60"/>
              <w:rPr>
                <w:noProof/>
              </w:rPr>
            </w:pPr>
            <w:r>
              <w:rPr>
                <w:noProof/>
              </w:rPr>
              <w:t xml:space="preserve">Скумрия </w:t>
            </w:r>
            <w:r>
              <w:rPr>
                <w:b/>
                <w:noProof/>
                <w:vertAlign w:val="superscript"/>
              </w:rPr>
              <w:t>(1)</w:t>
            </w:r>
          </w:p>
        </w:tc>
        <w:tc>
          <w:tcPr>
            <w:tcW w:w="687" w:type="pct"/>
            <w:shd w:val="clear" w:color="auto" w:fill="auto"/>
          </w:tcPr>
          <w:p>
            <w:pPr>
              <w:spacing w:before="60" w:after="60"/>
              <w:rPr>
                <w:noProof/>
              </w:rPr>
            </w:pPr>
            <w:r>
              <w:rPr>
                <w:noProof/>
              </w:rPr>
              <w:t>Не се прилага</w:t>
            </w:r>
          </w:p>
        </w:tc>
        <w:tc>
          <w:tcPr>
            <w:tcW w:w="1422" w:type="pct"/>
            <w:gridSpan w:val="2"/>
            <w:shd w:val="clear" w:color="auto" w:fill="auto"/>
          </w:tcPr>
          <w:p>
            <w:pPr>
              <w:spacing w:before="60" w:after="60"/>
              <w:rPr>
                <w:noProof/>
              </w:rPr>
            </w:pPr>
            <w:r>
              <w:rPr>
                <w:noProof/>
              </w:rPr>
              <w:t>Не се прилага</w:t>
            </w:r>
          </w:p>
        </w:tc>
        <w:tc>
          <w:tcPr>
            <w:tcW w:w="793" w:type="pct"/>
            <w:shd w:val="clear" w:color="auto" w:fill="auto"/>
          </w:tcPr>
          <w:p>
            <w:pPr>
              <w:spacing w:before="60" w:after="60"/>
              <w:rPr>
                <w:noProof/>
              </w:rPr>
            </w:pPr>
            <w:r>
              <w:rPr>
                <w:noProof/>
              </w:rPr>
              <w:t>Подлежи на определяне</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Промишлени видове, на юг от 62° 00′ с.ш.</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Подлежи на определяне</w:t>
            </w:r>
          </w:p>
        </w:tc>
        <w:tc>
          <w:tcPr>
            <w:tcW w:w="793" w:type="pct"/>
            <w:vMerge w:val="restart"/>
            <w:shd w:val="clear" w:color="auto" w:fill="auto"/>
          </w:tcPr>
          <w:p>
            <w:pPr>
              <w:spacing w:before="60" w:after="60"/>
              <w:rPr>
                <w:noProof/>
              </w:rPr>
            </w:pPr>
            <w:r>
              <w:rPr>
                <w:noProof/>
              </w:rPr>
              <w:t>Подлежи на определяне</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r>
              <w:rPr>
                <w:noProof/>
              </w:rPr>
              <w:t>Фарьорски води</w:t>
            </w:r>
          </w:p>
        </w:tc>
        <w:tc>
          <w:tcPr>
            <w:tcW w:w="1150" w:type="pct"/>
            <w:vMerge w:val="restart"/>
            <w:shd w:val="clear" w:color="auto" w:fill="auto"/>
          </w:tcPr>
          <w:p>
            <w:pPr>
              <w:spacing w:before="60" w:after="60"/>
              <w:rPr>
                <w:noProof/>
              </w:rPr>
            </w:pPr>
            <w:r>
              <w:rPr>
                <w:noProof/>
              </w:rPr>
              <w:t>Всички видове риболов с тралове от страна на кораби с дължина до 180 фута в зоната между 12 и 21 мили от изходните линии на Фарьорските острови</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Подлежи на определяне</w:t>
            </w:r>
          </w:p>
        </w:tc>
        <w:tc>
          <w:tcPr>
            <w:tcW w:w="793" w:type="pct"/>
            <w:vMerge w:val="restart"/>
            <w:shd w:val="clear" w:color="auto" w:fill="auto"/>
          </w:tcPr>
          <w:p>
            <w:pPr>
              <w:spacing w:before="60" w:after="60"/>
              <w:rPr>
                <w:noProof/>
              </w:rPr>
            </w:pPr>
            <w:r>
              <w:rPr>
                <w:noProof/>
              </w:rPr>
              <w:t>Подлежи на определяне</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tcBorders>
              <w:top w:val="nil"/>
              <w:bottom w:val="nil"/>
            </w:tcBorders>
            <w:shd w:val="clear" w:color="auto" w:fill="auto"/>
          </w:tcPr>
          <w:p>
            <w:pPr>
              <w:spacing w:before="60" w:after="60"/>
              <w:rPr>
                <w:noProof/>
              </w:rPr>
            </w:pPr>
          </w:p>
        </w:tc>
        <w:tc>
          <w:tcPr>
            <w:tcW w:w="1150" w:type="pct"/>
            <w:shd w:val="clear" w:color="auto" w:fill="auto"/>
          </w:tcPr>
          <w:p>
            <w:pPr>
              <w:spacing w:before="60" w:after="60"/>
              <w:rPr>
                <w:noProof/>
              </w:rPr>
            </w:pPr>
            <w:r>
              <w:rPr>
                <w:noProof/>
              </w:rPr>
              <w:t>Целеви риболов на атлантическа треска и пикша с минимален размер на окото 135 mm, ограничен до зоната на юг от 62° 28′ с.ш. и на изток от 6° 30′ з.д.</w:t>
            </w:r>
          </w:p>
        </w:tc>
        <w:tc>
          <w:tcPr>
            <w:tcW w:w="687" w:type="pct"/>
            <w:shd w:val="clear" w:color="auto" w:fill="auto"/>
          </w:tcPr>
          <w:p>
            <w:pPr>
              <w:spacing w:before="60" w:after="60"/>
              <w:rPr>
                <w:noProof/>
              </w:rPr>
            </w:pPr>
            <w:r>
              <w:rPr>
                <w:noProof/>
              </w:rPr>
              <w:t>Подлежи на определяне</w:t>
            </w:r>
            <w:r>
              <w:rPr>
                <w:b/>
                <w:noProof/>
                <w:vertAlign w:val="superscript"/>
              </w:rPr>
              <w:t xml:space="preserve"> (2)</w:t>
            </w:r>
          </w:p>
        </w:tc>
        <w:tc>
          <w:tcPr>
            <w:tcW w:w="1422" w:type="pct"/>
            <w:gridSpan w:val="2"/>
            <w:shd w:val="clear" w:color="auto" w:fill="auto"/>
          </w:tcPr>
          <w:p>
            <w:pPr>
              <w:spacing w:before="60" w:after="60"/>
              <w:rPr>
                <w:noProof/>
              </w:rPr>
            </w:pPr>
            <w:r>
              <w:rPr>
                <w:noProof/>
              </w:rPr>
              <w:t>Не се прилага</w:t>
            </w:r>
          </w:p>
        </w:tc>
        <w:tc>
          <w:tcPr>
            <w:tcW w:w="793" w:type="pct"/>
            <w:shd w:val="clear" w:color="auto" w:fill="auto"/>
          </w:tcPr>
          <w:p>
            <w:pPr>
              <w:spacing w:before="60" w:after="60"/>
              <w:rPr>
                <w:noProof/>
              </w:rPr>
            </w:pPr>
            <w:r>
              <w:rPr>
                <w:noProof/>
              </w:rPr>
              <w:t>Подлежи на определяне</w:t>
            </w:r>
          </w:p>
        </w:tc>
      </w:tr>
      <w:tr>
        <w:trPr>
          <w:trHeight w:val="20"/>
        </w:trPr>
        <w:tc>
          <w:tcPr>
            <w:tcW w:w="948" w:type="pct"/>
            <w:vMerge w:val="restart"/>
            <w:tcBorders>
              <w:top w:val="nil"/>
            </w:tcBorders>
            <w:shd w:val="clear" w:color="auto" w:fill="auto"/>
          </w:tcPr>
          <w:p>
            <w:pPr>
              <w:spacing w:before="60" w:after="60"/>
              <w:rPr>
                <w:noProof/>
              </w:rPr>
            </w:pPr>
          </w:p>
        </w:tc>
        <w:tc>
          <w:tcPr>
            <w:tcW w:w="1150" w:type="pct"/>
            <w:vMerge w:val="restart"/>
            <w:shd w:val="clear" w:color="auto" w:fill="auto"/>
          </w:tcPr>
          <w:p>
            <w:pPr>
              <w:spacing w:before="60" w:after="60"/>
              <w:rPr>
                <w:noProof/>
              </w:rPr>
            </w:pPr>
            <w:r>
              <w:rPr>
                <w:noProof/>
              </w:rPr>
              <w:t>Риболов с трал извън 21 мили от изходната линия на Фарьорските острови. В периодите от 1 март до 31 май и от 1 октомври до 31 декември тези кораби могат да оперират в зоната между 61° 20′ с.ш. и 62° 00′ с.ш. и между 12 и 21 мили от изходните линии.</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Подлежи на определяне</w:t>
            </w:r>
          </w:p>
        </w:tc>
        <w:tc>
          <w:tcPr>
            <w:tcW w:w="793" w:type="pct"/>
            <w:vMerge w:val="restart"/>
            <w:shd w:val="clear" w:color="auto" w:fill="auto"/>
          </w:tcPr>
          <w:p>
            <w:pPr>
              <w:spacing w:before="60" w:after="60"/>
              <w:rPr>
                <w:noProof/>
              </w:rPr>
            </w:pPr>
            <w:r>
              <w:rPr>
                <w:noProof/>
              </w:rPr>
              <w:t>Подлежи на определяне</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Риболов на синя молва с трал с минимален размер на окото 100 mm в зоната на юг от 61° 30′ с.ш. и на запад от 9° 00′ з.д., в зоната между 7° 00′ з.д. и 9° 00′ з.д., на юг от 60° 30′ с.ш. и в зоната на югозапад от линията между 60° 30′ с.ш., 7° 00′ з.д. и 60° 00′ с.ш., 6° 00′ з.д.</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bookmarkStart w:id="2" w:name="RANGE!D29"/>
            <w:r>
              <w:rPr>
                <w:noProof/>
              </w:rPr>
              <w:t xml:space="preserve">DE </w:t>
            </w:r>
            <w:r>
              <w:rPr>
                <w:b/>
                <w:noProof/>
                <w:vertAlign w:val="superscript"/>
              </w:rPr>
              <w:t>(3)</w:t>
            </w:r>
            <w:bookmarkEnd w:id="2"/>
          </w:p>
        </w:tc>
        <w:tc>
          <w:tcPr>
            <w:tcW w:w="766" w:type="pct"/>
            <w:shd w:val="clear" w:color="auto" w:fill="auto"/>
          </w:tcPr>
          <w:p>
            <w:pPr>
              <w:spacing w:before="60" w:after="60"/>
              <w:rPr>
                <w:noProof/>
              </w:rPr>
            </w:pPr>
            <w:r>
              <w:rPr>
                <w:noProof/>
              </w:rPr>
              <w:t>Подлежи на определяне</w:t>
            </w:r>
          </w:p>
        </w:tc>
        <w:tc>
          <w:tcPr>
            <w:tcW w:w="793" w:type="pct"/>
            <w:vMerge w:val="restart"/>
          </w:tcPr>
          <w:p>
            <w:pPr>
              <w:spacing w:before="60" w:after="60"/>
              <w:rPr>
                <w:noProof/>
              </w:rPr>
            </w:pPr>
            <w:r>
              <w:rPr>
                <w:noProof/>
              </w:rPr>
              <w:t>Подлежи на определяне</w:t>
            </w:r>
            <w:r>
              <w:rPr>
                <w:b/>
                <w:noProof/>
                <w:vertAlign w:val="superscript"/>
              </w:rPr>
              <w:t xml:space="preserve"> (4)</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 xml:space="preserve">FR </w:t>
            </w:r>
            <w:r>
              <w:rPr>
                <w:b/>
                <w:noProof/>
                <w:vertAlign w:val="superscript"/>
              </w:rPr>
              <w:t>(3)</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1500"/>
        </w:trPr>
        <w:tc>
          <w:tcPr>
            <w:tcW w:w="948" w:type="pct"/>
            <w:vMerge/>
            <w:shd w:val="clear" w:color="auto" w:fill="auto"/>
          </w:tcPr>
          <w:p>
            <w:pPr>
              <w:spacing w:before="60" w:after="60"/>
              <w:rPr>
                <w:noProof/>
              </w:rPr>
            </w:pPr>
          </w:p>
        </w:tc>
        <w:tc>
          <w:tcPr>
            <w:tcW w:w="1150" w:type="pct"/>
            <w:shd w:val="clear" w:color="auto" w:fill="auto"/>
          </w:tcPr>
          <w:p>
            <w:pPr>
              <w:spacing w:before="60" w:after="60"/>
              <w:rPr>
                <w:noProof/>
              </w:rPr>
            </w:pPr>
            <w:r>
              <w:rPr>
                <w:noProof/>
              </w:rPr>
              <w:t>Целеви риболов на сайда с трал с минимален размер на окото 120 mm и с възможност да се използват опасващи въжета около тралната торба</w:t>
            </w:r>
          </w:p>
        </w:tc>
        <w:tc>
          <w:tcPr>
            <w:tcW w:w="687" w:type="pct"/>
            <w:shd w:val="clear" w:color="auto" w:fill="auto"/>
          </w:tcPr>
          <w:p>
            <w:pPr>
              <w:spacing w:before="60" w:after="60"/>
              <w:rPr>
                <w:noProof/>
              </w:rPr>
            </w:pPr>
            <w:r>
              <w:rPr>
                <w:noProof/>
              </w:rPr>
              <w:t>Подлежи на определяне</w:t>
            </w:r>
          </w:p>
        </w:tc>
        <w:tc>
          <w:tcPr>
            <w:tcW w:w="1422" w:type="pct"/>
            <w:gridSpan w:val="2"/>
            <w:shd w:val="clear" w:color="auto" w:fill="auto"/>
          </w:tcPr>
          <w:p>
            <w:pPr>
              <w:spacing w:before="60" w:after="60"/>
              <w:rPr>
                <w:noProof/>
              </w:rPr>
            </w:pPr>
            <w:r>
              <w:rPr>
                <w:noProof/>
              </w:rPr>
              <w:t>Не се прилага</w:t>
            </w:r>
          </w:p>
        </w:tc>
        <w:tc>
          <w:tcPr>
            <w:tcW w:w="793" w:type="pct"/>
            <w:shd w:val="clear" w:color="auto" w:fill="auto"/>
          </w:tcPr>
          <w:p>
            <w:pPr>
              <w:spacing w:before="60" w:after="60"/>
              <w:rPr>
                <w:noProof/>
              </w:rPr>
            </w:pPr>
            <w:r>
              <w:rPr>
                <w:noProof/>
              </w:rPr>
              <w:t>Подлежи на определяне</w:t>
            </w:r>
            <w:r>
              <w:rPr>
                <w:b/>
                <w:noProof/>
                <w:vertAlign w:val="superscript"/>
              </w:rPr>
              <w:t xml:space="preserve"> (4)</w:t>
            </w: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Риболов на син меджид. Общият брой на разрешенията за риболов може да бъде увеличен с четири кораба за извършване на риболов по двойки, ако фарьорските власти въведат специални правила за достъп до зона, наречена „главна зона за риболов на син меджид“.</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Подлежи на определяне</w:t>
            </w:r>
          </w:p>
        </w:tc>
        <w:tc>
          <w:tcPr>
            <w:tcW w:w="793" w:type="pct"/>
            <w:vMerge w:val="restart"/>
            <w:shd w:val="clear" w:color="auto" w:fill="auto"/>
          </w:tcPr>
          <w:p>
            <w:pPr>
              <w:spacing w:before="60" w:after="60"/>
              <w:rPr>
                <w:noProof/>
              </w:rPr>
            </w:pPr>
            <w:r>
              <w:rPr>
                <w:noProof/>
              </w:rPr>
              <w:t>Подлежи на определяне</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tcBorders>
              <w:top w:val="nil"/>
              <w:bottom w:val="single" w:sz="4" w:space="0" w:color="auto"/>
            </w:tcBorders>
            <w:shd w:val="clear" w:color="auto" w:fill="auto"/>
          </w:tcPr>
          <w:p>
            <w:pPr>
              <w:spacing w:before="60" w:after="60"/>
              <w:rPr>
                <w:noProof/>
              </w:rPr>
            </w:pPr>
          </w:p>
        </w:tc>
        <w:tc>
          <w:tcPr>
            <w:tcW w:w="1150" w:type="pct"/>
            <w:tcBorders>
              <w:bottom w:val="single" w:sz="4" w:space="0" w:color="auto"/>
            </w:tcBorders>
            <w:shd w:val="clear" w:color="auto" w:fill="auto"/>
          </w:tcPr>
          <w:p>
            <w:pPr>
              <w:spacing w:before="60" w:after="60"/>
              <w:rPr>
                <w:noProof/>
              </w:rPr>
            </w:pPr>
            <w:r>
              <w:rPr>
                <w:noProof/>
              </w:rPr>
              <w:t>Риболов с въдици</w:t>
            </w:r>
          </w:p>
        </w:tc>
        <w:tc>
          <w:tcPr>
            <w:tcW w:w="687" w:type="pc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Подлежи на определяне</w:t>
            </w:r>
          </w:p>
        </w:tc>
        <w:tc>
          <w:tcPr>
            <w:tcW w:w="793" w:type="pct"/>
            <w:shd w:val="clear" w:color="auto" w:fill="auto"/>
          </w:tcPr>
          <w:p>
            <w:pPr>
              <w:spacing w:before="60" w:after="60"/>
              <w:rPr>
                <w:noProof/>
              </w:rPr>
            </w:pPr>
            <w:r>
              <w:rPr>
                <w:noProof/>
              </w:rPr>
              <w:t>Подлежи на определяне</w:t>
            </w:r>
          </w:p>
        </w:tc>
      </w:tr>
      <w:tr>
        <w:trPr>
          <w:trHeight w:val="20"/>
        </w:trPr>
        <w:tc>
          <w:tcPr>
            <w:tcW w:w="948" w:type="pct"/>
            <w:vMerge w:val="restart"/>
            <w:tcBorders>
              <w:top w:val="single" w:sz="4" w:space="0" w:color="auto"/>
            </w:tcBorders>
            <w:shd w:val="clear" w:color="auto" w:fill="auto"/>
          </w:tcPr>
          <w:p>
            <w:pPr>
              <w:pageBreakBefore/>
              <w:rPr>
                <w:noProof/>
              </w:rPr>
            </w:pPr>
          </w:p>
        </w:tc>
        <w:tc>
          <w:tcPr>
            <w:tcW w:w="1150" w:type="pct"/>
            <w:vMerge w:val="restart"/>
            <w:tcBorders>
              <w:top w:val="single" w:sz="4" w:space="0" w:color="auto"/>
            </w:tcBorders>
            <w:shd w:val="clear" w:color="auto" w:fill="auto"/>
          </w:tcPr>
          <w:p>
            <w:pPr>
              <w:spacing w:before="60" w:after="60"/>
              <w:rPr>
                <w:noProof/>
              </w:rPr>
            </w:pPr>
            <w:r>
              <w:rPr>
                <w:noProof/>
              </w:rPr>
              <w:t>Скумрия</w:t>
            </w:r>
          </w:p>
        </w:tc>
        <w:tc>
          <w:tcPr>
            <w:tcW w:w="687" w:type="pct"/>
            <w:vMerge w:val="restart"/>
            <w:shd w:val="clear" w:color="auto" w:fill="auto"/>
          </w:tcPr>
          <w:p>
            <w:pPr>
              <w:spacing w:before="60" w:after="60"/>
              <w:rPr>
                <w:noProof/>
              </w:rPr>
            </w:pPr>
            <w:r>
              <w:rPr>
                <w:noProof/>
              </w:rPr>
              <w:t>Подлежи на определяне</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Подлежи на определяне</w:t>
            </w:r>
          </w:p>
        </w:tc>
        <w:tc>
          <w:tcPr>
            <w:tcW w:w="793" w:type="pct"/>
            <w:vMerge w:val="restart"/>
            <w:shd w:val="clear" w:color="auto" w:fill="auto"/>
          </w:tcPr>
          <w:p>
            <w:pPr>
              <w:spacing w:before="60" w:after="60"/>
              <w:rPr>
                <w:noProof/>
              </w:rPr>
            </w:pPr>
            <w:r>
              <w:rPr>
                <w:noProof/>
              </w:rPr>
              <w:t xml:space="preserve">Подлежи на определяне </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Подлежи на определяне</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tcBorders>
              <w:bottom w:val="single" w:sz="4" w:space="0" w:color="auto"/>
            </w:tcBorders>
            <w:shd w:val="clear" w:color="auto" w:fill="auto"/>
          </w:tcPr>
          <w:p>
            <w:pPr>
              <w:spacing w:before="60" w:after="60"/>
              <w:rPr>
                <w:noProof/>
              </w:rPr>
            </w:pPr>
          </w:p>
        </w:tc>
        <w:tc>
          <w:tcPr>
            <w:tcW w:w="687" w:type="pct"/>
            <w:vMerge/>
            <w:tcBorders>
              <w:bottom w:val="single" w:sz="4" w:space="0" w:color="auto"/>
            </w:tcBorders>
            <w:shd w:val="clear" w:color="auto" w:fill="auto"/>
          </w:tcPr>
          <w:p>
            <w:pPr>
              <w:spacing w:before="60" w:after="60"/>
              <w:rPr>
                <w:noProof/>
              </w:rPr>
            </w:pPr>
          </w:p>
        </w:tc>
        <w:tc>
          <w:tcPr>
            <w:tcW w:w="656" w:type="pct"/>
            <w:tcBorders>
              <w:bottom w:val="single" w:sz="4" w:space="0" w:color="auto"/>
            </w:tcBorders>
            <w:shd w:val="clear" w:color="auto" w:fill="auto"/>
          </w:tcPr>
          <w:p>
            <w:pPr>
              <w:spacing w:before="60" w:after="60"/>
              <w:rPr>
                <w:noProof/>
              </w:rPr>
            </w:pPr>
            <w:r>
              <w:rPr>
                <w:noProof/>
              </w:rPr>
              <w:t>UK</w:t>
            </w:r>
          </w:p>
        </w:tc>
        <w:tc>
          <w:tcPr>
            <w:tcW w:w="766" w:type="pct"/>
            <w:tcBorders>
              <w:bottom w:val="single" w:sz="4" w:space="0" w:color="auto"/>
            </w:tcBorders>
            <w:shd w:val="clear" w:color="auto" w:fill="auto"/>
          </w:tcPr>
          <w:p>
            <w:pPr>
              <w:spacing w:before="60" w:after="60"/>
              <w:rPr>
                <w:noProof/>
              </w:rPr>
            </w:pPr>
            <w:r>
              <w:rPr>
                <w:noProof/>
              </w:rPr>
              <w:t>Подлежи на определяне</w:t>
            </w:r>
          </w:p>
        </w:tc>
        <w:tc>
          <w:tcPr>
            <w:tcW w:w="793" w:type="pct"/>
            <w:vMerge/>
            <w:tcBorders>
              <w:bottom w:val="single" w:sz="4" w:space="0" w:color="auto"/>
            </w:tcBorders>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p>
        </w:tc>
        <w:tc>
          <w:tcPr>
            <w:tcW w:w="1150" w:type="pct"/>
            <w:vMerge w:val="restart"/>
            <w:tcBorders>
              <w:top w:val="single" w:sz="4" w:space="0" w:color="auto"/>
            </w:tcBorders>
            <w:shd w:val="clear" w:color="auto" w:fill="auto"/>
          </w:tcPr>
          <w:p>
            <w:pPr>
              <w:spacing w:before="60" w:after="60"/>
              <w:rPr>
                <w:noProof/>
              </w:rPr>
            </w:pPr>
            <w:r>
              <w:rPr>
                <w:noProof/>
              </w:rPr>
              <w:t>Херинга, на север от 62° 00′ с.ш.</w:t>
            </w:r>
          </w:p>
        </w:tc>
        <w:tc>
          <w:tcPr>
            <w:tcW w:w="687" w:type="pct"/>
            <w:vMerge w:val="restart"/>
            <w:tcBorders>
              <w:top w:val="single" w:sz="4" w:space="0" w:color="auto"/>
            </w:tcBorders>
            <w:shd w:val="clear" w:color="auto" w:fill="auto"/>
          </w:tcPr>
          <w:p>
            <w:pPr>
              <w:spacing w:before="60" w:after="60"/>
              <w:rPr>
                <w:noProof/>
              </w:rPr>
            </w:pPr>
            <w:r>
              <w:rPr>
                <w:noProof/>
              </w:rPr>
              <w:t>Подлежи на определяне</w:t>
            </w:r>
          </w:p>
        </w:tc>
        <w:tc>
          <w:tcPr>
            <w:tcW w:w="656" w:type="pct"/>
            <w:tcBorders>
              <w:top w:val="single" w:sz="4" w:space="0" w:color="auto"/>
            </w:tcBorders>
            <w:shd w:val="clear" w:color="auto" w:fill="auto"/>
          </w:tcPr>
          <w:p>
            <w:pPr>
              <w:spacing w:before="60" w:after="60"/>
              <w:rPr>
                <w:noProof/>
              </w:rPr>
            </w:pPr>
            <w:r>
              <w:rPr>
                <w:noProof/>
              </w:rPr>
              <w:t>DK</w:t>
            </w:r>
          </w:p>
        </w:tc>
        <w:tc>
          <w:tcPr>
            <w:tcW w:w="766" w:type="pct"/>
            <w:tcBorders>
              <w:top w:val="single" w:sz="4" w:space="0" w:color="auto"/>
            </w:tcBorders>
            <w:shd w:val="clear" w:color="auto" w:fill="auto"/>
          </w:tcPr>
          <w:p>
            <w:pPr>
              <w:spacing w:before="60" w:after="60"/>
              <w:rPr>
                <w:noProof/>
              </w:rPr>
            </w:pPr>
            <w:r>
              <w:rPr>
                <w:noProof/>
              </w:rPr>
              <w:t>Подлежи на определяне</w:t>
            </w:r>
          </w:p>
        </w:tc>
        <w:tc>
          <w:tcPr>
            <w:tcW w:w="793" w:type="pct"/>
            <w:vMerge w:val="restart"/>
            <w:tcBorders>
              <w:top w:val="single" w:sz="4" w:space="0" w:color="auto"/>
            </w:tcBorders>
            <w:shd w:val="clear" w:color="auto" w:fill="auto"/>
          </w:tcPr>
          <w:p>
            <w:pPr>
              <w:spacing w:before="60" w:after="60"/>
              <w:rPr>
                <w:noProof/>
              </w:rPr>
            </w:pPr>
            <w:r>
              <w:rPr>
                <w:noProof/>
              </w:rPr>
              <w:t>Подлежи на определяне</w:t>
            </w: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Подлежи на определяне</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Подлежи на определяне</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Подлежи на определяне</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Подлежи на определяне</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rFonts w:eastAsia="Calibri"/>
                <w:noProof/>
              </w:rPr>
            </w:pPr>
            <w:r>
              <w:rPr>
                <w:noProof/>
              </w:rPr>
              <w:t>Подлежи на определяне</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rFonts w:eastAsia="Calibri"/>
                <w:noProof/>
              </w:rPr>
            </w:pPr>
            <w:r>
              <w:rPr>
                <w:noProof/>
              </w:rPr>
              <w:t>Подлежи на определяне</w:t>
            </w:r>
          </w:p>
        </w:tc>
        <w:tc>
          <w:tcPr>
            <w:tcW w:w="793" w:type="pct"/>
            <w:vMerge/>
            <w:tcBorders>
              <w:top w:val="nil"/>
            </w:tcBorders>
            <w:shd w:val="clear" w:color="auto" w:fill="auto"/>
          </w:tcPr>
          <w:p>
            <w:pPr>
              <w:spacing w:before="60" w:after="60"/>
              <w:rPr>
                <w:noProof/>
              </w:rPr>
            </w:pPr>
          </w:p>
        </w:tc>
      </w:tr>
      <w:tr>
        <w:trPr>
          <w:trHeight w:val="20"/>
        </w:trPr>
        <w:tc>
          <w:tcPr>
            <w:tcW w:w="5000" w:type="pct"/>
            <w:gridSpan w:val="6"/>
            <w:shd w:val="clear" w:color="auto" w:fill="auto"/>
          </w:tcPr>
          <w:p>
            <w:pPr>
              <w:spacing w:before="0" w:after="0"/>
              <w:ind w:left="567" w:hanging="567"/>
              <w:rPr>
                <w:noProof/>
              </w:rPr>
            </w:pPr>
            <w:r>
              <w:rPr>
                <w:noProof/>
                <w:vertAlign w:val="superscript"/>
              </w:rPr>
              <w:t>(1)</w:t>
            </w:r>
            <w:r>
              <w:rPr>
                <w:noProof/>
              </w:rPr>
              <w:tab/>
              <w:t>Без да се засягат допълнителните разрешения, предоставени на Швеция от Норвегия в съответствие с установената практика.</w:t>
            </w:r>
          </w:p>
          <w:p>
            <w:pPr>
              <w:spacing w:before="0" w:after="0"/>
              <w:ind w:left="567" w:hanging="567"/>
              <w:rPr>
                <w:noProof/>
              </w:rPr>
            </w:pPr>
            <w:r>
              <w:rPr>
                <w:noProof/>
                <w:vertAlign w:val="superscript"/>
              </w:rPr>
              <w:t>(2)</w:t>
            </w:r>
            <w:r>
              <w:rPr>
                <w:noProof/>
              </w:rPr>
              <w:tab/>
              <w:t xml:space="preserve">Тези данни са включени в данните за всички видове риболов с тралове от страна на кораби с дължина до 180 фута в зоната между 12 и 21 мили от изходните линии на Фарьорските острови. </w:t>
            </w:r>
          </w:p>
          <w:p>
            <w:pPr>
              <w:spacing w:before="0" w:after="0"/>
              <w:ind w:left="567" w:hanging="567"/>
              <w:rPr>
                <w:noProof/>
              </w:rPr>
            </w:pPr>
            <w:r>
              <w:rPr>
                <w:noProof/>
                <w:vertAlign w:val="superscript"/>
              </w:rPr>
              <w:t>(3)</w:t>
            </w:r>
            <w:r>
              <w:rPr>
                <w:noProof/>
              </w:rPr>
              <w:tab/>
              <w:t>Тези данни се отнасят до максималния брой кораби в зоната във всеки един момент.</w:t>
            </w:r>
          </w:p>
          <w:p>
            <w:pPr>
              <w:spacing w:before="0" w:after="0"/>
              <w:ind w:left="567" w:hanging="567"/>
              <w:rPr>
                <w:noProof/>
              </w:rPr>
            </w:pPr>
            <w:bookmarkStart w:id="3" w:name="RANGE!A51"/>
            <w:r>
              <w:rPr>
                <w:noProof/>
                <w:vertAlign w:val="superscript"/>
              </w:rPr>
              <w:t>(4)</w:t>
            </w:r>
            <w:bookmarkEnd w:id="3"/>
            <w:r>
              <w:rPr>
                <w:noProof/>
              </w:rPr>
              <w:tab/>
              <w:t>Тези данни са включени в данните в раздел „Риболов с тралове извън 21 мили от изходните линии на Фарьорските острови“.</w:t>
            </w:r>
          </w:p>
        </w:tc>
      </w:tr>
    </w:tbl>
    <w:p>
      <w:pPr>
        <w:pStyle w:val="LignefinalLandscape"/>
        <w:rPr>
          <w:rFonts w:eastAsia="Calibri"/>
          <w:noProof/>
        </w:rPr>
      </w:pPr>
    </w:p>
    <w:p>
      <w:pPr>
        <w:rPr>
          <w:rFonts w:eastAsia="Calibri"/>
          <w:noProof/>
        </w:rPr>
        <w:sectPr>
          <w:headerReference w:type="default" r:id="rId34"/>
          <w:footerReference w:type="default" r:id="rId35"/>
          <w:headerReference w:type="first" r:id="rId36"/>
          <w:footerReference w:type="first" r:id="rId37"/>
          <w:footnotePr>
            <w:numRestart w:val="eachPage"/>
          </w:footnotePr>
          <w:pgSz w:w="16838" w:h="11906" w:orient="landscape"/>
          <w:pgMar w:top="1134" w:right="1134" w:bottom="1134" w:left="1134" w:header="567" w:footer="567" w:gutter="0"/>
          <w:cols w:space="720"/>
          <w:docGrid w:linePitch="326"/>
        </w:sectPr>
      </w:pPr>
    </w:p>
    <w:p>
      <w:pPr>
        <w:pStyle w:val="Annexetitre"/>
        <w:rPr>
          <w:rFonts w:eastAsia="Calibri"/>
          <w:noProof/>
        </w:rPr>
      </w:pPr>
      <w:r>
        <w:rPr>
          <w:noProof/>
        </w:rPr>
        <w:t>ПРИЛОЖЕНИЕ IV</w:t>
      </w:r>
    </w:p>
    <w:p>
      <w:pPr>
        <w:pStyle w:val="NormalCentered"/>
        <w:rPr>
          <w:rFonts w:eastAsia="Calibri"/>
          <w:noProof/>
        </w:rPr>
      </w:pPr>
      <w:r>
        <w:rPr>
          <w:noProof/>
        </w:rPr>
        <w:t xml:space="preserve">ЗОНА НА КОНВЕНЦИЯТА ICCAT </w:t>
      </w:r>
      <w:r>
        <w:rPr>
          <w:b/>
          <w:noProof/>
          <w:vertAlign w:val="superscript"/>
        </w:rPr>
        <w:t>(1)</w:t>
      </w:r>
    </w:p>
    <w:p>
      <w:pPr>
        <w:pStyle w:val="Point0"/>
        <w:rPr>
          <w:rFonts w:eastAsia="Calibri"/>
          <w:noProof/>
        </w:rPr>
      </w:pPr>
      <w:r>
        <w:rPr>
          <w:noProof/>
        </w:rPr>
        <w:t>1.</w:t>
      </w:r>
      <w:r>
        <w:rPr>
          <w:noProof/>
        </w:rPr>
        <w:tab/>
        <w:t>Максимален брой кораби на Съюза, използващи захранка, и кораби на Съюза, използващи влачени въдици, с разрешение за активен риболов на червен тон с размери от 8 kg/75 cm до 30 kg/115 cm в източната част на Атлантическия океан</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Испания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Франция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Съюз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bl>
    <w:p>
      <w:pPr>
        <w:pStyle w:val="Point0"/>
        <w:rPr>
          <w:rFonts w:eastAsia="Calibri"/>
          <w:noProof/>
        </w:rPr>
      </w:pPr>
    </w:p>
    <w:p>
      <w:pPr>
        <w:pStyle w:val="Point0"/>
        <w:rPr>
          <w:rFonts w:eastAsia="Calibri"/>
          <w:noProof/>
        </w:rPr>
      </w:pPr>
      <w:r>
        <w:rPr>
          <w:noProof/>
        </w:rPr>
        <w:t>2.</w:t>
      </w:r>
      <w:r>
        <w:rPr>
          <w:noProof/>
        </w:rPr>
        <w:tab/>
        <w:t>Максимален брой риболовни кораби на Съюза за крайбрежен непромишлен риболов с разрешение за активен риболов на червен тон с размери от 8 kg/75 cm до 30 kg/115 cm в Средиземно море</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Испания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Франция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Италия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Кипър</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 xml:space="preserve">pm </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Малта</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 xml:space="preserve">pm </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Съюз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bl>
    <w:p>
      <w:pPr>
        <w:rPr>
          <w:rFonts w:eastAsia="Calibri"/>
          <w:noProof/>
        </w:rPr>
      </w:pPr>
    </w:p>
    <w:p>
      <w:pPr>
        <w:pStyle w:val="Point0"/>
        <w:rPr>
          <w:rFonts w:eastAsia="Calibri"/>
          <w:noProof/>
        </w:rPr>
      </w:pPr>
      <w:r>
        <w:rPr>
          <w:noProof/>
        </w:rPr>
        <w:br w:type="page"/>
        <w:t>3.</w:t>
      </w:r>
      <w:r>
        <w:rPr>
          <w:noProof/>
        </w:rPr>
        <w:tab/>
        <w:t>Максимален брой кораби на Съюза с разрешение за активен риболов на червен тон с размери от 8 kg/75 cm до 30 kg/115 cm в Адриатическо море с цел отглеждане</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Хърватия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Италия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Съюз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pm</w:t>
            </w:r>
          </w:p>
        </w:tc>
      </w:tr>
    </w:tbl>
    <w:p>
      <w:pPr>
        <w:rPr>
          <w:rFonts w:eastAsia="Calibri"/>
          <w:noProof/>
        </w:rPr>
      </w:pPr>
    </w:p>
    <w:p>
      <w:pPr>
        <w:pStyle w:val="Point0"/>
        <w:rPr>
          <w:rFonts w:eastAsia="Calibri"/>
          <w:noProof/>
        </w:rPr>
      </w:pPr>
      <w:r>
        <w:rPr>
          <w:noProof/>
        </w:rPr>
        <w:t>4.</w:t>
      </w:r>
      <w:r>
        <w:rPr>
          <w:noProof/>
        </w:rPr>
        <w:tab/>
        <w:t>Максимален брой и общ капацитет в брутен тонаж на риболовните кораби на всяка държава членка, на които може да се разреши извършването на риболов, задържането на борда, трансбордирането, транспортирането или разтоварването на червен тон в източната част на Атлантическия океан и в Средиземно море</w:t>
      </w:r>
    </w:p>
    <w:p>
      <w:pPr>
        <w:pStyle w:val="NormalCentered"/>
        <w:rPr>
          <w:rFonts w:eastAsia="Calibri"/>
          <w:noProof/>
        </w:rPr>
      </w:pPr>
      <w:r>
        <w:rPr>
          <w:noProof/>
        </w:rPr>
        <w:t>Таблица A</w:t>
      </w:r>
    </w:p>
    <w:tbl>
      <w:tblPr>
        <w:tblW w:w="5000" w:type="pct"/>
        <w:tblLayout w:type="fixed"/>
        <w:tblLook w:val="0000" w:firstRow="0" w:lastRow="0" w:firstColumn="0" w:lastColumn="0" w:noHBand="0" w:noVBand="0"/>
      </w:tblPr>
      <w:tblGrid>
        <w:gridCol w:w="1396"/>
        <w:gridCol w:w="1208"/>
        <w:gridCol w:w="1208"/>
        <w:gridCol w:w="1208"/>
        <w:gridCol w:w="1208"/>
        <w:gridCol w:w="1208"/>
        <w:gridCol w:w="1208"/>
        <w:gridCol w:w="1210"/>
      </w:tblGrid>
      <w:tr>
        <w:trPr>
          <w:trHeight w:val="25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Брой риболовни кораби</w:t>
            </w:r>
            <w:r>
              <w:rPr>
                <w:b/>
                <w:noProof/>
                <w:vertAlign w:val="superscript"/>
              </w:rPr>
              <w:t>(2)</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 </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Кипър</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Гърция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Хърватия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Италия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Франция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Испания</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Малта</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 мрежи гъргър</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 парагади</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със захранка</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 ръчни въдици</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Траулери</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Други — непромишлен риболов</w:t>
            </w:r>
            <w:r>
              <w:rPr>
                <w:b/>
                <w:noProof/>
                <w:vertAlign w:val="superscript"/>
              </w:rPr>
              <w:t>(3)</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pStyle w:val="NormalCentered"/>
        <w:rPr>
          <w:rFonts w:eastAsia="Calibri"/>
          <w:noProof/>
        </w:rPr>
      </w:pPr>
      <w:r>
        <w:rPr>
          <w:noProof/>
        </w:rPr>
        <w:br w:type="page"/>
        <w:t>Таблица Б</w:t>
      </w:r>
    </w:p>
    <w:tbl>
      <w:tblPr>
        <w:tblW w:w="5000" w:type="pct"/>
        <w:tblLayout w:type="fixed"/>
        <w:tblLook w:val="0000" w:firstRow="0" w:lastRow="0" w:firstColumn="0" w:lastColumn="0" w:noHBand="0" w:noVBand="0"/>
      </w:tblPr>
      <w:tblGrid>
        <w:gridCol w:w="1396"/>
        <w:gridCol w:w="1208"/>
        <w:gridCol w:w="1208"/>
        <w:gridCol w:w="1208"/>
        <w:gridCol w:w="1208"/>
        <w:gridCol w:w="1208"/>
        <w:gridCol w:w="1208"/>
        <w:gridCol w:w="1210"/>
      </w:tblGrid>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292"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Общ капацитет в брутен тонаж</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 </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Кипър</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Хърватия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Гърция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Италия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Франция</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Испания</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Малта</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 мрежи гъргър</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r>
      <w:tr>
        <w:trPr>
          <w:trHeight w:val="527"/>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 парагади</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r>
      <w:tr>
        <w:trPr>
          <w:trHeight w:val="570"/>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със захранка</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Кораби с ръчни въдици</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Траулери</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r>
      <w:tr>
        <w:trPr>
          <w:trHeight w:val="570"/>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Други — непромишлен риболов</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noProof/>
                <w:sz w:val="20"/>
              </w:rPr>
              <w:t>Подлежи на определяне</w:t>
            </w:r>
          </w:p>
        </w:tc>
      </w:tr>
    </w:tbl>
    <w:p>
      <w:pPr>
        <w:rPr>
          <w:rFonts w:eastAsia="Calibri"/>
          <w:noProof/>
        </w:rPr>
      </w:pPr>
    </w:p>
    <w:p>
      <w:pPr>
        <w:pStyle w:val="Point0"/>
        <w:rPr>
          <w:rFonts w:eastAsia="Calibri"/>
          <w:noProof/>
        </w:rPr>
      </w:pPr>
      <w:r>
        <w:rPr>
          <w:noProof/>
        </w:rPr>
        <w:t>5.</w:t>
      </w:r>
      <w:r>
        <w:rPr>
          <w:noProof/>
        </w:rPr>
        <w:tab/>
        <w:t>Максимален брой капани, използвани в източната част на Атлантическия океан и в Средиземно море за улов на червен тон, разрешени от всяка държава членка</w:t>
      </w:r>
    </w:p>
    <w:tbl>
      <w:tblPr>
        <w:tblW w:w="5000" w:type="pct"/>
        <w:tblLook w:val="0000" w:firstRow="0" w:lastRow="0" w:firstColumn="0" w:lastColumn="0" w:noHBand="0" w:noVBand="0"/>
      </w:tblPr>
      <w:tblGrid>
        <w:gridCol w:w="4927"/>
        <w:gridCol w:w="4927"/>
      </w:tblGrid>
      <w:tr>
        <w:trPr>
          <w:trHeight w:val="25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Брой капани</w:t>
            </w:r>
            <w:r>
              <w:rPr>
                <w:b/>
                <w:noProof/>
                <w:vertAlign w:val="superscript"/>
              </w:rPr>
              <w:t>(4)</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Испания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Италия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Португалия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pStyle w:val="Point0"/>
        <w:rPr>
          <w:rFonts w:eastAsia="Calibri"/>
          <w:noProof/>
        </w:rPr>
      </w:pPr>
      <w:r>
        <w:rPr>
          <w:noProof/>
        </w:rPr>
        <w:br w:type="page"/>
        <w:t>6.</w:t>
      </w:r>
      <w:r>
        <w:rPr>
          <w:noProof/>
        </w:rPr>
        <w:tab/>
        <w:t>Максимален капацитет за отглеждане и угояване на червен тон за всяка държава членка и максимално количество уловен див червен тон, което всяка държава членка може да разпредели на стопанствата си в източната част на Атлантическия океан и в Средиземно море</w:t>
      </w:r>
    </w:p>
    <w:p>
      <w:pPr>
        <w:pStyle w:val="NormalCentered"/>
        <w:rPr>
          <w:rFonts w:eastAsia="Calibri"/>
          <w:noProof/>
        </w:rPr>
      </w:pPr>
      <w:r>
        <w:rPr>
          <w:noProof/>
        </w:rPr>
        <w:t>Таблица A</w:t>
      </w:r>
    </w:p>
    <w:tbl>
      <w:tblPr>
        <w:tblW w:w="5000" w:type="pct"/>
        <w:tblLook w:val="0000" w:firstRow="0" w:lastRow="0" w:firstColumn="0" w:lastColumn="0" w:noHBand="0" w:noVBand="0"/>
      </w:tblPr>
      <w:tblGrid>
        <w:gridCol w:w="3284"/>
        <w:gridCol w:w="3285"/>
        <w:gridCol w:w="3285"/>
      </w:tblGrid>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Максимален капацитет за отглеждане и угояване на риба тон</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166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Брой стопанства</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Капацитет (тонове)</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Испания</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Италия</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Гърция</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Кипър</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Хърватия</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Малта</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pStyle w:val="NormalCentered"/>
        <w:rPr>
          <w:rFonts w:eastAsia="Calibri"/>
          <w:noProof/>
        </w:rPr>
      </w:pPr>
      <w:r>
        <w:rPr>
          <w:noProof/>
        </w:rPr>
        <w:t>Таблица Б</w:t>
      </w:r>
    </w:p>
    <w:tbl>
      <w:tblPr>
        <w:tblW w:w="5000" w:type="pct"/>
        <w:tblLook w:val="0000" w:firstRow="0" w:lastRow="0" w:firstColumn="0" w:lastColumn="0" w:noHBand="0" w:noVBand="0"/>
      </w:tblPr>
      <w:tblGrid>
        <w:gridCol w:w="4927"/>
        <w:gridCol w:w="4927"/>
      </w:tblGrid>
      <w:t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Максимално количество уловен див червен тон (в тонове)</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Испания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Италия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Гърция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Кипър</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Хърватия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Малта</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rPr>
          <w:rFonts w:eastAsia="Calibri"/>
          <w:noProof/>
        </w:rPr>
      </w:pPr>
    </w:p>
    <w:p>
      <w:pPr>
        <w:rPr>
          <w:rFonts w:eastAsia="Calibri"/>
          <w:noProof/>
        </w:rPr>
      </w:pPr>
      <w:r>
        <w:rPr>
          <w:noProof/>
        </w:rPr>
        <w:br w:type="page"/>
        <w:t>________________</w:t>
      </w:r>
    </w:p>
    <w:p>
      <w:pPr>
        <w:pStyle w:val="Point0"/>
        <w:spacing w:before="0" w:after="0"/>
        <w:ind w:left="851" w:hanging="851"/>
        <w:rPr>
          <w:rFonts w:eastAsia="Calibri"/>
          <w:noProof/>
        </w:rPr>
      </w:pPr>
      <w:r>
        <w:rPr>
          <w:b/>
          <w:noProof/>
          <w:vertAlign w:val="superscript"/>
        </w:rPr>
        <w:t>(1)</w:t>
      </w:r>
      <w:r>
        <w:rPr>
          <w:noProof/>
        </w:rPr>
        <w:tab/>
        <w:t>Числата, посочени в раздели 1, 2 и 3, може да бъдат намалени, за да се изпълнят международните задължения на Съюза.</w:t>
      </w:r>
    </w:p>
    <w:p>
      <w:pPr>
        <w:pStyle w:val="Point0"/>
        <w:spacing w:before="0" w:after="0"/>
        <w:ind w:left="851" w:hanging="851"/>
        <w:rPr>
          <w:rFonts w:eastAsia="Calibri"/>
          <w:noProof/>
        </w:rPr>
      </w:pPr>
      <w:r>
        <w:rPr>
          <w:b/>
          <w:noProof/>
          <w:vertAlign w:val="superscript"/>
        </w:rPr>
        <w:t>(2)</w:t>
      </w:r>
      <w:r>
        <w:rPr>
          <w:noProof/>
        </w:rPr>
        <w:tab/>
        <w:t>Числата в тази таблица А от раздел 4 може да бъдат допълнително увеличени, ако са изпълнени международните задължения на Съюза.</w:t>
      </w:r>
    </w:p>
    <w:p>
      <w:pPr>
        <w:pStyle w:val="Point0"/>
        <w:spacing w:before="0" w:after="0"/>
        <w:ind w:left="851" w:hanging="851"/>
        <w:rPr>
          <w:rFonts w:eastAsia="Calibri"/>
          <w:noProof/>
        </w:rPr>
      </w:pPr>
      <w:r>
        <w:rPr>
          <w:b/>
          <w:noProof/>
          <w:vertAlign w:val="superscript"/>
        </w:rPr>
        <w:t>(3)</w:t>
      </w:r>
      <w:r>
        <w:rPr>
          <w:noProof/>
        </w:rPr>
        <w:tab/>
        <w:t>Поливалентни кораби, използващи разнообразно оборудване (парагади, ръчни въдици, влачени въдици).</w:t>
      </w:r>
    </w:p>
    <w:p>
      <w:pPr>
        <w:pStyle w:val="Point0"/>
        <w:spacing w:before="0" w:after="0"/>
        <w:ind w:left="851" w:hanging="851"/>
        <w:rPr>
          <w:rFonts w:eastAsia="Calibri"/>
          <w:noProof/>
        </w:rPr>
      </w:pPr>
      <w:r>
        <w:rPr>
          <w:b/>
          <w:noProof/>
          <w:vertAlign w:val="superscript"/>
        </w:rPr>
        <w:t>(4)</w:t>
      </w:r>
      <w:r>
        <w:rPr>
          <w:noProof/>
        </w:rPr>
        <w:tab/>
        <w:t>Този брой може да бъде допълнително увеличен, ако са изпълнени международните задължения на Съюза.</w:t>
      </w:r>
    </w:p>
    <w:p>
      <w:pPr>
        <w:pStyle w:val="Lignefinal"/>
        <w:rPr>
          <w:rFonts w:eastAsia="Calibri"/>
          <w:noProof/>
        </w:rPr>
      </w:pPr>
    </w:p>
    <w:p>
      <w:pPr>
        <w:rPr>
          <w:rFonts w:eastAsia="Calibri"/>
          <w:noProof/>
        </w:rPr>
        <w:sectPr>
          <w:headerReference w:type="default" r:id="rId38"/>
          <w:footerReference w:type="default" r:id="rId39"/>
          <w:headerReference w:type="first" r:id="rId40"/>
          <w:footerReference w:type="first" r:id="rId41"/>
          <w:footnotePr>
            <w:numRestart w:val="eachPage"/>
          </w:footnotePr>
          <w:pgSz w:w="11906" w:h="16838"/>
          <w:pgMar w:top="1134" w:right="1134" w:bottom="1134" w:left="1134" w:header="567" w:footer="567" w:gutter="0"/>
          <w:cols w:space="720"/>
          <w:docGrid w:linePitch="326"/>
        </w:sectPr>
      </w:pPr>
    </w:p>
    <w:p>
      <w:pPr>
        <w:pStyle w:val="Annexetitre"/>
        <w:rPr>
          <w:rFonts w:eastAsia="Calibri"/>
          <w:noProof/>
        </w:rPr>
      </w:pPr>
      <w:r>
        <w:rPr>
          <w:noProof/>
        </w:rPr>
        <w:t>ПРИЛОЖЕНИЕ V</w:t>
      </w:r>
    </w:p>
    <w:p>
      <w:pPr>
        <w:pStyle w:val="NormalCentered"/>
        <w:rPr>
          <w:rFonts w:eastAsia="Calibri"/>
          <w:noProof/>
        </w:rPr>
      </w:pPr>
      <w:r>
        <w:rPr>
          <w:noProof/>
        </w:rPr>
        <w:t>ЗОНА НА КОНВЕНЦИЯТА CCAMLR</w:t>
      </w:r>
    </w:p>
    <w:p>
      <w:pPr>
        <w:pStyle w:val="NormalCentered"/>
        <w:rPr>
          <w:rFonts w:eastAsia="Calibri"/>
          <w:noProof/>
        </w:rPr>
      </w:pPr>
      <w:r>
        <w:rPr>
          <w:noProof/>
        </w:rPr>
        <w:t>ЧАСТ A</w:t>
      </w:r>
      <w:r>
        <w:rPr>
          <w:noProof/>
        </w:rPr>
        <w:br/>
        <w:t>ЗАБРАНА НА ЦЕЛЕВИЯ РИБОЛОВ В ЗОНАТА НА КОНВЕНЦИЯТА CCAMLR</w:t>
      </w:r>
    </w:p>
    <w:tbl>
      <w:tblPr>
        <w:tblW w:w="5000" w:type="pct"/>
        <w:tblLook w:val="0000" w:firstRow="0" w:lastRow="0" w:firstColumn="0" w:lastColumn="0" w:noHBand="0" w:noVBand="0"/>
      </w:tblPr>
      <w:tblGrid>
        <w:gridCol w:w="3284"/>
        <w:gridCol w:w="3285"/>
        <w:gridCol w:w="328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Целеви вид</w:t>
            </w:r>
          </w:p>
        </w:tc>
        <w:tc>
          <w:tcPr>
            <w:tcW w:w="166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Зона</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Период на забрана</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Акули (всички видове)</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Зона на Конвенцията</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Notothenia rossii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ФАО 48.1. Антарктика, в полуостровната зона</w:t>
            </w:r>
          </w:p>
          <w:p>
            <w:pPr>
              <w:spacing w:before="60" w:after="60"/>
              <w:rPr>
                <w:rFonts w:eastAsia="Calibri"/>
                <w:noProof/>
              </w:rPr>
            </w:pPr>
            <w:r>
              <w:rPr>
                <w:noProof/>
              </w:rPr>
              <w:t>ФАО 48.2. Антарктика, около Южните Оркнейски острови</w:t>
            </w:r>
          </w:p>
          <w:p>
            <w:pPr>
              <w:spacing w:before="60" w:after="60"/>
              <w:rPr>
                <w:rFonts w:eastAsia="Calibri"/>
                <w:noProof/>
              </w:rPr>
            </w:pPr>
            <w:r>
              <w:rPr>
                <w:noProof/>
              </w:rPr>
              <w:t>ФАО 48.3. Антарктика, около Южна Джорджия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Същински риби</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ФАО 48.1. Антарктика</w:t>
            </w:r>
            <w:r>
              <w:rPr>
                <w:b/>
                <w:noProof/>
                <w:vertAlign w:val="superscript"/>
              </w:rPr>
              <w:t>(1)</w:t>
            </w:r>
          </w:p>
          <w:p>
            <w:pPr>
              <w:spacing w:before="60" w:after="60"/>
              <w:rPr>
                <w:rFonts w:eastAsia="Calibri"/>
                <w:noProof/>
              </w:rPr>
            </w:pPr>
            <w:r>
              <w:rPr>
                <w:noProof/>
              </w:rPr>
              <w:t>ФАО 48.2. Антарктика</w:t>
            </w:r>
            <w:r>
              <w:rPr>
                <w:b/>
                <w:noProof/>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Gobionotothen gibberifrons</w:t>
            </w:r>
          </w:p>
          <w:p>
            <w:pPr>
              <w:spacing w:before="60" w:after="60"/>
              <w:rPr>
                <w:rFonts w:eastAsia="Calibri"/>
                <w:i/>
                <w:iCs/>
                <w:noProof/>
              </w:rPr>
            </w:pPr>
            <w:r>
              <w:rPr>
                <w:i/>
                <w:noProof/>
              </w:rPr>
              <w:t>Chaenocephalus aceratus</w:t>
            </w:r>
          </w:p>
          <w:p>
            <w:pPr>
              <w:spacing w:before="60" w:after="60"/>
              <w:rPr>
                <w:rFonts w:eastAsia="Calibri"/>
                <w:i/>
                <w:iCs/>
                <w:noProof/>
              </w:rPr>
            </w:pPr>
            <w:r>
              <w:rPr>
                <w:i/>
                <w:noProof/>
              </w:rPr>
              <w:t>Pseudochaenichthys georgianus</w:t>
            </w:r>
          </w:p>
          <w:p>
            <w:pPr>
              <w:spacing w:before="60" w:after="60"/>
              <w:rPr>
                <w:rFonts w:eastAsia="Calibri"/>
                <w:i/>
                <w:iCs/>
                <w:noProof/>
              </w:rPr>
            </w:pPr>
            <w:r>
              <w:rPr>
                <w:i/>
                <w:noProof/>
              </w:rPr>
              <w:t>Lepidonotothen squamifrons</w:t>
            </w:r>
          </w:p>
          <w:p>
            <w:pPr>
              <w:spacing w:before="60" w:after="60"/>
              <w:rPr>
                <w:rFonts w:eastAsia="Calibri"/>
                <w:i/>
                <w:iCs/>
                <w:noProof/>
              </w:rPr>
            </w:pPr>
            <w:r>
              <w:rPr>
                <w:i/>
                <w:noProof/>
              </w:rPr>
              <w:t>Patagonotothen guntheri</w:t>
            </w:r>
          </w:p>
          <w:p>
            <w:pPr>
              <w:spacing w:before="60" w:after="60"/>
              <w:rPr>
                <w:rFonts w:eastAsia="Calibri"/>
                <w:noProof/>
              </w:rPr>
            </w:pPr>
            <w:r>
              <w:rPr>
                <w:i/>
                <w:noProof/>
              </w:rPr>
              <w:t>Electrona carlsbergi</w:t>
            </w:r>
            <w:r>
              <w:rPr>
                <w:b/>
                <w:noProof/>
                <w:vertAlign w:val="superscript"/>
              </w:rPr>
              <w:t>(1)</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ФАО 48.3.</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i/>
                <w:noProof/>
              </w:rPr>
              <w:t>Dissostichus</w:t>
            </w:r>
            <w:r>
              <w:rPr>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ФАО 48.5. Антарктика</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i/>
                <w:noProof/>
              </w:rPr>
              <w:t>Dissostichus</w:t>
            </w:r>
            <w:r>
              <w:rPr>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ФАО 88.3. Антарктика</w:t>
            </w:r>
            <w:r>
              <w:rPr>
                <w:b/>
                <w:noProof/>
                <w:vertAlign w:val="superscript"/>
              </w:rPr>
              <w:t>(1)</w:t>
            </w:r>
          </w:p>
          <w:p>
            <w:pPr>
              <w:spacing w:before="60" w:after="60"/>
              <w:rPr>
                <w:rFonts w:eastAsia="Calibri"/>
                <w:noProof/>
              </w:rPr>
            </w:pPr>
            <w:r>
              <w:rPr>
                <w:noProof/>
              </w:rPr>
              <w:t>ФAO 58.5.1. Антарктика</w:t>
            </w:r>
            <w:r>
              <w:rPr>
                <w:b/>
                <w:noProof/>
                <w:vertAlign w:val="superscript"/>
              </w:rPr>
              <w:t>(1) (2)</w:t>
            </w:r>
          </w:p>
          <w:p>
            <w:pPr>
              <w:spacing w:before="60" w:after="60"/>
              <w:rPr>
                <w:rFonts w:eastAsia="Calibri"/>
                <w:noProof/>
              </w:rPr>
            </w:pPr>
            <w:r>
              <w:rPr>
                <w:noProof/>
              </w:rPr>
              <w:t>ФAO 58.5.2. Антарктика, на изток от 79° 20′ и.д. и извън ИИЗ на запад от 79° 20′ и.д.</w:t>
            </w:r>
            <w:r>
              <w:rPr>
                <w:b/>
                <w:noProof/>
                <w:vertAlign w:val="superscript"/>
              </w:rPr>
              <w:t>(1)</w:t>
            </w:r>
          </w:p>
          <w:p>
            <w:pPr>
              <w:spacing w:before="60" w:after="60"/>
              <w:rPr>
                <w:rFonts w:eastAsia="Calibri"/>
                <w:noProof/>
              </w:rPr>
            </w:pPr>
            <w:r>
              <w:rPr>
                <w:noProof/>
              </w:rPr>
              <w:t>ФAO 58.4.4. Антарктика</w:t>
            </w:r>
            <w:r>
              <w:rPr>
                <w:b/>
                <w:noProof/>
                <w:vertAlign w:val="superscript"/>
              </w:rPr>
              <w:t>(1) (2)</w:t>
            </w:r>
          </w:p>
          <w:p>
            <w:pPr>
              <w:spacing w:before="60" w:after="60"/>
              <w:rPr>
                <w:rFonts w:eastAsia="Calibri"/>
                <w:noProof/>
              </w:rPr>
            </w:pPr>
            <w:r>
              <w:rPr>
                <w:noProof/>
              </w:rPr>
              <w:t>ФАО 58.6 Антарктика</w:t>
            </w:r>
            <w:r>
              <w:rPr>
                <w:b/>
                <w:noProof/>
                <w:vertAlign w:val="superscript"/>
              </w:rPr>
              <w:t>(1) (2)</w:t>
            </w:r>
          </w:p>
          <w:p>
            <w:pPr>
              <w:spacing w:before="60" w:after="60"/>
              <w:rPr>
                <w:rFonts w:eastAsia="Calibri"/>
                <w:noProof/>
              </w:rPr>
            </w:pPr>
            <w:r>
              <w:rPr>
                <w:noProof/>
              </w:rPr>
              <w:t>ФАО 58.7 Антарктика</w:t>
            </w:r>
            <w:r>
              <w:rPr>
                <w:b/>
                <w:noProof/>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Lepidonotothen squamifrons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ФАО 58.4.4.</w:t>
            </w:r>
            <w:r>
              <w:rPr>
                <w:b/>
                <w:noProof/>
                <w:vertAlign w:val="superscript"/>
              </w:rPr>
              <w:t>(1) (2)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 xml:space="preserve">Всички видове, с изключение на </w:t>
            </w:r>
            <w:r>
              <w:rPr>
                <w:i/>
                <w:noProof/>
              </w:rPr>
              <w:t>Champsocephalus</w:t>
            </w:r>
            <w:r>
              <w:rPr>
                <w:noProof/>
              </w:rPr>
              <w:t xml:space="preserve"> </w:t>
            </w:r>
            <w:r>
              <w:rPr>
                <w:i/>
                <w:noProof/>
              </w:rPr>
              <w:t>gunnari</w:t>
            </w:r>
            <w:r>
              <w:rPr>
                <w:noProof/>
              </w:rPr>
              <w:t xml:space="preserve"> и </w:t>
            </w:r>
            <w:r>
              <w:rPr>
                <w:i/>
                <w:noProof/>
              </w:rPr>
              <w:t>Dissostichus</w:t>
            </w:r>
            <w:r>
              <w:rPr>
                <w:noProof/>
              </w:rPr>
              <w:t xml:space="preserve"> </w:t>
            </w:r>
            <w:r>
              <w:rPr>
                <w:i/>
                <w:noProof/>
              </w:rPr>
              <w:t>eleginoides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ФAO 58.5.2. Антарктика</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i/>
                <w:noProof/>
              </w:rPr>
              <w:t>Dissostichus</w:t>
            </w:r>
            <w:r>
              <w:rPr>
                <w:noProof/>
              </w:rPr>
              <w:t xml:space="preserve"> </w:t>
            </w:r>
            <w:r>
              <w:rPr>
                <w:i/>
                <w:noProof/>
              </w:rPr>
              <w:t>mawsoni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ФАО 48.4. Антарктика(1) в зоната, ограничена от паралели 55° 30′ ю.ш. и 57° 20′ ю.ш. и меридиани 25° 30′ з.д. и 29° 30′ з.д.</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0" w:after="0"/>
              <w:rPr>
                <w:rFonts w:eastAsia="Calibri"/>
                <w:noProof/>
              </w:rPr>
            </w:pPr>
            <w:r>
              <w:rPr>
                <w:b/>
                <w:noProof/>
                <w:vertAlign w:val="superscript"/>
              </w:rPr>
              <w:t>(1)</w:t>
            </w:r>
            <w:r>
              <w:rPr>
                <w:noProof/>
              </w:rPr>
              <w:tab/>
              <w:t>Освен за научноизследователски цели.</w:t>
            </w:r>
          </w:p>
          <w:p>
            <w:pPr>
              <w:spacing w:before="0" w:after="0"/>
              <w:rPr>
                <w:rFonts w:eastAsia="Calibri"/>
                <w:noProof/>
              </w:rPr>
            </w:pPr>
            <w:r>
              <w:rPr>
                <w:b/>
                <w:noProof/>
                <w:vertAlign w:val="superscript"/>
              </w:rPr>
              <w:t>(2)</w:t>
            </w:r>
            <w:r>
              <w:rPr>
                <w:noProof/>
              </w:rPr>
              <w:tab/>
              <w:t>С изключение на водите под национална юрисдикция (ИИЗ).</w:t>
            </w:r>
          </w:p>
        </w:tc>
      </w:tr>
    </w:tbl>
    <w:p>
      <w:pPr>
        <w:rPr>
          <w:rFonts w:eastAsia="Calibri"/>
          <w:noProof/>
        </w:rPr>
      </w:pPr>
    </w:p>
    <w:p>
      <w:pPr>
        <w:pStyle w:val="NormalCentered"/>
        <w:rPr>
          <w:rFonts w:eastAsia="Calibri"/>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ЧАСТ Б</w:t>
      </w:r>
      <w:r>
        <w:rPr>
          <w:noProof/>
        </w:rPr>
        <w:br/>
        <w:t>ОДУ И ОГРАНИЧЕНИЯ НА ПРИЛОВА ПРИ ПРОУЧВАТЕЛЕН РИБОЛОВ В ЗОНАТА НА КОНВЕНЦИЯТА CCAMLR ПРЕЗ 2015/2016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035"/>
        <w:gridCol w:w="1843"/>
        <w:gridCol w:w="1559"/>
        <w:gridCol w:w="709"/>
        <w:gridCol w:w="1559"/>
        <w:gridCol w:w="1843"/>
        <w:gridCol w:w="567"/>
        <w:gridCol w:w="1843"/>
        <w:gridCol w:w="567"/>
        <w:gridCol w:w="1701"/>
        <w:gridCol w:w="644"/>
      </w:tblGrid>
      <w:tr>
        <w:trPr>
          <w:trHeight w:val="20"/>
        </w:trPr>
        <w:tc>
          <w:tcPr>
            <w:tcW w:w="916" w:type="dxa"/>
            <w:vMerge w:val="restart"/>
            <w:shd w:val="clear" w:color="auto" w:fill="auto"/>
            <w:vAlign w:val="center"/>
          </w:tcPr>
          <w:p>
            <w:pPr>
              <w:spacing w:before="0" w:after="0"/>
              <w:jc w:val="center"/>
              <w:rPr>
                <w:noProof/>
                <w:sz w:val="20"/>
                <w:szCs w:val="20"/>
              </w:rPr>
            </w:pPr>
            <w:r>
              <w:rPr>
                <w:noProof/>
                <w:sz w:val="20"/>
              </w:rPr>
              <w:t>Подзона/</w:t>
            </w:r>
            <w:r>
              <w:rPr>
                <w:noProof/>
              </w:rPr>
              <w:br/>
            </w:r>
            <w:r>
              <w:rPr>
                <w:noProof/>
                <w:sz w:val="20"/>
              </w:rPr>
              <w:t>участък</w:t>
            </w:r>
          </w:p>
        </w:tc>
        <w:tc>
          <w:tcPr>
            <w:tcW w:w="1035" w:type="dxa"/>
            <w:vMerge w:val="restart"/>
            <w:shd w:val="clear" w:color="auto" w:fill="auto"/>
            <w:vAlign w:val="center"/>
          </w:tcPr>
          <w:p>
            <w:pPr>
              <w:spacing w:before="0" w:after="0"/>
              <w:jc w:val="center"/>
              <w:rPr>
                <w:noProof/>
                <w:sz w:val="20"/>
                <w:szCs w:val="20"/>
              </w:rPr>
            </w:pPr>
            <w:r>
              <w:rPr>
                <w:noProof/>
                <w:sz w:val="20"/>
              </w:rPr>
              <w:t>Район</w:t>
            </w:r>
          </w:p>
        </w:tc>
        <w:tc>
          <w:tcPr>
            <w:tcW w:w="1843" w:type="dxa"/>
            <w:vMerge w:val="restart"/>
            <w:shd w:val="clear" w:color="auto" w:fill="auto"/>
            <w:vAlign w:val="center"/>
          </w:tcPr>
          <w:p>
            <w:pPr>
              <w:spacing w:before="0" w:after="0"/>
              <w:jc w:val="center"/>
              <w:rPr>
                <w:noProof/>
                <w:sz w:val="20"/>
                <w:szCs w:val="20"/>
              </w:rPr>
            </w:pPr>
            <w:r>
              <w:rPr>
                <w:noProof/>
                <w:sz w:val="20"/>
              </w:rPr>
              <w:t>Сезон</w:t>
            </w:r>
          </w:p>
        </w:tc>
        <w:tc>
          <w:tcPr>
            <w:tcW w:w="2268" w:type="dxa"/>
            <w:gridSpan w:val="2"/>
            <w:shd w:val="clear" w:color="auto" w:fill="auto"/>
            <w:vAlign w:val="center"/>
          </w:tcPr>
          <w:p>
            <w:pPr>
              <w:spacing w:before="0" w:after="0"/>
              <w:jc w:val="center"/>
              <w:rPr>
                <w:noProof/>
                <w:sz w:val="20"/>
                <w:szCs w:val="20"/>
              </w:rPr>
            </w:pPr>
            <w:r>
              <w:rPr>
                <w:noProof/>
                <w:sz w:val="20"/>
              </w:rPr>
              <w:t>SSRU</w:t>
            </w:r>
          </w:p>
        </w:tc>
        <w:tc>
          <w:tcPr>
            <w:tcW w:w="1559" w:type="dxa"/>
            <w:vMerge w:val="restart"/>
            <w:shd w:val="clear" w:color="auto" w:fill="auto"/>
            <w:vAlign w:val="center"/>
          </w:tcPr>
          <w:p>
            <w:pPr>
              <w:spacing w:before="0" w:after="0"/>
              <w:jc w:val="center"/>
              <w:rPr>
                <w:noProof/>
                <w:sz w:val="20"/>
                <w:szCs w:val="20"/>
              </w:rPr>
            </w:pPr>
            <w:r>
              <w:rPr>
                <w:noProof/>
              </w:rPr>
              <w:t xml:space="preserve">Ограничение за улова на </w:t>
            </w:r>
            <w:r>
              <w:rPr>
                <w:i/>
                <w:noProof/>
                <w:sz w:val="20"/>
              </w:rPr>
              <w:t>Dissostichus</w:t>
            </w:r>
            <w:r>
              <w:rPr>
                <w:noProof/>
                <w:sz w:val="20"/>
              </w:rPr>
              <w:t xml:space="preserve"> spp. (в тонове)</w:t>
            </w:r>
          </w:p>
        </w:tc>
        <w:tc>
          <w:tcPr>
            <w:tcW w:w="7165" w:type="dxa"/>
            <w:gridSpan w:val="6"/>
            <w:shd w:val="clear" w:color="auto" w:fill="auto"/>
            <w:vAlign w:val="center"/>
          </w:tcPr>
          <w:p>
            <w:pPr>
              <w:spacing w:before="0" w:after="0"/>
              <w:jc w:val="center"/>
              <w:rPr>
                <w:noProof/>
                <w:sz w:val="20"/>
                <w:szCs w:val="20"/>
              </w:rPr>
            </w:pPr>
            <w:r>
              <w:rPr>
                <w:noProof/>
                <w:sz w:val="20"/>
              </w:rPr>
              <w:t>Ограничение за улова на прилов (в тонове)</w:t>
            </w:r>
          </w:p>
        </w:tc>
      </w:tr>
      <w:tr>
        <w:trPr>
          <w:trHeight w:val="20"/>
        </w:trPr>
        <w:tc>
          <w:tcPr>
            <w:tcW w:w="916" w:type="dxa"/>
            <w:vMerge/>
            <w:shd w:val="clear" w:color="auto" w:fill="auto"/>
            <w:vAlign w:val="center"/>
          </w:tcPr>
          <w:p>
            <w:pPr>
              <w:spacing w:before="0" w:after="0"/>
              <w:jc w:val="center"/>
              <w:rPr>
                <w:noProof/>
                <w:sz w:val="20"/>
                <w:szCs w:val="20"/>
              </w:rPr>
            </w:pPr>
          </w:p>
        </w:tc>
        <w:tc>
          <w:tcPr>
            <w:tcW w:w="1035" w:type="dxa"/>
            <w:vMerge/>
            <w:shd w:val="clear" w:color="auto" w:fill="auto"/>
            <w:vAlign w:val="center"/>
          </w:tcPr>
          <w:p>
            <w:pPr>
              <w:spacing w:before="0" w:after="0"/>
              <w:jc w:val="center"/>
              <w:rPr>
                <w:noProof/>
                <w:sz w:val="20"/>
                <w:szCs w:val="20"/>
              </w:rPr>
            </w:pPr>
          </w:p>
        </w:tc>
        <w:tc>
          <w:tcPr>
            <w:tcW w:w="1843" w:type="dxa"/>
            <w:vMerge/>
            <w:shd w:val="clear" w:color="auto" w:fill="auto"/>
            <w:vAlign w:val="center"/>
          </w:tcPr>
          <w:p>
            <w:pPr>
              <w:spacing w:before="0" w:after="0"/>
              <w:jc w:val="center"/>
              <w:rPr>
                <w:noProof/>
                <w:sz w:val="20"/>
                <w:szCs w:val="20"/>
              </w:rPr>
            </w:pPr>
          </w:p>
        </w:tc>
        <w:tc>
          <w:tcPr>
            <w:tcW w:w="1559" w:type="dxa"/>
            <w:shd w:val="clear" w:color="auto" w:fill="auto"/>
            <w:vAlign w:val="center"/>
          </w:tcPr>
          <w:p>
            <w:pPr>
              <w:spacing w:before="0" w:after="0"/>
              <w:jc w:val="center"/>
              <w:rPr>
                <w:noProof/>
                <w:sz w:val="20"/>
                <w:szCs w:val="20"/>
              </w:rPr>
            </w:pPr>
            <w:r>
              <w:rPr>
                <w:noProof/>
                <w:sz w:val="20"/>
              </w:rPr>
              <w:t>SSRU</w:t>
            </w:r>
          </w:p>
        </w:tc>
        <w:tc>
          <w:tcPr>
            <w:tcW w:w="709" w:type="dxa"/>
            <w:shd w:val="clear" w:color="auto" w:fill="auto"/>
            <w:vAlign w:val="center"/>
          </w:tcPr>
          <w:p>
            <w:pPr>
              <w:spacing w:before="0" w:after="0"/>
              <w:jc w:val="center"/>
              <w:rPr>
                <w:noProof/>
                <w:sz w:val="20"/>
                <w:szCs w:val="20"/>
              </w:rPr>
            </w:pPr>
            <w:r>
              <w:rPr>
                <w:noProof/>
                <w:sz w:val="20"/>
              </w:rPr>
              <w:t>Ограничение</w:t>
            </w:r>
          </w:p>
        </w:tc>
        <w:tc>
          <w:tcPr>
            <w:tcW w:w="1559" w:type="dxa"/>
            <w:vMerge/>
            <w:shd w:val="clear" w:color="auto" w:fill="auto"/>
            <w:vAlign w:val="center"/>
          </w:tcPr>
          <w:p>
            <w:pPr>
              <w:spacing w:before="0" w:after="0"/>
              <w:jc w:val="center"/>
              <w:rPr>
                <w:noProof/>
                <w:sz w:val="20"/>
                <w:szCs w:val="20"/>
              </w:rPr>
            </w:pPr>
          </w:p>
        </w:tc>
        <w:tc>
          <w:tcPr>
            <w:tcW w:w="2410" w:type="dxa"/>
            <w:gridSpan w:val="2"/>
            <w:shd w:val="clear" w:color="auto" w:fill="auto"/>
            <w:vAlign w:val="center"/>
          </w:tcPr>
          <w:p>
            <w:pPr>
              <w:spacing w:before="0" w:after="0"/>
              <w:jc w:val="center"/>
              <w:rPr>
                <w:noProof/>
                <w:sz w:val="20"/>
                <w:szCs w:val="20"/>
              </w:rPr>
            </w:pPr>
            <w:r>
              <w:rPr>
                <w:noProof/>
                <w:sz w:val="20"/>
              </w:rPr>
              <w:t>Скатоподобни</w:t>
            </w:r>
          </w:p>
        </w:tc>
        <w:tc>
          <w:tcPr>
            <w:tcW w:w="2410" w:type="dxa"/>
            <w:gridSpan w:val="2"/>
            <w:shd w:val="clear" w:color="auto" w:fill="auto"/>
            <w:vAlign w:val="center"/>
          </w:tcPr>
          <w:p>
            <w:pPr>
              <w:spacing w:before="0" w:after="0"/>
              <w:jc w:val="center"/>
              <w:rPr>
                <w:noProof/>
                <w:sz w:val="20"/>
                <w:szCs w:val="20"/>
              </w:rPr>
            </w:pPr>
            <w:r>
              <w:rPr>
                <w:i/>
                <w:noProof/>
                <w:sz w:val="20"/>
              </w:rPr>
              <w:t>Macrourus</w:t>
            </w:r>
            <w:r>
              <w:rPr>
                <w:noProof/>
                <w:sz w:val="20"/>
              </w:rPr>
              <w:t xml:space="preserve"> spp.</w:t>
            </w:r>
          </w:p>
        </w:tc>
        <w:tc>
          <w:tcPr>
            <w:tcW w:w="2345" w:type="dxa"/>
            <w:gridSpan w:val="2"/>
            <w:shd w:val="clear" w:color="auto" w:fill="auto"/>
            <w:vAlign w:val="center"/>
          </w:tcPr>
          <w:p>
            <w:pPr>
              <w:spacing w:before="0" w:after="0"/>
              <w:jc w:val="center"/>
              <w:rPr>
                <w:noProof/>
                <w:sz w:val="20"/>
                <w:szCs w:val="20"/>
              </w:rPr>
            </w:pPr>
            <w:r>
              <w:rPr>
                <w:noProof/>
                <w:sz w:val="20"/>
              </w:rPr>
              <w:t>Други видове</w:t>
            </w:r>
          </w:p>
        </w:tc>
      </w:tr>
      <w:tr>
        <w:trPr>
          <w:trHeight w:val="20"/>
        </w:trPr>
        <w:tc>
          <w:tcPr>
            <w:tcW w:w="916" w:type="dxa"/>
            <w:vMerge w:val="restart"/>
            <w:shd w:val="clear" w:color="auto" w:fill="auto"/>
          </w:tcPr>
          <w:p>
            <w:pPr>
              <w:spacing w:before="0" w:after="0"/>
              <w:rPr>
                <w:noProof/>
                <w:sz w:val="20"/>
                <w:szCs w:val="20"/>
              </w:rPr>
            </w:pPr>
            <w:r>
              <w:rPr>
                <w:noProof/>
                <w:sz w:val="20"/>
              </w:rPr>
              <w:t>58.4.1.</w:t>
            </w:r>
          </w:p>
        </w:tc>
        <w:tc>
          <w:tcPr>
            <w:tcW w:w="1035" w:type="dxa"/>
            <w:vMerge w:val="restart"/>
            <w:shd w:val="clear" w:color="auto" w:fill="auto"/>
          </w:tcPr>
          <w:p>
            <w:pPr>
              <w:spacing w:before="0" w:after="0"/>
              <w:rPr>
                <w:noProof/>
                <w:sz w:val="20"/>
                <w:szCs w:val="20"/>
              </w:rPr>
            </w:pPr>
            <w:r>
              <w:rPr>
                <w:noProof/>
                <w:sz w:val="20"/>
              </w:rPr>
              <w:t>Целият участък</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 B, F</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C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D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E</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G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xml:space="preserve">H </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rPr>
              <w:t>58.4.2.</w:t>
            </w:r>
          </w:p>
        </w:tc>
        <w:tc>
          <w:tcPr>
            <w:tcW w:w="1035" w:type="dxa"/>
            <w:vMerge w:val="restart"/>
            <w:shd w:val="clear" w:color="auto" w:fill="auto"/>
          </w:tcPr>
          <w:p>
            <w:pPr>
              <w:spacing w:before="0" w:after="0"/>
              <w:rPr>
                <w:noProof/>
                <w:sz w:val="20"/>
                <w:szCs w:val="20"/>
              </w:rPr>
            </w:pPr>
            <w:r>
              <w:rPr>
                <w:noProof/>
                <w:sz w:val="20"/>
              </w:rPr>
              <w:t>Целият участък</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B, C, D</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E (включително 58.4.2_1)</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rPr>
              <w:t>58.4.3a.</w:t>
            </w:r>
          </w:p>
        </w:tc>
        <w:tc>
          <w:tcPr>
            <w:tcW w:w="1035" w:type="dxa"/>
            <w:vMerge w:val="restart"/>
            <w:shd w:val="clear" w:color="auto" w:fill="auto"/>
          </w:tcPr>
          <w:p>
            <w:pPr>
              <w:spacing w:before="0" w:after="0"/>
              <w:rPr>
                <w:noProof/>
                <w:sz w:val="20"/>
                <w:szCs w:val="20"/>
              </w:rPr>
            </w:pPr>
            <w:r>
              <w:rPr>
                <w:noProof/>
                <w:sz w:val="20"/>
              </w:rPr>
              <w:t>Целият участък</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 </w:t>
            </w:r>
          </w:p>
        </w:tc>
        <w:tc>
          <w:tcPr>
            <w:tcW w:w="709" w:type="dxa"/>
            <w:shd w:val="clear" w:color="auto" w:fill="auto"/>
          </w:tcPr>
          <w:p>
            <w:pPr>
              <w:spacing w:before="0" w:after="0"/>
              <w:jc w:val="center"/>
              <w:rPr>
                <w:noProof/>
                <w:sz w:val="20"/>
                <w:szCs w:val="20"/>
              </w:rPr>
            </w:pP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Не се прилага</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rPr>
              <w:t>88.1.</w:t>
            </w:r>
          </w:p>
        </w:tc>
        <w:tc>
          <w:tcPr>
            <w:tcW w:w="1035" w:type="dxa"/>
            <w:vMerge w:val="restart"/>
            <w:shd w:val="clear" w:color="auto" w:fill="auto"/>
          </w:tcPr>
          <w:p>
            <w:pPr>
              <w:spacing w:before="0" w:after="0"/>
              <w:rPr>
                <w:noProof/>
                <w:sz w:val="20"/>
                <w:szCs w:val="20"/>
              </w:rPr>
            </w:pPr>
            <w:r>
              <w:rPr>
                <w:noProof/>
                <w:sz w:val="20"/>
              </w:rPr>
              <w:t>Цялата подзона</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 D, E, F, M</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345" w:type="dxa"/>
            <w:gridSpan w:val="2"/>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B, C, G</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A, D, E, F, M</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A, D, E, F, M</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A, D, E, F, M</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H, I, K</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B, C, G</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B, C, G</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B, C, G</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J, L</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H, I, K</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H, I, K</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H, I, K</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 </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rPr>
              <w:t>J, L</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J, L</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J, L</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val="restart"/>
            <w:shd w:val="clear" w:color="auto" w:fill="auto"/>
          </w:tcPr>
          <w:p>
            <w:pPr>
              <w:spacing w:before="0" w:after="0"/>
              <w:rPr>
                <w:noProof/>
                <w:sz w:val="20"/>
                <w:szCs w:val="20"/>
              </w:rPr>
            </w:pPr>
            <w:r>
              <w:rPr>
                <w:noProof/>
                <w:sz w:val="20"/>
              </w:rPr>
              <w:t>88.2.</w:t>
            </w:r>
          </w:p>
        </w:tc>
        <w:tc>
          <w:tcPr>
            <w:tcW w:w="1035" w:type="dxa"/>
            <w:vMerge w:val="restart"/>
            <w:shd w:val="clear" w:color="auto" w:fill="auto"/>
          </w:tcPr>
          <w:p>
            <w:pPr>
              <w:spacing w:before="0" w:after="0"/>
              <w:rPr>
                <w:noProof/>
                <w:sz w:val="20"/>
                <w:szCs w:val="20"/>
              </w:rPr>
            </w:pPr>
            <w:r>
              <w:rPr>
                <w:noProof/>
                <w:sz w:val="20"/>
              </w:rPr>
              <w:t>На юг от 65° ю.ш.</w:t>
            </w:r>
          </w:p>
        </w:tc>
        <w:tc>
          <w:tcPr>
            <w:tcW w:w="1843" w:type="dxa"/>
            <w:vMerge w:val="restart"/>
            <w:shd w:val="clear" w:color="auto" w:fill="auto"/>
          </w:tcPr>
          <w:p>
            <w:pPr>
              <w:spacing w:before="0" w:after="0"/>
              <w:rPr>
                <w:noProof/>
                <w:sz w:val="20"/>
                <w:szCs w:val="20"/>
              </w:rPr>
            </w:pPr>
            <w:r>
              <w:rPr>
                <w:noProof/>
                <w:sz w:val="20"/>
              </w:rPr>
              <w:t>pm</w:t>
            </w:r>
          </w:p>
        </w:tc>
        <w:tc>
          <w:tcPr>
            <w:tcW w:w="1559" w:type="dxa"/>
            <w:shd w:val="clear" w:color="auto" w:fill="auto"/>
          </w:tcPr>
          <w:p>
            <w:pPr>
              <w:spacing w:before="0" w:after="0"/>
              <w:rPr>
                <w:noProof/>
                <w:sz w:val="20"/>
                <w:szCs w:val="20"/>
              </w:rPr>
            </w:pPr>
            <w:r>
              <w:rPr>
                <w:noProof/>
                <w:sz w:val="20"/>
              </w:rPr>
              <w:t>A, B, I</w:t>
            </w:r>
          </w:p>
        </w:tc>
        <w:tc>
          <w:tcPr>
            <w:tcW w:w="709" w:type="dxa"/>
            <w:shd w:val="clear" w:color="auto" w:fill="auto"/>
          </w:tcPr>
          <w:p>
            <w:pPr>
              <w:spacing w:before="0" w:after="0"/>
              <w:rPr>
                <w:noProof/>
                <w:sz w:val="20"/>
                <w:szCs w:val="20"/>
              </w:rPr>
            </w:pPr>
            <w:r>
              <w:rPr>
                <w:noProof/>
                <w:sz w:val="20"/>
              </w:rPr>
              <w:t>pm</w:t>
            </w:r>
          </w:p>
        </w:tc>
        <w:tc>
          <w:tcPr>
            <w:tcW w:w="1559" w:type="dxa"/>
            <w:vMerge w:val="restart"/>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410" w:type="dxa"/>
            <w:gridSpan w:val="2"/>
            <w:shd w:val="clear" w:color="auto" w:fill="auto"/>
            <w:vAlign w:val="center"/>
          </w:tcPr>
          <w:p>
            <w:pPr>
              <w:spacing w:before="0" w:after="0"/>
              <w:jc w:val="center"/>
              <w:rPr>
                <w:noProof/>
                <w:sz w:val="20"/>
                <w:szCs w:val="20"/>
              </w:rPr>
            </w:pPr>
            <w:r>
              <w:rPr>
                <w:noProof/>
                <w:sz w:val="20"/>
              </w:rPr>
              <w:t>pm</w:t>
            </w:r>
          </w:p>
        </w:tc>
        <w:tc>
          <w:tcPr>
            <w:tcW w:w="2345" w:type="dxa"/>
            <w:gridSpan w:val="2"/>
            <w:shd w:val="clear" w:color="auto" w:fill="auto"/>
            <w:vAlign w:val="center"/>
          </w:tcPr>
          <w:p>
            <w:pPr>
              <w:spacing w:before="0" w:after="0"/>
              <w:jc w:val="center"/>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rPr>
              <w:t>C, D, E, F, G (88.2_1 до 88.2_4)</w:t>
            </w:r>
          </w:p>
        </w:tc>
        <w:tc>
          <w:tcPr>
            <w:tcW w:w="709" w:type="dxa"/>
            <w:shd w:val="clear" w:color="auto" w:fill="auto"/>
          </w:tcPr>
          <w:p>
            <w:pPr>
              <w:spacing w:before="0" w:after="0"/>
              <w:rPr>
                <w:noProof/>
                <w:sz w:val="20"/>
                <w:szCs w:val="20"/>
              </w:rPr>
            </w:pPr>
            <w:r>
              <w:rPr>
                <w:noProof/>
                <w:sz w:val="20"/>
              </w:rPr>
              <w:t>pm</w:t>
            </w: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rPr>
              <w:t>A, B, I</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A, B, I</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A, B, I</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vMerge w:val="restart"/>
            <w:shd w:val="clear" w:color="auto" w:fill="auto"/>
          </w:tcPr>
          <w:p>
            <w:pPr>
              <w:spacing w:before="0" w:after="0"/>
              <w:rPr>
                <w:noProof/>
                <w:sz w:val="20"/>
                <w:szCs w:val="20"/>
              </w:rPr>
            </w:pPr>
            <w:r>
              <w:rPr>
                <w:noProof/>
                <w:sz w:val="20"/>
              </w:rPr>
              <w:t>H</w:t>
            </w:r>
          </w:p>
        </w:tc>
        <w:tc>
          <w:tcPr>
            <w:tcW w:w="709" w:type="dxa"/>
            <w:vMerge w:val="restart"/>
            <w:shd w:val="clear" w:color="auto" w:fill="auto"/>
          </w:tcPr>
          <w:p>
            <w:pPr>
              <w:spacing w:before="0" w:after="0"/>
              <w:rPr>
                <w:noProof/>
                <w:sz w:val="20"/>
                <w:szCs w:val="20"/>
              </w:rPr>
            </w:pPr>
            <w:r>
              <w:rPr>
                <w:noProof/>
                <w:sz w:val="20"/>
              </w:rPr>
              <w:t>pm</w:t>
            </w: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rPr>
              <w:t>C, D, E, F, G</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C, D, E, F, G</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C, D, E, F, G</w:t>
            </w:r>
          </w:p>
        </w:tc>
        <w:tc>
          <w:tcPr>
            <w:tcW w:w="644" w:type="dxa"/>
            <w:shd w:val="clear" w:color="auto" w:fill="auto"/>
          </w:tcPr>
          <w:p>
            <w:pPr>
              <w:spacing w:before="0" w:after="0"/>
              <w:rPr>
                <w:noProof/>
                <w:sz w:val="20"/>
                <w:szCs w:val="20"/>
              </w:rPr>
            </w:pPr>
            <w:r>
              <w:rPr>
                <w:noProof/>
                <w:sz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vMerge/>
            <w:shd w:val="clear" w:color="auto" w:fill="auto"/>
          </w:tcPr>
          <w:p>
            <w:pPr>
              <w:spacing w:before="0" w:after="0"/>
              <w:rPr>
                <w:noProof/>
                <w:sz w:val="20"/>
                <w:szCs w:val="20"/>
              </w:rPr>
            </w:pPr>
          </w:p>
        </w:tc>
        <w:tc>
          <w:tcPr>
            <w:tcW w:w="709" w:type="dxa"/>
            <w:vMerge/>
            <w:shd w:val="clear" w:color="auto" w:fill="auto"/>
          </w:tcPr>
          <w:p>
            <w:pPr>
              <w:spacing w:before="0" w:after="0"/>
              <w:rPr>
                <w:noProof/>
                <w:sz w:val="20"/>
                <w:szCs w:val="20"/>
              </w:rPr>
            </w:pP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rPr>
              <w:t>H</w:t>
            </w:r>
          </w:p>
        </w:tc>
        <w:tc>
          <w:tcPr>
            <w:tcW w:w="567" w:type="dxa"/>
            <w:shd w:val="clear" w:color="auto" w:fill="auto"/>
          </w:tcPr>
          <w:p>
            <w:pPr>
              <w:spacing w:before="0" w:after="0"/>
              <w:rPr>
                <w:noProof/>
                <w:sz w:val="20"/>
                <w:szCs w:val="20"/>
              </w:rPr>
            </w:pPr>
            <w:r>
              <w:rPr>
                <w:noProof/>
                <w:sz w:val="20"/>
              </w:rPr>
              <w:t>pm</w:t>
            </w:r>
          </w:p>
        </w:tc>
        <w:tc>
          <w:tcPr>
            <w:tcW w:w="1843" w:type="dxa"/>
            <w:shd w:val="clear" w:color="auto" w:fill="auto"/>
          </w:tcPr>
          <w:p>
            <w:pPr>
              <w:spacing w:before="0" w:after="0"/>
              <w:rPr>
                <w:noProof/>
                <w:sz w:val="20"/>
                <w:szCs w:val="20"/>
              </w:rPr>
            </w:pPr>
            <w:r>
              <w:rPr>
                <w:noProof/>
                <w:sz w:val="20"/>
              </w:rPr>
              <w:t>H</w:t>
            </w:r>
          </w:p>
        </w:tc>
        <w:tc>
          <w:tcPr>
            <w:tcW w:w="567" w:type="dxa"/>
            <w:shd w:val="clear" w:color="auto" w:fill="auto"/>
          </w:tcPr>
          <w:p>
            <w:pPr>
              <w:spacing w:before="0" w:after="0"/>
              <w:rPr>
                <w:noProof/>
                <w:sz w:val="20"/>
                <w:szCs w:val="20"/>
              </w:rPr>
            </w:pPr>
            <w:r>
              <w:rPr>
                <w:noProof/>
                <w:sz w:val="20"/>
              </w:rPr>
              <w:t>pm</w:t>
            </w:r>
          </w:p>
        </w:tc>
        <w:tc>
          <w:tcPr>
            <w:tcW w:w="1701" w:type="dxa"/>
            <w:shd w:val="clear" w:color="auto" w:fill="auto"/>
          </w:tcPr>
          <w:p>
            <w:pPr>
              <w:spacing w:before="0" w:after="0"/>
              <w:rPr>
                <w:noProof/>
                <w:sz w:val="20"/>
                <w:szCs w:val="20"/>
              </w:rPr>
            </w:pPr>
            <w:r>
              <w:rPr>
                <w:noProof/>
                <w:sz w:val="20"/>
              </w:rPr>
              <w:t>H</w:t>
            </w:r>
          </w:p>
        </w:tc>
        <w:tc>
          <w:tcPr>
            <w:tcW w:w="644" w:type="dxa"/>
            <w:shd w:val="clear" w:color="auto" w:fill="auto"/>
          </w:tcPr>
          <w:p>
            <w:pPr>
              <w:spacing w:before="0" w:after="0"/>
              <w:rPr>
                <w:noProof/>
                <w:sz w:val="20"/>
                <w:szCs w:val="20"/>
              </w:rPr>
            </w:pPr>
            <w:r>
              <w:rPr>
                <w:noProof/>
                <w:sz w:val="20"/>
              </w:rPr>
              <w:t>pm</w:t>
            </w:r>
          </w:p>
        </w:tc>
      </w:tr>
      <w:tr>
        <w:trPr>
          <w:trHeight w:val="20"/>
        </w:trPr>
        <w:tc>
          <w:tcPr>
            <w:tcW w:w="14786" w:type="dxa"/>
            <w:gridSpan w:val="12"/>
            <w:shd w:val="clear" w:color="auto" w:fill="auto"/>
          </w:tcPr>
          <w:p>
            <w:pPr>
              <w:spacing w:before="0" w:after="0"/>
              <w:ind w:left="1134" w:hanging="567"/>
              <w:rPr>
                <w:noProof/>
                <w:sz w:val="20"/>
                <w:szCs w:val="20"/>
              </w:rPr>
            </w:pPr>
          </w:p>
        </w:tc>
      </w:tr>
    </w:tbl>
    <w:p>
      <w:pPr>
        <w:rPr>
          <w:rFonts w:eastAsia="Calibri"/>
          <w:noProof/>
        </w:rPr>
      </w:pPr>
    </w:p>
    <w:p>
      <w:pPr>
        <w:pStyle w:val="NormalRight"/>
        <w:rPr>
          <w:rFonts w:eastAsia="Calibri"/>
          <w:noProof/>
        </w:rPr>
        <w:sectPr>
          <w:headerReference w:type="default" r:id="rId42"/>
          <w:footerReference w:type="default" r:id="rId43"/>
          <w:headerReference w:type="first" r:id="rId44"/>
          <w:footerReference w:type="first" r:id="rId45"/>
          <w:footnotePr>
            <w:numRestart w:val="eachPage"/>
          </w:footnotePr>
          <w:pgSz w:w="16838" w:h="11906" w:orient="landscape"/>
          <w:pgMar w:top="1134" w:right="1134" w:bottom="1134" w:left="1134" w:header="567" w:footer="567" w:gutter="0"/>
          <w:cols w:space="720"/>
          <w:docGrid w:linePitch="326"/>
        </w:sectPr>
      </w:pPr>
    </w:p>
    <w:p>
      <w:pPr>
        <w:pStyle w:val="NormalRight"/>
        <w:rPr>
          <w:rFonts w:eastAsia="Calibri"/>
          <w:b/>
          <w:bCs/>
          <w:noProof/>
          <w:u w:val="single"/>
        </w:rPr>
      </w:pPr>
      <w:r>
        <w:rPr>
          <w:b/>
          <w:noProof/>
          <w:u w:val="single"/>
        </w:rPr>
        <w:t>Допълнение към приложение V, част Б</w:t>
      </w:r>
    </w:p>
    <w:p>
      <w:pPr>
        <w:pStyle w:val="NormalCentered"/>
        <w:rPr>
          <w:rFonts w:eastAsia="Calibri"/>
          <w:noProof/>
        </w:rPr>
      </w:pPr>
      <w:r>
        <w:rPr>
          <w:noProof/>
        </w:rPr>
        <w:t>Списък на малките изследователски единици (SSRU)</w:t>
      </w:r>
    </w:p>
    <w:tbl>
      <w:tblPr>
        <w:tblW w:w="0" w:type="auto"/>
        <w:tblLook w:val="0000" w:firstRow="0" w:lastRow="0" w:firstColumn="0" w:lastColumn="0" w:noHBand="0" w:noVBand="0"/>
      </w:tblPr>
      <w:tblGrid>
        <w:gridCol w:w="936"/>
        <w:gridCol w:w="817"/>
        <w:gridCol w:w="8101"/>
      </w:tblGrid>
      <w:tr>
        <w:trPr>
          <w:trHeight w:val="20"/>
          <w:tblHead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jc w:val="center"/>
              <w:rPr>
                <w:rFonts w:eastAsia="Calibri"/>
                <w:noProof/>
              </w:rPr>
            </w:pPr>
            <w:r>
              <w:rPr>
                <w:noProof/>
              </w:rPr>
              <w:t>Район</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Гранична линия</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50° ю.ш. 20° з.д., на изток до 1° 30′ и.д., на юг до 60° ю.ш., на запад до 20° з.д., на север до 50° ю. 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20° з.д., на изток до 10° з.д., на юг до брега, на запад по протежение на брега до 20° з.д.,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10° з.д., на изток до меридиан 0°, на юг до брега, на запад по протежение на брега до 10° з.д.,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меридиан 0°, на изток до 10° и.д., на юг до брега, на запад по протежение на брега до меридиан 0°,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10° и.д., на изток до 20° и.д., на юг до брега, на запад по протежение на брега до 10°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20° и.д., на изток до 30° и.д., на юг до брега, на запад по протежение на брега до 20° и.д., на север до 60°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50° ю.ш. 1° 30′ и.д., на изток до 30° и.д., на юг до 60° ю.ш., на запад до 1° 30′ и.д., на север до 50°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55° ю.ш. 86° и.д., на изток до 150° и.д., на юг до 60° ю.ш., на запад до 86° и.д., на север до 55°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86° и.д., на изток до 90° и.д., на юг до брега, на запад по протежение на брега до 80° и.д., на север до 64° ю.ш., на изток до 86° и.д., на север до 60° ю. 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90° и.д., на изток до 100° и.д., на юг до брега, на запад по протежение на брега до 90°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 xml:space="preserve">От 60° ю.ш. 100° и.д., на изток до 110° и.д., на юг до брега, на запад по протежение на брега до 100° и.д., на север до 60° ю.ш. </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110° и.д., на изток до 120° и.д., на юг до брега, на запад по протежение на брега до 110°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120° и.д., на изток до 130° и.д., на юг до брега, на запад по протежение на брега до 120°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130° и.д., на изток до 140° и.д., на юг до брега, на запад по протежение на брега до 130° и.д., на север до 60°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140° и.д., на изток до 150° и.д., на юг до брега, на запад по протежение на брега до 140° и.д., на север до 60°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62° ю.ш. 30° и.д., на изток до 40° и.д., на юг до брега, на запад по протежение на брега до 30° и.д., на север до 62°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62° ю.ш. 40° и.д., на изток до 50° и.д., на юг до брега, на запад по протежение на брега до 40° и.д., на север до 62°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62° ю.ш. 50° и.д., на изток до 60° и.д., на юг до брега, на запад по протежение на брега до 50° и.д., на север до 62°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62° ю.ш. 60° и.д., на изток до 70° и.д., на юг до брега, на запад по протежение на брега до 60° и.д., на север до 62°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62° ю.ш. 70° и.д., на изток до 73° 10′ и.д., на юг до 64° ю.ш., на изток до 80° и.д., на юг до брега, на запад по протежение на брега до 70° и.д., на север до 62° ю.ш.</w:t>
            </w:r>
          </w:p>
        </w:tc>
      </w:tr>
      <w:tr>
        <w:trPr>
          <w:trHeight w:val="20"/>
        </w:trPr>
        <w:tc>
          <w:tcPr>
            <w:tcW w:w="0" w:type="auto"/>
            <w:tcBorders>
              <w:top w:val="single" w:sz="4" w:space="0" w:color="auto"/>
              <w:left w:val="single" w:sz="4" w:space="0" w:color="000000"/>
              <w:bottom w:val="single" w:sz="4" w:space="0" w:color="auto"/>
            </w:tcBorders>
            <w:shd w:val="clear" w:color="auto" w:fill="auto"/>
          </w:tcPr>
          <w:p>
            <w:pPr>
              <w:pageBreakBefore/>
              <w:spacing w:before="60" w:after="60"/>
              <w:rPr>
                <w:rFonts w:eastAsia="Calibri"/>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Целият участък от 56° ю.ш. 60° и.д., на изток до 73° 10′ и.д., на юг до 62° ю.ш., на запад до 60° и.д., на север до 56°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56° ю.ш. 73° 10′ и.д., на изток до 79° и.д., на юг до 59° ю.ш., на запад до 73° 10′ и.д., на север до 56°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73° 10′ и.д., на изток до 86° и.д., на юг до 64° ю.ш., на запад до 73° 10′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59° ю.ш. 73° 10′ и.д., на изток до 79° и.д., на юг до 60° ю.ш., на запад до 73° 10′ и.д., на север до 59°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59° ю.ш. 79° и.д., на изток до 86° и.д., на юг до 60° ю.ш., на запад до 79° и.д., на север до 59°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56° ю.ш. 79° и.д., на изток до 80° и.д., на север до 55° ю.ш., на изток до 86° и.д., на юг до 59° ю.ш., на запад до 79° и.д., на север до 56°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51° ю.ш. 40° и.д., на изток до 42° и.д., на юг до 54° ю.ш., на запад до 40° и.д., на север до 51°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51° ю.ш. 42° и.д., на изток до 46° и.д., на юг до 54° ю.ш., на запад до 42° и.д., на север до 51°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rFonts w:eastAsia="Calibri"/>
                <w:noProof/>
              </w:rPr>
            </w:pPr>
            <w:r>
              <w:rPr>
                <w:noProof/>
              </w:rPr>
              <w:t>От 51° ю.ш. 46° и.д., на изток до 50° и.д., на юг до 54° ю.ш., на запад до 46° и.д., на север до 51°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jc w:val="center"/>
              <w:rPr>
                <w:rFonts w:eastAsia="Calibri"/>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rFonts w:eastAsia="Calibri"/>
                <w:noProof/>
              </w:rPr>
            </w:pPr>
            <w:r>
              <w:rPr>
                <w:noProof/>
              </w:rPr>
              <w:t>Целият участък с изключение на SSRU A, B, C, и с външна граница от 50° ю.ш. 30° и.д., на изток до 60° и.д., на юг до 62° ю.ш., на запад до 30° и.д., на север до 50°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45° ю.ш. 40° и.д., на изток до 44° и.д., на юг до 48° ю.ш., на запад до 40° и.д., на север до 45°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45° ю.ш. 44°  и.д., на изток до 48° и.д., на юг до 48° ю.ш., на запад до 44° и.д., на север до 45°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45° ю.ш. 48° и.д., на изток до 51° и.д., на юг до 48° ю.ш., на запад до 48° и.д., на север до 45°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45° ю.ш. 51° и.д., на изток до 54° и.д., на юг до 48° ю.ш., на запад до 51° и.д., на север до 45° ю.ш.</w:t>
            </w:r>
          </w:p>
        </w:tc>
      </w:tr>
      <w:tr>
        <w:trPr>
          <w:trHeight w:val="20"/>
        </w:trPr>
        <w:tc>
          <w:tcPr>
            <w:tcW w:w="0" w:type="auto"/>
            <w:tcBorders>
              <w:top w:val="single" w:sz="4" w:space="0" w:color="auto"/>
              <w:left w:val="single" w:sz="4" w:space="0" w:color="000000"/>
              <w:bottom w:val="single" w:sz="4" w:space="0" w:color="auto"/>
            </w:tcBorders>
            <w:shd w:val="clear" w:color="auto" w:fill="auto"/>
          </w:tcPr>
          <w:p>
            <w:pPr>
              <w:pageBreakBefore/>
              <w:spacing w:before="60" w:after="60"/>
              <w:rPr>
                <w:rFonts w:eastAsia="Calibri"/>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45° ю.ш. 37° и.д., на изток до 40° и.д., на юг до 48° ю.ш., на запад до 37° и.д., на север до 45°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150° и.д., на изток до 170° и.д., на юг до 65° ю.ш., на запад до 150°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170° и.д., на изток до 179° и.д., на юг до 66°40' ю.ш., на запад до 170°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179° и.д., на изток до 170° з.д., на юг до 70° ю.ш., на запад до 178° з.д., на север до 66° 40′ ю.ш., на запад до 179° и.д.,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65° ю.ш. 150° и.д., на изток до 160° и.д., на юг до брега, на запад по протежение на брега до 150° и.д., на север до 65°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65° ю.ш. 160° и.д., на изток до 170° и.д., на юг до 68° 30' ю.ш., на запад до 160° и.д., на север до 65°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68° 30′ ю.ш. 160° и.д., на изток до 170° и.д., на юг до брега, на запад по протежение на брега до 160° и.д., на север до 68° 30′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66° 40′ ю.ш. 170° и.д., на изток до 178° з.д., на юг до 70° ю.ш., на запад до 178° 50′ и.д., на юг до 70° 50′ ю.ш., на запад до 170° и.д., на север до 66° 40′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70° 50′ ю.ш. 170° и.д., на изток до 178° 50′ и.д., на юг до 73° ю.ш., на запад до брега, на север по протежение на брега до 170° и.д., на север до 70° 50′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70° ю.ш. 178° 50′ и.д., на изток до 170° з.д., на юг до 73° ю.ш., на запад до 178° 50′ и.д., на север до 70°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73° ю.ш. на брега в близост до 170° и.д., на изток до 178° 50′ и.д., на юг до 80° ю.ш., на запад до 170° и.д., на север по протежение на брега до 73°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73° ю.ш. 178° 50′ и.д., на изток до 170° з.д., на юг до 76° ю.ш., на запад до 178° 50′ и.д., на север до 73°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76° ю.ш. 178° 50′ и.д., на изток до 170° з.д., на юг до 80° ю.ш., на запад до 178° 50′ и.д., на север до 76°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73° ю.ш. на брега в близост до 169° 30′ и.д., на изток до 170° и.д., на юг до 80° ю.ш., на запад до брега, на север по протежение на брега до 73°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170° з.д., на изток до 160° з.д., на юг до брега, на запад по протежение на брега до 170° з.д.,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160° з.д., на изток до 150° з.д., на юг до брега, на запад по протежение на брега до 160° з.д.,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70° 50′ ю.ш. 150° з.д., на изток до 140° з.д., на юг до брега, на запад по протежение на брега до 150° з.д., на север до 70° 50′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70° 50′ ю.ш. 140° з.д., на изток до 130° з.д., на юг до брега, на запад по протежение на брега до 140° з.д., на север до 70° 50′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70° 50′ ю.ш. 130° з.д., на изток до 120° з.д., на юг до брега, на запад по протежение на брега до 130° з.д., на север до 70° 50′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70° 50′ ю.ш. 120° з.д., на изток до 110° з.д., на юг до брега, на запад по протежение на брега до 120° з.д., на север до 70° 50′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70° 50′ ю.ш. 110° з.д., на изток до 105° з.д., на юг до брега, на запад по протежение на брега до 110° з.д., на север до 70° 50′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65° ю.ш. 150° з.д., на изток до 105° з.д., на юг до 70° 50′ ю.ш., на запад до 150° з.д., на север до 65°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150° з.д., на изток до 105° з.д., на юг до 65° ю.ш., на запад до 150° з.д., на север до 60° ю.ш.</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105° з.д., на изток до 95° з.д., на юг до брега, на запад по протежение на брега до 105° з.д.,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95° з.д., на изток до 85° з.д., на юг до брега, на запад по протежение на брега до 95° з.д., на север до 60° ю.ш.</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85° з.д., на изток до 75° з.д., на юг до брега, на запад по протежение на брега до 85° з.д., на север до 60° ю.ш.</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От 60° ю.ш. 75° з.д., на изток до 70° з.д., на юг до брега, на запад по протежение на брега до 75° з.д., на север до 60° ю.ш.</w:t>
            </w:r>
          </w:p>
        </w:tc>
      </w:tr>
    </w:tbl>
    <w:p>
      <w:pPr>
        <w:rPr>
          <w:rFonts w:eastAsia="Calibri"/>
          <w:noProof/>
        </w:rPr>
      </w:pPr>
    </w:p>
    <w:p>
      <w:pPr>
        <w:pStyle w:val="NormalCentered"/>
        <w:rPr>
          <w:rFonts w:eastAsia="Calibri"/>
          <w:noProof/>
        </w:rPr>
      </w:pPr>
      <w:r>
        <w:rPr>
          <w:noProof/>
        </w:rPr>
        <w:br w:type="page"/>
        <w:t>ЧАСТ В</w:t>
      </w:r>
    </w:p>
    <w:p>
      <w:pPr>
        <w:pStyle w:val="NormalRight"/>
        <w:rPr>
          <w:rFonts w:eastAsia="Calibri"/>
          <w:noProof/>
        </w:rPr>
      </w:pPr>
      <w:r>
        <w:rPr>
          <w:noProof/>
        </w:rPr>
        <w:t>ПРИЛОЖЕНИЕ 21-03/A</w:t>
      </w:r>
    </w:p>
    <w:p>
      <w:pPr>
        <w:pStyle w:val="NormalCentered"/>
        <w:rPr>
          <w:rFonts w:eastAsia="Calibri"/>
          <w:noProof/>
        </w:rPr>
      </w:pPr>
      <w:r>
        <w:rPr>
          <w:noProof/>
        </w:rPr>
        <w:t xml:space="preserve">УВЕДОМЛЕНИЕ ЗА НАМЕРЕНИЕ ЗА УЧАСТИЕ В РИБОЛОВ </w:t>
      </w:r>
      <w:r>
        <w:rPr>
          <w:noProof/>
        </w:rPr>
        <w:br/>
        <w:t xml:space="preserve">НА </w:t>
      </w:r>
      <w:r>
        <w:rPr>
          <w:i/>
          <w:noProof/>
        </w:rPr>
        <w:t>EUPHAUSIA SUPERBA</w:t>
      </w:r>
    </w:p>
    <w:p>
      <w:pPr>
        <w:rPr>
          <w:rFonts w:eastAsia="Calibri"/>
          <w:noProof/>
        </w:rPr>
      </w:pPr>
      <w:r>
        <w:rPr>
          <w:noProof/>
        </w:rPr>
        <w:t>Обща информация</w:t>
      </w:r>
    </w:p>
    <w:p>
      <w:pPr>
        <w:tabs>
          <w:tab w:val="left" w:leader="underscore" w:pos="9356"/>
        </w:tabs>
        <w:rPr>
          <w:rFonts w:eastAsia="Calibri"/>
          <w:noProof/>
        </w:rPr>
      </w:pPr>
      <w:r>
        <w:rPr>
          <w:noProof/>
        </w:rPr>
        <w:t>Член:</w:t>
      </w:r>
      <w:r>
        <w:rPr>
          <w:noProof/>
        </w:rPr>
        <w:tab/>
      </w:r>
    </w:p>
    <w:p>
      <w:pPr>
        <w:tabs>
          <w:tab w:val="left" w:leader="underscore" w:pos="9356"/>
        </w:tabs>
        <w:rPr>
          <w:rFonts w:eastAsia="Calibri"/>
          <w:noProof/>
        </w:rPr>
      </w:pPr>
      <w:r>
        <w:rPr>
          <w:noProof/>
        </w:rPr>
        <w:t>Риболовен сезон:</w:t>
      </w:r>
      <w:r>
        <w:rPr>
          <w:noProof/>
        </w:rPr>
        <w:tab/>
      </w:r>
    </w:p>
    <w:p>
      <w:pPr>
        <w:tabs>
          <w:tab w:val="left" w:leader="underscore" w:pos="9356"/>
        </w:tabs>
        <w:rPr>
          <w:rFonts w:eastAsia="Calibri"/>
          <w:noProof/>
        </w:rPr>
      </w:pPr>
      <w:r>
        <w:rPr>
          <w:noProof/>
        </w:rPr>
        <w:t>Име на кораба:</w:t>
      </w:r>
      <w:r>
        <w:rPr>
          <w:noProof/>
        </w:rPr>
        <w:tab/>
      </w:r>
    </w:p>
    <w:p>
      <w:pPr>
        <w:tabs>
          <w:tab w:val="left" w:leader="underscore" w:pos="9356"/>
        </w:tabs>
        <w:rPr>
          <w:rFonts w:eastAsia="Calibri"/>
          <w:noProof/>
        </w:rPr>
      </w:pPr>
      <w:r>
        <w:rPr>
          <w:noProof/>
        </w:rPr>
        <w:t>Очаквано равнище на улова (в тонове):</w:t>
      </w:r>
      <w:r>
        <w:rPr>
          <w:noProof/>
        </w:rPr>
        <w:tab/>
      </w:r>
    </w:p>
    <w:p>
      <w:pPr>
        <w:rPr>
          <w:rFonts w:eastAsia="MS Mincho"/>
          <w:noProof/>
        </w:rPr>
      </w:pPr>
      <w:r>
        <w:rPr>
          <w:noProof/>
        </w:rPr>
        <w:t>Подзони и участъци, в които се възнамерява да се извършва риболов</w:t>
      </w:r>
    </w:p>
    <w:p>
      <w:pPr>
        <w:rPr>
          <w:rFonts w:eastAsia="MS Mincho"/>
          <w:noProof/>
        </w:rPr>
      </w:pPr>
      <w:r>
        <w:rPr>
          <w:noProof/>
        </w:rPr>
        <w:t>Тази мярка за опазване се прилага за уведомленията за намерение да се извършва риболов на крил в подзони 48.1, 48.2, 48.3 и 48.4 и в участъци 58.4.1 и 58.4.2. Уведомленията за намерение да се извършва риболов на крил в други подзони и участъци трябва да се подават съгласно мярка за опазване 21-02.</w:t>
      </w:r>
    </w:p>
    <w:tbl>
      <w:tblPr>
        <w:tblW w:w="5000" w:type="pct"/>
        <w:tblLook w:val="0000" w:firstRow="0" w:lastRow="0" w:firstColumn="0" w:lastColumn="0" w:noHBand="0" w:noVBand="0"/>
      </w:tblPr>
      <w:tblGrid>
        <w:gridCol w:w="4927"/>
        <w:gridCol w:w="4927"/>
      </w:tblGrid>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rFonts w:eastAsia="MS Mincho"/>
                <w:noProof/>
              </w:rPr>
            </w:pPr>
            <w:r>
              <w:rPr>
                <w:noProof/>
              </w:rPr>
              <w:t>Подзона/ участък</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Да се отбележи съответната клетка</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48.3</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48.4</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58.4.1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58.4.2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Calibri"/>
                <w:noProof/>
              </w:rPr>
            </w:pPr>
            <w:r>
              <w:rPr>
                <w:noProof/>
              </w:rPr>
              <w:t>□</w:t>
            </w:r>
          </w:p>
        </w:tc>
      </w:tr>
    </w:tbl>
    <w:p>
      <w:pPr>
        <w:rPr>
          <w:rFonts w:eastAsia="Calibri"/>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pageBreakBefore/>
              <w:rPr>
                <w:rFonts w:eastAsia="Calibri"/>
                <w:noProof/>
              </w:rPr>
            </w:pPr>
            <w:r>
              <w:rPr>
                <w:noProof/>
              </w:rPr>
              <w:t>Техника на риболов:</w:t>
            </w:r>
          </w:p>
        </w:tc>
        <w:tc>
          <w:tcPr>
            <w:tcW w:w="7619" w:type="dxa"/>
            <w:shd w:val="clear" w:color="auto" w:fill="auto"/>
          </w:tcPr>
          <w:p>
            <w:pPr>
              <w:rPr>
                <w:noProof/>
              </w:rPr>
            </w:pPr>
            <w:r>
              <w:rPr>
                <w:noProof/>
              </w:rPr>
              <w:t>Да се отбележи съответната клетка</w:t>
            </w:r>
          </w:p>
        </w:tc>
      </w:tr>
      <w:tr>
        <w:tc>
          <w:tcPr>
            <w:tcW w:w="2235" w:type="dxa"/>
            <w:shd w:val="clear" w:color="auto" w:fill="auto"/>
          </w:tcPr>
          <w:p>
            <w:pPr>
              <w:rPr>
                <w:noProof/>
              </w:rPr>
            </w:pPr>
          </w:p>
        </w:tc>
        <w:tc>
          <w:tcPr>
            <w:tcW w:w="7619" w:type="dxa"/>
            <w:shd w:val="clear" w:color="auto" w:fill="auto"/>
          </w:tcPr>
          <w:p>
            <w:pPr>
              <w:rPr>
                <w:noProof/>
              </w:rPr>
            </w:pPr>
            <w:r>
              <w:rPr>
                <w:noProof/>
              </w:rPr>
              <w:t>□ Конвенционален трал</w:t>
            </w:r>
          </w:p>
        </w:tc>
      </w:tr>
      <w:tr>
        <w:tc>
          <w:tcPr>
            <w:tcW w:w="2235" w:type="dxa"/>
            <w:shd w:val="clear" w:color="auto" w:fill="auto"/>
          </w:tcPr>
          <w:p>
            <w:pPr>
              <w:rPr>
                <w:noProof/>
              </w:rPr>
            </w:pPr>
          </w:p>
        </w:tc>
        <w:tc>
          <w:tcPr>
            <w:tcW w:w="7619" w:type="dxa"/>
            <w:shd w:val="clear" w:color="auto" w:fill="auto"/>
          </w:tcPr>
          <w:p>
            <w:pPr>
              <w:rPr>
                <w:noProof/>
              </w:rPr>
            </w:pPr>
            <w:r>
              <w:rPr>
                <w:noProof/>
              </w:rPr>
              <w:t>□ Система за непрекъснат риболов</w:t>
            </w:r>
          </w:p>
        </w:tc>
      </w:tr>
      <w:tr>
        <w:tc>
          <w:tcPr>
            <w:tcW w:w="2235" w:type="dxa"/>
            <w:shd w:val="clear" w:color="auto" w:fill="auto"/>
          </w:tcPr>
          <w:p>
            <w:pPr>
              <w:rPr>
                <w:noProof/>
              </w:rPr>
            </w:pPr>
          </w:p>
        </w:tc>
        <w:tc>
          <w:tcPr>
            <w:tcW w:w="7619" w:type="dxa"/>
            <w:shd w:val="clear" w:color="auto" w:fill="auto"/>
          </w:tcPr>
          <w:p>
            <w:pPr>
              <w:rPr>
                <w:noProof/>
              </w:rPr>
            </w:pPr>
            <w:r>
              <w:rPr>
                <w:noProof/>
              </w:rPr>
              <w:t>□ Изпомпване за изпразване на тралната торба</w:t>
            </w:r>
          </w:p>
        </w:tc>
      </w:tr>
      <w:tr>
        <w:tc>
          <w:tcPr>
            <w:tcW w:w="2235" w:type="dxa"/>
            <w:shd w:val="clear" w:color="auto" w:fill="auto"/>
          </w:tcPr>
          <w:p>
            <w:pPr>
              <w:rPr>
                <w:noProof/>
              </w:rPr>
            </w:pPr>
          </w:p>
        </w:tc>
        <w:tc>
          <w:tcPr>
            <w:tcW w:w="7619" w:type="dxa"/>
            <w:shd w:val="clear" w:color="auto" w:fill="auto"/>
          </w:tcPr>
          <w:p>
            <w:pPr>
              <w:rPr>
                <w:rFonts w:eastAsia="Calibri"/>
                <w:noProof/>
              </w:rPr>
            </w:pPr>
            <w:r>
              <w:rPr>
                <w:noProof/>
              </w:rPr>
              <w:t>□ Друг метод — да се уточни</w:t>
            </w:r>
          </w:p>
        </w:tc>
      </w:tr>
    </w:tbl>
    <w:p>
      <w:pPr>
        <w:rPr>
          <w:rFonts w:eastAsia="Calibri"/>
          <w:noProof/>
        </w:rPr>
      </w:pPr>
      <w:r>
        <w:rPr>
          <w:noProof/>
        </w:rPr>
        <w:t>Продуктови типове и методи за директна оценка на прясното тегло на уловения крил</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Продуктов тип</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Метод за директна оценка на прясното тегло на уловения крил, когато е приложимо (вж. приложение 21-03/Б)</w:t>
            </w:r>
            <w:r>
              <w:rPr>
                <w:b/>
                <w:noProof/>
                <w:vertAlign w:val="superscript"/>
              </w:rPr>
              <w:t>(1)</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Цял — замразен</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Сварен</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Брашно</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Масло</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Друг продукт — да се уточни</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Ако методът не е включен в приложение 21-03/Б, да се посочи подробно описание</w:t>
            </w:r>
          </w:p>
        </w:tc>
      </w:tr>
    </w:tbl>
    <w:p>
      <w:pPr>
        <w:rPr>
          <w:rFonts w:eastAsia="Calibri"/>
          <w:noProof/>
        </w:rPr>
      </w:pPr>
    </w:p>
    <w:p>
      <w:pPr>
        <w:rPr>
          <w:rFonts w:eastAsia="Calibri"/>
          <w:noProof/>
        </w:rPr>
      </w:pPr>
      <w:r>
        <w:rPr>
          <w:noProof/>
        </w:rPr>
        <w:br w:type="page"/>
        <w:t>Конфигурация на мрежите</w:t>
      </w:r>
    </w:p>
    <w:tbl>
      <w:tblPr>
        <w:tblW w:w="5000" w:type="pct"/>
        <w:tblLook w:val="0000" w:firstRow="0" w:lastRow="0" w:firstColumn="0" w:lastColumn="0" w:noHBand="0" w:noVBand="0"/>
      </w:tblPr>
      <w:tblGrid>
        <w:gridCol w:w="2132"/>
        <w:gridCol w:w="1190"/>
        <w:gridCol w:w="1384"/>
        <w:gridCol w:w="1190"/>
        <w:gridCol w:w="1384"/>
        <w:gridCol w:w="1190"/>
        <w:gridCol w:w="1384"/>
      </w:tblGrid>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Размери на мрежите</w:t>
            </w:r>
          </w:p>
        </w:tc>
        <w:tc>
          <w:tcPr>
            <w:tcW w:w="954"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Мрежа 1</w:t>
            </w:r>
          </w:p>
        </w:tc>
        <w:tc>
          <w:tcPr>
            <w:tcW w:w="955"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Мрежа 2</w:t>
            </w: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Друга(и) мрежа(и)</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Отвор на мрежата (гърло)</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Максимален вертикален отвор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Максимален хоризонтален отвор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Обиколка на отвора на мрежата (гърлото)</w:t>
            </w:r>
            <w:r>
              <w:rPr>
                <w:b/>
                <w:noProof/>
                <w:vertAlign w:val="superscript"/>
              </w:rPr>
              <w:t>(1)</w:t>
            </w:r>
            <w:r>
              <w:rPr>
                <w:noProof/>
              </w:rPr>
              <w:t xml:space="preserve">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Площ на отвора на мрежата (гърлото) (m</w:t>
            </w:r>
            <w:r>
              <w:rPr>
                <w:noProof/>
                <w:vertAlign w:val="superscript"/>
              </w:rPr>
              <w:t>2</w:t>
            </w:r>
            <w:r>
              <w:rPr>
                <w:noProof/>
              </w:rPr>
              <w:t>)</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Среден размер на окото на мрежата на панела</w:t>
            </w:r>
            <w:r>
              <w:rPr>
                <w:b/>
                <w:noProof/>
                <w:vertAlign w:val="superscript"/>
              </w:rPr>
              <w:t>(3)</w:t>
            </w:r>
            <w:r>
              <w:rPr>
                <w:noProof/>
              </w:rPr>
              <w:t xml:space="preserve"> (mm)</w:t>
            </w:r>
          </w:p>
        </w:tc>
        <w:tc>
          <w:tcPr>
            <w:tcW w:w="47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Външен</w:t>
            </w:r>
            <w:r>
              <w:rPr>
                <w:b/>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Вътрешен</w:t>
            </w:r>
            <w:r>
              <w:rPr>
                <w:b/>
                <w:noProof/>
                <w:vertAlign w:val="superscript"/>
              </w:rPr>
              <w:t>(2)</w:t>
            </w:r>
          </w:p>
        </w:tc>
        <w:tc>
          <w:tcPr>
            <w:tcW w:w="47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Външен</w:t>
            </w:r>
            <w:r>
              <w:rPr>
                <w:b/>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Вътрешен</w:t>
            </w:r>
            <w:r>
              <w:rPr>
                <w:b/>
                <w:noProof/>
                <w:vertAlign w:val="superscript"/>
              </w:rPr>
              <w:t>(2)</w:t>
            </w:r>
          </w:p>
        </w:tc>
        <w:tc>
          <w:tcPr>
            <w:tcW w:w="46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Външен</w:t>
            </w:r>
            <w:r>
              <w:rPr>
                <w:b/>
                <w:noProof/>
                <w:vertAlign w:val="superscript"/>
              </w:rPr>
              <w:t>(2)</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Вътрешен</w:t>
            </w:r>
            <w:r>
              <w:rPr>
                <w:b/>
                <w:noProof/>
                <w:vertAlign w:val="superscript"/>
              </w:rPr>
              <w:t>(2)</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1-ви панел</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2-ри панел</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3-ти панел</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Последен панел (трална торба)</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rFonts w:eastAsia="Calibri"/>
                <w:noProof/>
              </w:rPr>
            </w:pPr>
            <w:r>
              <w:rPr>
                <w:b/>
                <w:noProof/>
                <w:vertAlign w:val="superscript"/>
              </w:rPr>
              <w:t>(1)</w:t>
            </w:r>
            <w:r>
              <w:rPr>
                <w:noProof/>
              </w:rPr>
              <w:tab/>
              <w:t>Очаквана при работни условия.</w:t>
            </w:r>
          </w:p>
          <w:p>
            <w:pPr>
              <w:spacing w:before="0" w:after="0"/>
              <w:ind w:left="567" w:hanging="567"/>
              <w:rPr>
                <w:rFonts w:eastAsia="Calibri"/>
                <w:noProof/>
              </w:rPr>
            </w:pPr>
            <w:r>
              <w:rPr>
                <w:b/>
                <w:noProof/>
                <w:vertAlign w:val="superscript"/>
              </w:rPr>
              <w:t>(2)</w:t>
            </w:r>
            <w:r>
              <w:rPr>
                <w:noProof/>
              </w:rPr>
              <w:tab/>
              <w:t>Размер на външното око и на вътрешното око, ако се използва двойна торба.</w:t>
            </w:r>
          </w:p>
          <w:p>
            <w:pPr>
              <w:spacing w:before="0" w:after="0"/>
              <w:ind w:left="567" w:hanging="567"/>
              <w:rPr>
                <w:rFonts w:eastAsia="Calibri"/>
                <w:noProof/>
              </w:rPr>
            </w:pPr>
            <w:r>
              <w:rPr>
                <w:b/>
                <w:noProof/>
                <w:vertAlign w:val="superscript"/>
              </w:rPr>
              <w:t>(3)</w:t>
            </w:r>
            <w:r>
              <w:rPr>
                <w:noProof/>
              </w:rPr>
              <w:tab/>
              <w:t>Вътрешен размер на окото в разпънато положение въз основа на процедурата съгласно мярка за опазване 22-01.</w:t>
            </w:r>
          </w:p>
        </w:tc>
      </w:tr>
    </w:tbl>
    <w:p>
      <w:pPr>
        <w:rPr>
          <w:rFonts w:eastAsia="Calibri"/>
          <w:noProof/>
        </w:rPr>
      </w:pPr>
    </w:p>
    <w:p>
      <w:pPr>
        <w:rPr>
          <w:rFonts w:eastAsia="Calibri"/>
          <w:noProof/>
        </w:rPr>
      </w:pPr>
      <w:r>
        <w:rPr>
          <w:noProof/>
        </w:rPr>
        <w:br w:type="page"/>
        <w:t>Схема(и) на мрежата(ите): ________________</w:t>
      </w:r>
    </w:p>
    <w:p>
      <w:pPr>
        <w:rPr>
          <w:rFonts w:eastAsia="Calibri"/>
          <w:noProof/>
        </w:rPr>
      </w:pPr>
      <w:r>
        <w:rPr>
          <w:noProof/>
        </w:rPr>
        <w:t>За всяка използвана мрежа и всяка промяна в конфигурацията на мрежата да се посочи съответната схема на мрежа (ако има такава) в библиотеката на риболовните уреди на CCAMLR (</w:t>
      </w:r>
      <w:hyperlink r:id="rId46">
        <w:r>
          <w:rPr>
            <w:noProof/>
          </w:rPr>
          <w:t>www.ccamlr.org/node/74407</w:t>
        </w:r>
      </w:hyperlink>
      <w:r>
        <w:rPr>
          <w:noProof/>
        </w:rPr>
        <w:t>) или да се представи подробна схема и описание на предстоящото заседание на WG-EMM. Схемите на мрежите трябва да включват:</w:t>
      </w:r>
    </w:p>
    <w:p>
      <w:pPr>
        <w:pStyle w:val="Point0"/>
        <w:rPr>
          <w:rFonts w:eastAsia="Calibri"/>
          <w:noProof/>
        </w:rPr>
      </w:pPr>
      <w:r>
        <w:rPr>
          <w:noProof/>
        </w:rPr>
        <w:t>1.</w:t>
      </w:r>
      <w:r>
        <w:rPr>
          <w:noProof/>
        </w:rPr>
        <w:tab/>
        <w:t>Дължина и ширина на всеки панел на трала (достатъчно подробни данни, за да се даде възможност за изчисляване на ъгъла на всеки панел спрямо водния поток).</w:t>
      </w:r>
    </w:p>
    <w:p>
      <w:pPr>
        <w:pStyle w:val="Point0"/>
        <w:rPr>
          <w:rFonts w:eastAsia="Calibri"/>
          <w:noProof/>
        </w:rPr>
      </w:pPr>
      <w:r>
        <w:rPr>
          <w:noProof/>
        </w:rPr>
        <w:t>2.</w:t>
      </w:r>
      <w:r>
        <w:rPr>
          <w:noProof/>
        </w:rPr>
        <w:tab/>
        <w:t>Размер на окото (вътрешен размер на окото в разпънато положение въз основа на процедурата съгласно мярка за опазване 22-01), форма (напр. ромбовидна) и материал (напр. полипропилен).</w:t>
      </w:r>
    </w:p>
    <w:p>
      <w:pPr>
        <w:pStyle w:val="Point0"/>
        <w:rPr>
          <w:rFonts w:eastAsia="Calibri"/>
          <w:noProof/>
        </w:rPr>
      </w:pPr>
      <w:r>
        <w:rPr>
          <w:noProof/>
        </w:rPr>
        <w:t>3.</w:t>
      </w:r>
      <w:r>
        <w:rPr>
          <w:noProof/>
        </w:rPr>
        <w:tab/>
        <w:t>Изработка на окото (напр. на възли; отливка).</w:t>
      </w:r>
    </w:p>
    <w:p>
      <w:pPr>
        <w:pStyle w:val="Point0"/>
        <w:rPr>
          <w:rFonts w:eastAsia="Calibri"/>
          <w:noProof/>
        </w:rPr>
      </w:pPr>
      <w:r>
        <w:rPr>
          <w:noProof/>
        </w:rPr>
        <w:t>4.</w:t>
      </w:r>
      <w:r>
        <w:rPr>
          <w:noProof/>
        </w:rPr>
        <w:tab/>
        <w:t>Подробна информация за блесните, използвани във вътрешността на трала (конструкция, разположение върху панелите, да се посочи „Не е приложимо“, ако не се използват блесни); блесните не позволяват на крила да запушва окото или да излиза от мрежата.</w:t>
      </w:r>
    </w:p>
    <w:p>
      <w:pPr>
        <w:rPr>
          <w:rFonts w:eastAsia="Calibri"/>
          <w:noProof/>
        </w:rPr>
      </w:pPr>
      <w:r>
        <w:rPr>
          <w:noProof/>
        </w:rPr>
        <w:t>Съоръжение за изключване на морски бозайници</w:t>
      </w:r>
    </w:p>
    <w:p>
      <w:pPr>
        <w:rPr>
          <w:rFonts w:eastAsia="Calibri"/>
          <w:noProof/>
        </w:rPr>
      </w:pPr>
      <w:r>
        <w:rPr>
          <w:noProof/>
        </w:rPr>
        <w:t>Схема(и) на съоръжението(ята): ________________</w:t>
      </w:r>
    </w:p>
    <w:p>
      <w:pPr>
        <w:rPr>
          <w:rFonts w:eastAsia="Calibri"/>
          <w:noProof/>
        </w:rPr>
      </w:pPr>
      <w:r>
        <w:rPr>
          <w:noProof/>
        </w:rPr>
        <w:t>За всеки вид използвано съоръжение и всяка промяна в конфигурацията на съоръжението да се посочи съответната схема (ако има такава) в библиотеката на риболовните уреди на CCAMLR (</w:t>
      </w:r>
      <w:hyperlink r:id="rId47">
        <w:r>
          <w:rPr>
            <w:noProof/>
          </w:rPr>
          <w:t>www.ccamlr.org/node/74407</w:t>
        </w:r>
      </w:hyperlink>
      <w:r>
        <w:rPr>
          <w:noProof/>
        </w:rPr>
        <w:t>) или да се представи подробна схема и описание на предстоящото заседание на WG-EMM.</w:t>
      </w:r>
    </w:p>
    <w:p>
      <w:pPr>
        <w:rPr>
          <w:rFonts w:eastAsia="Calibri"/>
          <w:noProof/>
        </w:rPr>
      </w:pPr>
      <w:r>
        <w:rPr>
          <w:noProof/>
        </w:rPr>
        <w:br w:type="page"/>
        <w:t>Събиране на акустични данни</w:t>
      </w:r>
    </w:p>
    <w:p>
      <w:pPr>
        <w:rPr>
          <w:rFonts w:eastAsia="Calibri"/>
          <w:noProof/>
        </w:rPr>
      </w:pPr>
      <w:r>
        <w:rPr>
          <w:noProof/>
        </w:rPr>
        <w:t>Да се представи информация за ехолотите и хидролокаторите, използвани от кораба.</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Вид (напр. ехолот, хидролокатор)</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Производител</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Модел</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Честоти на датчиците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bl>
    <w:p>
      <w:pPr>
        <w:rPr>
          <w:rFonts w:eastAsia="Calibri"/>
          <w:noProof/>
        </w:rPr>
      </w:pPr>
    </w:p>
    <w:p>
      <w:pPr>
        <w:rPr>
          <w:rFonts w:eastAsia="Calibri"/>
          <w:noProof/>
        </w:rPr>
      </w:pPr>
      <w:r>
        <w:rPr>
          <w:noProof/>
        </w:rPr>
        <w:t>Събиране на акустични данни (подробно описание): ________________</w:t>
      </w:r>
    </w:p>
    <w:p>
      <w:pPr>
        <w:rPr>
          <w:rFonts w:eastAsia="Calibri"/>
          <w:noProof/>
        </w:rPr>
      </w:pPr>
      <w:r>
        <w:rPr>
          <w:noProof/>
        </w:rPr>
        <w:t>Да се опишат етапите, които ще бъдат осъществени за събирането на акустични данни, така че да се осигури информация за разпространението и изобилието на запасите от Euphausia superba и други пелагични видове като Мyctophidae и Salpidae (SC-CAMLR-XXX, точка 2.10)</w:t>
      </w:r>
    </w:p>
    <w:p>
      <w:pPr>
        <w:pStyle w:val="NormalRight"/>
        <w:rPr>
          <w:rFonts w:eastAsia="Calibri"/>
          <w:noProof/>
        </w:rPr>
      </w:pPr>
      <w:r>
        <w:rPr>
          <w:noProof/>
        </w:rPr>
        <w:br w:type="page"/>
        <w:t>ПРИЛОЖЕНИЕ 21-03/Б</w:t>
      </w:r>
    </w:p>
    <w:p>
      <w:pPr>
        <w:pStyle w:val="NormalCentered"/>
        <w:rPr>
          <w:rFonts w:eastAsia="Calibri"/>
          <w:noProof/>
        </w:rPr>
      </w:pPr>
      <w:r>
        <w:rPr>
          <w:noProof/>
        </w:rPr>
        <w:t>НАСОКИ ЗА ИЗГОТВЯНЕ НА ПРИБЛИЗИТЕЛНА ОЦЕНКА НА</w:t>
      </w:r>
      <w:r>
        <w:rPr>
          <w:noProof/>
        </w:rPr>
        <w:br/>
        <w:t>ПРЯСНОТО ТЕГЛО НА УЛОВЕНИЯ КРИЛ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5"/>
        <w:gridCol w:w="2120"/>
        <w:gridCol w:w="1394"/>
        <w:gridCol w:w="2177"/>
        <w:gridCol w:w="794"/>
      </w:tblGrid>
      <w:tr>
        <w:trPr>
          <w:tblHeader/>
        </w:trPr>
        <w:tc>
          <w:tcPr>
            <w:tcW w:w="1384" w:type="dxa"/>
            <w:vMerge w:val="restart"/>
            <w:shd w:val="clear" w:color="auto" w:fill="auto"/>
            <w:vAlign w:val="center"/>
          </w:tcPr>
          <w:p>
            <w:pPr>
              <w:spacing w:before="60" w:after="60"/>
              <w:jc w:val="center"/>
              <w:rPr>
                <w:noProof/>
                <w:sz w:val="20"/>
                <w:szCs w:val="20"/>
              </w:rPr>
            </w:pPr>
            <w:r>
              <w:rPr>
                <w:noProof/>
                <w:sz w:val="20"/>
              </w:rPr>
              <w:t>Метод</w:t>
            </w:r>
          </w:p>
        </w:tc>
        <w:tc>
          <w:tcPr>
            <w:tcW w:w="1985" w:type="dxa"/>
            <w:vMerge w:val="restart"/>
            <w:shd w:val="clear" w:color="auto" w:fill="auto"/>
            <w:vAlign w:val="center"/>
          </w:tcPr>
          <w:p>
            <w:pPr>
              <w:spacing w:before="60" w:after="60"/>
              <w:jc w:val="center"/>
              <w:rPr>
                <w:noProof/>
                <w:sz w:val="20"/>
                <w:szCs w:val="20"/>
              </w:rPr>
            </w:pPr>
            <w:r>
              <w:rPr>
                <w:noProof/>
                <w:sz w:val="20"/>
              </w:rPr>
              <w:t>Формула (kg)</w:t>
            </w:r>
          </w:p>
        </w:tc>
        <w:tc>
          <w:tcPr>
            <w:tcW w:w="6485" w:type="dxa"/>
            <w:gridSpan w:val="4"/>
            <w:shd w:val="clear" w:color="auto" w:fill="auto"/>
            <w:vAlign w:val="center"/>
          </w:tcPr>
          <w:p>
            <w:pPr>
              <w:spacing w:before="60" w:after="60"/>
              <w:jc w:val="center"/>
              <w:rPr>
                <w:noProof/>
                <w:sz w:val="20"/>
                <w:szCs w:val="20"/>
              </w:rPr>
            </w:pPr>
            <w:r>
              <w:rPr>
                <w:noProof/>
                <w:sz w:val="20"/>
              </w:rPr>
              <w:t>Параметър</w:t>
            </w:r>
          </w:p>
        </w:tc>
      </w:tr>
      <w:tr>
        <w:trPr>
          <w:tblHeader/>
        </w:trPr>
        <w:tc>
          <w:tcPr>
            <w:tcW w:w="1384" w:type="dxa"/>
            <w:vMerge/>
            <w:shd w:val="clear" w:color="auto" w:fill="auto"/>
            <w:vAlign w:val="center"/>
          </w:tcPr>
          <w:p>
            <w:pPr>
              <w:spacing w:before="60" w:after="60"/>
              <w:jc w:val="center"/>
              <w:rPr>
                <w:noProof/>
                <w:sz w:val="20"/>
                <w:szCs w:val="20"/>
              </w:rPr>
            </w:pPr>
          </w:p>
        </w:tc>
        <w:tc>
          <w:tcPr>
            <w:tcW w:w="1985" w:type="dxa"/>
            <w:vMerge/>
            <w:shd w:val="clear" w:color="auto" w:fill="auto"/>
            <w:vAlign w:val="center"/>
          </w:tcPr>
          <w:p>
            <w:pPr>
              <w:spacing w:before="60" w:after="60"/>
              <w:jc w:val="center"/>
              <w:rPr>
                <w:noProof/>
                <w:sz w:val="20"/>
                <w:szCs w:val="20"/>
              </w:rPr>
            </w:pPr>
          </w:p>
        </w:tc>
        <w:tc>
          <w:tcPr>
            <w:tcW w:w="2120" w:type="dxa"/>
            <w:shd w:val="clear" w:color="auto" w:fill="auto"/>
            <w:vAlign w:val="center"/>
          </w:tcPr>
          <w:p>
            <w:pPr>
              <w:spacing w:before="60" w:after="60"/>
              <w:jc w:val="center"/>
              <w:rPr>
                <w:noProof/>
                <w:sz w:val="20"/>
                <w:szCs w:val="20"/>
              </w:rPr>
            </w:pPr>
            <w:r>
              <w:rPr>
                <w:noProof/>
                <w:sz w:val="20"/>
              </w:rPr>
              <w:t>Описание</w:t>
            </w:r>
          </w:p>
        </w:tc>
        <w:tc>
          <w:tcPr>
            <w:tcW w:w="1394" w:type="dxa"/>
            <w:shd w:val="clear" w:color="auto" w:fill="auto"/>
            <w:vAlign w:val="center"/>
          </w:tcPr>
          <w:p>
            <w:pPr>
              <w:spacing w:before="60" w:after="60"/>
              <w:jc w:val="center"/>
              <w:rPr>
                <w:noProof/>
                <w:sz w:val="20"/>
                <w:szCs w:val="20"/>
              </w:rPr>
            </w:pPr>
            <w:r>
              <w:rPr>
                <w:noProof/>
                <w:sz w:val="20"/>
              </w:rPr>
              <w:t>Вид</w:t>
            </w:r>
          </w:p>
        </w:tc>
        <w:tc>
          <w:tcPr>
            <w:tcW w:w="2177" w:type="dxa"/>
            <w:shd w:val="clear" w:color="auto" w:fill="auto"/>
            <w:vAlign w:val="center"/>
          </w:tcPr>
          <w:p>
            <w:pPr>
              <w:spacing w:before="60" w:after="60"/>
              <w:jc w:val="center"/>
              <w:rPr>
                <w:noProof/>
                <w:sz w:val="20"/>
                <w:szCs w:val="20"/>
              </w:rPr>
            </w:pPr>
            <w:r>
              <w:rPr>
                <w:noProof/>
                <w:sz w:val="20"/>
              </w:rPr>
              <w:t>Метод за приблизителна оценка</w:t>
            </w:r>
          </w:p>
        </w:tc>
        <w:tc>
          <w:tcPr>
            <w:tcW w:w="794" w:type="dxa"/>
            <w:shd w:val="clear" w:color="auto" w:fill="auto"/>
            <w:vAlign w:val="center"/>
          </w:tcPr>
          <w:p>
            <w:pPr>
              <w:spacing w:before="60" w:after="60"/>
              <w:jc w:val="center"/>
              <w:rPr>
                <w:noProof/>
                <w:sz w:val="20"/>
                <w:szCs w:val="20"/>
              </w:rPr>
            </w:pPr>
            <w:r>
              <w:rPr>
                <w:noProof/>
                <w:sz w:val="20"/>
              </w:rPr>
              <w:t>Мерна единица</w:t>
            </w:r>
          </w:p>
        </w:tc>
      </w:tr>
      <w:tr>
        <w:tc>
          <w:tcPr>
            <w:tcW w:w="1384" w:type="dxa"/>
            <w:vMerge w:val="restart"/>
            <w:shd w:val="clear" w:color="auto" w:fill="auto"/>
          </w:tcPr>
          <w:p>
            <w:pPr>
              <w:spacing w:before="60" w:after="60"/>
              <w:rPr>
                <w:noProof/>
                <w:sz w:val="20"/>
                <w:szCs w:val="20"/>
              </w:rPr>
            </w:pPr>
            <w:r>
              <w:rPr>
                <w:noProof/>
                <w:sz w:val="20"/>
              </w:rPr>
              <w:t>Обем на събирателния резервоар </w:t>
            </w:r>
          </w:p>
        </w:tc>
        <w:tc>
          <w:tcPr>
            <w:tcW w:w="1985" w:type="dxa"/>
            <w:vMerge w:val="restart"/>
            <w:shd w:val="clear" w:color="auto" w:fill="auto"/>
          </w:tcPr>
          <w:p>
            <w:pPr>
              <w:spacing w:before="60" w:after="60"/>
              <w:rPr>
                <w:i/>
                <w:iCs/>
                <w:noProof/>
                <w:sz w:val="20"/>
                <w:szCs w:val="20"/>
              </w:rPr>
            </w:pPr>
            <w:r>
              <w:rPr>
                <w:i/>
                <w:noProof/>
                <w:sz w:val="20"/>
              </w:rPr>
              <w:t>W*L*H*ρ*1 000</w:t>
            </w:r>
          </w:p>
        </w:tc>
        <w:tc>
          <w:tcPr>
            <w:tcW w:w="2120" w:type="dxa"/>
            <w:shd w:val="clear" w:color="auto" w:fill="auto"/>
          </w:tcPr>
          <w:p>
            <w:pPr>
              <w:spacing w:before="60" w:after="60"/>
              <w:rPr>
                <w:noProof/>
                <w:sz w:val="20"/>
                <w:szCs w:val="20"/>
              </w:rPr>
            </w:pPr>
            <w:r>
              <w:rPr>
                <w:i/>
                <w:noProof/>
                <w:sz w:val="20"/>
              </w:rPr>
              <w:t>W</w:t>
            </w:r>
            <w:r>
              <w:rPr>
                <w:noProof/>
                <w:sz w:val="20"/>
              </w:rPr>
              <w:t xml:space="preserve"> = ширина на резервоара</w:t>
            </w:r>
          </w:p>
        </w:tc>
        <w:tc>
          <w:tcPr>
            <w:tcW w:w="1394" w:type="dxa"/>
            <w:shd w:val="clear" w:color="auto" w:fill="auto"/>
          </w:tcPr>
          <w:p>
            <w:pPr>
              <w:spacing w:before="60" w:after="60"/>
              <w:rPr>
                <w:noProof/>
                <w:sz w:val="20"/>
                <w:szCs w:val="20"/>
              </w:rPr>
            </w:pPr>
            <w:r>
              <w:rPr>
                <w:noProof/>
                <w:sz w:val="20"/>
              </w:rPr>
              <w:t>Постоянна величина</w:t>
            </w:r>
          </w:p>
        </w:tc>
        <w:tc>
          <w:tcPr>
            <w:tcW w:w="2177" w:type="dxa"/>
            <w:shd w:val="clear" w:color="auto" w:fill="auto"/>
          </w:tcPr>
          <w:p>
            <w:pPr>
              <w:spacing w:before="60" w:after="60"/>
              <w:rPr>
                <w:noProof/>
                <w:sz w:val="20"/>
                <w:szCs w:val="20"/>
              </w:rPr>
            </w:pPr>
            <w:r>
              <w:rPr>
                <w:noProof/>
                <w:sz w:val="20"/>
              </w:rPr>
              <w:t xml:space="preserve">Измерване при започване на риболова </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L</w:t>
            </w:r>
            <w:r>
              <w:rPr>
                <w:noProof/>
                <w:sz w:val="20"/>
              </w:rPr>
              <w:t xml:space="preserve"> = дължина на резервоара</w:t>
            </w:r>
          </w:p>
        </w:tc>
        <w:tc>
          <w:tcPr>
            <w:tcW w:w="1394" w:type="dxa"/>
            <w:shd w:val="clear" w:color="auto" w:fill="auto"/>
          </w:tcPr>
          <w:p>
            <w:pPr>
              <w:spacing w:before="60" w:after="60"/>
              <w:rPr>
                <w:noProof/>
                <w:sz w:val="20"/>
                <w:szCs w:val="20"/>
              </w:rPr>
            </w:pPr>
            <w:r>
              <w:rPr>
                <w:noProof/>
                <w:sz w:val="20"/>
              </w:rPr>
              <w:t>Постоянна величина</w:t>
            </w:r>
          </w:p>
        </w:tc>
        <w:tc>
          <w:tcPr>
            <w:tcW w:w="2177" w:type="dxa"/>
            <w:shd w:val="clear" w:color="auto" w:fill="auto"/>
          </w:tcPr>
          <w:p>
            <w:pPr>
              <w:spacing w:before="60" w:after="60"/>
              <w:rPr>
                <w:noProof/>
                <w:sz w:val="20"/>
                <w:szCs w:val="20"/>
              </w:rPr>
            </w:pPr>
            <w:r>
              <w:rPr>
                <w:noProof/>
                <w:sz w:val="20"/>
              </w:rPr>
              <w:t xml:space="preserve">Измерване при започване на риболова </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 коефициент на превръщане от обем в маса </w:t>
            </w:r>
          </w:p>
        </w:tc>
        <w:tc>
          <w:tcPr>
            <w:tcW w:w="1394" w:type="dxa"/>
            <w:shd w:val="clear" w:color="auto" w:fill="auto"/>
          </w:tcPr>
          <w:p>
            <w:pPr>
              <w:spacing w:before="60" w:after="60"/>
              <w:rPr>
                <w:noProof/>
                <w:sz w:val="20"/>
                <w:szCs w:val="20"/>
              </w:rPr>
            </w:pPr>
            <w:r>
              <w:rPr>
                <w:noProof/>
                <w:sz w:val="20"/>
              </w:rPr>
              <w:t>Променлива величина</w:t>
            </w:r>
          </w:p>
        </w:tc>
        <w:tc>
          <w:tcPr>
            <w:tcW w:w="2177" w:type="dxa"/>
            <w:shd w:val="clear" w:color="auto" w:fill="auto"/>
          </w:tcPr>
          <w:p>
            <w:pPr>
              <w:spacing w:before="60" w:after="60"/>
              <w:rPr>
                <w:noProof/>
                <w:sz w:val="20"/>
                <w:szCs w:val="20"/>
              </w:rPr>
            </w:pPr>
            <w:r>
              <w:rPr>
                <w:noProof/>
                <w:sz w:val="20"/>
              </w:rPr>
              <w:t>Превръщане от обем в маса</w:t>
            </w:r>
          </w:p>
        </w:tc>
        <w:tc>
          <w:tcPr>
            <w:tcW w:w="794" w:type="dxa"/>
            <w:shd w:val="clear" w:color="auto" w:fill="auto"/>
          </w:tcPr>
          <w:p>
            <w:pPr>
              <w:spacing w:before="60" w:after="60"/>
              <w:rPr>
                <w:noProof/>
                <w:sz w:val="20"/>
                <w:szCs w:val="20"/>
              </w:rPr>
            </w:pPr>
            <w:r>
              <w:rPr>
                <w:noProof/>
                <w:sz w:val="20"/>
              </w:rPr>
              <w:t>kg/l</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noProof/>
                <w:sz w:val="20"/>
              </w:rPr>
              <w:t>H = дълбочина на крила в резервоара</w:t>
            </w:r>
          </w:p>
        </w:tc>
        <w:tc>
          <w:tcPr>
            <w:tcW w:w="1394" w:type="dxa"/>
            <w:shd w:val="clear" w:color="auto" w:fill="auto"/>
          </w:tcPr>
          <w:p>
            <w:pPr>
              <w:spacing w:before="60" w:after="60"/>
              <w:rPr>
                <w:noProof/>
                <w:sz w:val="20"/>
                <w:szCs w:val="20"/>
              </w:rPr>
            </w:pPr>
            <w:r>
              <w:rPr>
                <w:noProof/>
                <w:sz w:val="20"/>
              </w:rPr>
              <w:t>Зависи от изтеглянето</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m</w:t>
            </w:r>
          </w:p>
        </w:tc>
      </w:tr>
      <w:tr>
        <w:tc>
          <w:tcPr>
            <w:tcW w:w="1384" w:type="dxa"/>
            <w:vMerge w:val="restart"/>
            <w:shd w:val="clear" w:color="auto" w:fill="auto"/>
          </w:tcPr>
          <w:p>
            <w:pPr>
              <w:spacing w:before="60" w:after="60"/>
              <w:rPr>
                <w:noProof/>
                <w:sz w:val="20"/>
                <w:szCs w:val="20"/>
              </w:rPr>
            </w:pPr>
            <w:r>
              <w:rPr>
                <w:noProof/>
                <w:sz w:val="20"/>
              </w:rPr>
              <w:t>Дебитомер</w:t>
            </w:r>
            <w:r>
              <w:rPr>
                <w:b/>
                <w:noProof/>
                <w:sz w:val="20"/>
                <w:vertAlign w:val="superscript"/>
              </w:rPr>
              <w:t>(1)</w:t>
            </w:r>
          </w:p>
        </w:tc>
        <w:tc>
          <w:tcPr>
            <w:tcW w:w="1985" w:type="dxa"/>
            <w:vMerge w:val="restart"/>
            <w:shd w:val="clear" w:color="auto" w:fill="auto"/>
          </w:tcPr>
          <w:p>
            <w:pPr>
              <w:spacing w:before="60" w:after="60"/>
              <w:rPr>
                <w:i/>
                <w:iCs/>
                <w:noProof/>
                <w:sz w:val="20"/>
                <w:szCs w:val="20"/>
              </w:rPr>
            </w:pPr>
            <w:r>
              <w:rPr>
                <w:i/>
                <w:noProof/>
                <w:sz w:val="20"/>
              </w:rPr>
              <w:t>V*F</w:t>
            </w:r>
            <w:r>
              <w:rPr>
                <w:i/>
                <w:noProof/>
                <w:sz w:val="20"/>
                <w:vertAlign w:val="subscript"/>
              </w:rPr>
              <w:t>krill</w:t>
            </w:r>
            <w:r>
              <w:rPr>
                <w:i/>
                <w:noProof/>
                <w:sz w:val="20"/>
              </w:rPr>
              <w:t>*ρ</w:t>
            </w:r>
          </w:p>
        </w:tc>
        <w:tc>
          <w:tcPr>
            <w:tcW w:w="2120" w:type="dxa"/>
            <w:shd w:val="clear" w:color="auto" w:fill="auto"/>
          </w:tcPr>
          <w:p>
            <w:pPr>
              <w:spacing w:before="60" w:after="60"/>
              <w:rPr>
                <w:noProof/>
                <w:sz w:val="20"/>
                <w:szCs w:val="20"/>
              </w:rPr>
            </w:pPr>
            <w:r>
              <w:rPr>
                <w:i/>
                <w:noProof/>
                <w:sz w:val="20"/>
              </w:rPr>
              <w:t>V</w:t>
            </w:r>
            <w:r>
              <w:rPr>
                <w:noProof/>
                <w:sz w:val="20"/>
              </w:rPr>
              <w:t xml:space="preserve"> = общ обем на крила и водата</w:t>
            </w:r>
          </w:p>
        </w:tc>
        <w:tc>
          <w:tcPr>
            <w:tcW w:w="1394" w:type="dxa"/>
            <w:shd w:val="clear" w:color="auto" w:fill="auto"/>
          </w:tcPr>
          <w:p>
            <w:pPr>
              <w:spacing w:before="60" w:after="60"/>
              <w:rPr>
                <w:noProof/>
                <w:sz w:val="20"/>
                <w:szCs w:val="20"/>
              </w:rPr>
            </w:pPr>
            <w:r>
              <w:rPr>
                <w:noProof/>
                <w:sz w:val="20"/>
              </w:rPr>
              <w:t>Зависи от изтеглянето</w:t>
            </w:r>
            <w:r>
              <w:rPr>
                <w:noProof/>
                <w:sz w:val="20"/>
                <w:vertAlign w:val="superscript"/>
              </w:rPr>
              <w:t>1</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l</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F</w:t>
            </w:r>
            <w:r>
              <w:rPr>
                <w:i/>
                <w:noProof/>
                <w:sz w:val="20"/>
                <w:vertAlign w:val="subscript"/>
              </w:rPr>
              <w:t>krill</w:t>
            </w:r>
            <w:r>
              <w:rPr>
                <w:noProof/>
                <w:sz w:val="20"/>
              </w:rPr>
              <w:t xml:space="preserve"> = дял на крила в пробата</w:t>
            </w:r>
          </w:p>
        </w:tc>
        <w:tc>
          <w:tcPr>
            <w:tcW w:w="1394" w:type="dxa"/>
            <w:shd w:val="clear" w:color="auto" w:fill="auto"/>
          </w:tcPr>
          <w:p>
            <w:pPr>
              <w:spacing w:before="60" w:after="60"/>
              <w:rPr>
                <w:noProof/>
                <w:sz w:val="20"/>
                <w:szCs w:val="20"/>
              </w:rPr>
            </w:pPr>
            <w:r>
              <w:rPr>
                <w:noProof/>
                <w:sz w:val="20"/>
              </w:rPr>
              <w:t>Зависи от изтеглянето</w:t>
            </w:r>
            <w:r>
              <w:rPr>
                <w:noProof/>
                <w:sz w:val="20"/>
                <w:vertAlign w:val="superscript"/>
              </w:rPr>
              <w:t>1</w:t>
            </w:r>
            <w:r>
              <w:rPr>
                <w:noProof/>
                <w:sz w:val="20"/>
              </w:rPr>
              <w:t xml:space="preserve"> </w:t>
            </w:r>
          </w:p>
        </w:tc>
        <w:tc>
          <w:tcPr>
            <w:tcW w:w="2177" w:type="dxa"/>
            <w:shd w:val="clear" w:color="auto" w:fill="auto"/>
          </w:tcPr>
          <w:p>
            <w:pPr>
              <w:spacing w:before="60" w:after="60"/>
              <w:rPr>
                <w:noProof/>
                <w:sz w:val="20"/>
                <w:szCs w:val="20"/>
              </w:rPr>
            </w:pPr>
            <w:r>
              <w:rPr>
                <w:noProof/>
                <w:sz w:val="20"/>
              </w:rPr>
              <w:t>Корекция на обема, измерен от дебитомера</w:t>
            </w:r>
          </w:p>
        </w:tc>
        <w:tc>
          <w:tcPr>
            <w:tcW w:w="794" w:type="dxa"/>
            <w:shd w:val="clear" w:color="auto" w:fill="auto"/>
          </w:tcPr>
          <w:p>
            <w:pPr>
              <w:spacing w:before="60" w:after="60"/>
              <w:rPr>
                <w:noProof/>
                <w:sz w:val="20"/>
                <w:szCs w:val="20"/>
              </w:rPr>
            </w:pPr>
            <w:r>
              <w:rPr>
                <w:noProof/>
              </w:rPr>
              <w:noBreakHyphen/>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 коефициент на превръщане от обем в маса </w:t>
            </w:r>
          </w:p>
        </w:tc>
        <w:tc>
          <w:tcPr>
            <w:tcW w:w="1394" w:type="dxa"/>
            <w:shd w:val="clear" w:color="auto" w:fill="auto"/>
          </w:tcPr>
          <w:p>
            <w:pPr>
              <w:spacing w:before="60" w:after="60"/>
              <w:rPr>
                <w:noProof/>
                <w:sz w:val="20"/>
                <w:szCs w:val="20"/>
              </w:rPr>
            </w:pPr>
            <w:r>
              <w:rPr>
                <w:noProof/>
                <w:sz w:val="20"/>
              </w:rPr>
              <w:t>Променлива величина</w:t>
            </w:r>
          </w:p>
        </w:tc>
        <w:tc>
          <w:tcPr>
            <w:tcW w:w="2177" w:type="dxa"/>
            <w:shd w:val="clear" w:color="auto" w:fill="auto"/>
          </w:tcPr>
          <w:p>
            <w:pPr>
              <w:spacing w:before="60" w:after="60"/>
              <w:rPr>
                <w:noProof/>
                <w:sz w:val="20"/>
                <w:szCs w:val="20"/>
              </w:rPr>
            </w:pPr>
            <w:r>
              <w:rPr>
                <w:noProof/>
                <w:sz w:val="20"/>
              </w:rPr>
              <w:t>Превръщане от обем в маса</w:t>
            </w:r>
          </w:p>
        </w:tc>
        <w:tc>
          <w:tcPr>
            <w:tcW w:w="794" w:type="dxa"/>
            <w:shd w:val="clear" w:color="auto" w:fill="auto"/>
          </w:tcPr>
          <w:p>
            <w:pPr>
              <w:spacing w:before="60" w:after="60"/>
              <w:rPr>
                <w:noProof/>
                <w:sz w:val="20"/>
                <w:szCs w:val="20"/>
              </w:rPr>
            </w:pPr>
            <w:r>
              <w:rPr>
                <w:noProof/>
                <w:sz w:val="20"/>
              </w:rPr>
              <w:t>kg/l</w:t>
            </w:r>
          </w:p>
        </w:tc>
      </w:tr>
      <w:tr>
        <w:tc>
          <w:tcPr>
            <w:tcW w:w="1384" w:type="dxa"/>
            <w:vMerge w:val="restart"/>
            <w:shd w:val="clear" w:color="auto" w:fill="auto"/>
          </w:tcPr>
          <w:p>
            <w:pPr>
              <w:spacing w:before="60" w:after="60"/>
              <w:rPr>
                <w:noProof/>
                <w:sz w:val="20"/>
                <w:szCs w:val="20"/>
              </w:rPr>
            </w:pPr>
            <w:r>
              <w:rPr>
                <w:noProof/>
                <w:sz w:val="20"/>
              </w:rPr>
              <w:t>Дебитомер</w:t>
            </w:r>
            <w:r>
              <w:rPr>
                <w:b/>
                <w:noProof/>
                <w:sz w:val="20"/>
                <w:vertAlign w:val="superscript"/>
              </w:rPr>
              <w:t>(2)</w:t>
            </w:r>
          </w:p>
        </w:tc>
        <w:tc>
          <w:tcPr>
            <w:tcW w:w="1985" w:type="dxa"/>
            <w:vMerge w:val="restart"/>
            <w:shd w:val="clear" w:color="auto" w:fill="auto"/>
          </w:tcPr>
          <w:p>
            <w:pPr>
              <w:spacing w:before="60" w:after="60"/>
              <w:rPr>
                <w:i/>
                <w:iCs/>
                <w:noProof/>
                <w:sz w:val="20"/>
                <w:szCs w:val="20"/>
              </w:rPr>
            </w:pPr>
            <w:r>
              <w:rPr>
                <w:i/>
                <w:noProof/>
                <w:sz w:val="20"/>
              </w:rPr>
              <w:t>(V*ρ)–M</w:t>
            </w:r>
          </w:p>
        </w:tc>
        <w:tc>
          <w:tcPr>
            <w:tcW w:w="2120" w:type="dxa"/>
            <w:shd w:val="clear" w:color="auto" w:fill="auto"/>
          </w:tcPr>
          <w:p>
            <w:pPr>
              <w:spacing w:before="60" w:after="60"/>
              <w:rPr>
                <w:noProof/>
                <w:sz w:val="20"/>
                <w:szCs w:val="20"/>
              </w:rPr>
            </w:pPr>
            <w:r>
              <w:rPr>
                <w:noProof/>
                <w:sz w:val="20"/>
              </w:rPr>
              <w:t>V = обем на пастата от крил</w:t>
            </w:r>
          </w:p>
        </w:tc>
        <w:tc>
          <w:tcPr>
            <w:tcW w:w="1394" w:type="dxa"/>
            <w:shd w:val="clear" w:color="auto" w:fill="auto"/>
          </w:tcPr>
          <w:p>
            <w:pPr>
              <w:spacing w:before="60" w:after="60"/>
              <w:rPr>
                <w:noProof/>
                <w:sz w:val="20"/>
                <w:szCs w:val="20"/>
              </w:rPr>
            </w:pPr>
            <w:r>
              <w:rPr>
                <w:noProof/>
                <w:sz w:val="20"/>
              </w:rPr>
              <w:t>Зависи от изтеглянето</w:t>
            </w:r>
            <w:r>
              <w:rPr>
                <w:noProof/>
                <w:sz w:val="20"/>
                <w:vertAlign w:val="superscript"/>
              </w:rPr>
              <w:t>1</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l</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M</w:t>
            </w:r>
            <w:r>
              <w:rPr>
                <w:noProof/>
                <w:sz w:val="20"/>
              </w:rPr>
              <w:t xml:space="preserve"> = количество вода добавено към процеса, превърнато в маса</w:t>
            </w:r>
          </w:p>
        </w:tc>
        <w:tc>
          <w:tcPr>
            <w:tcW w:w="1394" w:type="dxa"/>
            <w:shd w:val="clear" w:color="auto" w:fill="auto"/>
          </w:tcPr>
          <w:p>
            <w:pPr>
              <w:spacing w:before="60" w:after="60"/>
              <w:rPr>
                <w:noProof/>
                <w:sz w:val="20"/>
                <w:szCs w:val="20"/>
              </w:rPr>
            </w:pPr>
            <w:r>
              <w:rPr>
                <w:noProof/>
                <w:sz w:val="20"/>
              </w:rPr>
              <w:t>Зависи от изтеглянето</w:t>
            </w:r>
            <w:r>
              <w:rPr>
                <w:noProof/>
                <w:sz w:val="20"/>
                <w:vertAlign w:val="superscript"/>
              </w:rPr>
              <w:t>1</w:t>
            </w:r>
            <w:r>
              <w:rPr>
                <w:noProof/>
                <w:sz w:val="20"/>
              </w:rPr>
              <w:t xml:space="preserve"> </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 плътност на пастата от крил</w:t>
            </w:r>
          </w:p>
        </w:tc>
        <w:tc>
          <w:tcPr>
            <w:tcW w:w="1394" w:type="dxa"/>
            <w:shd w:val="clear" w:color="auto" w:fill="auto"/>
          </w:tcPr>
          <w:p>
            <w:pPr>
              <w:spacing w:before="60" w:after="60"/>
              <w:rPr>
                <w:noProof/>
                <w:sz w:val="20"/>
                <w:szCs w:val="20"/>
              </w:rPr>
            </w:pPr>
            <w:r>
              <w:rPr>
                <w:noProof/>
                <w:sz w:val="20"/>
              </w:rPr>
              <w:t>Променлива величина</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kg/l</w:t>
            </w:r>
          </w:p>
        </w:tc>
      </w:tr>
      <w:tr>
        <w:tc>
          <w:tcPr>
            <w:tcW w:w="1384" w:type="dxa"/>
            <w:vMerge w:val="restart"/>
            <w:shd w:val="clear" w:color="auto" w:fill="auto"/>
          </w:tcPr>
          <w:p>
            <w:pPr>
              <w:spacing w:before="60" w:after="60"/>
              <w:rPr>
                <w:noProof/>
                <w:sz w:val="20"/>
                <w:szCs w:val="20"/>
              </w:rPr>
            </w:pPr>
            <w:r>
              <w:rPr>
                <w:noProof/>
                <w:sz w:val="20"/>
              </w:rPr>
              <w:t>Поточни везни </w:t>
            </w:r>
          </w:p>
        </w:tc>
        <w:tc>
          <w:tcPr>
            <w:tcW w:w="1985" w:type="dxa"/>
            <w:vMerge w:val="restart"/>
            <w:shd w:val="clear" w:color="auto" w:fill="auto"/>
          </w:tcPr>
          <w:p>
            <w:pPr>
              <w:spacing w:before="60" w:after="60"/>
              <w:rPr>
                <w:i/>
                <w:iCs/>
                <w:noProof/>
                <w:sz w:val="20"/>
                <w:szCs w:val="20"/>
              </w:rPr>
            </w:pPr>
            <w:r>
              <w:rPr>
                <w:i/>
                <w:noProof/>
                <w:sz w:val="20"/>
              </w:rPr>
              <w:t>M*(1–F)</w:t>
            </w:r>
          </w:p>
        </w:tc>
        <w:tc>
          <w:tcPr>
            <w:tcW w:w="2120" w:type="dxa"/>
            <w:shd w:val="clear" w:color="auto" w:fill="auto"/>
          </w:tcPr>
          <w:p>
            <w:pPr>
              <w:spacing w:before="60" w:after="60"/>
              <w:rPr>
                <w:noProof/>
                <w:sz w:val="20"/>
                <w:szCs w:val="20"/>
              </w:rPr>
            </w:pPr>
            <w:r>
              <w:rPr>
                <w:i/>
                <w:noProof/>
                <w:sz w:val="20"/>
              </w:rPr>
              <w:t>M</w:t>
            </w:r>
            <w:r>
              <w:rPr>
                <w:noProof/>
                <w:sz w:val="20"/>
              </w:rPr>
              <w:t xml:space="preserve"> = обща маса на крила и водата</w:t>
            </w:r>
          </w:p>
        </w:tc>
        <w:tc>
          <w:tcPr>
            <w:tcW w:w="1394" w:type="dxa"/>
            <w:shd w:val="clear" w:color="auto" w:fill="auto"/>
          </w:tcPr>
          <w:p>
            <w:pPr>
              <w:spacing w:before="60" w:after="60"/>
              <w:rPr>
                <w:noProof/>
                <w:sz w:val="20"/>
                <w:szCs w:val="20"/>
              </w:rPr>
            </w:pPr>
            <w:r>
              <w:rPr>
                <w:noProof/>
                <w:sz w:val="20"/>
              </w:rPr>
              <w:t>Зависи от изтеглянето</w:t>
            </w:r>
            <w:r>
              <w:rPr>
                <w:noProof/>
                <w:sz w:val="20"/>
                <w:vertAlign w:val="superscript"/>
              </w:rPr>
              <w:t>2</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kg</w:t>
            </w:r>
          </w:p>
        </w:tc>
      </w:tr>
      <w:tr>
        <w:trPr>
          <w:trHeight w:val="86"/>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rPr>
              <w:t>F</w:t>
            </w:r>
            <w:r>
              <w:rPr>
                <w:noProof/>
                <w:sz w:val="20"/>
              </w:rPr>
              <w:t xml:space="preserve"> = дял на водата в пробата</w:t>
            </w:r>
          </w:p>
        </w:tc>
        <w:tc>
          <w:tcPr>
            <w:tcW w:w="1394" w:type="dxa"/>
            <w:shd w:val="clear" w:color="auto" w:fill="auto"/>
          </w:tcPr>
          <w:p>
            <w:pPr>
              <w:spacing w:before="60" w:after="60"/>
              <w:rPr>
                <w:noProof/>
                <w:sz w:val="20"/>
                <w:szCs w:val="20"/>
              </w:rPr>
            </w:pPr>
            <w:r>
              <w:rPr>
                <w:noProof/>
                <w:sz w:val="20"/>
              </w:rPr>
              <w:t>Променлива величина</w:t>
            </w:r>
          </w:p>
        </w:tc>
        <w:tc>
          <w:tcPr>
            <w:tcW w:w="2177" w:type="dxa"/>
            <w:shd w:val="clear" w:color="auto" w:fill="auto"/>
          </w:tcPr>
          <w:p>
            <w:pPr>
              <w:spacing w:before="60" w:after="60"/>
              <w:rPr>
                <w:noProof/>
                <w:sz w:val="20"/>
                <w:szCs w:val="20"/>
              </w:rPr>
            </w:pPr>
            <w:r>
              <w:rPr>
                <w:noProof/>
                <w:sz w:val="20"/>
              </w:rPr>
              <w:t>Корекция на масата, измерена с поточните везни</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pageBreakBefore/>
              <w:spacing w:before="60" w:after="60"/>
              <w:rPr>
                <w:noProof/>
                <w:sz w:val="20"/>
                <w:szCs w:val="20"/>
              </w:rPr>
            </w:pPr>
            <w:r>
              <w:rPr>
                <w:noProof/>
                <w:sz w:val="20"/>
              </w:rPr>
              <w:t>Корито</w:t>
            </w:r>
          </w:p>
        </w:tc>
        <w:tc>
          <w:tcPr>
            <w:tcW w:w="1985" w:type="dxa"/>
            <w:vMerge w:val="restart"/>
            <w:shd w:val="clear" w:color="auto" w:fill="auto"/>
          </w:tcPr>
          <w:p>
            <w:pPr>
              <w:spacing w:before="60" w:after="60"/>
              <w:rPr>
                <w:i/>
                <w:iCs/>
                <w:noProof/>
                <w:sz w:val="20"/>
                <w:szCs w:val="20"/>
              </w:rPr>
            </w:pPr>
            <w:r>
              <w:rPr>
                <w:i/>
                <w:noProof/>
                <w:sz w:val="20"/>
              </w:rPr>
              <w:t>(M–M</w:t>
            </w:r>
            <w:r>
              <w:rPr>
                <w:i/>
                <w:noProof/>
                <w:sz w:val="20"/>
                <w:vertAlign w:val="subscript"/>
              </w:rPr>
              <w:t>tray</w:t>
            </w:r>
            <w:r>
              <w:rPr>
                <w:i/>
                <w:noProof/>
                <w:sz w:val="20"/>
              </w:rPr>
              <w:t>)*N</w:t>
            </w:r>
          </w:p>
        </w:tc>
        <w:tc>
          <w:tcPr>
            <w:tcW w:w="2120" w:type="dxa"/>
            <w:shd w:val="clear" w:color="auto" w:fill="auto"/>
          </w:tcPr>
          <w:p>
            <w:pPr>
              <w:spacing w:before="60" w:after="60"/>
              <w:rPr>
                <w:noProof/>
                <w:sz w:val="20"/>
                <w:szCs w:val="20"/>
              </w:rPr>
            </w:pPr>
            <w:r>
              <w:rPr>
                <w:i/>
                <w:noProof/>
                <w:sz w:val="20"/>
              </w:rPr>
              <w:t>M</w:t>
            </w:r>
            <w:r>
              <w:rPr>
                <w:i/>
                <w:noProof/>
                <w:sz w:val="20"/>
                <w:vertAlign w:val="subscript"/>
              </w:rPr>
              <w:t>tray</w:t>
            </w:r>
            <w:r>
              <w:rPr>
                <w:noProof/>
                <w:sz w:val="20"/>
              </w:rPr>
              <w:t xml:space="preserve"> = маса на празното корито</w:t>
            </w:r>
          </w:p>
        </w:tc>
        <w:tc>
          <w:tcPr>
            <w:tcW w:w="1394" w:type="dxa"/>
            <w:shd w:val="clear" w:color="auto" w:fill="auto"/>
          </w:tcPr>
          <w:p>
            <w:pPr>
              <w:spacing w:before="60" w:after="60"/>
              <w:rPr>
                <w:noProof/>
                <w:sz w:val="20"/>
                <w:szCs w:val="20"/>
              </w:rPr>
            </w:pPr>
            <w:r>
              <w:rPr>
                <w:noProof/>
                <w:sz w:val="20"/>
              </w:rPr>
              <w:t>Постоянна величина</w:t>
            </w:r>
          </w:p>
        </w:tc>
        <w:tc>
          <w:tcPr>
            <w:tcW w:w="2177" w:type="dxa"/>
            <w:shd w:val="clear" w:color="auto" w:fill="auto"/>
          </w:tcPr>
          <w:p>
            <w:pPr>
              <w:spacing w:before="60" w:after="60"/>
              <w:rPr>
                <w:noProof/>
                <w:sz w:val="20"/>
                <w:szCs w:val="20"/>
              </w:rPr>
            </w:pPr>
            <w:r>
              <w:rPr>
                <w:noProof/>
                <w:sz w:val="20"/>
              </w:rPr>
              <w:t>Пряко наблюдение преди риболова</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M</w:t>
            </w:r>
            <w:r>
              <w:rPr>
                <w:noProof/>
                <w:sz w:val="20"/>
              </w:rPr>
              <w:t xml:space="preserve"> = средна обща маса на крила и коритото</w:t>
            </w:r>
          </w:p>
        </w:tc>
        <w:tc>
          <w:tcPr>
            <w:tcW w:w="1394" w:type="dxa"/>
            <w:shd w:val="clear" w:color="auto" w:fill="auto"/>
          </w:tcPr>
          <w:p>
            <w:pPr>
              <w:spacing w:before="60" w:after="60"/>
              <w:rPr>
                <w:noProof/>
                <w:sz w:val="20"/>
                <w:szCs w:val="20"/>
              </w:rPr>
            </w:pPr>
            <w:r>
              <w:rPr>
                <w:noProof/>
                <w:sz w:val="20"/>
              </w:rPr>
              <w:t>Променлива величина</w:t>
            </w:r>
          </w:p>
        </w:tc>
        <w:tc>
          <w:tcPr>
            <w:tcW w:w="2177" w:type="dxa"/>
            <w:shd w:val="clear" w:color="auto" w:fill="auto"/>
          </w:tcPr>
          <w:p>
            <w:pPr>
              <w:spacing w:before="60" w:after="60"/>
              <w:rPr>
                <w:noProof/>
                <w:sz w:val="20"/>
                <w:szCs w:val="20"/>
              </w:rPr>
            </w:pPr>
            <w:r>
              <w:rPr>
                <w:noProof/>
                <w:sz w:val="20"/>
              </w:rPr>
              <w:t>Пряко наблюдение преди замразяване при изцедена вода</w:t>
            </w:r>
          </w:p>
        </w:tc>
        <w:tc>
          <w:tcPr>
            <w:tcW w:w="794" w:type="dxa"/>
            <w:shd w:val="clear" w:color="auto" w:fill="auto"/>
          </w:tcPr>
          <w:p>
            <w:pPr>
              <w:spacing w:before="60" w:after="60"/>
              <w:rPr>
                <w:noProof/>
                <w:sz w:val="20"/>
                <w:szCs w:val="20"/>
              </w:rPr>
            </w:pPr>
            <w:r>
              <w:rPr>
                <w:noProof/>
                <w:sz w:val="20"/>
              </w:rPr>
              <w:t>kg</w:t>
            </w:r>
          </w:p>
        </w:tc>
      </w:tr>
      <w:tr>
        <w:trPr>
          <w:trHeight w:val="90"/>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N</w:t>
            </w:r>
            <w:r>
              <w:rPr>
                <w:noProof/>
                <w:sz w:val="20"/>
              </w:rPr>
              <w:t xml:space="preserve"> = брой корита</w:t>
            </w:r>
          </w:p>
        </w:tc>
        <w:tc>
          <w:tcPr>
            <w:tcW w:w="1394" w:type="dxa"/>
            <w:shd w:val="clear" w:color="auto" w:fill="auto"/>
          </w:tcPr>
          <w:p>
            <w:pPr>
              <w:spacing w:before="60" w:after="60"/>
              <w:rPr>
                <w:noProof/>
                <w:sz w:val="20"/>
                <w:szCs w:val="20"/>
              </w:rPr>
            </w:pPr>
            <w:r>
              <w:rPr>
                <w:noProof/>
                <w:sz w:val="20"/>
              </w:rPr>
              <w:t>Зависи от изтеглянето</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spacing w:before="60" w:after="60"/>
              <w:rPr>
                <w:noProof/>
                <w:sz w:val="20"/>
                <w:szCs w:val="20"/>
              </w:rPr>
            </w:pPr>
            <w:r>
              <w:rPr>
                <w:noProof/>
                <w:sz w:val="20"/>
              </w:rPr>
              <w:t>Превръщане в брашно</w:t>
            </w:r>
          </w:p>
        </w:tc>
        <w:tc>
          <w:tcPr>
            <w:tcW w:w="1985" w:type="dxa"/>
            <w:vMerge w:val="restart"/>
            <w:shd w:val="clear" w:color="auto" w:fill="auto"/>
          </w:tcPr>
          <w:p>
            <w:pPr>
              <w:spacing w:before="60" w:after="60"/>
              <w:rPr>
                <w:i/>
                <w:iCs/>
                <w:noProof/>
                <w:sz w:val="20"/>
                <w:szCs w:val="20"/>
              </w:rPr>
            </w:pPr>
            <w:r>
              <w:rPr>
                <w:i/>
                <w:noProof/>
                <w:sz w:val="20"/>
              </w:rPr>
              <w:t>M</w:t>
            </w:r>
            <w:r>
              <w:rPr>
                <w:i/>
                <w:noProof/>
                <w:sz w:val="20"/>
                <w:vertAlign w:val="subscript"/>
              </w:rPr>
              <w:t>meal</w:t>
            </w:r>
            <w:r>
              <w:rPr>
                <w:i/>
                <w:noProof/>
                <w:sz w:val="20"/>
              </w:rPr>
              <w:t>*MCF</w:t>
            </w:r>
          </w:p>
        </w:tc>
        <w:tc>
          <w:tcPr>
            <w:tcW w:w="2120" w:type="dxa"/>
            <w:shd w:val="clear" w:color="auto" w:fill="auto"/>
          </w:tcPr>
          <w:p>
            <w:pPr>
              <w:spacing w:before="60" w:after="60"/>
              <w:rPr>
                <w:noProof/>
                <w:sz w:val="20"/>
                <w:szCs w:val="20"/>
              </w:rPr>
            </w:pPr>
            <w:r>
              <w:rPr>
                <w:i/>
                <w:noProof/>
                <w:sz w:val="20"/>
              </w:rPr>
              <w:t>M</w:t>
            </w:r>
            <w:r>
              <w:rPr>
                <w:i/>
                <w:noProof/>
                <w:sz w:val="20"/>
                <w:vertAlign w:val="subscript"/>
              </w:rPr>
              <w:t>meal</w:t>
            </w:r>
            <w:r>
              <w:rPr>
                <w:noProof/>
                <w:sz w:val="20"/>
              </w:rPr>
              <w:t xml:space="preserve"> = маса на добитото брашно</w:t>
            </w:r>
          </w:p>
        </w:tc>
        <w:tc>
          <w:tcPr>
            <w:tcW w:w="1394" w:type="dxa"/>
            <w:shd w:val="clear" w:color="auto" w:fill="auto"/>
          </w:tcPr>
          <w:p>
            <w:pPr>
              <w:spacing w:before="60" w:after="60"/>
              <w:rPr>
                <w:noProof/>
                <w:sz w:val="20"/>
                <w:szCs w:val="20"/>
              </w:rPr>
            </w:pPr>
            <w:r>
              <w:rPr>
                <w:noProof/>
                <w:sz w:val="20"/>
              </w:rPr>
              <w:t>Зависи от изтеглянето</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rPr>
              <w:t>MCF</w:t>
            </w:r>
            <w:r>
              <w:rPr>
                <w:noProof/>
                <w:sz w:val="20"/>
              </w:rPr>
              <w:t xml:space="preserve"> = коефициент на превръщане в брашно</w:t>
            </w:r>
          </w:p>
        </w:tc>
        <w:tc>
          <w:tcPr>
            <w:tcW w:w="1394" w:type="dxa"/>
            <w:shd w:val="clear" w:color="auto" w:fill="auto"/>
          </w:tcPr>
          <w:p>
            <w:pPr>
              <w:spacing w:before="60" w:after="60"/>
              <w:rPr>
                <w:noProof/>
                <w:sz w:val="20"/>
                <w:szCs w:val="20"/>
              </w:rPr>
            </w:pPr>
            <w:r>
              <w:rPr>
                <w:noProof/>
                <w:sz w:val="20"/>
              </w:rPr>
              <w:t>Променлива величина</w:t>
            </w:r>
          </w:p>
        </w:tc>
        <w:tc>
          <w:tcPr>
            <w:tcW w:w="2177" w:type="dxa"/>
            <w:shd w:val="clear" w:color="auto" w:fill="auto"/>
          </w:tcPr>
          <w:p>
            <w:pPr>
              <w:spacing w:before="60" w:after="60"/>
              <w:rPr>
                <w:noProof/>
                <w:sz w:val="20"/>
                <w:szCs w:val="20"/>
              </w:rPr>
            </w:pPr>
            <w:r>
              <w:rPr>
                <w:noProof/>
                <w:sz w:val="20"/>
              </w:rPr>
              <w:t>Превръщане от брашно в непреработен крил</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spacing w:before="60" w:after="60"/>
              <w:rPr>
                <w:noProof/>
                <w:sz w:val="20"/>
                <w:szCs w:val="20"/>
              </w:rPr>
            </w:pPr>
            <w:r>
              <w:rPr>
                <w:noProof/>
                <w:sz w:val="20"/>
              </w:rPr>
              <w:t>Обем на тралната торба </w:t>
            </w:r>
          </w:p>
        </w:tc>
        <w:tc>
          <w:tcPr>
            <w:tcW w:w="1985" w:type="dxa"/>
            <w:vMerge w:val="restart"/>
            <w:shd w:val="clear" w:color="auto" w:fill="auto"/>
          </w:tcPr>
          <w:p>
            <w:pPr>
              <w:spacing w:before="60" w:after="60"/>
              <w:rPr>
                <w:i/>
                <w:iCs/>
                <w:noProof/>
                <w:sz w:val="20"/>
                <w:szCs w:val="20"/>
              </w:rPr>
            </w:pPr>
            <w:r>
              <w:rPr>
                <w:i/>
                <w:noProof/>
                <w:sz w:val="20"/>
              </w:rPr>
              <w:t>W*H*L*ρ</w:t>
            </w:r>
            <w:r>
              <w:rPr>
                <w:noProof/>
                <w:sz w:val="20"/>
              </w:rPr>
              <w:t>*π</w:t>
            </w:r>
            <w:r>
              <w:rPr>
                <w:i/>
                <w:noProof/>
                <w:sz w:val="20"/>
              </w:rPr>
              <w:t>/</w:t>
            </w:r>
            <w:r>
              <w:rPr>
                <w:noProof/>
                <w:sz w:val="20"/>
              </w:rPr>
              <w:t>4*1 000</w:t>
            </w:r>
          </w:p>
        </w:tc>
        <w:tc>
          <w:tcPr>
            <w:tcW w:w="2120" w:type="dxa"/>
            <w:shd w:val="clear" w:color="auto" w:fill="auto"/>
          </w:tcPr>
          <w:p>
            <w:pPr>
              <w:spacing w:before="60" w:after="60"/>
              <w:rPr>
                <w:noProof/>
                <w:sz w:val="20"/>
                <w:szCs w:val="20"/>
              </w:rPr>
            </w:pPr>
            <w:r>
              <w:rPr>
                <w:i/>
                <w:noProof/>
                <w:sz w:val="20"/>
              </w:rPr>
              <w:t>W</w:t>
            </w:r>
            <w:r>
              <w:rPr>
                <w:noProof/>
                <w:sz w:val="20"/>
              </w:rPr>
              <w:t xml:space="preserve"> = ширина на тралната торба</w:t>
            </w:r>
          </w:p>
        </w:tc>
        <w:tc>
          <w:tcPr>
            <w:tcW w:w="1394" w:type="dxa"/>
            <w:shd w:val="clear" w:color="auto" w:fill="auto"/>
          </w:tcPr>
          <w:p>
            <w:pPr>
              <w:spacing w:before="60" w:after="60"/>
              <w:rPr>
                <w:noProof/>
                <w:sz w:val="20"/>
                <w:szCs w:val="20"/>
              </w:rPr>
            </w:pPr>
            <w:r>
              <w:rPr>
                <w:noProof/>
                <w:sz w:val="20"/>
              </w:rPr>
              <w:t>Постоянна величина</w:t>
            </w:r>
          </w:p>
        </w:tc>
        <w:tc>
          <w:tcPr>
            <w:tcW w:w="2177" w:type="dxa"/>
            <w:shd w:val="clear" w:color="auto" w:fill="auto"/>
          </w:tcPr>
          <w:p>
            <w:pPr>
              <w:spacing w:before="60" w:after="60"/>
              <w:rPr>
                <w:noProof/>
                <w:sz w:val="20"/>
                <w:szCs w:val="20"/>
              </w:rPr>
            </w:pPr>
            <w:r>
              <w:rPr>
                <w:noProof/>
                <w:sz w:val="20"/>
              </w:rPr>
              <w:t>Измерване при започване на риболова</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rPr>
              <w:t>H</w:t>
            </w:r>
            <w:r>
              <w:rPr>
                <w:noProof/>
                <w:sz w:val="20"/>
              </w:rPr>
              <w:t xml:space="preserve"> = височина на тралната торба</w:t>
            </w:r>
          </w:p>
        </w:tc>
        <w:tc>
          <w:tcPr>
            <w:tcW w:w="1394" w:type="dxa"/>
            <w:shd w:val="clear" w:color="auto" w:fill="auto"/>
          </w:tcPr>
          <w:p>
            <w:pPr>
              <w:spacing w:before="60" w:after="60"/>
              <w:rPr>
                <w:noProof/>
                <w:sz w:val="20"/>
                <w:szCs w:val="20"/>
              </w:rPr>
            </w:pPr>
            <w:r>
              <w:rPr>
                <w:noProof/>
                <w:sz w:val="20"/>
              </w:rPr>
              <w:t>Постоянна величина</w:t>
            </w:r>
          </w:p>
        </w:tc>
        <w:tc>
          <w:tcPr>
            <w:tcW w:w="2177" w:type="dxa"/>
            <w:shd w:val="clear" w:color="auto" w:fill="auto"/>
          </w:tcPr>
          <w:p>
            <w:pPr>
              <w:spacing w:before="60" w:after="60"/>
              <w:rPr>
                <w:noProof/>
                <w:sz w:val="20"/>
                <w:szCs w:val="20"/>
              </w:rPr>
            </w:pPr>
            <w:r>
              <w:rPr>
                <w:noProof/>
                <w:sz w:val="20"/>
              </w:rPr>
              <w:t>Измерване при започване на риболова</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rPr>
              <w:t>ρ</w:t>
            </w:r>
            <w:r>
              <w:rPr>
                <w:noProof/>
                <w:sz w:val="20"/>
              </w:rPr>
              <w:t xml:space="preserve"> = коефициент на превръщане от обем в маса </w:t>
            </w:r>
          </w:p>
        </w:tc>
        <w:tc>
          <w:tcPr>
            <w:tcW w:w="1394" w:type="dxa"/>
            <w:shd w:val="clear" w:color="auto" w:fill="auto"/>
          </w:tcPr>
          <w:p>
            <w:pPr>
              <w:spacing w:before="60" w:after="60"/>
              <w:rPr>
                <w:noProof/>
                <w:sz w:val="20"/>
                <w:szCs w:val="20"/>
              </w:rPr>
            </w:pPr>
            <w:r>
              <w:rPr>
                <w:noProof/>
                <w:sz w:val="20"/>
              </w:rPr>
              <w:t>Променлива величина</w:t>
            </w:r>
          </w:p>
        </w:tc>
        <w:tc>
          <w:tcPr>
            <w:tcW w:w="2177" w:type="dxa"/>
            <w:shd w:val="clear" w:color="auto" w:fill="auto"/>
          </w:tcPr>
          <w:p>
            <w:pPr>
              <w:spacing w:before="60" w:after="60"/>
              <w:rPr>
                <w:noProof/>
                <w:sz w:val="20"/>
                <w:szCs w:val="20"/>
              </w:rPr>
            </w:pPr>
            <w:r>
              <w:rPr>
                <w:noProof/>
                <w:sz w:val="20"/>
              </w:rPr>
              <w:t>Превръщане от обем в маса</w:t>
            </w:r>
          </w:p>
        </w:tc>
        <w:tc>
          <w:tcPr>
            <w:tcW w:w="794" w:type="dxa"/>
            <w:shd w:val="clear" w:color="auto" w:fill="auto"/>
          </w:tcPr>
          <w:p>
            <w:pPr>
              <w:spacing w:before="60" w:after="60"/>
              <w:rPr>
                <w:noProof/>
                <w:sz w:val="20"/>
                <w:szCs w:val="20"/>
              </w:rPr>
            </w:pPr>
            <w:r>
              <w:rPr>
                <w:noProof/>
                <w:sz w:val="20"/>
              </w:rPr>
              <w:t>kg/l</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rPr>
              <w:t>L</w:t>
            </w:r>
            <w:r>
              <w:rPr>
                <w:noProof/>
                <w:sz w:val="20"/>
              </w:rPr>
              <w:t xml:space="preserve"> = дължина на тралната торба</w:t>
            </w:r>
          </w:p>
        </w:tc>
        <w:tc>
          <w:tcPr>
            <w:tcW w:w="1394" w:type="dxa"/>
            <w:shd w:val="clear" w:color="auto" w:fill="auto"/>
          </w:tcPr>
          <w:p>
            <w:pPr>
              <w:spacing w:before="60" w:after="60"/>
              <w:rPr>
                <w:noProof/>
                <w:sz w:val="20"/>
                <w:szCs w:val="20"/>
              </w:rPr>
            </w:pPr>
            <w:r>
              <w:rPr>
                <w:noProof/>
                <w:sz w:val="20"/>
              </w:rPr>
              <w:t>Зависи от изтеглянето</w:t>
            </w:r>
          </w:p>
        </w:tc>
        <w:tc>
          <w:tcPr>
            <w:tcW w:w="2177" w:type="dxa"/>
            <w:shd w:val="clear" w:color="auto" w:fill="auto"/>
          </w:tcPr>
          <w:p>
            <w:pPr>
              <w:spacing w:before="60" w:after="60"/>
              <w:rPr>
                <w:noProof/>
                <w:sz w:val="20"/>
                <w:szCs w:val="20"/>
              </w:rPr>
            </w:pPr>
            <w:r>
              <w:rPr>
                <w:noProof/>
                <w:sz w:val="20"/>
              </w:rPr>
              <w:t>Пряко наблюдение</w:t>
            </w:r>
          </w:p>
        </w:tc>
        <w:tc>
          <w:tcPr>
            <w:tcW w:w="794" w:type="dxa"/>
            <w:shd w:val="clear" w:color="auto" w:fill="auto"/>
          </w:tcPr>
          <w:p>
            <w:pPr>
              <w:spacing w:before="60" w:after="60"/>
              <w:rPr>
                <w:noProof/>
                <w:sz w:val="20"/>
                <w:szCs w:val="20"/>
              </w:rPr>
            </w:pPr>
            <w:r>
              <w:rPr>
                <w:noProof/>
                <w:sz w:val="20"/>
              </w:rPr>
              <w:t>m</w:t>
            </w:r>
          </w:p>
        </w:tc>
      </w:tr>
      <w:tr>
        <w:trPr>
          <w:trHeight w:val="263"/>
        </w:trPr>
        <w:tc>
          <w:tcPr>
            <w:tcW w:w="1384" w:type="dxa"/>
            <w:shd w:val="clear" w:color="auto" w:fill="auto"/>
          </w:tcPr>
          <w:p>
            <w:pPr>
              <w:spacing w:before="60" w:after="60"/>
              <w:rPr>
                <w:noProof/>
                <w:sz w:val="20"/>
                <w:szCs w:val="20"/>
              </w:rPr>
            </w:pPr>
            <w:r>
              <w:rPr>
                <w:noProof/>
                <w:sz w:val="20"/>
              </w:rPr>
              <w:t>Други</w:t>
            </w:r>
          </w:p>
        </w:tc>
        <w:tc>
          <w:tcPr>
            <w:tcW w:w="1985" w:type="dxa"/>
            <w:shd w:val="clear" w:color="auto" w:fill="auto"/>
          </w:tcPr>
          <w:p>
            <w:pPr>
              <w:spacing w:before="60" w:after="60"/>
              <w:rPr>
                <w:noProof/>
                <w:sz w:val="20"/>
                <w:szCs w:val="20"/>
              </w:rPr>
            </w:pPr>
            <w:r>
              <w:rPr>
                <w:noProof/>
                <w:sz w:val="20"/>
              </w:rPr>
              <w:t>Да се уточни</w:t>
            </w:r>
          </w:p>
        </w:tc>
        <w:tc>
          <w:tcPr>
            <w:tcW w:w="2120" w:type="dxa"/>
            <w:shd w:val="clear" w:color="auto" w:fill="auto"/>
          </w:tcPr>
          <w:p>
            <w:pPr>
              <w:spacing w:before="60" w:after="60"/>
              <w:rPr>
                <w:noProof/>
                <w:sz w:val="20"/>
                <w:szCs w:val="20"/>
              </w:rPr>
            </w:pPr>
          </w:p>
        </w:tc>
        <w:tc>
          <w:tcPr>
            <w:tcW w:w="1394" w:type="dxa"/>
            <w:shd w:val="clear" w:color="auto" w:fill="auto"/>
          </w:tcPr>
          <w:p>
            <w:pPr>
              <w:spacing w:before="60" w:after="60"/>
              <w:rPr>
                <w:noProof/>
                <w:sz w:val="20"/>
                <w:szCs w:val="20"/>
              </w:rPr>
            </w:pPr>
          </w:p>
        </w:tc>
        <w:tc>
          <w:tcPr>
            <w:tcW w:w="2177" w:type="dxa"/>
            <w:shd w:val="clear" w:color="auto" w:fill="auto"/>
          </w:tcPr>
          <w:p>
            <w:pPr>
              <w:spacing w:before="60" w:after="60"/>
              <w:rPr>
                <w:noProof/>
                <w:sz w:val="20"/>
                <w:szCs w:val="20"/>
              </w:rPr>
            </w:pPr>
          </w:p>
        </w:tc>
        <w:tc>
          <w:tcPr>
            <w:tcW w:w="794" w:type="dxa"/>
            <w:shd w:val="clear" w:color="auto" w:fill="auto"/>
          </w:tcPr>
          <w:p>
            <w:pPr>
              <w:spacing w:before="60" w:after="60"/>
              <w:rPr>
                <w:noProof/>
                <w:sz w:val="20"/>
                <w:szCs w:val="20"/>
              </w:rPr>
            </w:pPr>
          </w:p>
        </w:tc>
      </w:tr>
      <w:tr>
        <w:trPr>
          <w:trHeight w:val="263"/>
        </w:trPr>
        <w:tc>
          <w:tcPr>
            <w:tcW w:w="9854" w:type="dxa"/>
            <w:gridSpan w:val="6"/>
            <w:shd w:val="clear" w:color="auto" w:fill="auto"/>
          </w:tcPr>
          <w:p>
            <w:pPr>
              <w:spacing w:before="0" w:after="0"/>
              <w:ind w:left="567" w:hanging="567"/>
              <w:rPr>
                <w:noProof/>
              </w:rPr>
            </w:pPr>
            <w:r>
              <w:rPr>
                <w:b/>
                <w:noProof/>
                <w:vertAlign w:val="superscript"/>
              </w:rPr>
              <w:t>(1)</w:t>
            </w:r>
            <w:r>
              <w:rPr>
                <w:noProof/>
              </w:rPr>
              <w:tab/>
              <w:t>Отделно изтегляне, ако се използва конвенционален трал, или интегрирано изтегляне за срок от 6 часа, ако се използва системата за непрекъснат риболов.</w:t>
            </w:r>
          </w:p>
          <w:p>
            <w:pPr>
              <w:spacing w:before="0" w:after="0"/>
              <w:ind w:left="567" w:hanging="567"/>
              <w:rPr>
                <w:noProof/>
              </w:rPr>
            </w:pPr>
            <w:r>
              <w:rPr>
                <w:b/>
                <w:noProof/>
                <w:vertAlign w:val="superscript"/>
              </w:rPr>
              <w:t>(2)</w:t>
            </w:r>
            <w:r>
              <w:rPr>
                <w:noProof/>
              </w:rPr>
              <w:tab/>
              <w:t>Отделно изтегляне, ако се използва конвенционален трал, или изтегляне за срок от 2 часа, ако се използва системата за непрекъснат риболов.</w:t>
            </w:r>
          </w:p>
        </w:tc>
      </w:tr>
    </w:tbl>
    <w:p>
      <w:pPr>
        <w:rPr>
          <w:rFonts w:eastAsia="Calibri"/>
          <w:noProof/>
        </w:rPr>
      </w:pPr>
    </w:p>
    <w:p>
      <w:pPr>
        <w:rPr>
          <w:rFonts w:eastAsia="Calibri"/>
          <w:noProof/>
        </w:rPr>
      </w:pPr>
      <w:r>
        <w:rPr>
          <w:noProof/>
        </w:rPr>
        <w:br w:type="page"/>
        <w:t>Етапи и честота на наблюдение</w:t>
      </w:r>
    </w:p>
    <w:tbl>
      <w:tblPr>
        <w:tblW w:w="0" w:type="auto"/>
        <w:tblLook w:val="04A0" w:firstRow="1" w:lastRow="0" w:firstColumn="1" w:lastColumn="0" w:noHBand="0" w:noVBand="1"/>
      </w:tblPr>
      <w:tblGrid>
        <w:gridCol w:w="3085"/>
        <w:gridCol w:w="6769"/>
      </w:tblGrid>
      <w:tr>
        <w:tc>
          <w:tcPr>
            <w:tcW w:w="9854" w:type="dxa"/>
            <w:gridSpan w:val="2"/>
            <w:shd w:val="clear" w:color="auto" w:fill="auto"/>
          </w:tcPr>
          <w:p>
            <w:pPr>
              <w:spacing w:before="60" w:after="60"/>
              <w:rPr>
                <w:rFonts w:eastAsia="Calibri"/>
                <w:noProof/>
              </w:rPr>
            </w:pPr>
            <w:r>
              <w:rPr>
                <w:noProof/>
              </w:rPr>
              <w:t>Обем на събирателния резервоар</w:t>
            </w:r>
          </w:p>
        </w:tc>
      </w:tr>
      <w:tr>
        <w:tc>
          <w:tcPr>
            <w:tcW w:w="3085" w:type="dxa"/>
            <w:shd w:val="clear" w:color="auto" w:fill="auto"/>
          </w:tcPr>
          <w:p>
            <w:pPr>
              <w:spacing w:before="60" w:after="60"/>
              <w:rPr>
                <w:rFonts w:eastAsia="Calibri"/>
                <w:noProof/>
              </w:rPr>
            </w:pPr>
            <w:r>
              <w:rPr>
                <w:noProof/>
              </w:rPr>
              <w:t>При започване на риболова</w:t>
            </w:r>
          </w:p>
        </w:tc>
        <w:tc>
          <w:tcPr>
            <w:tcW w:w="6769" w:type="dxa"/>
            <w:shd w:val="clear" w:color="auto" w:fill="auto"/>
          </w:tcPr>
          <w:p>
            <w:pPr>
              <w:spacing w:before="60" w:after="60"/>
              <w:rPr>
                <w:rFonts w:eastAsia="Calibri"/>
                <w:noProof/>
              </w:rPr>
            </w:pPr>
            <w:r>
              <w:rPr>
                <w:noProof/>
              </w:rPr>
              <w:t>Измерване на ширината и дължината на събирателния резервоар (ако същият не е с правоъгълна форма, може да се наложи извършването на допълнителни измервания; точност  ±0,05 m)</w:t>
            </w:r>
          </w:p>
        </w:tc>
      </w:tr>
      <w:tr>
        <w:tc>
          <w:tcPr>
            <w:tcW w:w="3085" w:type="dxa"/>
            <w:shd w:val="clear" w:color="auto" w:fill="auto"/>
          </w:tcPr>
          <w:p>
            <w:pPr>
              <w:spacing w:before="60" w:after="60"/>
              <w:rPr>
                <w:rFonts w:eastAsia="Calibri"/>
                <w:noProof/>
              </w:rPr>
            </w:pPr>
            <w:r>
              <w:rPr>
                <w:noProof/>
              </w:rPr>
              <w:t>Всеки месец</w:t>
            </w:r>
            <w:r>
              <w:rPr>
                <w:b/>
                <w:noProof/>
                <w:vertAlign w:val="superscript"/>
              </w:rPr>
              <w:t>(1)</w:t>
            </w:r>
          </w:p>
        </w:tc>
        <w:tc>
          <w:tcPr>
            <w:tcW w:w="6769" w:type="dxa"/>
            <w:shd w:val="clear" w:color="auto" w:fill="auto"/>
          </w:tcPr>
          <w:p>
            <w:pPr>
              <w:spacing w:before="60" w:after="60"/>
              <w:rPr>
                <w:rFonts w:eastAsia="Calibri"/>
                <w:noProof/>
              </w:rPr>
            </w:pPr>
            <w:r>
              <w:rPr>
                <w:noProof/>
              </w:rPr>
              <w:t>Приблизителна оценка на превръщането от обем в маса въз основа на изцедената маса крил в познат обем (напр. 10 l), взет от събирателния резервоар.</w:t>
            </w:r>
          </w:p>
        </w:tc>
      </w:tr>
      <w:tr>
        <w:tc>
          <w:tcPr>
            <w:tcW w:w="3085" w:type="dxa"/>
            <w:vMerge w:val="restart"/>
            <w:shd w:val="clear" w:color="auto" w:fill="auto"/>
          </w:tcPr>
          <w:p>
            <w:pPr>
              <w:spacing w:before="60" w:after="60"/>
              <w:rPr>
                <w:rFonts w:eastAsia="Calibri"/>
                <w:noProof/>
              </w:rPr>
            </w:pPr>
            <w:r>
              <w:rPr>
                <w:noProof/>
              </w:rPr>
              <w:t>При всяко изтегляне</w:t>
            </w:r>
          </w:p>
        </w:tc>
        <w:tc>
          <w:tcPr>
            <w:tcW w:w="6769" w:type="dxa"/>
            <w:shd w:val="clear" w:color="auto" w:fill="auto"/>
          </w:tcPr>
          <w:p>
            <w:pPr>
              <w:spacing w:before="60" w:after="60"/>
              <w:rPr>
                <w:rFonts w:eastAsia="Calibri"/>
                <w:noProof/>
              </w:rPr>
            </w:pPr>
            <w:r>
              <w:rPr>
                <w:noProof/>
              </w:rPr>
              <w:t>Измерване на дълбочината на крила в резервоара (ако крилът се съхранява в резервоара между изтеглянията, се измерва разликата в дълбочината; точност ±0,1 m)</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прясното тегло на уловения крил (чрез формула)</w:t>
            </w:r>
          </w:p>
        </w:tc>
      </w:tr>
      <w:tr>
        <w:tc>
          <w:tcPr>
            <w:tcW w:w="9854" w:type="dxa"/>
            <w:gridSpan w:val="2"/>
            <w:shd w:val="clear" w:color="auto" w:fill="auto"/>
          </w:tcPr>
          <w:p>
            <w:pPr>
              <w:spacing w:before="60" w:after="60"/>
              <w:rPr>
                <w:rFonts w:eastAsia="Calibri"/>
                <w:noProof/>
              </w:rPr>
            </w:pPr>
            <w:r>
              <w:rPr>
                <w:noProof/>
              </w:rPr>
              <w:t xml:space="preserve">Дебитомер </w:t>
            </w:r>
            <w:r>
              <w:rPr>
                <w:b/>
                <w:noProof/>
                <w:vertAlign w:val="superscript"/>
              </w:rPr>
              <w:t>(1)</w:t>
            </w:r>
          </w:p>
        </w:tc>
      </w:tr>
      <w:tr>
        <w:tc>
          <w:tcPr>
            <w:tcW w:w="3085" w:type="dxa"/>
            <w:shd w:val="clear" w:color="auto" w:fill="auto"/>
          </w:tcPr>
          <w:p>
            <w:pPr>
              <w:spacing w:before="60" w:after="60"/>
              <w:rPr>
                <w:rFonts w:eastAsia="Calibri"/>
                <w:noProof/>
              </w:rPr>
            </w:pPr>
            <w:r>
              <w:rPr>
                <w:noProof/>
              </w:rPr>
              <w:t>Преди извършване на риболов</w:t>
            </w:r>
          </w:p>
        </w:tc>
        <w:tc>
          <w:tcPr>
            <w:tcW w:w="6769" w:type="dxa"/>
            <w:shd w:val="clear" w:color="auto" w:fill="auto"/>
          </w:tcPr>
          <w:p>
            <w:pPr>
              <w:spacing w:before="60" w:after="60"/>
              <w:rPr>
                <w:rFonts w:eastAsia="Calibri"/>
                <w:noProof/>
              </w:rPr>
            </w:pPr>
            <w:r>
              <w:rPr>
                <w:noProof/>
              </w:rPr>
              <w:t>Проверка дали дебитомерът измерва непреработения крил (т.е. преди обработка)</w:t>
            </w:r>
          </w:p>
        </w:tc>
      </w:tr>
      <w:tr>
        <w:tc>
          <w:tcPr>
            <w:tcW w:w="3085" w:type="dxa"/>
            <w:shd w:val="clear" w:color="auto" w:fill="auto"/>
          </w:tcPr>
          <w:p>
            <w:pPr>
              <w:spacing w:before="60" w:after="60"/>
              <w:rPr>
                <w:rFonts w:eastAsia="Calibri"/>
                <w:noProof/>
              </w:rPr>
            </w:pPr>
            <w:r>
              <w:rPr>
                <w:noProof/>
              </w:rPr>
              <w:t xml:space="preserve">Повече от един път месечно </w:t>
            </w:r>
            <w:r>
              <w:rPr>
                <w:b/>
                <w:noProof/>
                <w:vertAlign w:val="superscript"/>
              </w:rPr>
              <w:t>(1)</w:t>
            </w:r>
          </w:p>
        </w:tc>
        <w:tc>
          <w:tcPr>
            <w:tcW w:w="6769" w:type="dxa"/>
            <w:shd w:val="clear" w:color="auto" w:fill="auto"/>
          </w:tcPr>
          <w:p>
            <w:pPr>
              <w:spacing w:before="60" w:after="60"/>
              <w:rPr>
                <w:rFonts w:eastAsia="Calibri"/>
                <w:noProof/>
              </w:rPr>
            </w:pPr>
            <w:r>
              <w:rPr>
                <w:noProof/>
              </w:rPr>
              <w:t>Приблизителна оценка на превръщането от обем в маса (ρ) въз основа на изцедената маса крил в познат обем (напр. 10 l), взет от събирателния резервоар.</w:t>
            </w:r>
          </w:p>
        </w:tc>
      </w:tr>
      <w:tr>
        <w:tc>
          <w:tcPr>
            <w:tcW w:w="3085" w:type="dxa"/>
            <w:vMerge w:val="restart"/>
            <w:shd w:val="clear" w:color="auto" w:fill="auto"/>
          </w:tcPr>
          <w:p>
            <w:pPr>
              <w:spacing w:before="60" w:after="60"/>
              <w:rPr>
                <w:rFonts w:eastAsia="Calibri"/>
                <w:noProof/>
              </w:rPr>
            </w:pPr>
            <w:r>
              <w:rPr>
                <w:noProof/>
              </w:rPr>
              <w:t xml:space="preserve">При всяко изтегляне </w:t>
            </w:r>
            <w:r>
              <w:rPr>
                <w:b/>
                <w:noProof/>
                <w:vertAlign w:val="superscript"/>
              </w:rPr>
              <w:t>(2)</w:t>
            </w:r>
          </w:p>
        </w:tc>
        <w:tc>
          <w:tcPr>
            <w:tcW w:w="6769" w:type="dxa"/>
            <w:shd w:val="clear" w:color="auto" w:fill="auto"/>
          </w:tcPr>
          <w:p>
            <w:pPr>
              <w:spacing w:before="60" w:after="60"/>
              <w:rPr>
                <w:rFonts w:eastAsia="Calibri"/>
                <w:noProof/>
              </w:rPr>
            </w:pPr>
            <w:r>
              <w:rPr>
                <w:noProof/>
              </w:rPr>
              <w:t>Вземане на проба от дебитомера и:</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измерване на общия обем (напр. 10 l) на крила и водата</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корекцията на обема, измерен с дебитомера, въз основа на изцедения обем крил</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прясното тегло на уловения крил (чрез формула)</w:t>
            </w:r>
          </w:p>
        </w:tc>
      </w:tr>
      <w:tr>
        <w:tc>
          <w:tcPr>
            <w:tcW w:w="9854" w:type="dxa"/>
            <w:gridSpan w:val="2"/>
            <w:shd w:val="clear" w:color="auto" w:fill="auto"/>
          </w:tcPr>
          <w:p>
            <w:pPr>
              <w:pageBreakBefore/>
              <w:spacing w:before="60" w:after="60"/>
              <w:rPr>
                <w:rFonts w:eastAsia="Calibri"/>
                <w:noProof/>
              </w:rPr>
            </w:pPr>
            <w:r>
              <w:rPr>
                <w:noProof/>
              </w:rPr>
              <w:t xml:space="preserve">Дебитомер </w:t>
            </w:r>
            <w:r>
              <w:rPr>
                <w:rFonts w:hint="eastAsia"/>
                <w:b/>
                <w:noProof/>
                <w:vertAlign w:val="superscript"/>
              </w:rPr>
              <w:t>(2)</w:t>
            </w:r>
          </w:p>
        </w:tc>
      </w:tr>
      <w:tr>
        <w:tc>
          <w:tcPr>
            <w:tcW w:w="3085" w:type="dxa"/>
            <w:shd w:val="clear" w:color="auto" w:fill="auto"/>
          </w:tcPr>
          <w:p>
            <w:pPr>
              <w:spacing w:before="60" w:after="60"/>
              <w:rPr>
                <w:rFonts w:eastAsia="Calibri"/>
                <w:noProof/>
              </w:rPr>
            </w:pPr>
            <w:r>
              <w:rPr>
                <w:noProof/>
              </w:rPr>
              <w:t>Преди извършване на риболов</w:t>
            </w:r>
          </w:p>
        </w:tc>
        <w:tc>
          <w:tcPr>
            <w:tcW w:w="6769" w:type="dxa"/>
            <w:shd w:val="clear" w:color="auto" w:fill="auto"/>
          </w:tcPr>
          <w:p>
            <w:pPr>
              <w:spacing w:before="60" w:after="60"/>
              <w:rPr>
                <w:rFonts w:eastAsia="Calibri"/>
                <w:noProof/>
              </w:rPr>
            </w:pPr>
            <w:r>
              <w:rPr>
                <w:noProof/>
              </w:rPr>
              <w:t>Проверка дали и двата дебитомера (един за продукта от крил и един за добавената вода) са калибрирани (т.е. имат еднакво, правилно отчитане)</w:t>
            </w:r>
          </w:p>
        </w:tc>
      </w:tr>
      <w:tr>
        <w:tc>
          <w:tcPr>
            <w:tcW w:w="3085" w:type="dxa"/>
            <w:shd w:val="clear" w:color="auto" w:fill="auto"/>
          </w:tcPr>
          <w:p>
            <w:pPr>
              <w:spacing w:before="60" w:after="60"/>
              <w:rPr>
                <w:rFonts w:eastAsia="Calibri"/>
                <w:noProof/>
              </w:rPr>
            </w:pPr>
            <w:r>
              <w:rPr>
                <w:noProof/>
              </w:rPr>
              <w:t xml:space="preserve">Всяка седмица </w:t>
            </w:r>
            <w:r>
              <w:rPr>
                <w:b/>
                <w:noProof/>
                <w:vertAlign w:val="superscript"/>
              </w:rPr>
              <w:t>(1)</w:t>
            </w:r>
          </w:p>
        </w:tc>
        <w:tc>
          <w:tcPr>
            <w:tcW w:w="6769" w:type="dxa"/>
            <w:shd w:val="clear" w:color="auto" w:fill="auto"/>
          </w:tcPr>
          <w:p>
            <w:pPr>
              <w:spacing w:before="60" w:after="60"/>
              <w:rPr>
                <w:rFonts w:eastAsia="Calibri"/>
                <w:noProof/>
              </w:rPr>
            </w:pPr>
            <w:r>
              <w:rPr>
                <w:noProof/>
              </w:rPr>
              <w:t>Определяне на плътността (ρ) на продукта от крил (паста от смлян крил) чрез измерване на масата на познат обем продукт от крил (напр. 10 l), взет от съответния дебитомер</w:t>
            </w:r>
          </w:p>
        </w:tc>
      </w:tr>
      <w:tr>
        <w:tc>
          <w:tcPr>
            <w:tcW w:w="3085" w:type="dxa"/>
            <w:vMerge w:val="restart"/>
            <w:shd w:val="clear" w:color="auto" w:fill="auto"/>
          </w:tcPr>
          <w:p>
            <w:pPr>
              <w:spacing w:before="60" w:after="60"/>
              <w:rPr>
                <w:rFonts w:eastAsia="Calibri"/>
                <w:noProof/>
              </w:rPr>
            </w:pPr>
            <w:r>
              <w:rPr>
                <w:noProof/>
              </w:rPr>
              <w:t xml:space="preserve">При всяко изтегляне </w:t>
            </w:r>
            <w:r>
              <w:rPr>
                <w:b/>
                <w:noProof/>
                <w:vertAlign w:val="superscript"/>
              </w:rPr>
              <w:t>(2)</w:t>
            </w:r>
          </w:p>
        </w:tc>
        <w:tc>
          <w:tcPr>
            <w:tcW w:w="6769" w:type="dxa"/>
            <w:shd w:val="clear" w:color="auto" w:fill="auto"/>
          </w:tcPr>
          <w:p>
            <w:pPr>
              <w:spacing w:before="60" w:after="60"/>
              <w:rPr>
                <w:rFonts w:eastAsia="Calibri"/>
                <w:noProof/>
              </w:rPr>
            </w:pPr>
            <w:r>
              <w:rPr>
                <w:noProof/>
              </w:rPr>
              <w:t>Отчитане и на двата дебитомера и изчисляване на общите обеми на продукта от крил (паста от смлян крил) и на добавената вода; приема се, че плътността на водата е 1 kg/l</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прясното тегло на уловения крил (чрез формула)</w:t>
            </w:r>
          </w:p>
        </w:tc>
      </w:tr>
      <w:tr>
        <w:tc>
          <w:tcPr>
            <w:tcW w:w="9854" w:type="dxa"/>
            <w:gridSpan w:val="2"/>
            <w:shd w:val="clear" w:color="auto" w:fill="auto"/>
          </w:tcPr>
          <w:p>
            <w:pPr>
              <w:spacing w:before="60" w:after="60"/>
              <w:rPr>
                <w:rFonts w:eastAsia="Calibri"/>
                <w:noProof/>
              </w:rPr>
            </w:pPr>
            <w:r>
              <w:rPr>
                <w:noProof/>
              </w:rPr>
              <w:t>Поточни везни</w:t>
            </w:r>
          </w:p>
        </w:tc>
      </w:tr>
      <w:tr>
        <w:tc>
          <w:tcPr>
            <w:tcW w:w="3085" w:type="dxa"/>
            <w:shd w:val="clear" w:color="auto" w:fill="auto"/>
          </w:tcPr>
          <w:p>
            <w:pPr>
              <w:spacing w:before="60" w:after="60"/>
              <w:rPr>
                <w:rFonts w:eastAsia="Calibri"/>
                <w:noProof/>
              </w:rPr>
            </w:pPr>
            <w:r>
              <w:rPr>
                <w:noProof/>
              </w:rPr>
              <w:t>Преди извършване на риболов</w:t>
            </w:r>
          </w:p>
        </w:tc>
        <w:tc>
          <w:tcPr>
            <w:tcW w:w="6769" w:type="dxa"/>
            <w:shd w:val="clear" w:color="auto" w:fill="auto"/>
          </w:tcPr>
          <w:p>
            <w:pPr>
              <w:spacing w:before="60" w:after="60"/>
              <w:rPr>
                <w:rFonts w:eastAsia="Calibri"/>
                <w:noProof/>
              </w:rPr>
            </w:pPr>
            <w:r>
              <w:rPr>
                <w:noProof/>
              </w:rPr>
              <w:t>Проверка дали поточните везни измерват непреработения крил (т.е. преди обработка)</w:t>
            </w:r>
          </w:p>
        </w:tc>
      </w:tr>
      <w:tr>
        <w:tc>
          <w:tcPr>
            <w:tcW w:w="3085" w:type="dxa"/>
            <w:vMerge w:val="restart"/>
            <w:shd w:val="clear" w:color="auto" w:fill="auto"/>
          </w:tcPr>
          <w:p>
            <w:pPr>
              <w:spacing w:before="60" w:after="60"/>
              <w:rPr>
                <w:rFonts w:eastAsia="Calibri"/>
                <w:noProof/>
              </w:rPr>
            </w:pPr>
            <w:r>
              <w:rPr>
                <w:noProof/>
              </w:rPr>
              <w:t xml:space="preserve">При всяко изтегляне </w:t>
            </w:r>
            <w:r>
              <w:rPr>
                <w:b/>
                <w:noProof/>
                <w:vertAlign w:val="superscript"/>
              </w:rPr>
              <w:t>(2)</w:t>
            </w:r>
          </w:p>
        </w:tc>
        <w:tc>
          <w:tcPr>
            <w:tcW w:w="6769" w:type="dxa"/>
            <w:shd w:val="clear" w:color="auto" w:fill="auto"/>
          </w:tcPr>
          <w:p>
            <w:pPr>
              <w:spacing w:before="60" w:after="60"/>
              <w:rPr>
                <w:rFonts w:eastAsia="Calibri"/>
                <w:noProof/>
              </w:rPr>
            </w:pPr>
            <w:r>
              <w:rPr>
                <w:noProof/>
              </w:rPr>
              <w:t>Вземане на проба от поточните везни и:</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измерване на общата маса на крила и водата</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корекцията на масата, измерена с поточните везни, въз основа на изцедената маса крил</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прясното тегло на уловения крил (чрез формула)</w:t>
            </w:r>
          </w:p>
        </w:tc>
      </w:tr>
      <w:tr>
        <w:tc>
          <w:tcPr>
            <w:tcW w:w="9854" w:type="dxa"/>
            <w:gridSpan w:val="2"/>
            <w:shd w:val="clear" w:color="auto" w:fill="auto"/>
          </w:tcPr>
          <w:p>
            <w:pPr>
              <w:spacing w:before="60" w:after="60"/>
              <w:rPr>
                <w:rFonts w:eastAsia="Calibri"/>
                <w:noProof/>
              </w:rPr>
            </w:pPr>
            <w:r>
              <w:rPr>
                <w:noProof/>
              </w:rPr>
              <w:t>Корито</w:t>
            </w:r>
          </w:p>
        </w:tc>
      </w:tr>
      <w:tr>
        <w:tc>
          <w:tcPr>
            <w:tcW w:w="3085" w:type="dxa"/>
            <w:shd w:val="clear" w:color="auto" w:fill="auto"/>
          </w:tcPr>
          <w:p>
            <w:pPr>
              <w:spacing w:before="60" w:after="60"/>
              <w:rPr>
                <w:rFonts w:eastAsia="Calibri"/>
                <w:noProof/>
              </w:rPr>
            </w:pPr>
            <w:r>
              <w:rPr>
                <w:noProof/>
              </w:rPr>
              <w:t>Преди извършване на риболов</w:t>
            </w:r>
          </w:p>
        </w:tc>
        <w:tc>
          <w:tcPr>
            <w:tcW w:w="6769" w:type="dxa"/>
            <w:shd w:val="clear" w:color="auto" w:fill="auto"/>
          </w:tcPr>
          <w:p>
            <w:pPr>
              <w:spacing w:before="60" w:after="60"/>
              <w:rPr>
                <w:rFonts w:eastAsia="Calibri"/>
                <w:noProof/>
              </w:rPr>
            </w:pPr>
            <w:r>
              <w:rPr>
                <w:noProof/>
              </w:rPr>
              <w:t>Измерване на масата на коритото (ако коритата са с различна конструкция, се измерва масата на всеки вид; точност ±0,1 kg)</w:t>
            </w:r>
          </w:p>
        </w:tc>
      </w:tr>
      <w:tr>
        <w:tc>
          <w:tcPr>
            <w:tcW w:w="3085" w:type="dxa"/>
            <w:vMerge w:val="restart"/>
            <w:shd w:val="clear" w:color="auto" w:fill="auto"/>
          </w:tcPr>
          <w:p>
            <w:pPr>
              <w:spacing w:before="60" w:after="60"/>
              <w:rPr>
                <w:rFonts w:eastAsia="Calibri"/>
                <w:noProof/>
              </w:rPr>
            </w:pPr>
            <w:r>
              <w:rPr>
                <w:noProof/>
              </w:rPr>
              <w:t>При всяко изтегляне</w:t>
            </w:r>
          </w:p>
        </w:tc>
        <w:tc>
          <w:tcPr>
            <w:tcW w:w="6769" w:type="dxa"/>
            <w:shd w:val="clear" w:color="auto" w:fill="auto"/>
          </w:tcPr>
          <w:p>
            <w:pPr>
              <w:spacing w:before="60" w:after="60"/>
              <w:rPr>
                <w:rFonts w:eastAsia="Calibri"/>
                <w:noProof/>
              </w:rPr>
            </w:pPr>
            <w:r>
              <w:rPr>
                <w:noProof/>
              </w:rPr>
              <w:t>Измерване на общата маса на крила и коритото (точност ± 0,1 kg)</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Преброяване на използваните корита (ако коритата са с различна конструкция, се преброяват коритата от всеки вид)</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прясното тегло на уловения крил (чрез формула)</w:t>
            </w:r>
          </w:p>
        </w:tc>
      </w:tr>
      <w:tr>
        <w:tc>
          <w:tcPr>
            <w:tcW w:w="9854" w:type="dxa"/>
            <w:gridSpan w:val="2"/>
            <w:shd w:val="clear" w:color="auto" w:fill="auto"/>
          </w:tcPr>
          <w:p>
            <w:pPr>
              <w:pageBreakBefore/>
              <w:spacing w:before="60" w:after="60"/>
              <w:rPr>
                <w:rFonts w:eastAsia="Calibri"/>
                <w:noProof/>
              </w:rPr>
            </w:pPr>
            <w:r>
              <w:rPr>
                <w:noProof/>
              </w:rPr>
              <w:t>Превръщане в брашно</w:t>
            </w:r>
          </w:p>
        </w:tc>
      </w:tr>
      <w:tr>
        <w:tc>
          <w:tcPr>
            <w:tcW w:w="3085" w:type="dxa"/>
            <w:shd w:val="clear" w:color="auto" w:fill="auto"/>
          </w:tcPr>
          <w:p>
            <w:pPr>
              <w:spacing w:before="60" w:after="60"/>
              <w:rPr>
                <w:rFonts w:eastAsia="Calibri"/>
                <w:noProof/>
              </w:rPr>
            </w:pPr>
            <w:r>
              <w:rPr>
                <w:noProof/>
              </w:rPr>
              <w:t>Всеки месец</w:t>
            </w:r>
            <w:r>
              <w:rPr>
                <w:b/>
                <w:noProof/>
                <w:vertAlign w:val="superscript"/>
              </w:rPr>
              <w:t>(1)</w:t>
            </w:r>
          </w:p>
        </w:tc>
        <w:tc>
          <w:tcPr>
            <w:tcW w:w="6769" w:type="dxa"/>
            <w:shd w:val="clear" w:color="auto" w:fill="auto"/>
          </w:tcPr>
          <w:p>
            <w:pPr>
              <w:spacing w:before="60" w:after="60"/>
              <w:rPr>
                <w:rFonts w:eastAsia="Calibri"/>
                <w:noProof/>
              </w:rPr>
            </w:pPr>
            <w:r>
              <w:rPr>
                <w:noProof/>
              </w:rPr>
              <w:t>Приблизителна оценка на превръщането от брашно в непреработен крил чрез обработка на 1 000 до 5 000 kg (изцедена маса) непреработен крил</w:t>
            </w:r>
          </w:p>
        </w:tc>
      </w:tr>
      <w:tr>
        <w:tc>
          <w:tcPr>
            <w:tcW w:w="3085" w:type="dxa"/>
            <w:vMerge w:val="restart"/>
            <w:shd w:val="clear" w:color="auto" w:fill="auto"/>
          </w:tcPr>
          <w:p>
            <w:pPr>
              <w:spacing w:before="60" w:after="60"/>
              <w:rPr>
                <w:rFonts w:eastAsia="Calibri"/>
                <w:noProof/>
              </w:rPr>
            </w:pPr>
            <w:r>
              <w:rPr>
                <w:noProof/>
              </w:rPr>
              <w:t>При всяко изтегляне</w:t>
            </w:r>
          </w:p>
        </w:tc>
        <w:tc>
          <w:tcPr>
            <w:tcW w:w="6769" w:type="dxa"/>
            <w:shd w:val="clear" w:color="auto" w:fill="auto"/>
          </w:tcPr>
          <w:p>
            <w:pPr>
              <w:spacing w:before="60" w:after="60"/>
              <w:rPr>
                <w:rFonts w:eastAsia="Calibri"/>
                <w:noProof/>
              </w:rPr>
            </w:pPr>
            <w:r>
              <w:rPr>
                <w:noProof/>
              </w:rPr>
              <w:t>Измерване на масата на добитото брашно</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прясното тегло на уловения крил (чрез формула)</w:t>
            </w:r>
          </w:p>
        </w:tc>
      </w:tr>
      <w:tr>
        <w:tc>
          <w:tcPr>
            <w:tcW w:w="9854" w:type="dxa"/>
            <w:gridSpan w:val="2"/>
            <w:shd w:val="clear" w:color="auto" w:fill="auto"/>
          </w:tcPr>
          <w:p>
            <w:pPr>
              <w:spacing w:before="60" w:after="60"/>
              <w:rPr>
                <w:rFonts w:eastAsia="Calibri"/>
                <w:noProof/>
              </w:rPr>
            </w:pPr>
            <w:r>
              <w:rPr>
                <w:noProof/>
              </w:rPr>
              <w:t>Обем на тралната торба</w:t>
            </w:r>
          </w:p>
        </w:tc>
      </w:tr>
      <w:tr>
        <w:tc>
          <w:tcPr>
            <w:tcW w:w="3085" w:type="dxa"/>
            <w:shd w:val="clear" w:color="auto" w:fill="auto"/>
          </w:tcPr>
          <w:p>
            <w:pPr>
              <w:spacing w:before="60" w:after="60"/>
              <w:rPr>
                <w:rFonts w:eastAsia="Calibri"/>
                <w:noProof/>
              </w:rPr>
            </w:pPr>
            <w:r>
              <w:rPr>
                <w:noProof/>
              </w:rPr>
              <w:t>При започване на риболова</w:t>
            </w:r>
          </w:p>
        </w:tc>
        <w:tc>
          <w:tcPr>
            <w:tcW w:w="6769" w:type="dxa"/>
            <w:shd w:val="clear" w:color="auto" w:fill="auto"/>
          </w:tcPr>
          <w:p>
            <w:pPr>
              <w:spacing w:before="60" w:after="60"/>
              <w:rPr>
                <w:rFonts w:eastAsia="Calibri"/>
                <w:noProof/>
              </w:rPr>
            </w:pPr>
            <w:r>
              <w:rPr>
                <w:noProof/>
              </w:rPr>
              <w:t>Измерване на ширината и височината на тралната торба (точност ± 0,1 m)</w:t>
            </w:r>
          </w:p>
        </w:tc>
      </w:tr>
      <w:tr>
        <w:tc>
          <w:tcPr>
            <w:tcW w:w="3085" w:type="dxa"/>
            <w:shd w:val="clear" w:color="auto" w:fill="auto"/>
          </w:tcPr>
          <w:p>
            <w:pPr>
              <w:spacing w:before="60" w:after="60"/>
              <w:rPr>
                <w:rFonts w:eastAsia="Calibri"/>
                <w:noProof/>
              </w:rPr>
            </w:pPr>
            <w:r>
              <w:rPr>
                <w:noProof/>
              </w:rPr>
              <w:t xml:space="preserve">Всеки месец </w:t>
            </w:r>
            <w:r>
              <w:rPr>
                <w:b/>
                <w:noProof/>
                <w:vertAlign w:val="superscript"/>
              </w:rPr>
              <w:t>(1)</w:t>
            </w:r>
          </w:p>
        </w:tc>
        <w:tc>
          <w:tcPr>
            <w:tcW w:w="6769" w:type="dxa"/>
            <w:shd w:val="clear" w:color="auto" w:fill="auto"/>
          </w:tcPr>
          <w:p>
            <w:pPr>
              <w:spacing w:before="60" w:after="60"/>
              <w:rPr>
                <w:rFonts w:eastAsia="Calibri"/>
                <w:noProof/>
              </w:rPr>
            </w:pPr>
            <w:r>
              <w:rPr>
                <w:noProof/>
              </w:rPr>
              <w:t>Приблизителна оценка на превръщането от обем в маса въз основа на изцедената маса крил в познат обем (напр. 10 l), взет от тралната торба</w:t>
            </w:r>
          </w:p>
        </w:tc>
      </w:tr>
      <w:tr>
        <w:tc>
          <w:tcPr>
            <w:tcW w:w="3085" w:type="dxa"/>
            <w:shd w:val="clear" w:color="auto" w:fill="auto"/>
          </w:tcPr>
          <w:p>
            <w:pPr>
              <w:spacing w:before="60" w:after="60"/>
              <w:rPr>
                <w:rFonts w:eastAsia="Calibri"/>
                <w:noProof/>
              </w:rPr>
            </w:pPr>
            <w:r>
              <w:rPr>
                <w:noProof/>
              </w:rPr>
              <w:t>При всяко изтегляне</w:t>
            </w:r>
          </w:p>
        </w:tc>
        <w:tc>
          <w:tcPr>
            <w:tcW w:w="6769" w:type="dxa"/>
            <w:shd w:val="clear" w:color="auto" w:fill="auto"/>
          </w:tcPr>
          <w:p>
            <w:pPr>
              <w:spacing w:before="60" w:after="60"/>
              <w:rPr>
                <w:rFonts w:eastAsia="Calibri"/>
                <w:noProof/>
              </w:rPr>
            </w:pPr>
            <w:r>
              <w:rPr>
                <w:noProof/>
              </w:rPr>
              <w:t>Измерване на дължината на тралната торба, съдържаща крил (точност ± 0,1 m)</w:t>
            </w:r>
          </w:p>
        </w:tc>
      </w:tr>
      <w:tr>
        <w:tc>
          <w:tcPr>
            <w:tcW w:w="3085" w:type="dxa"/>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Приблизителна оценка на прясното тегло на уловения крил (чрез формула)</w:t>
            </w:r>
          </w:p>
        </w:tc>
      </w:tr>
      <w:tr>
        <w:tc>
          <w:tcPr>
            <w:tcW w:w="9854" w:type="dxa"/>
            <w:gridSpan w:val="2"/>
            <w:shd w:val="clear" w:color="auto" w:fill="auto"/>
          </w:tcPr>
          <w:p>
            <w:pPr>
              <w:spacing w:before="0" w:after="0"/>
              <w:ind w:left="567" w:hanging="567"/>
              <w:rPr>
                <w:noProof/>
                <w:vertAlign w:val="superscript"/>
              </w:rPr>
            </w:pPr>
            <w:r>
              <w:rPr>
                <w:noProof/>
                <w:vertAlign w:val="superscript"/>
              </w:rPr>
              <w:t>_________________</w:t>
            </w:r>
          </w:p>
          <w:p>
            <w:pPr>
              <w:spacing w:before="0" w:after="0"/>
              <w:ind w:left="567" w:hanging="567"/>
              <w:rPr>
                <w:noProof/>
              </w:rPr>
            </w:pPr>
            <w:r>
              <w:rPr>
                <w:b/>
                <w:noProof/>
                <w:vertAlign w:val="superscript"/>
              </w:rPr>
              <w:t>(1)</w:t>
            </w:r>
            <w:r>
              <w:rPr>
                <w:noProof/>
              </w:rPr>
              <w:tab/>
              <w:t>Нов период започва тогава, когато корабът се премести в друга подзона или участък.</w:t>
            </w:r>
          </w:p>
          <w:p>
            <w:pPr>
              <w:spacing w:before="0" w:after="0"/>
              <w:ind w:left="567" w:hanging="567"/>
              <w:rPr>
                <w:noProof/>
              </w:rPr>
            </w:pPr>
            <w:r>
              <w:rPr>
                <w:b/>
                <w:noProof/>
                <w:vertAlign w:val="superscript"/>
              </w:rPr>
              <w:t>(2)</w:t>
            </w:r>
            <w:r>
              <w:rPr>
                <w:noProof/>
              </w:rPr>
              <w:tab/>
              <w:t>Отделно изтегляне, ако се използва конвенционален трал, или интегрирано изтегляне за срок от 6 часа, ако се използва системата за непрекъснат риболов.</w:t>
            </w:r>
          </w:p>
        </w:tc>
      </w:tr>
    </w:tbl>
    <w:p>
      <w:pPr>
        <w:pStyle w:val="Lignefinal"/>
        <w:rPr>
          <w:noProof/>
        </w:rPr>
      </w:pPr>
    </w:p>
    <w:p>
      <w:pPr>
        <w:rPr>
          <w:rFonts w:eastAsia="Calibri"/>
          <w:noProof/>
        </w:rPr>
        <w:sectPr>
          <w:headerReference w:type="default" r:id="rId48"/>
          <w:footerReference w:type="default" r:id="rId49"/>
          <w:headerReference w:type="first" r:id="rId50"/>
          <w:footerReference w:type="first" r:id="rId51"/>
          <w:footnotePr>
            <w:numRestart w:val="eachPage"/>
          </w:footnotePr>
          <w:pgSz w:w="11906" w:h="16838"/>
          <w:pgMar w:top="1134" w:right="1134" w:bottom="1134" w:left="1134" w:header="709" w:footer="709" w:gutter="0"/>
          <w:cols w:space="720"/>
          <w:docGrid w:linePitch="360"/>
        </w:sectPr>
      </w:pPr>
    </w:p>
    <w:p>
      <w:pPr>
        <w:pStyle w:val="Annexetitre"/>
        <w:rPr>
          <w:rFonts w:eastAsia="Calibri"/>
          <w:noProof/>
        </w:rPr>
      </w:pPr>
      <w:r>
        <w:rPr>
          <w:noProof/>
        </w:rPr>
        <w:t>ПРИЛОЖЕНИЕ VI</w:t>
      </w:r>
    </w:p>
    <w:p>
      <w:pPr>
        <w:pStyle w:val="Times"/>
        <w:jc w:val="center"/>
        <w:rPr>
          <w:rFonts w:ascii="Times New Roman" w:hAnsi="Times New Roman" w:cs="Times New Roman"/>
          <w:bCs/>
          <w:noProof/>
        </w:rPr>
      </w:pPr>
      <w:r>
        <w:rPr>
          <w:rFonts w:ascii="Times New Roman" w:hAnsi="Times New Roman"/>
          <w:b/>
          <w:noProof/>
        </w:rPr>
        <w:t>Зона на Конвенцията IOTC</w:t>
      </w:r>
    </w:p>
    <w:p>
      <w:pPr>
        <w:pStyle w:val="Point0"/>
        <w:rPr>
          <w:rFonts w:eastAsia="Calibri"/>
          <w:noProof/>
        </w:rPr>
      </w:pPr>
      <w:r>
        <w:rPr>
          <w:noProof/>
        </w:rPr>
        <w:t>1.</w:t>
      </w:r>
      <w:r>
        <w:rPr>
          <w:noProof/>
        </w:rPr>
        <w:tab/>
        <w:t>Максимален брой кораби на Съюза с разрешения за риболов на тропическа риба тон в зоната на Конвенцията IOTC</w:t>
      </w:r>
    </w:p>
    <w:tbl>
      <w:tblPr>
        <w:tblW w:w="5000" w:type="pct"/>
        <w:tblLook w:val="0000" w:firstRow="0" w:lastRow="0" w:firstColumn="0" w:lastColumn="0" w:noHBand="0" w:noVBand="0"/>
      </w:tblPr>
      <w:tblGrid>
        <w:gridCol w:w="3284"/>
        <w:gridCol w:w="3285"/>
        <w:gridCol w:w="3285"/>
      </w:tblGrid>
      <w:tr>
        <w:tc>
          <w:tcPr>
            <w:tcW w:w="1666"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Държава членка</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Максимален брой кораби</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Капацитет (брутен тонаж)</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Испания</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22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61 364</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Франция</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45 383</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Португалия</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1 627</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Италия</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2 137</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Съюз</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55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110 511</w:t>
            </w:r>
          </w:p>
        </w:tc>
      </w:tr>
    </w:tbl>
    <w:p>
      <w:pPr>
        <w:pStyle w:val="Point0"/>
        <w:rPr>
          <w:rFonts w:eastAsia="Calibri"/>
          <w:noProof/>
        </w:rPr>
      </w:pPr>
      <w:r>
        <w:rPr>
          <w:noProof/>
        </w:rPr>
        <w:t>2.</w:t>
      </w:r>
      <w:r>
        <w:rPr>
          <w:noProof/>
        </w:rPr>
        <w:tab/>
        <w:t>Максимален брой кораби на Съюза с разрешения за риболов на риба меч и бял тон в зоната на Конвенцията IOTC</w:t>
      </w:r>
    </w:p>
    <w:tbl>
      <w:tblPr>
        <w:tblW w:w="5000" w:type="pct"/>
        <w:tblLook w:val="0000" w:firstRow="0" w:lastRow="0" w:firstColumn="0" w:lastColumn="0" w:noHBand="0" w:noVBand="0"/>
      </w:tblPr>
      <w:tblGrid>
        <w:gridCol w:w="3284"/>
        <w:gridCol w:w="3285"/>
        <w:gridCol w:w="3285"/>
      </w:tblGrid>
      <w:tr>
        <w:tc>
          <w:tcPr>
            <w:tcW w:w="1666"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Държава членка</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Максимален брой кораби</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Капацитет (брутен тонаж)</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Испания</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11 590</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Франция</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41</w:t>
            </w:r>
            <w:r>
              <w:rPr>
                <w:rFonts w:ascii="Times New Roman" w:hAnsi="Times New Roman"/>
                <w:b/>
                <w:noProof/>
                <w:sz w:val="20"/>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7 882</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Португалия</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6 925</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Обединено кралство</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4</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1 400</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noProof/>
                <w:sz w:val="20"/>
              </w:rPr>
              <w:t>Съюз</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87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noProof/>
                <w:sz w:val="20"/>
              </w:rPr>
              <w:t>27 797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b/>
                <w:noProof/>
                <w:sz w:val="20"/>
                <w:vertAlign w:val="superscript"/>
              </w:rPr>
              <w:t>(1)</w:t>
            </w:r>
            <w:r>
              <w:rPr>
                <w:noProof/>
              </w:rPr>
              <w:tab/>
            </w:r>
            <w:r>
              <w:rPr>
                <w:rFonts w:ascii="Times New Roman" w:hAnsi="Times New Roman"/>
                <w:noProof/>
                <w:sz w:val="20"/>
              </w:rPr>
              <w:t>Този брой не включва корабите, регистрирани в Майот; броят им може да бъде увеличен в бъдеще съгласно плана за развитие на флота на Майот.</w:t>
            </w:r>
          </w:p>
        </w:tc>
      </w:tr>
    </w:tbl>
    <w:p>
      <w:pPr>
        <w:pStyle w:val="Point0"/>
        <w:rPr>
          <w:rFonts w:eastAsia="Calibri"/>
          <w:noProof/>
        </w:rPr>
      </w:pPr>
      <w:r>
        <w:rPr>
          <w:noProof/>
        </w:rPr>
        <w:t>3.</w:t>
      </w:r>
      <w:r>
        <w:rPr>
          <w:noProof/>
        </w:rPr>
        <w:tab/>
        <w:t>Корабите по точка 1 получават и разрешение за риболов на риба меч и бял тон в зоната на Конвенцията IOTC.</w:t>
      </w:r>
    </w:p>
    <w:p>
      <w:pPr>
        <w:pStyle w:val="Point0"/>
        <w:rPr>
          <w:rFonts w:eastAsia="Calibri"/>
          <w:noProof/>
        </w:rPr>
        <w:sectPr>
          <w:footnotePr>
            <w:numRestart w:val="eachPage"/>
          </w:footnotePr>
          <w:pgSz w:w="11906" w:h="16838"/>
          <w:pgMar w:top="1134" w:right="1134" w:bottom="1134" w:left="1134" w:header="709" w:footer="709" w:gutter="0"/>
          <w:cols w:space="720"/>
          <w:docGrid w:linePitch="360"/>
        </w:sectPr>
      </w:pPr>
      <w:r>
        <w:rPr>
          <w:noProof/>
        </w:rPr>
        <w:t>4.</w:t>
      </w:r>
      <w:r>
        <w:rPr>
          <w:noProof/>
        </w:rPr>
        <w:tab/>
        <w:t>Корабите по точка 2 получават и разрешение за риболов на тропическа риба тон в зоната на Конвенцията IOTC.</w:t>
      </w:r>
    </w:p>
    <w:p>
      <w:pPr>
        <w:pStyle w:val="Annexetitre"/>
        <w:rPr>
          <w:rFonts w:eastAsia="Calibri"/>
          <w:noProof/>
        </w:rPr>
      </w:pPr>
      <w:r>
        <w:rPr>
          <w:noProof/>
        </w:rPr>
        <w:t>ПРИЛОЖЕНИЕ VII</w:t>
      </w:r>
    </w:p>
    <w:p>
      <w:pPr>
        <w:pStyle w:val="NormalCentered"/>
        <w:rPr>
          <w:rFonts w:eastAsia="Calibri"/>
          <w:noProof/>
        </w:rPr>
      </w:pPr>
      <w:r>
        <w:rPr>
          <w:noProof/>
        </w:rPr>
        <w:t>ЗОНА НА КОНВЕНЦИЯТА WCPFC</w:t>
      </w:r>
    </w:p>
    <w:p>
      <w:pPr>
        <w:rPr>
          <w:rFonts w:eastAsia="Calibri"/>
          <w:noProof/>
        </w:rPr>
      </w:pPr>
      <w:r>
        <w:rPr>
          <w:noProof/>
        </w:rPr>
        <w:t>Максимален брой кораби на Съюза с разрешения за риболов на риба меч в зони на юг от 20° ю.ш. от зоната на Конвенцията WCPFC</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Испания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Съюз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pStyle w:val="Lignefinal"/>
        <w:rPr>
          <w:noProof/>
        </w:rPr>
      </w:pPr>
    </w:p>
    <w:p>
      <w:pPr>
        <w:rPr>
          <w:noProof/>
        </w:rPr>
        <w:sectPr>
          <w:footnotePr>
            <w:numRestart w:val="eachPage"/>
          </w:footnotePr>
          <w:pgSz w:w="11906" w:h="16838"/>
          <w:pgMar w:top="1134" w:right="1134" w:bottom="1134" w:left="1134" w:header="709" w:footer="709" w:gutter="0"/>
          <w:cols w:space="720"/>
          <w:docGrid w:linePitch="360"/>
        </w:sectPr>
      </w:pPr>
    </w:p>
    <w:p>
      <w:pPr>
        <w:pStyle w:val="Annexetitre"/>
        <w:rPr>
          <w:rFonts w:eastAsia="Calibri"/>
          <w:noProof/>
        </w:rPr>
      </w:pPr>
      <w:r>
        <w:rPr>
          <w:noProof/>
        </w:rPr>
        <w:t>ПРИЛОЖЕНИЕ VIII</w:t>
      </w:r>
    </w:p>
    <w:p>
      <w:pPr>
        <w:pStyle w:val="NormalCentered"/>
        <w:rPr>
          <w:rFonts w:eastAsia="Calibri"/>
          <w:noProof/>
        </w:rPr>
      </w:pPr>
      <w:r>
        <w:rPr>
          <w:noProof/>
        </w:rPr>
        <w:t>КОЛИЧЕСТВЕНИ ОГРАНИЧЕНИЯ НА РАЗРЕШЕНИЯТА ЗА РИБОЛОВ</w:t>
      </w:r>
      <w:r>
        <w:rPr>
          <w:noProof/>
        </w:rPr>
        <w:br/>
        <w:t>ЗА КОРАБИТЕ НА ТРЕТИ ДЪРЖАВИ, ИЗВЪРШВАЩИ РИБОЛОВ ВЪВ ВОДИТЕ НА СЪЮЗА</w:t>
      </w:r>
    </w:p>
    <w:tbl>
      <w:tblPr>
        <w:tblW w:w="5000" w:type="pct"/>
        <w:tblLook w:val="0000" w:firstRow="0" w:lastRow="0" w:firstColumn="0" w:lastColumn="0" w:noHBand="0" w:noVBand="0"/>
      </w:tblPr>
      <w:tblGrid>
        <w:gridCol w:w="1486"/>
        <w:gridCol w:w="3649"/>
        <w:gridCol w:w="2071"/>
        <w:gridCol w:w="2083"/>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Държава на знамето</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Риболов</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Брой разрешения за риболов</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Максимален брой кораби в зоната във всеки един момент</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Норвегия</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Херинга, на север от 62° 00′ с.ш.</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Фарьорски острови</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Скумрия, VIa (на север от 56° 30′ с.ш.), IIa, IVa (на север от 59° с.ш.)</w:t>
            </w:r>
          </w:p>
          <w:p>
            <w:pPr>
              <w:spacing w:before="60" w:after="60"/>
              <w:rPr>
                <w:rFonts w:eastAsia="Calibri"/>
                <w:noProof/>
              </w:rPr>
            </w:pPr>
            <w:r>
              <w:rPr>
                <w:noProof/>
              </w:rPr>
              <w:t>Сафрид, IV, VIa (на север от 56° 30′ с.ш.), VIIe, VIIf, VIIh</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Херинга, на север от 62° 00′ с.ш.</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Херинга, IIIa</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Стопански риболов на норвежки паут, IV, VIa (на север от 56° 30′ с.ш.) (включително неизбежния прилов на син меджид)</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Молва и менек</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Син меджид, II, IVa, V, VIa (на север от 56° 30′ с.ш.), VIb, VII (на запад от 12° 00′ з.д.)</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Синя молва</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Подлежи на определяне</w:t>
            </w:r>
          </w:p>
        </w:tc>
      </w:tr>
      <w:tr>
        <w:tc>
          <w:tcPr>
            <w:tcW w:w="800"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bookmarkStart w:id="4" w:name="ControlPages"/>
            <w:bookmarkEnd w:id="4"/>
            <w:r>
              <w:rPr>
                <w:noProof/>
              </w:rPr>
              <w:t>Венецуела</w:t>
            </w:r>
            <w:r>
              <w:rPr>
                <w:b/>
                <w:noProof/>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Снапери (води на Френска Гвиана)</w:t>
            </w:r>
          </w:p>
        </w:tc>
        <w:tc>
          <w:tcPr>
            <w:tcW w:w="1115"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noProof/>
              </w:rPr>
              <w:t>Подлежи на определяне</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rPr>
                <w:rFonts w:eastAsia="Calibri"/>
                <w:noProof/>
              </w:rPr>
            </w:pPr>
            <w:r>
              <w:rPr>
                <w:noProof/>
              </w:rPr>
              <w:t>Подлежи на определяне</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rFonts w:eastAsia="Calibri"/>
                <w:noProof/>
              </w:rPr>
            </w:pPr>
            <w:r>
              <w:rPr>
                <w:b/>
                <w:noProof/>
                <w:vertAlign w:val="superscript"/>
              </w:rPr>
              <w:t>(1)</w:t>
            </w:r>
            <w:r>
              <w:rPr>
                <w:noProof/>
              </w:rPr>
              <w:tab/>
              <w:t>За да се издадат тези разрешения за риболов, се представя доказателство за валиден договор между собственика на кораба, подал заявление за разрешението за риболов, и преработвателно предприятие, разположено в департамента Френска Гвиана, както и доказателство, че договорът включва задължението съответният кораб да разтоварва най-малко 75 % от всеки улов на снапери на територията на този департамент, така че да могат да се преработят в завода на предприятието. Този договор трябва да бъде одобрен от френските власти, които гарантират, че той съответства както на действителния капацитет на преработвателното предприятие по договора, така и на целите за развитие на икономиката на Френска Гвиана. Копие от надлежно одобрения договор се прилага към заявлението за разрешение за риболов. В случай че това одобрение бъде отказано, френските органи уведомяват за това засегнатата страна и Комисията и излагат мотивите си за отказа.</w:t>
            </w:r>
          </w:p>
        </w:tc>
      </w:tr>
    </w:tbl>
    <w:p>
      <w:pPr>
        <w:pStyle w:val="Lignefinal"/>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1954/2003 на Съвета от 4 ноември 2003 г. за управление на риболовното усилие по отношение на определени общностни риболовни зони и рибни ресурси, за изменение на Регламент (ЕО) № 2847/93 и за отмяна на Регламенти (ЕО) № 685/95 и (ЕО) № 2027/95 (ОВ L 289, 7.11.2003 г., стр. 1).</w:t>
      </w:r>
    </w:p>
  </w:footnote>
  <w:footnote w:id="2">
    <w:p>
      <w:pPr>
        <w:pStyle w:val="FootnoteText"/>
      </w:pPr>
      <w:r>
        <w:rPr>
          <w:rStyle w:val="FootnoteReference"/>
        </w:rPr>
        <w:footnoteRef/>
      </w:r>
      <w:r>
        <w:tab/>
        <w:t>Регламент (ЕО) № 1198/2006 на Съвета от 27 юли 2006 г. за Европейския фонд за рибарство (ОВ L 223, 15.8.2006 г., стр. 1).</w:t>
      </w:r>
    </w:p>
  </w:footnote>
  <w:footnote w:id="3">
    <w:p>
      <w:pPr>
        <w:pStyle w:val="FootnoteText"/>
      </w:pPr>
      <w:r>
        <w:rPr>
          <w:rStyle w:val="FootnoteReference"/>
        </w:rPr>
        <w:footnoteRef/>
      </w:r>
      <w:r>
        <w:tab/>
        <w:t>Регламент (ЕО) № 744/2008 на Съвета от 24 юли 2008 г. за въвеждане на временно конкретно действие с цел поощряване на преструктурирането на риболовните флотове на Европейския съюз, засегнати от икономическата криза (ОВ L 202, 31.7.2008 г., стр. 1).</w:t>
      </w:r>
    </w:p>
  </w:footnote>
  <w:footnote w:id="4">
    <w:p>
      <w:pPr>
        <w:pStyle w:val="FootnoteText"/>
      </w:pPr>
      <w:r>
        <w:rPr>
          <w:rStyle w:val="FootnoteReference"/>
        </w:rPr>
        <w:footnoteRef/>
      </w:r>
      <w:r>
        <w:tab/>
        <w:t>Регламент (ЕО) № 199/2008 на Съвета от 25 февруари 2008 г. за установяване на общностна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(ОВ L 60, 5.3.2008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6"/>
  </w:num>
  <w:num w:numId="22">
    <w:abstractNumId w:val="26"/>
  </w:num>
  <w:num w:numId="23">
    <w:abstractNumId w:val="17"/>
  </w:num>
  <w:num w:numId="24">
    <w:abstractNumId w:val="29"/>
  </w:num>
  <w:num w:numId="25">
    <w:abstractNumId w:val="13"/>
  </w:num>
  <w:num w:numId="26">
    <w:abstractNumId w:val="18"/>
  </w:num>
  <w:num w:numId="27">
    <w:abstractNumId w:val="8"/>
  </w:num>
  <w:num w:numId="28">
    <w:abstractNumId w:val="28"/>
  </w:num>
  <w:num w:numId="29">
    <w:abstractNumId w:val="7"/>
  </w:num>
  <w:num w:numId="30">
    <w:abstractNumId w:val="20"/>
  </w:num>
  <w:num w:numId="31">
    <w:abstractNumId w:val="24"/>
  </w:num>
  <w:num w:numId="32">
    <w:abstractNumId w:val="25"/>
  </w:num>
  <w:num w:numId="33">
    <w:abstractNumId w:val="12"/>
  </w:num>
  <w:num w:numId="34">
    <w:abstractNumId w:val="23"/>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22: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ACCOMPAGNANT.CP" w:val="\u1082?\u1098?\u1084?"/>
    <w:docVar w:name="LW_ANNEX_NBR_FIRST" w:val="2"/>
    <w:docVar w:name="LW_ANNEX_NBR_LAST" w:val="8"/>
    <w:docVar w:name="LW_CONFIDENCE" w:val=" "/>
    <w:docVar w:name="LW_CONST_RESTREINT_UE" w:val="RESTREINT UE"/>
    <w:docVar w:name="LW_CORRIGENDUM" w:val="&lt;UNUSED&gt;"/>
    <w:docVar w:name="LW_COVERPAGE_GUID" w:val="1894C15BEBDF47E7BEAACEABAD0B668C"/>
    <w:docVar w:name="LW_CROSSREFERENCE" w:val="&lt;UNUSED&gt;"/>
    <w:docVar w:name="LW_DocType" w:val="ANNEX"/>
    <w:docVar w:name="LW_EMISSION" w:val="10.11.2015"/>
    <w:docVar w:name="LW_EMISSION_ISODATE" w:val="2015-11-1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87?\u1088?\u1077?\u1076?\u1077?\u1083?\u1103?\u1085?\u1077? \u1079?\u1072? 2016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2?\u1086?\u1088?\u1072?\u1073?\u1080?\u1090?\u1077? \u1085?\u1072? \u1057?\u1098?\u1102?\u1079?\u1072? \u1074? \u1085?\u1103?\u1082?\u1086?\u1080? \u1074?\u1086?\u1076?\u1080? \u1080?\u1079?\u1074?\u1098?\u1085? \u1057?\u1098?\u1102?\u1079?\u1072?"/>
    <w:docVar w:name="LW_PART_NBR" w:val="&lt;UNUSED&gt;"/>
    <w:docVar w:name="LW_PART_NBR_TOTAL" w:val="&lt;UNUSED&gt;"/>
    <w:docVar w:name="LW_REF.INST.NEW" w:val="COM"/>
    <w:docVar w:name="LW_REF.INST.NEW_ADOPTED" w:val="final"/>
    <w:docVar w:name="LW_REF.INST.NEW_TEXT" w:val="(2015) 559"/>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u1088?\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bg-BG" w:eastAsia="bg-BG"/>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bg-BG" w:eastAsia="bg-BG"/>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yperlink" Target="http://www.ccamlr.org/node/74407" TargetMode="External"/><Relationship Id="rId50"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2.jpeg"/><Relationship Id="rId38" Type="http://schemas.openxmlformats.org/officeDocument/2006/relationships/header" Target="header14.xml"/><Relationship Id="rId46" Type="http://schemas.openxmlformats.org/officeDocument/2006/relationships/hyperlink" Target="http://www.ccamlr.org/node/74407"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8.xml"/><Relationship Id="rId8" Type="http://schemas.openxmlformats.org/officeDocument/2006/relationships/image" Target="media/image1.emf"/><Relationship Id="rId51"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65</Pages>
  <Words>13129</Words>
  <Characters>64596</Characters>
  <Application>Microsoft Office Word</Application>
  <DocSecurity>0</DocSecurity>
  <Lines>3399</Lines>
  <Paragraphs>2045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dcterms:created xsi:type="dcterms:W3CDTF">2015-10-27T15:39:00Z</dcterms:created>
  <dcterms:modified xsi:type="dcterms:W3CDTF">2015-11-10T08:22:00Z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