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D40A75917FE44FB802D7BBD77973FA2" style="width:450.8pt;height:321.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hAnsi="Times New Roman" w:cs="Times New Roman"/>
          <w:b/>
          <w:noProof/>
          <w:sz w:val="24"/>
        </w:rPr>
      </w:pPr>
      <w:bookmarkStart w:id="1" w:name="_GoBack"/>
      <w:bookmarkEnd w:id="1"/>
      <w:r>
        <w:rPr>
          <w:rFonts w:ascii="Times New Roman" w:hAnsi="Times New Roman"/>
          <w:b/>
          <w:noProof/>
          <w:sz w:val="24"/>
        </w:rPr>
        <w:lastRenderedPageBreak/>
        <w:t>ДОКЛАД НА КОМИСИЯТА ДО СЪВЕТА</w:t>
      </w:r>
    </w:p>
    <w:p>
      <w:pPr>
        <w:spacing w:before="360" w:after="360" w:line="240" w:lineRule="auto"/>
        <w:jc w:val="center"/>
        <w:rPr>
          <w:rFonts w:ascii="Times New Roman" w:hAnsi="Times New Roman" w:cs="Times New Roman"/>
          <w:b/>
          <w:noProof/>
          <w:color w:val="0000FF"/>
          <w:sz w:val="24"/>
        </w:rPr>
      </w:pPr>
      <w:r>
        <w:rPr>
          <w:rFonts w:ascii="Times New Roman" w:hAnsi="Times New Roman"/>
          <w:b/>
          <w:noProof/>
          <w:sz w:val="24"/>
        </w:rPr>
        <w:t>относно прилагането на Регламент (ЕС) № 479/2013 от 13 май 2013 г. за освобождаване от изискването за подаване на обобщени декларации за въвеждане и за напускане за съюзни стоки, придвижвани през коридора Neum</w:t>
      </w: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Въведение</w:t>
      </w:r>
    </w:p>
    <w:p>
      <w:pPr>
        <w:contextualSpacing/>
        <w:jc w:val="both"/>
        <w:rPr>
          <w:rFonts w:ascii="Times New Roman" w:hAnsi="Times New Roman" w:cs="Times New Roman"/>
          <w:b/>
          <w:noProof/>
          <w:sz w:val="24"/>
          <w:szCs w:val="24"/>
        </w:rPr>
      </w:pPr>
    </w:p>
    <w:p>
      <w:pPr>
        <w:spacing w:after="240"/>
        <w:contextualSpacing/>
        <w:jc w:val="both"/>
        <w:rPr>
          <w:rFonts w:ascii="Times New Roman" w:hAnsi="Times New Roman" w:cs="Times New Roman"/>
          <w:noProof/>
          <w:sz w:val="24"/>
          <w:szCs w:val="24"/>
        </w:rPr>
      </w:pPr>
      <w:r>
        <w:rPr>
          <w:rFonts w:ascii="Times New Roman" w:hAnsi="Times New Roman"/>
          <w:noProof/>
          <w:sz w:val="24"/>
        </w:rPr>
        <w:t>Регламент (ЕС) № 479/2013 на Съвета от 13 май 2013 г. (Регламент за Neum) е приет въз основа на член 43 от Акта за присъединяване на Република Хърватия към Европейския съюз (ЕС). С него се установява специален режим по отношение на задължението за подаване на обобщени декларации за въвеждане и напускане за пратки, преминаващи през коридора Neum, чрез дерогация от някои разпоредби на Регламент (ЕИО) № 2913/92 на Съвета относно създаване на Митнически кодекс на Общността (наричан по-нататък „Кодексът“)</w:t>
      </w:r>
      <w:r>
        <w:rPr>
          <w:rFonts w:ascii="Times New Roman" w:hAnsi="Times New Roman"/>
          <w:noProof/>
          <w:sz w:val="24"/>
          <w:vertAlign w:val="superscript"/>
        </w:rPr>
        <w:footnoteReference w:id="1"/>
      </w:r>
      <w:r>
        <w:rPr>
          <w:rFonts w:ascii="Times New Roman" w:hAnsi="Times New Roman"/>
          <w:noProof/>
          <w:sz w:val="24"/>
        </w:rPr>
        <w:t xml:space="preserve"> и на Регламент (ЕИО) № 2454/93 на Комисията за определяне на разпоредби за прилагане на Митническия кодекс на Общността (РПМК)</w:t>
      </w:r>
      <w:r>
        <w:rPr>
          <w:rFonts w:ascii="Times New Roman" w:hAnsi="Times New Roman"/>
          <w:noProof/>
          <w:sz w:val="24"/>
          <w:vertAlign w:val="superscript"/>
        </w:rPr>
        <w:footnoteReference w:id="2"/>
      </w:r>
      <w:r>
        <w:rPr>
          <w:rFonts w:ascii="Times New Roman" w:hAnsi="Times New Roman"/>
          <w:noProof/>
          <w:sz w:val="24"/>
        </w:rPr>
        <w:t>.</w:t>
      </w:r>
    </w:p>
    <w:p>
      <w:pPr>
        <w:spacing w:after="240"/>
        <w:contextualSpacing/>
        <w:jc w:val="both"/>
        <w:rPr>
          <w:rFonts w:ascii="Times New Roman" w:hAnsi="Times New Roman" w:cs="Times New Roman"/>
          <w:noProof/>
          <w:sz w:val="24"/>
          <w:szCs w:val="24"/>
        </w:rPr>
      </w:pPr>
    </w:p>
    <w:p>
      <w:pPr>
        <w:spacing w:after="240"/>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Съгласно член 6 от Регламента за Neum Република Хърватия пое задължението да наблюдава стриктно прилагането му и от март 2014 г. да информира Европейската комисия за всички открити нередности, както и за мерките, които е предприела впоследствие за отстраняване на тези нередности. По силата на член 7, в срок от две години след влизането в сила на регламента Комисията трябва да представи на Съвета на ЕС доклад, съдържащ оценка на прилагането на регламента. </w:t>
      </w:r>
    </w:p>
    <w:p>
      <w:pPr>
        <w:spacing w:after="240"/>
        <w:contextualSpacing/>
        <w:jc w:val="both"/>
        <w:rPr>
          <w:rFonts w:ascii="Times New Roman" w:eastAsia="Times New Roman" w:hAnsi="Times New Roman" w:cs="Times New Roman"/>
          <w:noProof/>
          <w:sz w:val="24"/>
          <w:szCs w:val="24"/>
        </w:rPr>
      </w:pPr>
    </w:p>
    <w:p>
      <w:pPr>
        <w:spacing w:after="240"/>
        <w:contextualSpacing/>
        <w:jc w:val="both"/>
        <w:rPr>
          <w:rFonts w:ascii="Times New Roman" w:eastAsia="Times New Roman" w:hAnsi="Times New Roman" w:cs="Times New Roman"/>
          <w:noProof/>
          <w:sz w:val="24"/>
          <w:szCs w:val="24"/>
        </w:rPr>
      </w:pPr>
      <w:r>
        <w:rPr>
          <w:rFonts w:ascii="Times New Roman" w:hAnsi="Times New Roman"/>
          <w:noProof/>
          <w:sz w:val="24"/>
        </w:rPr>
        <w:t>С настоящия доклад се прави тази оценка. В него се прави преглед на икономическия и географския контекст, както и на правната рамка. След това се предоставя обща оценка на прилагането, оценка на това дали конкретни разпоредби са изпълнени, както и оценка на пригодността на ресурсите и възможностите, които са необходими и достъпни.</w:t>
      </w:r>
    </w:p>
    <w:p>
      <w:pPr>
        <w:spacing w:after="240"/>
        <w:contextualSpacing/>
        <w:jc w:val="both"/>
        <w:rPr>
          <w:rFonts w:ascii="Times New Roman" w:eastAsia="Times New Roman" w:hAnsi="Times New Roman" w:cs="Times New Roman"/>
          <w:noProof/>
          <w:sz w:val="24"/>
          <w:szCs w:val="24"/>
        </w:rPr>
      </w:pPr>
    </w:p>
    <w:p>
      <w:pPr>
        <w:spacing w:after="240"/>
        <w:contextualSpacing/>
        <w:jc w:val="both"/>
        <w:rPr>
          <w:rFonts w:ascii="Times New Roman" w:eastAsia="Times New Roman" w:hAnsi="Times New Roman" w:cs="Times New Roman"/>
          <w:noProof/>
          <w:sz w:val="24"/>
          <w:szCs w:val="24"/>
        </w:rPr>
      </w:pPr>
      <w:r>
        <w:rPr>
          <w:rFonts w:ascii="Times New Roman" w:hAnsi="Times New Roman"/>
          <w:noProof/>
          <w:sz w:val="24"/>
        </w:rPr>
        <w:t>Настоящият доклад се основава на информацията, редовно предоставяна от хърватската митническа администрация, на резултатите от специалното посещение за мониторинг от 28 ноември 2014 г. и на последвалия диалог с хърватската митническа администрация при финализирането на доклада от мисията.</w:t>
      </w:r>
    </w:p>
    <w:p>
      <w:pPr>
        <w:contextualSpacing/>
        <w:jc w:val="both"/>
        <w:rPr>
          <w:rFonts w:ascii="Times New Roman" w:hAnsi="Times New Roman" w:cs="Times New Roman"/>
          <w:noProof/>
          <w:sz w:val="24"/>
          <w:szCs w:val="24"/>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Географски и икономически контекст</w:t>
      </w:r>
    </w:p>
    <w:p>
      <w:pPr>
        <w:spacing w:before="120" w:after="120" w:line="240" w:lineRule="auto"/>
        <w:ind w:left="360"/>
        <w:contextualSpacing/>
        <w:jc w:val="both"/>
        <w:rPr>
          <w:rFonts w:ascii="Times New Roman" w:hAnsi="Times New Roman" w:cs="Times New Roman"/>
          <w:b/>
          <w:noProof/>
          <w:sz w:val="24"/>
          <w:szCs w:val="24"/>
        </w:rPr>
      </w:pPr>
    </w:p>
    <w:p>
      <w:pPr>
        <w:numPr>
          <w:ilvl w:val="1"/>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Географски контекст</w:t>
      </w:r>
    </w:p>
    <w:p>
      <w:pPr>
        <w:spacing w:before="120" w:after="120" w:line="240" w:lineRule="auto"/>
        <w:ind w:left="792"/>
        <w:contextualSpacing/>
        <w:jc w:val="both"/>
        <w:rPr>
          <w:rFonts w:ascii="Times New Roman" w:hAnsi="Times New Roman" w:cs="Times New Roman"/>
          <w:b/>
          <w:noProof/>
          <w:sz w:val="24"/>
          <w:szCs w:val="24"/>
        </w:rPr>
      </w:pPr>
    </w:p>
    <w:p>
      <w:pPr>
        <w:jc w:val="both"/>
        <w:rPr>
          <w:rFonts w:ascii="Times New Roman" w:hAnsi="Times New Roman" w:cs="Times New Roman"/>
          <w:bCs/>
          <w:noProof/>
          <w:sz w:val="24"/>
          <w:szCs w:val="24"/>
        </w:rPr>
      </w:pPr>
      <w:r>
        <w:rPr>
          <w:rFonts w:ascii="Times New Roman" w:hAnsi="Times New Roman"/>
          <w:noProof/>
          <w:sz w:val="24"/>
        </w:rPr>
        <w:t>Коридорът Neum е част от територията на Босна и Херцеговина, която достига до Адриатическо море, като разделя континенталната част на Хърватия на две части. Той е с дължина приблизително 9 км. На пътя, който преминава през коридора Neum, има два гранични контролно-пропускателни пункта (ГКПП): Klek (Neum I) от северната страна и Zaton Doli (Neum II) от южната страна. Поради особеното разположение на тази област, за преминаване на пратки с продукти от животински произход през коридора Neum се прилагат специални разпоредби,  които позволяват такива стоки да преминат, ако превозното средство е запечатано.</w:t>
      </w:r>
    </w:p>
    <w:p>
      <w:pPr>
        <w:jc w:val="both"/>
        <w:rPr>
          <w:rFonts w:ascii="Times New Roman" w:hAnsi="Times New Roman" w:cs="Times New Roman"/>
          <w:noProof/>
          <w:sz w:val="24"/>
          <w:szCs w:val="24"/>
        </w:rPr>
      </w:pPr>
      <w:r>
        <w:rPr>
          <w:rFonts w:ascii="Times New Roman" w:hAnsi="Times New Roman"/>
          <w:noProof/>
          <w:sz w:val="24"/>
        </w:rPr>
        <w:t>Като се има предвид географското разположение и ограничения участък от пътя, разположен в коридора Neum, пълното прилагане на изискванията на правото на ЕС за подаване на обобщени декларации за въвеждане и напускане за пратки, преминаващи през този коридор, е не само трудно от техническа гледна точка, но по всяка вероятност би довело до сериозни смущения за търговския и пътническия поток в района.</w:t>
      </w:r>
    </w:p>
    <w:p>
      <w:pPr>
        <w:numPr>
          <w:ilvl w:val="1"/>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Икономически контекст</w:t>
      </w:r>
    </w:p>
    <w:p>
      <w:pPr>
        <w:spacing w:before="120" w:after="120" w:line="240" w:lineRule="auto"/>
        <w:ind w:left="792"/>
        <w:contextualSpacing/>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Главният път, който преминава през коридора Neum, е единствената възможна пътна транспортна връзка и има ограничен капацитет. Местните стоки, които се транспортират през коридора, са предимно доставки за района на Дубровник. Те са предназначени за задоволяване на ежедневните нужди на местното население и на местната икономика, в която важна роля играе туризмът. Въпреки че такива доставки извършват и големи дружества, значителна част от движението по коридора се пада на стоки, превозвани от средни и малки икономически оператори, като занаятчии, рибари и земеделски стопани.</w:t>
      </w:r>
    </w:p>
    <w:p>
      <w:pPr>
        <w:jc w:val="both"/>
        <w:rPr>
          <w:rFonts w:ascii="Times New Roman" w:hAnsi="Times New Roman" w:cs="Times New Roman"/>
          <w:noProof/>
          <w:sz w:val="24"/>
          <w:szCs w:val="24"/>
        </w:rPr>
      </w:pPr>
      <w:r>
        <w:rPr>
          <w:rFonts w:ascii="Times New Roman" w:hAnsi="Times New Roman"/>
          <w:noProof/>
          <w:sz w:val="24"/>
        </w:rPr>
        <w:t>Прилагането на общото изискване за подаване на обобщени декларации за въвеждане и напускане би довело до закъснения и би затруднило  значително доставката на стоките, би довело до увеличаване на транспортните разходи и в крайна сметка до нарастване на цените/разходите за тези стоки на местния пазар. Хърватските митнически органи предоставиха на Комисията подробен анализ и обяснение за тази специфична ситуация. Тези условия бяха разгледани от Комисията и обсъдени в Съвета преди приемането на Регламента за Neum</w:t>
      </w:r>
      <w:r>
        <w:rPr>
          <w:rFonts w:ascii="Times New Roman" w:hAnsi="Times New Roman"/>
          <w:noProof/>
          <w:sz w:val="24"/>
          <w:vertAlign w:val="superscript"/>
        </w:rPr>
        <w:footnoteReference w:id="3"/>
      </w:r>
      <w:r>
        <w:rPr>
          <w:rFonts w:ascii="Times New Roman" w:hAnsi="Times New Roman"/>
          <w:noProof/>
          <w:sz w:val="24"/>
        </w:rPr>
        <w:t>.</w:t>
      </w: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Правни условия съгласно Регламента за Neum</w:t>
      </w:r>
    </w:p>
    <w:p>
      <w:pPr>
        <w:spacing w:after="240"/>
        <w:jc w:val="both"/>
        <w:rPr>
          <w:rFonts w:ascii="Times New Roman" w:hAnsi="Times New Roman" w:cs="Times New Roman"/>
          <w:noProof/>
          <w:color w:val="1A171C"/>
          <w:sz w:val="24"/>
          <w:szCs w:val="24"/>
        </w:rPr>
      </w:pPr>
    </w:p>
    <w:p>
      <w:pPr>
        <w:spacing w:after="240"/>
        <w:jc w:val="both"/>
        <w:rPr>
          <w:rFonts w:ascii="Times New Roman" w:hAnsi="Times New Roman" w:cs="Times New Roman"/>
          <w:noProof/>
          <w:color w:val="1A171C"/>
          <w:sz w:val="24"/>
          <w:szCs w:val="24"/>
        </w:rPr>
      </w:pPr>
      <w:r>
        <w:rPr>
          <w:rFonts w:ascii="Times New Roman" w:hAnsi="Times New Roman"/>
          <w:noProof/>
          <w:color w:val="1A171C"/>
          <w:sz w:val="24"/>
        </w:rPr>
        <w:t xml:space="preserve">Регламентът за Neum влезе в сила на 1 юли 2013 г. </w:t>
      </w:r>
      <w:r>
        <w:rPr>
          <w:rFonts w:ascii="Times New Roman" w:hAnsi="Times New Roman"/>
          <w:noProof/>
          <w:sz w:val="24"/>
        </w:rPr>
        <w:t>Съгласно член 36а, параграф 1 от Митническия кодекс на Общността (наричан по-нататък „Кодексът“)</w:t>
      </w:r>
      <w:r>
        <w:rPr>
          <w:noProof/>
          <w:vertAlign w:val="superscript"/>
        </w:rPr>
        <w:footnoteReference w:id="4"/>
      </w:r>
      <w:r>
        <w:rPr>
          <w:rFonts w:ascii="Times New Roman" w:hAnsi="Times New Roman"/>
          <w:noProof/>
          <w:sz w:val="24"/>
        </w:rPr>
        <w:t xml:space="preserve"> стоките, въведени на митническата територия на Съюза, се обхващат от обобщена декларация за въвеждане (ОДВ), при спазване на определени изключения или дерогации, предвидени в член 181в от разпоредбите за неговото прилагане (РПМК)</w:t>
      </w:r>
      <w:r>
        <w:rPr>
          <w:noProof/>
          <w:vertAlign w:val="superscript"/>
        </w:rPr>
        <w:footnoteReference w:id="5"/>
      </w:r>
      <w:r>
        <w:rPr>
          <w:rFonts w:ascii="Times New Roman" w:hAnsi="Times New Roman"/>
          <w:noProof/>
          <w:sz w:val="24"/>
        </w:rPr>
        <w:t>.</w:t>
      </w:r>
    </w:p>
    <w:p>
      <w:pPr>
        <w:spacing w:after="240"/>
        <w:jc w:val="both"/>
        <w:rPr>
          <w:rFonts w:ascii="Times New Roman" w:hAnsi="Times New Roman" w:cs="Times New Roman"/>
          <w:noProof/>
          <w:sz w:val="24"/>
          <w:szCs w:val="24"/>
        </w:rPr>
      </w:pPr>
      <w:r>
        <w:rPr>
          <w:rFonts w:ascii="Times New Roman" w:hAnsi="Times New Roman"/>
          <w:noProof/>
          <w:sz w:val="24"/>
        </w:rPr>
        <w:t>Съгласно член 182a, параграф 1 от Кодекса и при спазване условията на съответните освобождавания или дерогации, приложими съгласно член 842а, параграфи 3 и 4 от РПМК, се изисква обобщена декларация за напускане (ОДН) за стоки, които напускат митническата територия на ЕС, освен ако не се изисква митническа декларация, какъвто е случаят при стоки, които напускат временно митническата територия на ЕС, без да бъдат изнасяни, реекспортирани или поставяни под режим транзит.</w:t>
      </w:r>
    </w:p>
    <w:p>
      <w:pPr>
        <w:spacing w:after="240"/>
        <w:jc w:val="both"/>
        <w:rPr>
          <w:rFonts w:ascii="Times New Roman" w:hAnsi="Times New Roman" w:cs="Times New Roman"/>
          <w:noProof/>
          <w:sz w:val="24"/>
          <w:szCs w:val="24"/>
        </w:rPr>
      </w:pPr>
      <w:r>
        <w:rPr>
          <w:rFonts w:ascii="Times New Roman" w:hAnsi="Times New Roman"/>
          <w:noProof/>
          <w:sz w:val="24"/>
        </w:rPr>
        <w:t>В член 36б, параграф 2 и член 182г, параграф 2 от Кодекса е предвидено изискване за използването на електронна техника за обработка на данни за подаване на посочените обобщени декларации, за да се позволи електронен обмен на данни между митническите органи с цел митническият контрол да се основава на анализ на риска с използването на автоматизирани системи, както се изисква съгласно член 13 от Кодекса.</w:t>
      </w:r>
    </w:p>
    <w:p>
      <w:pPr>
        <w:spacing w:after="240"/>
        <w:jc w:val="both"/>
        <w:rPr>
          <w:rFonts w:ascii="Times New Roman" w:hAnsi="Times New Roman" w:cs="Times New Roman"/>
          <w:noProof/>
          <w:sz w:val="24"/>
          <w:szCs w:val="24"/>
        </w:rPr>
      </w:pPr>
      <w:r>
        <w:rPr>
          <w:rFonts w:ascii="Times New Roman" w:hAnsi="Times New Roman"/>
          <w:noProof/>
          <w:color w:val="1A171C"/>
          <w:sz w:val="24"/>
        </w:rPr>
        <w:t>Съгласно посочените разпоредби съюзните стоки, придвижвани през коридора Neum, бяха освободени от съответните изисквания, като бяха взети предвид характеристиките на местната икономика и на стоките.</w:t>
      </w:r>
      <w:r>
        <w:rPr>
          <w:rFonts w:ascii="Times New Roman" w:hAnsi="Times New Roman"/>
          <w:noProof/>
          <w:sz w:val="24"/>
        </w:rPr>
        <w:t xml:space="preserve"> Туризмът е основната икономическа дейност в района около град Dubrovnik. Отрасълът разчита предимно на малки и средни предприятия, зависещи от доставките на стоки, които идват от основната територия на Република Хърватия и чиято стойност обикновено е под 10 000 евро.</w:t>
      </w:r>
    </w:p>
    <w:p>
      <w:pPr>
        <w:jc w:val="both"/>
        <w:rPr>
          <w:rFonts w:ascii="Times New Roman" w:hAnsi="Times New Roman" w:cs="Times New Roman"/>
          <w:noProof/>
          <w:sz w:val="24"/>
          <w:szCs w:val="24"/>
        </w:rPr>
      </w:pPr>
      <w:r>
        <w:rPr>
          <w:rFonts w:ascii="Times New Roman" w:hAnsi="Times New Roman"/>
          <w:noProof/>
          <w:sz w:val="24"/>
        </w:rPr>
        <w:t>Както бе потвърдено от последните статистически данни, предоставени от хърватската митническа администрация, 89 % от стоките, транспортирани през коридора Neum, са със статус на съюзни стоки. Те преминават през коридора, придружени от търговски документи, удостоверяващи общностния статус, както е посочено в член 317 от РПМК.</w:t>
      </w:r>
    </w:p>
    <w:p>
      <w:pPr>
        <w:jc w:val="both"/>
        <w:rPr>
          <w:rFonts w:ascii="Times New Roman" w:eastAsia="Arial Unicode MS" w:hAnsi="Times New Roman" w:cs="Times New Roman"/>
          <w:noProof/>
          <w:color w:val="000000"/>
          <w:sz w:val="24"/>
          <w:szCs w:val="24"/>
        </w:rPr>
      </w:pPr>
      <w:r>
        <w:rPr>
          <w:rFonts w:ascii="Times New Roman" w:hAnsi="Times New Roman"/>
          <w:noProof/>
          <w:sz w:val="24"/>
        </w:rPr>
        <w:t xml:space="preserve">Хърватия пое ангажимент да осигури въвеждането на подходящи процедури и проверки към датата на присъединяването си към ЕС и на двата гранично-пропускателни пункта с цел ефективно управление на специалния режим, установен по силата на Регламента за Neum. </w:t>
      </w:r>
      <w:r>
        <w:rPr>
          <w:rFonts w:ascii="Times New Roman" w:hAnsi="Times New Roman"/>
          <w:noProof/>
          <w:color w:val="000000"/>
          <w:sz w:val="24"/>
        </w:rPr>
        <w:t>И двата гранично-пропускателни пункта трябваше да разполагат с подходящо оборудване и персонал, за да изпълнят съответните изисквания.</w:t>
      </w:r>
    </w:p>
    <w:p>
      <w:pPr>
        <w:autoSpaceDE w:val="0"/>
        <w:autoSpaceDN w:val="0"/>
        <w:adjustRightInd w:val="0"/>
        <w:spacing w:before="60" w:after="60"/>
        <w:jc w:val="both"/>
        <w:rPr>
          <w:rFonts w:ascii="Times New Roman" w:hAnsi="Times New Roman" w:cs="Times New Roman"/>
          <w:noProof/>
          <w:sz w:val="24"/>
          <w:szCs w:val="24"/>
        </w:rPr>
      </w:pPr>
      <w:r>
        <w:rPr>
          <w:rFonts w:ascii="Times New Roman" w:hAnsi="Times New Roman"/>
          <w:noProof/>
          <w:sz w:val="24"/>
        </w:rPr>
        <w:t>В съответствие с член 4 от Регламента за Neum освобождаването от изискването за подаване на ОДВ и ОДН се прилага, ако са изпълнени следните условия:</w:t>
      </w:r>
    </w:p>
    <w:p>
      <w:pPr>
        <w:autoSpaceDE w:val="0"/>
        <w:autoSpaceDN w:val="0"/>
        <w:adjustRightInd w:val="0"/>
        <w:spacing w:before="60" w:after="60"/>
        <w:jc w:val="both"/>
        <w:rPr>
          <w:rFonts w:ascii="Times New Roman" w:hAnsi="Times New Roman" w:cs="Times New Roman"/>
          <w:noProof/>
          <w:sz w:val="24"/>
          <w:szCs w:val="24"/>
        </w:rPr>
      </w:pPr>
      <w:r>
        <w:rPr>
          <w:rFonts w:ascii="Times New Roman" w:hAnsi="Times New Roman"/>
          <w:noProof/>
          <w:sz w:val="24"/>
        </w:rPr>
        <w:t>— стоките са придружени от търговски документи (фактура или транспортен документ), които следва да съдържат най-малко набора данни, изисквани съгласно член 317, параграф</w:t>
      </w:r>
      <w:r>
        <w:rPr>
          <w:rFonts w:ascii="Times New Roman" w:hAnsi="Times New Roman"/>
          <w:noProof/>
          <w:sz w:val="24"/>
          <w:lang w:val="en-US"/>
        </w:rPr>
        <w:t> </w:t>
      </w:r>
      <w:r>
        <w:rPr>
          <w:rFonts w:ascii="Times New Roman" w:hAnsi="Times New Roman"/>
          <w:noProof/>
          <w:sz w:val="24"/>
        </w:rPr>
        <w:t>2 от РПМК, както и общата стойност на стоките,</w:t>
      </w:r>
    </w:p>
    <w:p>
      <w:pPr>
        <w:autoSpaceDE w:val="0"/>
        <w:autoSpaceDN w:val="0"/>
        <w:adjustRightInd w:val="0"/>
        <w:spacing w:before="60" w:after="60"/>
        <w:rPr>
          <w:rFonts w:ascii="Times New Roman" w:hAnsi="Times New Roman" w:cs="Times New Roman"/>
          <w:noProof/>
          <w:sz w:val="24"/>
          <w:szCs w:val="24"/>
        </w:rPr>
      </w:pPr>
      <w:r>
        <w:rPr>
          <w:rFonts w:ascii="Times New Roman" w:hAnsi="Times New Roman"/>
          <w:noProof/>
          <w:sz w:val="24"/>
        </w:rPr>
        <w:t>— общата стойност на въпросните стоки не надвишава 10 000 EUR,</w:t>
      </w:r>
    </w:p>
    <w:p>
      <w:pPr>
        <w:autoSpaceDE w:val="0"/>
        <w:autoSpaceDN w:val="0"/>
        <w:adjustRightInd w:val="0"/>
        <w:spacing w:before="60" w:after="60"/>
        <w:jc w:val="both"/>
        <w:rPr>
          <w:rFonts w:ascii="Times New Roman" w:hAnsi="Times New Roman" w:cs="Times New Roman"/>
          <w:noProof/>
          <w:sz w:val="24"/>
          <w:szCs w:val="24"/>
        </w:rPr>
      </w:pPr>
      <w:r>
        <w:rPr>
          <w:rFonts w:ascii="Times New Roman" w:hAnsi="Times New Roman"/>
          <w:noProof/>
          <w:sz w:val="24"/>
        </w:rPr>
        <w:t>— въпросните придружаващи документи са заверени от хърватските митнически органи посредством официално обозначение (подпис, печати) при напускане,</w:t>
      </w:r>
    </w:p>
    <w:p>
      <w:pPr>
        <w:autoSpaceDE w:val="0"/>
        <w:autoSpaceDN w:val="0"/>
        <w:adjustRightInd w:val="0"/>
        <w:spacing w:before="60" w:after="60"/>
        <w:jc w:val="both"/>
        <w:rPr>
          <w:rFonts w:ascii="Times New Roman" w:hAnsi="Times New Roman" w:cs="Times New Roman"/>
          <w:noProof/>
          <w:sz w:val="24"/>
          <w:szCs w:val="24"/>
        </w:rPr>
      </w:pPr>
      <w:r>
        <w:rPr>
          <w:rFonts w:ascii="Times New Roman" w:hAnsi="Times New Roman"/>
          <w:noProof/>
          <w:sz w:val="24"/>
        </w:rPr>
        <w:t>— когато счетат за необходимо, митническите органи запечатват пратките или транспортните средства при напускане,</w:t>
      </w:r>
    </w:p>
    <w:p>
      <w:pPr>
        <w:autoSpaceDE w:val="0"/>
        <w:autoSpaceDN w:val="0"/>
        <w:adjustRightInd w:val="0"/>
        <w:spacing w:before="60" w:after="60"/>
        <w:jc w:val="both"/>
        <w:rPr>
          <w:rFonts w:ascii="Times New Roman" w:hAnsi="Times New Roman" w:cs="Times New Roman"/>
          <w:noProof/>
          <w:sz w:val="24"/>
          <w:szCs w:val="24"/>
        </w:rPr>
      </w:pPr>
      <w:r>
        <w:rPr>
          <w:rFonts w:ascii="Times New Roman" w:hAnsi="Times New Roman"/>
          <w:noProof/>
          <w:sz w:val="24"/>
        </w:rPr>
        <w:t>— при повторно въвеждане митническите органи проверяват документите, времето за преминаване през коридора, пломбите (ако има такава) и стоките (когато е целесъобразно).</w:t>
      </w:r>
    </w:p>
    <w:p>
      <w:pPr>
        <w:jc w:val="both"/>
        <w:rPr>
          <w:rFonts w:ascii="Times New Roman" w:hAnsi="Times New Roman" w:cs="Times New Roman"/>
          <w:noProof/>
          <w:sz w:val="24"/>
          <w:szCs w:val="24"/>
        </w:rPr>
      </w:pPr>
      <w:r>
        <w:rPr>
          <w:rFonts w:ascii="Times New Roman" w:hAnsi="Times New Roman"/>
          <w:noProof/>
          <w:sz w:val="24"/>
        </w:rPr>
        <w:t>Освен това прилагането на освобождаването не засяга извършването на анализ на риска във връзка с митническия контрол, прилаган по отношение на съюзни стоки, придвижвани през коридора Neum, както се изисква от разпоредбите на член 5 от Регламента за Neum.</w:t>
      </w: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Оценка</w:t>
      </w:r>
    </w:p>
    <w:p>
      <w:pPr>
        <w:spacing w:before="120" w:after="120" w:line="240" w:lineRule="auto"/>
        <w:ind w:left="360"/>
        <w:contextualSpacing/>
        <w:jc w:val="both"/>
        <w:rPr>
          <w:rFonts w:ascii="Times New Roman" w:hAnsi="Times New Roman" w:cs="Times New Roman"/>
          <w:b/>
          <w:noProof/>
          <w:sz w:val="24"/>
          <w:szCs w:val="24"/>
        </w:rPr>
      </w:pPr>
    </w:p>
    <w:p>
      <w:pPr>
        <w:jc w:val="both"/>
        <w:rPr>
          <w:rFonts w:ascii="Times New Roman" w:eastAsia="Times New Roman" w:hAnsi="Times New Roman" w:cs="Times New Roman"/>
          <w:noProof/>
          <w:snapToGrid w:val="0"/>
          <w:sz w:val="24"/>
          <w:szCs w:val="24"/>
        </w:rPr>
      </w:pPr>
      <w:r>
        <w:rPr>
          <w:rFonts w:ascii="Times New Roman" w:hAnsi="Times New Roman"/>
          <w:noProof/>
          <w:snapToGrid w:val="0"/>
          <w:sz w:val="24"/>
        </w:rPr>
        <w:t>Данните, предоставени от хърватската митническа администрация, потвърждават, че през цялата година движението на стоки на стойност, непревишаваща 10 000 евро, значително надвишава това на стоки на стойност над тази граница. Този факт има важни последици в периода юни — август, когато потокът на движение през коридора значително се увеличава.</w:t>
      </w:r>
    </w:p>
    <w:p>
      <w:pPr>
        <w:jc w:val="both"/>
        <w:rPr>
          <w:rFonts w:ascii="Times New Roman" w:eastAsia="Times New Roman" w:hAnsi="Times New Roman" w:cs="Times New Roman"/>
          <w:noProof/>
          <w:snapToGrid w:val="0"/>
          <w:sz w:val="24"/>
          <w:szCs w:val="24"/>
        </w:rPr>
      </w:pPr>
      <w:r>
        <w:rPr>
          <w:rFonts w:ascii="Times New Roman" w:hAnsi="Times New Roman"/>
          <w:noProof/>
          <w:snapToGrid w:val="0"/>
          <w:sz w:val="24"/>
        </w:rPr>
        <w:t>Екипът за мониторинг установи редица добри практики.</w:t>
      </w:r>
    </w:p>
    <w:p>
      <w:pPr>
        <w:jc w:val="both"/>
        <w:rPr>
          <w:rFonts w:ascii="Times New Roman" w:eastAsia="Times New Roman" w:hAnsi="Times New Roman" w:cs="Times New Roman"/>
          <w:noProof/>
          <w:snapToGrid w:val="0"/>
          <w:sz w:val="24"/>
          <w:szCs w:val="24"/>
        </w:rPr>
      </w:pPr>
      <w:r>
        <w:rPr>
          <w:rFonts w:ascii="Times New Roman" w:hAnsi="Times New Roman"/>
          <w:noProof/>
          <w:snapToGrid w:val="0"/>
          <w:sz w:val="24"/>
        </w:rPr>
        <w:t xml:space="preserve">Гранично-пропускателните пунктове разполагат с адекватни информационни технологии (ИТ) и друго необходимо оборудване. Инфраструктурата е развита значително за осигуряване на своевременни, ефикасни и отговарящи на изискванията контрол и проверки, които отразяват добрите практики, установени в ЕС. Броят на митническите служители е достатъчен и те са добре организирани. Налице е добра координация и пряка връзка между централната администрация и учрежденията в Neum. </w:t>
      </w:r>
    </w:p>
    <w:p>
      <w:pPr>
        <w:jc w:val="both"/>
        <w:rPr>
          <w:rFonts w:ascii="Times New Roman" w:eastAsia="Times New Roman" w:hAnsi="Times New Roman" w:cs="Times New Roman"/>
          <w:noProof/>
          <w:snapToGrid w:val="0"/>
          <w:sz w:val="24"/>
          <w:szCs w:val="24"/>
        </w:rPr>
      </w:pPr>
      <w:r>
        <w:rPr>
          <w:rFonts w:ascii="Times New Roman" w:hAnsi="Times New Roman"/>
          <w:noProof/>
          <w:snapToGrid w:val="0"/>
          <w:sz w:val="24"/>
        </w:rPr>
        <w:t>От логистична гледна точка по пътищата съществуват специални участъци за прегледи на превозни средства с подходящи технически условия, позволяващи ефективен митнически контрол при възможно най-малко смущения в движението. Освен това гранично-пропускателните пунктове са организирани по начин, позволяващ на полицейските и митническите органи да си сътрудничат тясно, като е предвиден прозорец, свързващ двата офиса. Това позволява правилното и бързо сравнение на данни и координацията на проверките и контрола.</w:t>
      </w:r>
    </w:p>
    <w:p>
      <w:pPr>
        <w:jc w:val="both"/>
        <w:rPr>
          <w:rFonts w:ascii="Times New Roman" w:eastAsia="Times New Roman" w:hAnsi="Times New Roman" w:cs="Times New Roman"/>
          <w:noProof/>
          <w:snapToGrid w:val="0"/>
          <w:sz w:val="24"/>
          <w:szCs w:val="24"/>
        </w:rPr>
      </w:pPr>
      <w:r>
        <w:rPr>
          <w:rFonts w:ascii="Times New Roman" w:hAnsi="Times New Roman"/>
          <w:noProof/>
          <w:sz w:val="24"/>
        </w:rPr>
        <w:t>Когато стоките временно напускат митническата територия, хърватските митнически органи осигуряват прилагането на следната процедура:</w:t>
      </w:r>
    </w:p>
    <w:p>
      <w:pPr>
        <w:numPr>
          <w:ilvl w:val="0"/>
          <w:numId w:val="2"/>
        </w:numPr>
        <w:spacing w:before="120" w:after="120" w:line="240" w:lineRule="auto"/>
        <w:contextualSpacing/>
        <w:jc w:val="both"/>
        <w:rPr>
          <w:rFonts w:ascii="Times New Roman" w:eastAsia="Times New Roman" w:hAnsi="Times New Roman" w:cs="Times New Roman"/>
          <w:noProof/>
          <w:snapToGrid w:val="0"/>
          <w:sz w:val="24"/>
          <w:szCs w:val="24"/>
        </w:rPr>
      </w:pPr>
      <w:r>
        <w:rPr>
          <w:rFonts w:ascii="Times New Roman" w:hAnsi="Times New Roman"/>
          <w:noProof/>
          <w:sz w:val="24"/>
        </w:rPr>
        <w:t>митническото учреждение на напускане получава търговските или транспортните документи, придружаващи стоките, и въвежда в информационната система данни относно лицето, което превозва стоките, собственика на стоките (когато е приложимо) и изпращача на стоките, както и описанието на стоките, стойността им, броя/количеството на опаковките и брутното тегло,</w:t>
      </w:r>
    </w:p>
    <w:p>
      <w:pPr>
        <w:numPr>
          <w:ilvl w:val="0"/>
          <w:numId w:val="2"/>
        </w:numPr>
        <w:spacing w:before="120" w:after="120" w:line="240" w:lineRule="auto"/>
        <w:contextualSpacing/>
        <w:jc w:val="both"/>
        <w:rPr>
          <w:rFonts w:ascii="Times New Roman" w:eastAsia="Times New Roman" w:hAnsi="Times New Roman" w:cs="Times New Roman"/>
          <w:noProof/>
          <w:snapToGrid w:val="0"/>
          <w:sz w:val="24"/>
          <w:szCs w:val="24"/>
        </w:rPr>
      </w:pPr>
      <w:r>
        <w:rPr>
          <w:rFonts w:ascii="Times New Roman" w:hAnsi="Times New Roman"/>
          <w:noProof/>
          <w:sz w:val="24"/>
        </w:rPr>
        <w:t>ако е необходимо, се извършват пропорционален анализ на риска и митнически контрол,</w:t>
      </w:r>
    </w:p>
    <w:p>
      <w:pPr>
        <w:numPr>
          <w:ilvl w:val="0"/>
          <w:numId w:val="2"/>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когато установи, че условията са изпълнени, митническият орган поставя печат върху съответните документи, които придружават стоките, отбелязва информацията относно поставените митнически пломби (ако има такива) и въвежда точния момент, когато стоките напускат митническата територия (час и минута). Времето, определено за преминаване през на коридора, е средно около 20 минути. Това е разумно, като се има предвид, че превозните средства преминават през четири гранични контролно-пропускателни пункта в Neum, като се включат и тези, които са установени от властите на Босна и Херцеговина.</w:t>
      </w:r>
    </w:p>
    <w:p>
      <w:pPr>
        <w:pStyle w:val="ListParagraph"/>
        <w:rPr>
          <w:rFonts w:ascii="Times New Roman" w:eastAsia="Times New Roman" w:hAnsi="Times New Roman"/>
          <w:noProof/>
          <w:snapToGrid w:val="0"/>
          <w:sz w:val="24"/>
          <w:szCs w:val="24"/>
        </w:rPr>
      </w:pPr>
    </w:p>
    <w:p>
      <w:pPr>
        <w:ind w:left="360"/>
        <w:jc w:val="both"/>
        <w:rPr>
          <w:rFonts w:ascii="Times New Roman" w:eastAsia="Times New Roman" w:hAnsi="Times New Roman" w:cs="Times New Roman"/>
          <w:noProof/>
          <w:snapToGrid w:val="0"/>
          <w:sz w:val="24"/>
          <w:szCs w:val="24"/>
        </w:rPr>
      </w:pPr>
      <w:r>
        <w:rPr>
          <w:rFonts w:ascii="Times New Roman" w:hAnsi="Times New Roman"/>
          <w:noProof/>
          <w:sz w:val="24"/>
        </w:rPr>
        <w:t xml:space="preserve">На мястото на повторно въвеждане: </w:t>
      </w:r>
    </w:p>
    <w:p>
      <w:pPr>
        <w:numPr>
          <w:ilvl w:val="0"/>
          <w:numId w:val="3"/>
        </w:numPr>
        <w:spacing w:before="120" w:after="0" w:line="240" w:lineRule="auto"/>
        <w:ind w:left="720"/>
        <w:contextualSpacing/>
        <w:jc w:val="both"/>
        <w:rPr>
          <w:rFonts w:ascii="Times New Roman" w:eastAsia="Times New Roman" w:hAnsi="Times New Roman" w:cs="Times New Roman"/>
          <w:noProof/>
          <w:sz w:val="24"/>
          <w:szCs w:val="24"/>
        </w:rPr>
      </w:pPr>
      <w:r>
        <w:rPr>
          <w:rFonts w:ascii="Times New Roman" w:hAnsi="Times New Roman"/>
          <w:noProof/>
          <w:sz w:val="24"/>
        </w:rPr>
        <w:t>стоките и придружаващите ги документи с поставен печат се представят на митническия служител, който проверява документите и сравнява информацията в тези документи с данните, вписани от митническото учреждение на напускане в ИТ системата. Проверяват се митническите пломби (ако има такива). Проверява се времето за преминаване през коридора Neum.</w:t>
      </w:r>
    </w:p>
    <w:p>
      <w:pPr>
        <w:numPr>
          <w:ilvl w:val="0"/>
          <w:numId w:val="3"/>
        </w:numPr>
        <w:spacing w:before="120" w:after="0" w:line="240" w:lineRule="auto"/>
        <w:ind w:left="720"/>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При откриване на нередност (например повредени митнически пломби, превишаване на времето, необходимо за преминаване през коридора) се извършва подробен преглед на превозното средство, на стоките и придружаващите ги документи. В зависимост от резултатите от тези специални мерки се предприемат съответните действия  и се вземат ефективни и целенасочени мерки. </w:t>
      </w:r>
    </w:p>
    <w:p>
      <w:pPr>
        <w:spacing w:after="0" w:line="240" w:lineRule="auto"/>
        <w:jc w:val="both"/>
        <w:rPr>
          <w:rFonts w:ascii="Times New Roman" w:eastAsia="Times New Roman" w:hAnsi="Times New Roman" w:cs="Times New Roman"/>
          <w:noProof/>
          <w:sz w:val="24"/>
          <w:szCs w:val="24"/>
        </w:rPr>
      </w:pPr>
    </w:p>
    <w:p>
      <w:pPr>
        <w:contextualSpacing/>
        <w:jc w:val="both"/>
        <w:rPr>
          <w:rFonts w:ascii="Times New Roman" w:eastAsia="Times New Roman" w:hAnsi="Times New Roman" w:cs="Times New Roman"/>
          <w:noProof/>
          <w:snapToGrid w:val="0"/>
          <w:sz w:val="24"/>
          <w:szCs w:val="24"/>
        </w:rPr>
      </w:pPr>
      <w:r>
        <w:rPr>
          <w:rFonts w:ascii="Times New Roman" w:hAnsi="Times New Roman"/>
          <w:noProof/>
          <w:snapToGrid w:val="0"/>
          <w:sz w:val="24"/>
        </w:rPr>
        <w:t>Мисията за мониторинг установи, че физическите и документните проверки се извършват правилно и проверките, извършвани на случаен принцип, са  разумни. Документите се подпечатват надлежно при напускане и времето за преминаване през коридора се проверява правилно при повторно влизане.</w:t>
      </w:r>
    </w:p>
    <w:p>
      <w:pPr>
        <w:contextualSpacing/>
        <w:jc w:val="both"/>
        <w:rPr>
          <w:rFonts w:ascii="Times New Roman" w:eastAsia="Times New Roman" w:hAnsi="Times New Roman" w:cs="Times New Roman"/>
          <w:noProof/>
          <w:snapToGrid w:val="0"/>
          <w:sz w:val="24"/>
          <w:szCs w:val="24"/>
        </w:rPr>
      </w:pPr>
    </w:p>
    <w:p>
      <w:pPr>
        <w:contextualSpacing/>
        <w:jc w:val="both"/>
        <w:rPr>
          <w:rFonts w:ascii="Times New Roman" w:eastAsia="Times New Roman" w:hAnsi="Times New Roman" w:cs="Times New Roman"/>
          <w:noProof/>
          <w:snapToGrid w:val="0"/>
          <w:color w:val="000000"/>
          <w:kern w:val="28"/>
          <w:sz w:val="24"/>
          <w:szCs w:val="24"/>
        </w:rPr>
      </w:pPr>
      <w:r>
        <w:rPr>
          <w:rFonts w:ascii="Times New Roman" w:hAnsi="Times New Roman"/>
          <w:noProof/>
          <w:snapToGrid w:val="0"/>
          <w:sz w:val="24"/>
        </w:rPr>
        <w:t>По време на мисията за мониторинг Комисията установи, че оперативният персонал е добре подготвен и познава много добре съответното митническо законодателство и процедури на ЕС, и митническите служители са получили адекватно, последователно и целенасочено обучение, което отразява както общо приложимите правила, така и спецификата на конкретното място. Осигурено е обучение в търговския сектор на регионално равнище, което е дало възможност за задаване на въпроси и по-ефективно адаптиране към конкретната ситуация.</w:t>
      </w:r>
    </w:p>
    <w:p>
      <w:pPr>
        <w:contextualSpacing/>
        <w:jc w:val="both"/>
        <w:rPr>
          <w:rFonts w:ascii="Times New Roman" w:eastAsia="Times New Roman" w:hAnsi="Times New Roman" w:cs="Times New Roman"/>
          <w:noProof/>
          <w:snapToGrid w:val="0"/>
          <w:color w:val="000000"/>
          <w:kern w:val="28"/>
          <w:sz w:val="24"/>
          <w:szCs w:val="24"/>
        </w:rPr>
      </w:pPr>
    </w:p>
    <w:p>
      <w:pPr>
        <w:contextualSpacing/>
        <w:jc w:val="both"/>
        <w:rPr>
          <w:rFonts w:ascii="Times New Roman" w:eastAsia="Times New Roman" w:hAnsi="Times New Roman" w:cs="Times New Roman"/>
          <w:noProof/>
          <w:snapToGrid w:val="0"/>
          <w:color w:val="000000"/>
          <w:kern w:val="28"/>
          <w:sz w:val="24"/>
          <w:szCs w:val="24"/>
        </w:rPr>
      </w:pPr>
      <w:r>
        <w:rPr>
          <w:rFonts w:ascii="Times New Roman" w:hAnsi="Times New Roman"/>
          <w:noProof/>
          <w:snapToGrid w:val="0"/>
          <w:sz w:val="24"/>
        </w:rPr>
        <w:t>Установено бе наличието на добра и ефикасна организация на документните и физическите проверки на гранично-пропускателните пунктове, както и на подходяща транспортна инфраструктура със специални ленти, които предотвратяват ненужни смущения в движението.</w:t>
      </w:r>
    </w:p>
    <w:p>
      <w:pPr>
        <w:contextualSpacing/>
        <w:jc w:val="both"/>
        <w:rPr>
          <w:rFonts w:ascii="Times New Roman" w:eastAsia="Times New Roman" w:hAnsi="Times New Roman" w:cs="Times New Roman"/>
          <w:noProof/>
          <w:snapToGrid w:val="0"/>
          <w:color w:val="000000"/>
          <w:kern w:val="28"/>
          <w:sz w:val="24"/>
          <w:szCs w:val="24"/>
        </w:rPr>
      </w:pPr>
    </w:p>
    <w:p>
      <w:pPr>
        <w:contextualSpacing/>
        <w:jc w:val="both"/>
        <w:rPr>
          <w:rFonts w:ascii="Times New Roman" w:eastAsia="Times New Roman" w:hAnsi="Times New Roman" w:cs="Times New Roman"/>
          <w:noProof/>
          <w:snapToGrid w:val="0"/>
          <w:color w:val="000000"/>
          <w:kern w:val="28"/>
          <w:sz w:val="24"/>
          <w:szCs w:val="24"/>
        </w:rPr>
      </w:pPr>
      <w:r>
        <w:rPr>
          <w:rFonts w:ascii="Times New Roman" w:hAnsi="Times New Roman"/>
          <w:noProof/>
          <w:snapToGrid w:val="0"/>
          <w:sz w:val="24"/>
        </w:rPr>
        <w:t>Налице е подходящо ИТ оборудване, свързано с централната администрация, както и тясно сътрудничество между митническите и полицейските органи.</w:t>
      </w:r>
    </w:p>
    <w:p>
      <w:pPr>
        <w:contextualSpacing/>
        <w:jc w:val="both"/>
        <w:rPr>
          <w:rFonts w:ascii="Times New Roman" w:eastAsia="Times New Roman" w:hAnsi="Times New Roman" w:cs="Times New Roman"/>
          <w:noProof/>
          <w:snapToGrid w:val="0"/>
          <w:color w:val="000000"/>
          <w:kern w:val="28"/>
          <w:sz w:val="24"/>
          <w:szCs w:val="24"/>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Ресурси и капацитет</w:t>
      </w:r>
    </w:p>
    <w:p>
      <w:pPr>
        <w:jc w:val="both"/>
        <w:rPr>
          <w:rFonts w:ascii="Times New Roman" w:eastAsia="Times New Roman" w:hAnsi="Times New Roman" w:cs="Times New Roman"/>
          <w:noProof/>
          <w:snapToGrid w:val="0"/>
          <w:color w:val="000000"/>
          <w:kern w:val="28"/>
          <w:sz w:val="24"/>
          <w:szCs w:val="24"/>
        </w:rPr>
      </w:pPr>
    </w:p>
    <w:p>
      <w:pPr>
        <w:jc w:val="both"/>
        <w:rPr>
          <w:rFonts w:ascii="Times New Roman" w:eastAsia="Times New Roman" w:hAnsi="Times New Roman" w:cs="Times New Roman"/>
          <w:noProof/>
          <w:snapToGrid w:val="0"/>
          <w:color w:val="000000"/>
          <w:kern w:val="28"/>
          <w:sz w:val="24"/>
          <w:szCs w:val="24"/>
        </w:rPr>
      </w:pPr>
      <w:r>
        <w:rPr>
          <w:rFonts w:ascii="Times New Roman" w:hAnsi="Times New Roman"/>
          <w:noProof/>
          <w:snapToGrid w:val="0"/>
          <w:color w:val="000000"/>
          <w:kern w:val="28"/>
          <w:sz w:val="24"/>
        </w:rPr>
        <w:t>Хърватската митническа администрация полага също така специални усилия да осигури прозрачност на своите действия и да улесни още повече движението през коридора чрез информиране на населението относно специалния режим, приложим в коридора Neum, чрез целенасочена информация, която е обществено достъпна.</w:t>
      </w:r>
    </w:p>
    <w:p>
      <w:pPr>
        <w:jc w:val="both"/>
        <w:rPr>
          <w:rFonts w:ascii="Times New Roman" w:eastAsia="Times New Roman" w:hAnsi="Times New Roman" w:cs="Times New Roman"/>
          <w:noProof/>
          <w:snapToGrid w:val="0"/>
          <w:color w:val="000000"/>
          <w:kern w:val="28"/>
          <w:sz w:val="24"/>
          <w:szCs w:val="24"/>
        </w:rPr>
      </w:pPr>
      <w:r>
        <w:rPr>
          <w:rFonts w:ascii="Times New Roman" w:hAnsi="Times New Roman"/>
          <w:noProof/>
          <w:snapToGrid w:val="0"/>
          <w:kern w:val="28"/>
          <w:sz w:val="24"/>
        </w:rPr>
        <w:t xml:space="preserve">Разпределението на ресурсите на гранично-пропускателните пунктове е адекватно. Всеки гранично-пропускателен пункт разполага с 2 — 3 служители. Численият състав на граничните инспекционни пунктове е съответно 26 и 28 служители. Обемът на работата е разумен в сравнение със средната стойност в ЕС като цяло. </w:t>
      </w:r>
      <w:r>
        <w:rPr>
          <w:rFonts w:ascii="Times New Roman" w:hAnsi="Times New Roman"/>
          <w:noProof/>
          <w:sz w:val="24"/>
        </w:rPr>
        <w:t>Всеки митнически служител обработва около 24 обобщени декларации на ден, като броят на обработените декларации варира от 17,5 до 31,5 на ден. Съществува много добра координация между гранично-пропускателния пункт, регионалната служба в Сплит и централната администрация. Обемът на работата е разпределен разумно. Организацията е ефикасна и дава възможност за ефективен митнически контрол и проверки без ненужно забавяне.</w:t>
      </w:r>
    </w:p>
    <w:p>
      <w:pPr>
        <w:jc w:val="both"/>
        <w:rPr>
          <w:rFonts w:ascii="Times New Roman" w:eastAsia="Times New Roman" w:hAnsi="Times New Roman" w:cs="Times New Roman"/>
          <w:noProof/>
          <w:snapToGrid w:val="0"/>
          <w:color w:val="000000"/>
          <w:kern w:val="28"/>
          <w:sz w:val="24"/>
          <w:szCs w:val="24"/>
        </w:rPr>
      </w:pPr>
      <w:r>
        <w:rPr>
          <w:rFonts w:ascii="Times New Roman" w:hAnsi="Times New Roman"/>
          <w:noProof/>
          <w:snapToGrid w:val="0"/>
          <w:sz w:val="24"/>
        </w:rPr>
        <w:t xml:space="preserve">Екипът за мониторинг е удовлетворен от организирането на прилагането на Регламента за Neum от страна на хърватската митническа администрация и намира разпределението на ресурсите за целесъобразно и достатъчно. </w:t>
      </w:r>
    </w:p>
    <w:p>
      <w:pPr>
        <w:spacing w:after="0" w:line="240" w:lineRule="auto"/>
        <w:ind w:left="360"/>
        <w:contextualSpacing/>
        <w:rPr>
          <w:rFonts w:ascii="Times New Roman" w:eastAsia="Times New Roman" w:hAnsi="Times New Roman" w:cs="Times New Roman"/>
          <w:noProof/>
          <w:snapToGrid w:val="0"/>
          <w:sz w:val="24"/>
          <w:szCs w:val="24"/>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Обучение и логистика</w:t>
      </w:r>
    </w:p>
    <w:p>
      <w:pPr>
        <w:ind w:left="360"/>
        <w:contextualSpacing/>
        <w:jc w:val="both"/>
        <w:rPr>
          <w:rFonts w:ascii="Times New Roman" w:hAnsi="Times New Roman" w:cs="Times New Roman"/>
          <w:b/>
          <w:noProof/>
          <w:sz w:val="24"/>
          <w:szCs w:val="24"/>
        </w:rPr>
      </w:pPr>
    </w:p>
    <w:p>
      <w:pPr>
        <w:widowControl w:val="0"/>
        <w:numPr>
          <w:ilvl w:val="1"/>
          <w:numId w:val="1"/>
        </w:numPr>
        <w:autoSpaceDE w:val="0"/>
        <w:autoSpaceDN w:val="0"/>
        <w:adjustRightInd w:val="0"/>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Обучение</w:t>
      </w:r>
    </w:p>
    <w:p>
      <w:pPr>
        <w:widowControl w:val="0"/>
        <w:autoSpaceDE w:val="0"/>
        <w:autoSpaceDN w:val="0"/>
        <w:adjustRightInd w:val="0"/>
        <w:spacing w:before="120" w:after="120" w:line="240" w:lineRule="auto"/>
        <w:ind w:left="792"/>
        <w:contextualSpacing/>
        <w:jc w:val="both"/>
        <w:rPr>
          <w:rFonts w:ascii="Times New Roman" w:hAnsi="Times New Roman" w:cs="Times New Roman"/>
          <w:b/>
          <w:noProof/>
          <w:sz w:val="24"/>
          <w:szCs w:val="24"/>
        </w:rPr>
      </w:pP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Митническите служители получават както общо обучение в областта на митническото законодателство и процедурите, така и целево обучение по въпроси, свързани с изпълнението на Регламента за Neum, като:</w:t>
      </w: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използване на системата за контрол на вноса (ICS), системата за контрол на износа (ECS), новата компютризирана система за транзит (NCTS),</w:t>
      </w: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характер, използване и проверка на валидността на T2L</w:t>
      </w:r>
      <w:r>
        <w:rPr>
          <w:rStyle w:val="FootnoteReference"/>
          <w:rFonts w:ascii="Times New Roman" w:hAnsi="Times New Roman"/>
          <w:noProof/>
          <w:sz w:val="24"/>
        </w:rPr>
        <w:footnoteReference w:id="6"/>
      </w:r>
      <w:r>
        <w:rPr>
          <w:rFonts w:ascii="Times New Roman" w:hAnsi="Times New Roman"/>
          <w:noProof/>
          <w:sz w:val="24"/>
        </w:rPr>
        <w:t xml:space="preserve"> и други средства за доказване на статус на съюзни стоки,</w:t>
      </w: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управление на риска.</w:t>
      </w: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Във всички хърватски регионални митнически учреждения редовно се предоставят и обучения за предприятия.</w:t>
      </w:r>
    </w:p>
    <w:p>
      <w:pPr>
        <w:widowControl w:val="0"/>
        <w:autoSpaceDE w:val="0"/>
        <w:autoSpaceDN w:val="0"/>
        <w:adjustRightInd w:val="0"/>
        <w:spacing w:after="120"/>
        <w:ind w:left="792"/>
        <w:contextualSpacing/>
        <w:jc w:val="both"/>
        <w:rPr>
          <w:rFonts w:ascii="Times New Roman" w:hAnsi="Times New Roman" w:cs="Times New Roman"/>
          <w:noProof/>
          <w:sz w:val="24"/>
          <w:szCs w:val="24"/>
        </w:rPr>
      </w:pPr>
    </w:p>
    <w:p>
      <w:pPr>
        <w:widowControl w:val="0"/>
        <w:numPr>
          <w:ilvl w:val="1"/>
          <w:numId w:val="1"/>
        </w:numPr>
        <w:autoSpaceDE w:val="0"/>
        <w:autoSpaceDN w:val="0"/>
        <w:adjustRightInd w:val="0"/>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Логистика</w:t>
      </w:r>
    </w:p>
    <w:p>
      <w:pPr>
        <w:widowControl w:val="0"/>
        <w:autoSpaceDE w:val="0"/>
        <w:autoSpaceDN w:val="0"/>
        <w:adjustRightInd w:val="0"/>
        <w:spacing w:before="120" w:after="120" w:line="240" w:lineRule="auto"/>
        <w:ind w:left="792"/>
        <w:contextualSpacing/>
        <w:jc w:val="both"/>
        <w:rPr>
          <w:rFonts w:ascii="Times New Roman" w:hAnsi="Times New Roman" w:cs="Times New Roman"/>
          <w:b/>
          <w:noProof/>
          <w:sz w:val="24"/>
          <w:szCs w:val="24"/>
        </w:rPr>
      </w:pP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Непосредствено преди присъединяването си към ЕС, в съответствие със своите задължения, частично посочени в Регламента за Neum, Хърватия построи и оборудва напълно нови гранично-пропускателни пунктове в граничните точки Klek и Zaton Doli. Новата логистична инфраструктура предоставя пространството, необходимо на граничните служители, места за подробен преглед на превозните средства, пунктове, оборудвани с пътни кантари за тегло до 50 тона и пространство за работата на превозвачите.</w:t>
      </w:r>
    </w:p>
    <w:p>
      <w:pPr>
        <w:widowControl w:val="0"/>
        <w:autoSpaceDE w:val="0"/>
        <w:autoSpaceDN w:val="0"/>
        <w:adjustRightInd w:val="0"/>
        <w:spacing w:after="120"/>
        <w:jc w:val="both"/>
        <w:rPr>
          <w:rFonts w:ascii="Times New Roman" w:hAnsi="Times New Roman" w:cs="Times New Roman"/>
          <w:noProof/>
          <w:sz w:val="24"/>
          <w:szCs w:val="24"/>
        </w:rPr>
      </w:pPr>
    </w:p>
    <w:p>
      <w:pPr>
        <w:widowControl w:val="0"/>
        <w:numPr>
          <w:ilvl w:val="1"/>
          <w:numId w:val="1"/>
        </w:numPr>
        <w:autoSpaceDE w:val="0"/>
        <w:autoSpaceDN w:val="0"/>
        <w:adjustRightInd w:val="0"/>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ИТ-инфраструктура</w:t>
      </w:r>
    </w:p>
    <w:p>
      <w:pPr>
        <w:tabs>
          <w:tab w:val="left" w:pos="709"/>
          <w:tab w:val="left" w:pos="993"/>
          <w:tab w:val="left" w:pos="2127"/>
          <w:tab w:val="left" w:pos="3544"/>
        </w:tabs>
        <w:jc w:val="both"/>
        <w:rPr>
          <w:rFonts w:ascii="Times New Roman" w:hAnsi="Times New Roman" w:cs="Times New Roman"/>
          <w:noProof/>
          <w:kern w:val="28"/>
          <w:sz w:val="24"/>
          <w:szCs w:val="24"/>
        </w:rPr>
      </w:pPr>
    </w:p>
    <w:p>
      <w:pPr>
        <w:tabs>
          <w:tab w:val="left" w:pos="709"/>
          <w:tab w:val="left" w:pos="993"/>
          <w:tab w:val="left" w:pos="2127"/>
          <w:tab w:val="left" w:pos="3544"/>
        </w:tabs>
        <w:jc w:val="both"/>
        <w:rPr>
          <w:rFonts w:ascii="Times New Roman" w:hAnsi="Times New Roman" w:cs="Times New Roman"/>
          <w:noProof/>
          <w:sz w:val="24"/>
          <w:szCs w:val="24"/>
        </w:rPr>
      </w:pPr>
      <w:r>
        <w:rPr>
          <w:rFonts w:ascii="Times New Roman" w:hAnsi="Times New Roman"/>
          <w:noProof/>
          <w:kern w:val="28"/>
          <w:sz w:val="24"/>
        </w:rPr>
        <w:t>Логистичните мерки, които позволяват бързи проверки на превозните средства, може да се считат за добра практика. ИТ инфраструктура е подходяща и може редовно да се актуализира в съответствие с промените на централно равнище.</w:t>
      </w:r>
    </w:p>
    <w:p>
      <w:pPr>
        <w:tabs>
          <w:tab w:val="left" w:pos="709"/>
          <w:tab w:val="left" w:pos="993"/>
          <w:tab w:val="left" w:pos="2127"/>
          <w:tab w:val="left" w:pos="3544"/>
        </w:tabs>
        <w:jc w:val="both"/>
        <w:rPr>
          <w:rFonts w:ascii="Times New Roman" w:hAnsi="Times New Roman" w:cs="Times New Roman"/>
          <w:noProof/>
          <w:sz w:val="24"/>
          <w:szCs w:val="24"/>
        </w:rPr>
      </w:pPr>
      <w:r>
        <w:rPr>
          <w:rFonts w:ascii="Times New Roman" w:hAnsi="Times New Roman"/>
          <w:noProof/>
          <w:sz w:val="24"/>
        </w:rPr>
        <w:t>Всички работни места са снабдени със стандартно ИТ оборудване, свързано с митническата мрежа. Предоставен е достъп до ИТ приложения и до уебсайта на митническата администрация. Установена е ИТ връзка между граничните учреждения в Klek и Zaton Doli.</w:t>
      </w:r>
    </w:p>
    <w:p>
      <w:pPr>
        <w:widowControl w:val="0"/>
        <w:autoSpaceDE w:val="0"/>
        <w:autoSpaceDN w:val="0"/>
        <w:adjustRightInd w:val="0"/>
        <w:spacing w:after="120"/>
        <w:jc w:val="both"/>
        <w:rPr>
          <w:rFonts w:ascii="Times New Roman" w:hAnsi="Times New Roman" w:cs="Times New Roman"/>
          <w:noProof/>
          <w:kern w:val="28"/>
          <w:sz w:val="24"/>
          <w:szCs w:val="24"/>
        </w:rPr>
      </w:pPr>
      <w:r>
        <w:rPr>
          <w:rFonts w:ascii="Times New Roman" w:hAnsi="Times New Roman"/>
          <w:noProof/>
          <w:kern w:val="28"/>
          <w:sz w:val="24"/>
        </w:rPr>
        <w:t>Обучението се организира от отдел „Човешки ресурси“, който е част от генерална дирекция „Митници“. То се извършва от експерти от отделите в генерална дирекция „Митници“ и обикновено се провежда в генерална дирекция „Митници“, но с цел да се избегнат неналожителни пътувания от страна на персонала, съществуват и някои учебни места другаде в страната.</w:t>
      </w:r>
    </w:p>
    <w:p>
      <w:pPr>
        <w:widowControl w:val="0"/>
        <w:autoSpaceDE w:val="0"/>
        <w:autoSpaceDN w:val="0"/>
        <w:adjustRightInd w:val="0"/>
        <w:spacing w:after="120"/>
        <w:jc w:val="both"/>
        <w:rPr>
          <w:rFonts w:ascii="Times New Roman" w:hAnsi="Times New Roman"/>
          <w:noProof/>
          <w:kern w:val="28"/>
          <w:sz w:val="24"/>
        </w:rPr>
      </w:pPr>
      <w:r>
        <w:rPr>
          <w:rFonts w:ascii="Times New Roman" w:hAnsi="Times New Roman"/>
          <w:noProof/>
          <w:kern w:val="28"/>
          <w:sz w:val="24"/>
        </w:rPr>
        <w:t xml:space="preserve">Общи митнически обучения се предоставят в регионалните учреждения от експерти от централната администрация. Това поощрява еднаквото прилагане на митническите правила, като същевременно се взема под внимание спецификата на конкретното място. Организирано е и специфично обучение във връзка с прилагането на Регламента за Neum. Комисията препоръча някои подобрения, по-специално целеви инструкции за употреба, изисквания и проверка на автентичността на документите T2L. Равнището на обучение остава все пак достатъчно, за да се подготвят служителите за ефективно и ефикасно прилагане на Регламента за Neum. Комисията подкрепя и насърчава организирането на обучения на равнището на регионалните отдели от експерти от централната администрация  и целевото обучение по прилагането на регламента. </w:t>
      </w:r>
    </w:p>
    <w:p>
      <w:pPr>
        <w:widowControl w:val="0"/>
        <w:autoSpaceDE w:val="0"/>
        <w:autoSpaceDN w:val="0"/>
        <w:adjustRightInd w:val="0"/>
        <w:spacing w:after="240"/>
        <w:jc w:val="both"/>
        <w:rPr>
          <w:rFonts w:ascii="Times New Roman" w:hAnsi="Times New Roman"/>
          <w:noProof/>
          <w:kern w:val="28"/>
          <w:sz w:val="24"/>
          <w:szCs w:val="24"/>
        </w:rPr>
      </w:pPr>
      <w:r>
        <w:rPr>
          <w:rFonts w:ascii="Times New Roman" w:hAnsi="Times New Roman"/>
          <w:noProof/>
          <w:kern w:val="28"/>
          <w:sz w:val="24"/>
        </w:rPr>
        <w:t>Евентуалното включване в програмата за обучение на подходящо</w:t>
      </w:r>
      <w:r>
        <w:rPr>
          <w:rFonts w:ascii="Times New Roman" w:hAnsi="Times New Roman"/>
          <w:noProof/>
          <w:color w:val="000000"/>
          <w:kern w:val="28"/>
          <w:sz w:val="24"/>
        </w:rPr>
        <w:t xml:space="preserve"> обучение относно прилагане на Регламента за Neum би било в помощ на предприятията.</w:t>
      </w:r>
    </w:p>
    <w:p>
      <w:pPr>
        <w:widowControl w:val="0"/>
        <w:autoSpaceDE w:val="0"/>
        <w:autoSpaceDN w:val="0"/>
        <w:adjustRightInd w:val="0"/>
        <w:spacing w:after="120"/>
        <w:jc w:val="both"/>
        <w:rPr>
          <w:rFonts w:ascii="Times New Roman" w:hAnsi="Times New Roman" w:cs="Times New Roman"/>
          <w:noProof/>
          <w:color w:val="000000"/>
          <w:kern w:val="28"/>
          <w:sz w:val="24"/>
          <w:szCs w:val="24"/>
        </w:rPr>
      </w:pPr>
    </w:p>
    <w:p>
      <w:pPr>
        <w:widowControl w:val="0"/>
        <w:autoSpaceDE w:val="0"/>
        <w:autoSpaceDN w:val="0"/>
        <w:adjustRightInd w:val="0"/>
        <w:spacing w:after="120"/>
        <w:jc w:val="both"/>
        <w:rPr>
          <w:rFonts w:ascii="Times New Roman" w:hAnsi="Times New Roman" w:cs="Times New Roman"/>
          <w:noProof/>
          <w:kern w:val="28"/>
          <w:sz w:val="24"/>
          <w:szCs w:val="24"/>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Спазване на условията от регламента</w:t>
      </w:r>
    </w:p>
    <w:p>
      <w:pPr>
        <w:ind w:left="360"/>
        <w:contextualSpacing/>
        <w:jc w:val="both"/>
        <w:rPr>
          <w:rFonts w:ascii="Times New Roman" w:hAnsi="Times New Roman" w:cs="Times New Roman"/>
          <w:b/>
          <w:noProof/>
          <w:sz w:val="24"/>
          <w:szCs w:val="24"/>
        </w:rPr>
      </w:pPr>
    </w:p>
    <w:p>
      <w:pPr>
        <w:numPr>
          <w:ilvl w:val="1"/>
          <w:numId w:val="1"/>
        </w:numPr>
        <w:tabs>
          <w:tab w:val="left" w:pos="1418"/>
          <w:tab w:val="left" w:pos="2127"/>
          <w:tab w:val="left" w:pos="3544"/>
        </w:tabs>
        <w:spacing w:before="120" w:after="240" w:line="240" w:lineRule="auto"/>
        <w:contextualSpacing/>
        <w:jc w:val="both"/>
        <w:rPr>
          <w:rFonts w:ascii="Times New Roman" w:hAnsi="Times New Roman" w:cs="Times New Roman"/>
          <w:b/>
          <w:noProof/>
          <w:sz w:val="24"/>
          <w:szCs w:val="24"/>
        </w:rPr>
      </w:pPr>
      <w:r>
        <w:rPr>
          <w:rFonts w:ascii="Times New Roman" w:hAnsi="Times New Roman"/>
          <w:b/>
          <w:noProof/>
          <w:sz w:val="24"/>
        </w:rPr>
        <w:t>Законодателство</w:t>
      </w:r>
    </w:p>
    <w:p>
      <w:pPr>
        <w:tabs>
          <w:tab w:val="left" w:pos="1418"/>
          <w:tab w:val="left" w:pos="2127"/>
          <w:tab w:val="left" w:pos="3544"/>
        </w:tabs>
        <w:spacing w:before="120" w:after="240" w:line="240" w:lineRule="auto"/>
        <w:ind w:left="792"/>
        <w:contextualSpacing/>
        <w:jc w:val="both"/>
        <w:rPr>
          <w:rFonts w:ascii="Times New Roman" w:hAnsi="Times New Roman" w:cs="Times New Roman"/>
          <w:b/>
          <w:noProof/>
          <w:sz w:val="24"/>
          <w:szCs w:val="24"/>
        </w:rPr>
      </w:pPr>
    </w:p>
    <w:p>
      <w:pPr>
        <w:tabs>
          <w:tab w:val="left" w:pos="1418"/>
          <w:tab w:val="left" w:pos="2127"/>
          <w:tab w:val="left" w:pos="3544"/>
        </w:tabs>
        <w:spacing w:after="240"/>
        <w:jc w:val="both"/>
        <w:rPr>
          <w:rFonts w:ascii="Times New Roman" w:hAnsi="Times New Roman" w:cs="Times New Roman"/>
          <w:noProof/>
          <w:sz w:val="24"/>
          <w:szCs w:val="24"/>
        </w:rPr>
      </w:pPr>
      <w:r>
        <w:rPr>
          <w:rFonts w:ascii="Times New Roman" w:hAnsi="Times New Roman"/>
          <w:noProof/>
          <w:sz w:val="24"/>
        </w:rPr>
        <w:t>Хърватската митническа администрация прие Инструкция № 25/2013 относно прилагането на мерки за митнически контрол за стоки, придвижвани през коридора Neum. Специализираното обучение на митническите служители продължи през цялата 2014 година.</w:t>
      </w:r>
    </w:p>
    <w:p>
      <w:pPr>
        <w:numPr>
          <w:ilvl w:val="1"/>
          <w:numId w:val="1"/>
        </w:numPr>
        <w:tabs>
          <w:tab w:val="left" w:pos="709"/>
          <w:tab w:val="left" w:pos="993"/>
          <w:tab w:val="left" w:pos="2127"/>
          <w:tab w:val="left" w:pos="3544"/>
        </w:tabs>
        <w:spacing w:before="120" w:after="120" w:line="240" w:lineRule="auto"/>
        <w:contextualSpacing/>
        <w:jc w:val="both"/>
        <w:rPr>
          <w:rFonts w:ascii="Times New Roman" w:hAnsi="Times New Roman" w:cs="Times New Roman"/>
          <w:b/>
          <w:noProof/>
          <w:color w:val="000000"/>
          <w:sz w:val="24"/>
          <w:szCs w:val="24"/>
        </w:rPr>
      </w:pPr>
      <w:r>
        <w:rPr>
          <w:rFonts w:ascii="Times New Roman" w:hAnsi="Times New Roman"/>
          <w:b/>
          <w:noProof/>
          <w:color w:val="000000"/>
          <w:sz w:val="24"/>
        </w:rPr>
        <w:t>Нередности</w:t>
      </w:r>
    </w:p>
    <w:p>
      <w:pPr>
        <w:tabs>
          <w:tab w:val="left" w:pos="709"/>
          <w:tab w:val="left" w:pos="993"/>
          <w:tab w:val="left" w:pos="2127"/>
          <w:tab w:val="left" w:pos="3544"/>
        </w:tabs>
        <w:spacing w:before="120" w:after="120" w:line="240" w:lineRule="auto"/>
        <w:ind w:left="792"/>
        <w:contextualSpacing/>
        <w:jc w:val="both"/>
        <w:rPr>
          <w:rFonts w:ascii="Times New Roman" w:hAnsi="Times New Roman" w:cs="Times New Roman"/>
          <w:b/>
          <w:noProof/>
          <w:color w:val="000000"/>
          <w:sz w:val="24"/>
          <w:szCs w:val="24"/>
        </w:rPr>
      </w:pPr>
    </w:p>
    <w:p>
      <w:pPr>
        <w:tabs>
          <w:tab w:val="left" w:pos="709"/>
          <w:tab w:val="left" w:pos="993"/>
          <w:tab w:val="left" w:pos="2127"/>
          <w:tab w:val="left" w:pos="3544"/>
        </w:tabs>
        <w:contextualSpacing/>
        <w:jc w:val="both"/>
        <w:rPr>
          <w:rFonts w:ascii="Times New Roman" w:hAnsi="Times New Roman" w:cs="Times New Roman"/>
          <w:noProof/>
          <w:color w:val="000000"/>
          <w:sz w:val="24"/>
          <w:szCs w:val="24"/>
        </w:rPr>
      </w:pPr>
      <w:r>
        <w:rPr>
          <w:rFonts w:ascii="Times New Roman" w:hAnsi="Times New Roman"/>
          <w:noProof/>
          <w:color w:val="000000"/>
          <w:sz w:val="24"/>
        </w:rPr>
        <w:t>Рядко са откривани нередности. Открити са само малък брой нередовни документи, като нередностите се дължат основно на непознаване на процедурата.</w:t>
      </w:r>
    </w:p>
    <w:p>
      <w:pPr>
        <w:tabs>
          <w:tab w:val="left" w:pos="709"/>
          <w:tab w:val="left" w:pos="993"/>
          <w:tab w:val="left" w:pos="2127"/>
          <w:tab w:val="left" w:pos="3544"/>
        </w:tabs>
        <w:contextualSpacing/>
        <w:jc w:val="both"/>
        <w:rPr>
          <w:rFonts w:ascii="Times New Roman" w:hAnsi="Times New Roman" w:cs="Times New Roman"/>
          <w:b/>
          <w:noProof/>
          <w:color w:val="000000"/>
          <w:sz w:val="24"/>
          <w:szCs w:val="24"/>
        </w:rPr>
      </w:pPr>
    </w:p>
    <w:p>
      <w:pPr>
        <w:numPr>
          <w:ilvl w:val="1"/>
          <w:numId w:val="1"/>
        </w:numPr>
        <w:tabs>
          <w:tab w:val="left" w:pos="709"/>
          <w:tab w:val="left" w:pos="993"/>
          <w:tab w:val="left" w:pos="2127"/>
          <w:tab w:val="left" w:pos="3544"/>
        </w:tabs>
        <w:spacing w:before="120" w:after="120" w:line="240" w:lineRule="auto"/>
        <w:contextualSpacing/>
        <w:jc w:val="both"/>
        <w:rPr>
          <w:rFonts w:ascii="Times New Roman" w:hAnsi="Times New Roman" w:cs="Times New Roman"/>
          <w:b/>
          <w:noProof/>
          <w:color w:val="000000"/>
          <w:sz w:val="24"/>
          <w:szCs w:val="24"/>
        </w:rPr>
      </w:pPr>
      <w:r>
        <w:rPr>
          <w:rFonts w:ascii="Times New Roman" w:hAnsi="Times New Roman"/>
          <w:b/>
          <w:noProof/>
          <w:color w:val="000000"/>
          <w:sz w:val="24"/>
        </w:rPr>
        <w:t>Член 4 от Регламента за Neum</w:t>
      </w:r>
    </w:p>
    <w:p>
      <w:pPr>
        <w:tabs>
          <w:tab w:val="left" w:pos="709"/>
          <w:tab w:val="left" w:pos="993"/>
          <w:tab w:val="left" w:pos="2127"/>
          <w:tab w:val="left" w:pos="3544"/>
        </w:tabs>
        <w:spacing w:before="120" w:after="120" w:line="240" w:lineRule="auto"/>
        <w:ind w:left="792"/>
        <w:contextualSpacing/>
        <w:jc w:val="both"/>
        <w:rPr>
          <w:rFonts w:ascii="Times New Roman" w:hAnsi="Times New Roman" w:cs="Times New Roman"/>
          <w:b/>
          <w:noProof/>
          <w:color w:val="000000"/>
          <w:sz w:val="24"/>
          <w:szCs w:val="24"/>
        </w:rPr>
      </w:pPr>
    </w:p>
    <w:p>
      <w:pPr>
        <w:tabs>
          <w:tab w:val="left" w:pos="1134"/>
          <w:tab w:val="left" w:pos="2127"/>
          <w:tab w:val="left" w:pos="3544"/>
        </w:tabs>
        <w:jc w:val="both"/>
        <w:rPr>
          <w:rFonts w:ascii="Times New Roman" w:hAnsi="Times New Roman" w:cs="Times New Roman"/>
          <w:noProof/>
          <w:sz w:val="24"/>
          <w:szCs w:val="24"/>
        </w:rPr>
      </w:pPr>
      <w:r>
        <w:rPr>
          <w:rFonts w:ascii="Times New Roman" w:hAnsi="Times New Roman"/>
          <w:noProof/>
          <w:sz w:val="24"/>
        </w:rPr>
        <w:t>Ако се установи, че времето за преминаване през коридора е пресрочено, пратката се подлага на допълнителни проверки относно:</w:t>
      </w:r>
    </w:p>
    <w:p>
      <w:pPr>
        <w:tabs>
          <w:tab w:val="left" w:pos="1134"/>
          <w:tab w:val="left" w:pos="2127"/>
          <w:tab w:val="left" w:pos="3544"/>
        </w:tabs>
        <w:jc w:val="both"/>
        <w:rPr>
          <w:rFonts w:ascii="Times New Roman" w:hAnsi="Times New Roman" w:cs="Times New Roman"/>
          <w:noProof/>
          <w:sz w:val="24"/>
          <w:szCs w:val="24"/>
        </w:rPr>
      </w:pPr>
      <w:r>
        <w:rPr>
          <w:rFonts w:ascii="Times New Roman" w:hAnsi="Times New Roman"/>
          <w:noProof/>
          <w:sz w:val="24"/>
        </w:rPr>
        <w:t xml:space="preserve">— автентичността на документ T2L или съдържанието му въз основа на преглед на електронните записи на мястото, където стоките напускат ЕС, </w:t>
      </w:r>
    </w:p>
    <w:p>
      <w:pPr>
        <w:tabs>
          <w:tab w:val="left" w:pos="1134"/>
          <w:tab w:val="left" w:pos="2127"/>
          <w:tab w:val="left" w:pos="3544"/>
        </w:tabs>
        <w:jc w:val="both"/>
        <w:rPr>
          <w:rFonts w:ascii="Times New Roman" w:hAnsi="Times New Roman" w:cs="Times New Roman"/>
          <w:noProof/>
          <w:sz w:val="24"/>
          <w:szCs w:val="24"/>
        </w:rPr>
      </w:pPr>
      <w:r>
        <w:rPr>
          <w:rFonts w:ascii="Times New Roman" w:hAnsi="Times New Roman"/>
          <w:noProof/>
          <w:sz w:val="24"/>
        </w:rPr>
        <w:t xml:space="preserve">— целостта на митническите пломби (ако има прикрепени такива), </w:t>
      </w:r>
    </w:p>
    <w:p>
      <w:pPr>
        <w:tabs>
          <w:tab w:val="left" w:pos="709"/>
          <w:tab w:val="left" w:pos="993"/>
          <w:tab w:val="left" w:pos="2127"/>
          <w:tab w:val="left" w:pos="3544"/>
        </w:tabs>
        <w:jc w:val="both"/>
        <w:rPr>
          <w:rFonts w:ascii="Times New Roman" w:hAnsi="Times New Roman" w:cs="Times New Roman"/>
          <w:b/>
          <w:noProof/>
          <w:color w:val="000000"/>
          <w:sz w:val="24"/>
          <w:szCs w:val="24"/>
        </w:rPr>
      </w:pPr>
      <w:r>
        <w:rPr>
          <w:rFonts w:ascii="Times New Roman" w:hAnsi="Times New Roman"/>
          <w:noProof/>
          <w:sz w:val="24"/>
        </w:rPr>
        <w:t>— други елементи от конструкцията на превозните средства, за да се провери дали е възможно да се получи достъп до стоките, без да се наруши целостта на митническите пломби, както и дали стоките са идентични и дали количеството им съответства на декларираното при напускане.</w:t>
      </w:r>
    </w:p>
    <w:p>
      <w:pPr>
        <w:numPr>
          <w:ilvl w:val="1"/>
          <w:numId w:val="1"/>
        </w:numPr>
        <w:tabs>
          <w:tab w:val="left" w:pos="709"/>
          <w:tab w:val="left" w:pos="993"/>
          <w:tab w:val="left" w:pos="2127"/>
          <w:tab w:val="left" w:pos="3544"/>
        </w:tabs>
        <w:spacing w:before="120" w:after="120" w:line="240" w:lineRule="auto"/>
        <w:contextualSpacing/>
        <w:jc w:val="both"/>
        <w:rPr>
          <w:rFonts w:ascii="Times New Roman" w:hAnsi="Times New Roman" w:cs="Times New Roman"/>
          <w:b/>
          <w:noProof/>
          <w:color w:val="000000"/>
          <w:sz w:val="24"/>
          <w:szCs w:val="24"/>
        </w:rPr>
      </w:pPr>
      <w:r>
        <w:rPr>
          <w:rFonts w:ascii="Times New Roman" w:hAnsi="Times New Roman"/>
          <w:b/>
          <w:noProof/>
          <w:color w:val="000000"/>
          <w:sz w:val="24"/>
        </w:rPr>
        <w:t>Член 5 от Регламента за Neum</w:t>
      </w:r>
    </w:p>
    <w:p>
      <w:pPr>
        <w:tabs>
          <w:tab w:val="left" w:pos="709"/>
          <w:tab w:val="left" w:pos="993"/>
          <w:tab w:val="left" w:pos="2127"/>
          <w:tab w:val="left" w:pos="3544"/>
        </w:tabs>
        <w:spacing w:before="120" w:after="120" w:line="240" w:lineRule="auto"/>
        <w:ind w:left="792"/>
        <w:contextualSpacing/>
        <w:jc w:val="both"/>
        <w:rPr>
          <w:rFonts w:ascii="Times New Roman" w:hAnsi="Times New Roman" w:cs="Times New Roman"/>
          <w:b/>
          <w:noProof/>
          <w:color w:val="000000"/>
          <w:sz w:val="24"/>
          <w:szCs w:val="24"/>
        </w:rPr>
      </w:pPr>
    </w:p>
    <w:p>
      <w:pPr>
        <w:tabs>
          <w:tab w:val="left" w:pos="1134"/>
          <w:tab w:val="left" w:pos="2127"/>
          <w:tab w:val="left" w:pos="3544"/>
        </w:tabs>
        <w:jc w:val="both"/>
        <w:rPr>
          <w:rFonts w:ascii="Times New Roman" w:hAnsi="Times New Roman" w:cs="Times New Roman"/>
          <w:b/>
          <w:noProof/>
          <w:color w:val="000000"/>
          <w:sz w:val="24"/>
          <w:szCs w:val="24"/>
        </w:rPr>
      </w:pPr>
      <w:r>
        <w:rPr>
          <w:rFonts w:ascii="Times New Roman" w:hAnsi="Times New Roman"/>
          <w:noProof/>
          <w:color w:val="000000"/>
          <w:sz w:val="24"/>
        </w:rPr>
        <w:t>Митническите проверки се основават на риска и се правят за всеки отделен случай. В Инструкция № 25/2013 на хърватската митническа администрация се описва начинът, по който проверките трябва да се извършват на местно равнище. В нея се предоставят и указания за ръчен анализ на риска за сигурността и безопасността. С</w:t>
      </w:r>
      <w:r>
        <w:rPr>
          <w:rFonts w:ascii="Times New Roman" w:hAnsi="Times New Roman"/>
          <w:noProof/>
          <w:sz w:val="24"/>
        </w:rPr>
        <w:t>ъществува специфично изискване относно вида и степента на проверките, които следва да позволяват на митническите служители да вземат окончателно решение — да разрешат или да откажат въвеждане или напускане.</w:t>
      </w:r>
    </w:p>
    <w:p>
      <w:pPr>
        <w:tabs>
          <w:tab w:val="left" w:pos="709"/>
          <w:tab w:val="left" w:pos="1418"/>
          <w:tab w:val="left" w:pos="2127"/>
          <w:tab w:val="left" w:pos="3544"/>
        </w:tabs>
        <w:jc w:val="both"/>
        <w:rPr>
          <w:rFonts w:ascii="Times New Roman" w:hAnsi="Times New Roman" w:cs="Times New Roman"/>
          <w:noProof/>
          <w:color w:val="000000"/>
          <w:sz w:val="24"/>
          <w:szCs w:val="24"/>
        </w:rPr>
      </w:pPr>
      <w:r>
        <w:rPr>
          <w:rFonts w:ascii="Times New Roman" w:hAnsi="Times New Roman"/>
          <w:noProof/>
          <w:color w:val="000000"/>
          <w:sz w:val="24"/>
        </w:rPr>
        <w:t>В помощ на митническите служители като резервна възможност на гранично-пропускателните пунктове в Klek и Zaton Doli постоянно са на разположение служители, специализирани в анализ на риска.</w:t>
      </w:r>
      <w:r>
        <w:rPr>
          <w:rFonts w:ascii="Times New Roman" w:hAnsi="Times New Roman"/>
          <w:b/>
          <w:noProof/>
          <w:color w:val="000000"/>
          <w:sz w:val="24"/>
        </w:rPr>
        <w:t xml:space="preserve"> </w:t>
      </w:r>
      <w:r>
        <w:rPr>
          <w:rFonts w:ascii="Times New Roman" w:hAnsi="Times New Roman"/>
          <w:noProof/>
          <w:color w:val="000000"/>
          <w:sz w:val="24"/>
        </w:rPr>
        <w:t>Отделът към Централната служба, отговарящ за контрола (отговорен за анализа на риска) е предоставил насоки за безопасност и сигурност. В регионалното митническо учреждение в Сплит в рамките на Службата за контрол, разследване и управление на риска има редовни смени.</w:t>
      </w:r>
    </w:p>
    <w:p>
      <w:pPr>
        <w:tabs>
          <w:tab w:val="left" w:pos="709"/>
          <w:tab w:val="left" w:pos="993"/>
          <w:tab w:val="left" w:pos="2127"/>
          <w:tab w:val="left" w:pos="3544"/>
        </w:tabs>
        <w:jc w:val="both"/>
        <w:rPr>
          <w:rFonts w:ascii="Times New Roman" w:hAnsi="Times New Roman" w:cs="Times New Roman"/>
          <w:noProof/>
          <w:sz w:val="24"/>
          <w:szCs w:val="24"/>
        </w:rPr>
      </w:pPr>
      <w:r>
        <w:rPr>
          <w:rFonts w:ascii="Times New Roman" w:hAnsi="Times New Roman"/>
          <w:noProof/>
          <w:sz w:val="24"/>
        </w:rPr>
        <w:t>Митническото учреждение на напускане може да разреши стоките да напуснат само след като бъдат извършени определените дейности.</w:t>
      </w:r>
    </w:p>
    <w:p>
      <w:pPr>
        <w:numPr>
          <w:ilvl w:val="1"/>
          <w:numId w:val="1"/>
        </w:numPr>
        <w:tabs>
          <w:tab w:val="left" w:pos="709"/>
          <w:tab w:val="left" w:pos="993"/>
          <w:tab w:val="left" w:pos="2127"/>
          <w:tab w:val="left" w:pos="3544"/>
        </w:tabs>
        <w:spacing w:before="120" w:after="120" w:line="240" w:lineRule="auto"/>
        <w:contextualSpacing/>
        <w:jc w:val="both"/>
        <w:rPr>
          <w:rFonts w:ascii="Times New Roman" w:hAnsi="Times New Roman" w:cs="Times New Roman"/>
          <w:b/>
          <w:noProof/>
          <w:color w:val="000000"/>
          <w:sz w:val="24"/>
          <w:szCs w:val="24"/>
        </w:rPr>
      </w:pPr>
      <w:r>
        <w:rPr>
          <w:rFonts w:ascii="Times New Roman" w:hAnsi="Times New Roman"/>
          <w:b/>
          <w:noProof/>
          <w:color w:val="000000"/>
          <w:sz w:val="24"/>
        </w:rPr>
        <w:t xml:space="preserve"> Санкции</w:t>
      </w:r>
    </w:p>
    <w:p>
      <w:pPr>
        <w:tabs>
          <w:tab w:val="left" w:pos="709"/>
          <w:tab w:val="left" w:pos="993"/>
          <w:tab w:val="left" w:pos="2127"/>
          <w:tab w:val="left" w:pos="3544"/>
        </w:tabs>
        <w:spacing w:before="120" w:after="120" w:line="240" w:lineRule="auto"/>
        <w:ind w:left="792"/>
        <w:contextualSpacing/>
        <w:jc w:val="both"/>
        <w:rPr>
          <w:rFonts w:ascii="Times New Roman" w:hAnsi="Times New Roman" w:cs="Times New Roman"/>
          <w:b/>
          <w:noProof/>
          <w:color w:val="000000"/>
          <w:sz w:val="24"/>
          <w:szCs w:val="24"/>
        </w:rPr>
      </w:pPr>
    </w:p>
    <w:p>
      <w:pPr>
        <w:jc w:val="both"/>
        <w:rPr>
          <w:rFonts w:ascii="Times New Roman" w:hAnsi="Times New Roman" w:cs="Times New Roman"/>
          <w:b/>
          <w:noProof/>
          <w:sz w:val="24"/>
          <w:szCs w:val="24"/>
        </w:rPr>
      </w:pPr>
      <w:r>
        <w:rPr>
          <w:rFonts w:ascii="Times New Roman" w:hAnsi="Times New Roman"/>
          <w:noProof/>
          <w:color w:val="000000"/>
          <w:sz w:val="24"/>
        </w:rPr>
        <w:t>Ако стойността на стоките надхвърля 10 000 EUR, превозвачът трябва да подаде пълна ОДВ/ОДН. В случай на нередности се налагат и санкции.</w:t>
      </w:r>
    </w:p>
    <w:p>
      <w:pPr>
        <w:widowControl w:val="0"/>
        <w:autoSpaceDE w:val="0"/>
        <w:autoSpaceDN w:val="0"/>
        <w:adjustRightInd w:val="0"/>
        <w:spacing w:after="120"/>
        <w:jc w:val="both"/>
        <w:rPr>
          <w:rFonts w:ascii="Times New Roman" w:hAnsi="Times New Roman" w:cs="Times New Roman"/>
          <w:noProof/>
          <w:kern w:val="28"/>
          <w:sz w:val="24"/>
          <w:szCs w:val="24"/>
        </w:rPr>
      </w:pPr>
      <w:r>
        <w:rPr>
          <w:rFonts w:ascii="Times New Roman" w:hAnsi="Times New Roman"/>
          <w:noProof/>
          <w:sz w:val="24"/>
        </w:rPr>
        <w:t>Комисията стига до заключението, че тези условия се прилагат правилно. Документите са проверени правилно, проверки са извършвани редовно и централната администрация е въвела процедури за еднаквото прилагане на правото на Съюза.</w:t>
      </w: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 xml:space="preserve">Заключение </w:t>
      </w:r>
    </w:p>
    <w:p>
      <w:pPr>
        <w:spacing w:before="120" w:after="120" w:line="240" w:lineRule="auto"/>
        <w:ind w:left="360"/>
        <w:contextualSpacing/>
        <w:jc w:val="both"/>
        <w:rPr>
          <w:rFonts w:ascii="Times New Roman" w:hAnsi="Times New Roman" w:cs="Times New Roman"/>
          <w:b/>
          <w:noProof/>
          <w:sz w:val="24"/>
          <w:szCs w:val="24"/>
        </w:rPr>
      </w:pPr>
    </w:p>
    <w:p>
      <w:pPr>
        <w:rPr>
          <w:noProof/>
        </w:rPr>
      </w:pPr>
      <w:r>
        <w:rPr>
          <w:rFonts w:ascii="Times New Roman" w:hAnsi="Times New Roman"/>
          <w:noProof/>
          <w:sz w:val="24"/>
        </w:rPr>
        <w:t>Въз основа на оценката, предоставена в този доклад, Комисията стига до заключението, че равнището на прилагане на Регламента за Neum е задоволително и няма основание за спиране на действието или отмяна на регламента.</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NewRoman" w:hAnsi="TimesNewRoman"/>
          <w:sz w:val="19"/>
        </w:rPr>
        <w:t>ОВ L 302, 19.10.1992 г., стр. 1</w:t>
      </w:r>
    </w:p>
  </w:footnote>
  <w:footnote w:id="2">
    <w:p>
      <w:pPr>
        <w:pStyle w:val="Default"/>
      </w:pPr>
      <w:r>
        <w:rPr>
          <w:rStyle w:val="FootnoteReference"/>
        </w:rPr>
        <w:footnoteRef/>
      </w:r>
      <w:r>
        <w:t xml:space="preserve"> </w:t>
      </w:r>
      <w:r>
        <w:rPr>
          <w:sz w:val="19"/>
        </w:rPr>
        <w:t>ОВ L 253, 11.10.1993 г., стр. 1</w:t>
      </w:r>
    </w:p>
  </w:footnote>
  <w:footnote w:id="3">
    <w:p>
      <w:pPr>
        <w:pStyle w:val="FootnoteText"/>
      </w:pPr>
      <w:r>
        <w:rPr>
          <w:rStyle w:val="FootnoteReference"/>
        </w:rPr>
        <w:footnoteRef/>
      </w:r>
      <w:r>
        <w:t xml:space="preserve"> COM(2013) 1 final, Обща позиция на работна група „Разширяване и държави, водещи преговори за присъединяване към ЕС“, 24 юни 2011 г.</w:t>
      </w:r>
    </w:p>
  </w:footnote>
  <w:footnote w:id="4">
    <w:p>
      <w:pPr>
        <w:pStyle w:val="FootnoteText"/>
      </w:pPr>
      <w:r>
        <w:rPr>
          <w:rStyle w:val="FootnoteReference"/>
        </w:rPr>
        <w:footnoteRef/>
      </w:r>
      <w:r>
        <w:t xml:space="preserve"> Регламент (ЕИО) № 2913/92 на Съвета от 12 октомври 1992 г.</w:t>
      </w:r>
    </w:p>
  </w:footnote>
  <w:footnote w:id="5">
    <w:p>
      <w:pPr>
        <w:pStyle w:val="FootnoteText"/>
      </w:pPr>
      <w:r>
        <w:rPr>
          <w:rStyle w:val="FootnoteReference"/>
        </w:rPr>
        <w:footnoteRef/>
      </w:r>
      <w:r>
        <w:t xml:space="preserve"> Регламент (ЕИО) № 2454/93 на Комисията от 2 юли 1993 г.</w:t>
      </w:r>
    </w:p>
  </w:footnote>
  <w:footnote w:id="6">
    <w:p>
      <w:pPr>
        <w:pStyle w:val="FootnoteText"/>
        <w:rPr>
          <w:rFonts w:ascii="Times New Roman" w:hAnsi="Times New Roman" w:cs="Times New Roman"/>
        </w:rPr>
      </w:pPr>
      <w:r>
        <w:rPr>
          <w:rStyle w:val="FootnoteReference"/>
        </w:rPr>
        <w:footnoteRef/>
      </w:r>
      <w:r>
        <w:t xml:space="preserve"> </w:t>
      </w:r>
      <w:r>
        <w:rPr>
          <w:rFonts w:ascii="Times New Roman" w:hAnsi="Times New Roman"/>
        </w:rPr>
        <w:t>T2L е митнически документ, който се използва в Европейския съюз като доказателство за вътрешноевропейския общностен характер на износа/вноса. За да бъде издаден документът, износителят и вносителят трябва да са от държавите —членки на ЕС, и държавата, в която пратката е натоварена или доставена, трябва да е държава членка. Документ T2L се заверява от митническите органи на държавата, в която са натоварени продуктите, и вносителят трябва да го получи, за да започне процедурата по вноса.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F7F8F"/>
    <w:multiLevelType w:val="multilevel"/>
    <w:tmpl w:val="537AF3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5DE098D"/>
    <w:multiLevelType w:val="hybridMultilevel"/>
    <w:tmpl w:val="14E01E06"/>
    <w:lvl w:ilvl="0" w:tplc="08D2A0CA">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A683040"/>
    <w:multiLevelType w:val="hybridMultilevel"/>
    <w:tmpl w:val="9AD8F56A"/>
    <w:lvl w:ilvl="0" w:tplc="08D2A0C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D40A75917FE44FB802D7BBD77973FA2"/>
    <w:docVar w:name="LW_CROSSREFERENCE" w:val="&lt;UNUSED&gt;"/>
    <w:docVar w:name="LW_DocType" w:val="NORMAL"/>
    <w:docVar w:name="LW_EMISSION" w:val="11.11.2015"/>
    <w:docVar w:name="LW_EMISSION_ISODATE" w:val="2015-11-11"/>
    <w:docVar w:name="LW_EMISSION_LOCATION" w:val="BRX"/>
    <w:docVar w:name="LW_EMISSION_PREFIX" w:val="Брюксел, "/>
    <w:docVar w:name="LW_EMISSION_SUFFIX" w:val=" \u1075?."/>
    <w:docVar w:name="LW_ID_DOCTYPE_NONLW" w:val="CP-00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61"/>
    <w:docVar w:name="LW_REF.INTERNE" w:val="&lt;UNUSED&gt;"/>
    <w:docVar w:name="LW_SOUS.TITRE.OBJ.CP" w:val="&lt;UNUSED&gt;"/>
    <w:docVar w:name="LW_SUPERTITRE" w:val="&lt;UNUSED&gt;"/>
    <w:docVar w:name="LW_TITRE.OBJ.CP" w:val="\u1086?\u1090?\u1085?\u1086?\u1089?\u1085?\u1086? \u1087?\u1088?\u1080?\u1083?\u1072?\u1075?\u1072?\u1085?\u1077?\u1090?\u1086? \u1085?\u1072? \u1056?\u1077?\u1075?\u1083?\u1072?\u1084?\u1077?\u1085?\u1090? (\u1045?\u1057?) \u8470? 479/2013 \u1086?\u1090? 13 \u1084?\u1072?\u1081? 2013 \u1075?. \u1079?\u1072? \u1086?\u1089?\u1074?\u1086?\u1073?\u1086?\u1078?\u1076?\u1072?\u1074?\u1072?\u1085?\u1077? \u1086?\u1090? \u1080?\u1079?\u1080?\u1089?\u1082?\u1074?\u1072?\u1085?\u1077?\u1090?\u1086? \u1079?\u1072? \u1087?\u1086?\u1076?\u1072?\u1074?\u1072?\u1085?\u1077? \u1085?\u1072? \u1086?\u1073?\u1086?\u1073?\u1097?\u1077?\u1085?\u1080? \u1076?\u1077?\u1082?\u1083?\u1072?\u1088?\u1072?\u1094?\u1080?\u1080? \u1079?\u1072? \u1074?\u1098?\u1074?\u1077?\u1078?\u1076?\u1072?\u1085?\u1077? \u1080? \u1079?\u1072? \u1085?\u1072?\u1087?\u1091?\u1089?\u1082?\u1072?\u1085?\u1077? \u1079?\u1072? \u1089?\u1098?\u1102?\u1079?\u1085?\u1080? \u1089?\u1090?\u1086?\u1082?\u1080?, \u1087?\u1088?\u1080?\u1076?\u1074?\u1080?\u1078?\u1074?\u1072?\u1085?\u1080? \u1087?\u1088?\u1077?\u1079? \u1082?\u1086?\u1088?\u1080?\u1076?\u1086?\u1088?\u1072? Neum"/>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Pr>
      <w:shd w:val="clear" w:color="auto" w:fill="auto"/>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Pr>
      <w:shd w:val="clear" w:color="auto" w:fill="auto"/>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285C-64A3-4E53-9552-8A80C1C7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2729</Words>
  <Characters>16511</Characters>
  <Application>Microsoft Office Word</Application>
  <DocSecurity>0</DocSecurity>
  <Lines>330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2015-10-21T14:43:00Z</dcterms:created>
  <dcterms:modified xsi:type="dcterms:W3CDTF">2015-10-30T15:17:00Z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