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5BE0D5BA4D04830AA8F9E3B6E159C98" style="width:450.75pt;height:379.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rPr>
          <w:rFonts w:ascii="Times New Roman" w:eastAsia="Times New Roman" w:hAnsi="Times New Roman"/>
          <w:b/>
          <w:bCs/>
          <w:noProof/>
          <w:sz w:val="20"/>
          <w:szCs w:val="20"/>
        </w:rPr>
      </w:pPr>
      <w:bookmarkStart w:id="1" w:name="_GoBack"/>
      <w:bookmarkEnd w:id="1"/>
      <w:r>
        <w:rPr>
          <w:rFonts w:ascii="Times New Roman" w:hAnsi="Times New Roman"/>
          <w:b/>
          <w:noProof/>
          <w:sz w:val="20"/>
        </w:rPr>
        <w:lastRenderedPageBreak/>
        <w:t>ANNEXE I</w:t>
      </w:r>
    </w:p>
    <w:p>
      <w:pPr>
        <w:spacing w:after="0"/>
        <w:rPr>
          <w:rFonts w:ascii="Times New Roman" w:eastAsia="Times New Roman" w:hAnsi="Times New Roman"/>
          <w:bCs/>
          <w:noProof/>
          <w:sz w:val="20"/>
          <w:szCs w:val="20"/>
        </w:rPr>
      </w:pPr>
    </w:p>
    <w:p>
      <w:pPr>
        <w:rPr>
          <w:noProof/>
        </w:rPr>
      </w:pPr>
      <w:r>
        <w:rPr>
          <w:noProof/>
        </w:rPr>
        <w:t>Évolution de la capacité de la flotte, 2005-2014 (inclut l'élargissement de 25 à 28 États membres)</w:t>
      </w:r>
    </w:p>
    <w:p>
      <w:pPr>
        <w:rPr>
          <w:noProof/>
        </w:rPr>
      </w:pPr>
      <w:r>
        <w:rPr>
          <w:noProof/>
        </w:rPr>
        <w:t>Total – nombre de navires</w:t>
      </w:r>
    </w:p>
    <w:p>
      <w:pPr>
        <w:rPr>
          <w:noProof/>
        </w:rPr>
      </w:pPr>
      <w:r>
        <w:rPr>
          <w:noProof/>
          <w:lang w:val="en-US" w:eastAsia="en-US" w:bidi="ar-SA"/>
        </w:rPr>
        <w:drawing>
          <wp:inline distT="0" distB="0" distL="0" distR="0">
            <wp:extent cx="3721100" cy="276733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noProof/>
        </w:rPr>
      </w:pPr>
      <w:r>
        <w:rPr>
          <w:noProof/>
        </w:rPr>
        <w:t>Total – unités de tonnage brut (gauche) et kilowatts (droite)</w:t>
      </w:r>
    </w:p>
    <w:p>
      <w:pPr>
        <w:spacing w:after="0"/>
        <w:rPr>
          <w:noProof/>
          <w:vanish/>
        </w:rPr>
      </w:pPr>
      <w:r>
        <w:rPr>
          <w:noProof/>
          <w:lang w:val="en-US" w:eastAsia="en-US" w:bidi="ar-SA"/>
        </w:rPr>
        <w:drawing>
          <wp:inline distT="0" distB="0" distL="0" distR="0">
            <wp:extent cx="3212465" cy="228981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n-US" w:eastAsia="en-US" w:bidi="ar-SA"/>
        </w:rPr>
        <w:drawing>
          <wp:inline distT="0" distB="0" distL="0" distR="0">
            <wp:extent cx="3418840" cy="228981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noProof/>
        </w:rPr>
      </w:pPr>
    </w:p>
    <w:p>
      <w:pPr>
        <w:rPr>
          <w:noProof/>
        </w:rPr>
      </w:pPr>
    </w:p>
    <w:p>
      <w:pPr>
        <w:spacing w:after="0"/>
        <w:rPr>
          <w:rFonts w:ascii="Times New Roman" w:eastAsia="Times New Roman" w:hAnsi="Times New Roman"/>
          <w:b/>
          <w:bCs/>
          <w:noProof/>
          <w:sz w:val="20"/>
          <w:szCs w:val="20"/>
        </w:rPr>
      </w:pPr>
      <w:r>
        <w:rPr>
          <w:noProof/>
        </w:rPr>
        <w:br w:type="page"/>
      </w:r>
      <w:r>
        <w:rPr>
          <w:rFonts w:ascii="Times New Roman" w:hAnsi="Times New Roman"/>
          <w:b/>
          <w:noProof/>
          <w:sz w:val="20"/>
        </w:rPr>
        <w:t>ANNEXE II</w:t>
      </w:r>
    </w:p>
    <w:p>
      <w:pPr>
        <w:rPr>
          <w:noProof/>
        </w:rPr>
      </w:pPr>
    </w:p>
    <w:p>
      <w:pPr>
        <w:rPr>
          <w:noProof/>
        </w:rPr>
      </w:pPr>
      <w:r>
        <w:rPr>
          <w:noProof/>
          <w:lang w:val="en-US" w:eastAsia="en-US" w:bidi="ar-SA"/>
        </w:rPr>
        <w:drawing>
          <wp:inline distT="0" distB="0" distL="0" distR="0">
            <wp:extent cx="5975350" cy="3352800"/>
            <wp:effectExtent l="0" t="0" r="25400" b="19050"/>
            <wp:docPr id="9"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Times New Roman" w:eastAsia="Times New Roman" w:hAnsi="Times New Roman"/>
          <w:b/>
          <w:bCs/>
          <w:noProof/>
          <w:sz w:val="28"/>
          <w:szCs w:val="28"/>
        </w:rPr>
      </w:pPr>
    </w:p>
    <w:p>
      <w:pPr>
        <w:spacing w:after="240" w:line="240" w:lineRule="auto"/>
        <w:ind w:left="360" w:right="654"/>
        <w:jc w:val="both"/>
        <w:rPr>
          <w:rFonts w:ascii="Times New Roman" w:eastAsia="Times New Roman" w:hAnsi="Times New Roman"/>
          <w:bCs/>
          <w:noProof/>
          <w:sz w:val="20"/>
          <w:szCs w:val="20"/>
        </w:rPr>
      </w:pPr>
      <w:r>
        <w:rPr>
          <w:rFonts w:ascii="Times New Roman" w:hAnsi="Times New Roman"/>
          <w:noProof/>
          <w:sz w:val="20"/>
        </w:rPr>
        <w:t>* Source: Analyse du CSTEP concernant les indicateurs d'équilibre des principaux segments de flottes et l'examen des rapports nationaux sur les efforts consentis par les États membres pour instaurer un équilibre entre la capacité de pêche et les possibilités de pêche (CSTEP – 15-02).</w:t>
      </w: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r>
        <w:rPr>
          <w:rFonts w:ascii="Times New Roman" w:hAnsi="Times New Roman"/>
          <w:b/>
          <w:noProof/>
          <w:sz w:val="20"/>
        </w:rPr>
        <w:t>Annexe III</w:t>
      </w:r>
    </w:p>
    <w:p>
      <w:pPr>
        <w:rPr>
          <w:rFonts w:ascii="Times New Roman" w:eastAsia="Times New Roman" w:hAnsi="Times New Roman"/>
          <w:b/>
          <w:bCs/>
          <w:noProof/>
          <w:sz w:val="28"/>
          <w:szCs w:val="28"/>
        </w:rPr>
      </w:pPr>
    </w:p>
    <w:p>
      <w:pPr>
        <w:rPr>
          <w:rFonts w:ascii="Times New Roman" w:eastAsia="Times New Roman" w:hAnsi="Times New Roman"/>
          <w:b/>
          <w:bCs/>
          <w:noProof/>
          <w:sz w:val="28"/>
          <w:szCs w:val="28"/>
        </w:rPr>
      </w:pPr>
      <w:r>
        <w:rPr>
          <w:rFonts w:ascii="Times New Roman" w:hAnsi="Times New Roman"/>
          <w:b/>
          <w:noProof/>
          <w:sz w:val="28"/>
        </w:rPr>
        <w:t xml:space="preserve">Liste des plans d'action transmis par les États membres (article 22, paragraphe 4, du règlement n° 1380/2013 </w:t>
      </w:r>
      <w:r>
        <w:rPr>
          <w:rStyle w:val="FootnoteReference"/>
          <w:rFonts w:ascii="Times New Roman" w:hAnsi="Times New Roman"/>
          <w:b/>
          <w:noProof/>
          <w:sz w:val="28"/>
        </w:rPr>
        <w:footnoteReference w:id="1"/>
      </w:r>
      <w:r>
        <w:rPr>
          <w:rFonts w:ascii="Times New Roman" w:hAnsi="Times New Roman"/>
          <w:b/>
          <w:noProof/>
          <w:sz w:val="28"/>
        </w:rPr>
        <w:t>)</w:t>
      </w:r>
    </w:p>
    <w:p>
      <w:pPr>
        <w:spacing w:after="240" w:line="240" w:lineRule="auto"/>
        <w:ind w:left="851" w:right="654"/>
        <w:jc w:val="both"/>
        <w:rPr>
          <w:rFonts w:ascii="Times New Roman" w:eastAsia="Times New Roman" w:hAnsi="Times New Roman"/>
          <w:b/>
          <w:bCs/>
          <w:noProof/>
          <w:sz w:val="24"/>
          <w:szCs w:val="24"/>
        </w:rPr>
      </w:pPr>
      <w:r>
        <w:rPr>
          <w:rFonts w:ascii="Times New Roman" w:hAnsi="Times New Roman"/>
          <w:b/>
          <w:noProof/>
          <w:sz w:val="24"/>
        </w:rPr>
        <w:t>1. Plan d'action de la Croatie.</w:t>
      </w:r>
    </w:p>
    <w:p>
      <w:pPr>
        <w:spacing w:after="240" w:line="240" w:lineRule="auto"/>
        <w:ind w:left="851" w:right="654"/>
        <w:jc w:val="both"/>
        <w:rPr>
          <w:rFonts w:ascii="Times New Roman" w:eastAsia="Times New Roman" w:hAnsi="Times New Roman"/>
          <w:b/>
          <w:bCs/>
          <w:noProof/>
          <w:sz w:val="24"/>
          <w:szCs w:val="24"/>
        </w:rPr>
      </w:pPr>
      <w:r>
        <w:rPr>
          <w:rFonts w:ascii="Times New Roman" w:hAnsi="Times New Roman"/>
          <w:b/>
          <w:noProof/>
          <w:sz w:val="24"/>
        </w:rPr>
        <w:t>2. Plan d'action de Chypre.</w:t>
      </w:r>
    </w:p>
    <w:p>
      <w:pPr>
        <w:spacing w:after="240" w:line="240" w:lineRule="auto"/>
        <w:ind w:left="851" w:right="654"/>
        <w:jc w:val="both"/>
        <w:rPr>
          <w:rFonts w:ascii="Times New Roman" w:eastAsia="Times New Roman" w:hAnsi="Times New Roman"/>
          <w:b/>
          <w:bCs/>
          <w:noProof/>
          <w:sz w:val="24"/>
          <w:szCs w:val="24"/>
        </w:rPr>
      </w:pPr>
      <w:r>
        <w:rPr>
          <w:rFonts w:ascii="Times New Roman" w:hAnsi="Times New Roman"/>
          <w:b/>
          <w:noProof/>
          <w:sz w:val="24"/>
        </w:rPr>
        <w:t>3. Plan d'action de la France.</w:t>
      </w:r>
    </w:p>
    <w:p>
      <w:pPr>
        <w:spacing w:after="240" w:line="240" w:lineRule="auto"/>
        <w:ind w:left="851" w:right="654"/>
        <w:jc w:val="both"/>
        <w:rPr>
          <w:rFonts w:ascii="Times New Roman" w:eastAsia="Times New Roman" w:hAnsi="Times New Roman"/>
          <w:b/>
          <w:bCs/>
          <w:noProof/>
          <w:sz w:val="24"/>
          <w:szCs w:val="24"/>
        </w:rPr>
      </w:pPr>
      <w:r>
        <w:rPr>
          <w:rFonts w:ascii="Times New Roman" w:hAnsi="Times New Roman"/>
          <w:b/>
          <w:noProof/>
          <w:sz w:val="24"/>
        </w:rPr>
        <w:t>4. Plan d'action de l'Italie.</w:t>
      </w:r>
    </w:p>
    <w:p>
      <w:pPr>
        <w:spacing w:after="240" w:line="240" w:lineRule="auto"/>
        <w:ind w:left="851" w:right="654"/>
        <w:jc w:val="both"/>
        <w:rPr>
          <w:rFonts w:ascii="Times New Roman" w:eastAsia="Times New Roman" w:hAnsi="Times New Roman"/>
          <w:b/>
          <w:bCs/>
          <w:noProof/>
          <w:sz w:val="24"/>
          <w:szCs w:val="24"/>
        </w:rPr>
      </w:pPr>
      <w:r>
        <w:rPr>
          <w:rFonts w:ascii="Times New Roman" w:hAnsi="Times New Roman"/>
          <w:b/>
          <w:noProof/>
          <w:sz w:val="24"/>
        </w:rPr>
        <w:t>5. Plan d’action de la Lettonie.</w:t>
      </w:r>
    </w:p>
    <w:p>
      <w:pPr>
        <w:spacing w:after="240" w:line="240" w:lineRule="auto"/>
        <w:ind w:left="851" w:right="654"/>
        <w:jc w:val="both"/>
        <w:rPr>
          <w:rFonts w:ascii="Times New Roman" w:eastAsia="Times New Roman" w:hAnsi="Times New Roman"/>
          <w:b/>
          <w:bCs/>
          <w:noProof/>
          <w:sz w:val="24"/>
          <w:szCs w:val="24"/>
        </w:rPr>
      </w:pPr>
      <w:r>
        <w:rPr>
          <w:rFonts w:ascii="Times New Roman" w:hAnsi="Times New Roman"/>
          <w:b/>
          <w:noProof/>
          <w:sz w:val="24"/>
        </w:rPr>
        <w:t>6. Plan d'action de l'Espagne.</w:t>
      </w:r>
    </w:p>
    <w:p>
      <w:pPr>
        <w:spacing w:after="240" w:line="240" w:lineRule="auto"/>
        <w:ind w:left="851" w:right="654"/>
        <w:jc w:val="both"/>
        <w:rPr>
          <w:rFonts w:ascii="Times New Roman" w:eastAsia="Times New Roman" w:hAnsi="Times New Roman"/>
          <w:b/>
          <w:bCs/>
          <w:noProof/>
          <w:sz w:val="24"/>
          <w:szCs w:val="24"/>
        </w:rPr>
      </w:pPr>
    </w:p>
    <w:p>
      <w:pPr>
        <w:spacing w:after="240" w:line="240" w:lineRule="auto"/>
        <w:ind w:left="851" w:right="654"/>
        <w:jc w:val="both"/>
        <w:rPr>
          <w:rFonts w:cs="Arial"/>
          <w:noProof/>
          <w:sz w:val="20"/>
          <w:szCs w:val="20"/>
        </w:rPr>
      </w:pPr>
    </w:p>
    <w:p>
      <w:pPr>
        <w:spacing w:after="0" w:line="240" w:lineRule="auto"/>
        <w:rPr>
          <w:rFonts w:cs="Arial"/>
          <w:noProof/>
          <w:sz w:val="20"/>
          <w:szCs w:val="20"/>
        </w:rPr>
        <w:sectPr>
          <w:headerReference w:type="even" r:id="rId18"/>
          <w:headerReference w:type="default" r:id="rId19"/>
          <w:footerReference w:type="even" r:id="rId20"/>
          <w:footerReference w:type="default" r:id="rId21"/>
          <w:headerReference w:type="first" r:id="rId22"/>
          <w:footerReference w:type="first" r:id="rId23"/>
          <w:pgSz w:w="11920" w:h="16840"/>
          <w:pgMar w:top="1500" w:right="520" w:bottom="1140" w:left="540" w:header="709" w:footer="747" w:gutter="0"/>
          <w:pgNumType w:start="2"/>
          <w:cols w:space="720"/>
          <w:docGrid w:linePitch="299"/>
        </w:sectPr>
      </w:pPr>
    </w:p>
    <w:p>
      <w:pPr>
        <w:keepNext/>
        <w:keepLines/>
        <w:spacing w:after="240" w:line="240" w:lineRule="auto"/>
        <w:jc w:val="both"/>
        <w:rPr>
          <w:rFonts w:ascii="Times New Roman" w:eastAsia="Times New Roman" w:hAnsi="Times New Roman"/>
          <w:b/>
          <w:noProof/>
          <w:sz w:val="20"/>
          <w:szCs w:val="20"/>
        </w:rPr>
      </w:pPr>
      <w:r>
        <w:rPr>
          <w:rFonts w:ascii="Times New Roman" w:hAnsi="Times New Roman"/>
          <w:b/>
          <w:noProof/>
          <w:sz w:val="20"/>
        </w:rPr>
        <w:t>Annexe IV</w:t>
      </w:r>
    </w:p>
    <w:p>
      <w:pPr>
        <w:spacing w:after="240" w:line="240" w:lineRule="auto"/>
        <w:jc w:val="both"/>
        <w:rPr>
          <w:rFonts w:ascii="Times New Roman" w:eastAsia="Times New Roman" w:hAnsi="Times New Roman"/>
          <w:b/>
          <w:noProof/>
          <w:sz w:val="24"/>
          <w:szCs w:val="24"/>
        </w:rPr>
      </w:pPr>
      <w:r>
        <w:rPr>
          <w:rFonts w:ascii="Times New Roman" w:hAnsi="Times New Roman"/>
          <w:b/>
          <w:noProof/>
          <w:sz w:val="24"/>
        </w:rPr>
        <w:t>Tableau 7.1. Engagements au titre du FEP entre le 1.1.2007 et le 31.5.2014</w:t>
      </w:r>
    </w:p>
    <w:tbl>
      <w:tblPr>
        <w:tblW w:w="14458" w:type="dxa"/>
        <w:tblInd w:w="392" w:type="dxa"/>
        <w:tblLook w:val="04A0" w:firstRow="1" w:lastRow="0" w:firstColumn="1" w:lastColumn="0" w:noHBand="0" w:noVBand="1"/>
      </w:tblPr>
      <w:tblGrid>
        <w:gridCol w:w="5386"/>
        <w:gridCol w:w="1418"/>
        <w:gridCol w:w="1843"/>
        <w:gridCol w:w="1842"/>
        <w:gridCol w:w="1788"/>
        <w:gridCol w:w="2181"/>
      </w:tblGrid>
      <w:tr>
        <w:trPr>
          <w:trHeight w:val="485"/>
        </w:trPr>
        <w:tc>
          <w:tcPr>
            <w:tcW w:w="10489" w:type="dxa"/>
            <w:gridSpan w:val="4"/>
            <w:shd w:val="clear" w:color="auto" w:fill="DDD9C3"/>
            <w:noWrap/>
            <w:vAlign w:val="bottom"/>
          </w:tcPr>
          <w:p>
            <w:pPr>
              <w:spacing w:after="0" w:line="240" w:lineRule="auto"/>
              <w:jc w:val="center"/>
              <w:rPr>
                <w:rFonts w:ascii="Times New Roman" w:eastAsia="Times New Roman" w:hAnsi="Times New Roman"/>
                <w:b/>
                <w:noProof/>
                <w:color w:val="000000"/>
                <w:sz w:val="24"/>
                <w:szCs w:val="24"/>
              </w:rPr>
            </w:pPr>
            <w:r>
              <w:rPr>
                <w:rFonts w:ascii="Times New Roman" w:hAnsi="Times New Roman"/>
                <w:b/>
                <w:noProof/>
                <w:sz w:val="24"/>
              </w:rPr>
              <w:t>Engagements au titre du FEP entre le 1.1.2007 et le 31.5.2014</w:t>
            </w:r>
          </w:p>
        </w:tc>
        <w:tc>
          <w:tcPr>
            <w:tcW w:w="1788" w:type="dxa"/>
            <w:shd w:val="clear" w:color="auto" w:fill="DDD9C3"/>
          </w:tcPr>
          <w:p>
            <w:pPr>
              <w:spacing w:after="0" w:line="240" w:lineRule="auto"/>
              <w:jc w:val="center"/>
              <w:rPr>
                <w:rFonts w:ascii="Arial" w:eastAsia="Times New Roman" w:hAnsi="Arial" w:cs="Arial"/>
                <w:b/>
                <w:noProof/>
                <w:color w:val="000000"/>
                <w:sz w:val="24"/>
                <w:szCs w:val="24"/>
              </w:rPr>
            </w:pPr>
          </w:p>
        </w:tc>
        <w:tc>
          <w:tcPr>
            <w:tcW w:w="2181" w:type="dxa"/>
            <w:shd w:val="clear" w:color="auto" w:fill="DDD9C3"/>
          </w:tcPr>
          <w:p>
            <w:pPr>
              <w:spacing w:after="0" w:line="240" w:lineRule="auto"/>
              <w:jc w:val="center"/>
              <w:rPr>
                <w:rFonts w:ascii="Arial" w:eastAsia="Times New Roman" w:hAnsi="Arial" w:cs="Arial"/>
                <w:b/>
                <w:noProof/>
                <w:color w:val="000000"/>
                <w:sz w:val="24"/>
                <w:szCs w:val="24"/>
              </w:rPr>
            </w:pPr>
          </w:p>
        </w:tc>
      </w:tr>
      <w:tr>
        <w:trPr>
          <w:trHeight w:val="1607"/>
        </w:trPr>
        <w:tc>
          <w:tcPr>
            <w:tcW w:w="5386" w:type="dxa"/>
            <w:shd w:val="clear" w:color="auto" w:fill="DDD9C3"/>
            <w:noWrap/>
          </w:tcPr>
          <w:p>
            <w:pPr>
              <w:rPr>
                <w:b/>
                <w:bCs/>
                <w:noProof/>
              </w:rPr>
            </w:pPr>
            <w:r>
              <w:rPr>
                <w:b/>
                <w:noProof/>
              </w:rPr>
              <w:t>Mesures</w:t>
            </w:r>
          </w:p>
        </w:tc>
        <w:tc>
          <w:tcPr>
            <w:tcW w:w="1418" w:type="dxa"/>
            <w:shd w:val="clear" w:color="auto" w:fill="DDD9C3"/>
            <w:noWrap/>
          </w:tcPr>
          <w:p>
            <w:pPr>
              <w:rPr>
                <w:b/>
                <w:bCs/>
                <w:noProof/>
              </w:rPr>
            </w:pPr>
            <w:r>
              <w:rPr>
                <w:b/>
                <w:noProof/>
              </w:rPr>
              <w:t>Nombre d’opérations</w:t>
            </w:r>
          </w:p>
        </w:tc>
        <w:tc>
          <w:tcPr>
            <w:tcW w:w="1843" w:type="dxa"/>
            <w:shd w:val="clear" w:color="auto" w:fill="DDD9C3"/>
            <w:noWrap/>
          </w:tcPr>
          <w:p>
            <w:pPr>
              <w:rPr>
                <w:b/>
                <w:bCs/>
                <w:noProof/>
              </w:rPr>
            </w:pPr>
            <w:r>
              <w:rPr>
                <w:b/>
                <w:noProof/>
              </w:rPr>
              <w:t>Coût total pris en compte dans la décision d'octroi d'aide publique (en euros)</w:t>
            </w:r>
          </w:p>
        </w:tc>
        <w:tc>
          <w:tcPr>
            <w:tcW w:w="1842" w:type="dxa"/>
            <w:shd w:val="clear" w:color="auto" w:fill="DDD9C3"/>
            <w:noWrap/>
          </w:tcPr>
          <w:p>
            <w:pPr>
              <w:rPr>
                <w:b/>
                <w:bCs/>
                <w:noProof/>
              </w:rPr>
            </w:pPr>
            <w:r>
              <w:rPr>
                <w:b/>
                <w:noProof/>
              </w:rPr>
              <w:t>Coût public total pris en compte dans la décision d'octroi d'aide publique (en euros)</w:t>
            </w:r>
          </w:p>
        </w:tc>
        <w:tc>
          <w:tcPr>
            <w:tcW w:w="1788" w:type="dxa"/>
            <w:shd w:val="clear" w:color="auto" w:fill="DDD9C3"/>
          </w:tcPr>
          <w:p>
            <w:pPr>
              <w:rPr>
                <w:b/>
                <w:bCs/>
                <w:noProof/>
              </w:rPr>
            </w:pPr>
            <w:r>
              <w:rPr>
                <w:b/>
                <w:noProof/>
              </w:rPr>
              <w:t>Aide accordée à l'opération au titre du FEP (en euros)</w:t>
            </w:r>
            <w:r>
              <w:rPr>
                <w:b/>
                <w:bCs/>
                <w:noProof/>
              </w:rPr>
              <w:br/>
            </w:r>
          </w:p>
        </w:tc>
        <w:tc>
          <w:tcPr>
            <w:tcW w:w="2181" w:type="dxa"/>
            <w:shd w:val="clear" w:color="auto" w:fill="DDD9C3"/>
          </w:tcPr>
          <w:p>
            <w:pPr>
              <w:rPr>
                <w:b/>
                <w:bCs/>
                <w:noProof/>
              </w:rPr>
            </w:pPr>
            <w:r>
              <w:rPr>
                <w:b/>
                <w:noProof/>
              </w:rPr>
              <w:t>% de moyens engagés par mesure au titre du FEP, par rapport au total des engagements au titre du FEP à la date du 31.5.2014</w:t>
            </w:r>
          </w:p>
        </w:tc>
      </w:tr>
      <w:tr>
        <w:trPr>
          <w:trHeight w:val="701"/>
        </w:trPr>
        <w:tc>
          <w:tcPr>
            <w:tcW w:w="5386" w:type="dxa"/>
            <w:shd w:val="clear" w:color="auto" w:fill="auto"/>
            <w:noWrap/>
          </w:tcPr>
          <w:p>
            <w:pPr>
              <w:rPr>
                <w:b/>
                <w:bCs/>
                <w:noProof/>
              </w:rPr>
            </w:pPr>
          </w:p>
        </w:tc>
        <w:tc>
          <w:tcPr>
            <w:tcW w:w="1418" w:type="dxa"/>
            <w:shd w:val="clear" w:color="auto" w:fill="auto"/>
            <w:noWrap/>
          </w:tcPr>
          <w:p>
            <w:pPr>
              <w:rPr>
                <w:b/>
                <w:bCs/>
                <w:noProof/>
              </w:rPr>
            </w:pPr>
          </w:p>
        </w:tc>
        <w:tc>
          <w:tcPr>
            <w:tcW w:w="1843" w:type="dxa"/>
            <w:shd w:val="clear" w:color="auto" w:fill="auto"/>
            <w:noWrap/>
          </w:tcPr>
          <w:p>
            <w:pPr>
              <w:rPr>
                <w:b/>
                <w:bCs/>
                <w:noProof/>
              </w:rPr>
            </w:pPr>
          </w:p>
        </w:tc>
        <w:tc>
          <w:tcPr>
            <w:tcW w:w="1842" w:type="dxa"/>
            <w:shd w:val="clear" w:color="auto" w:fill="auto"/>
            <w:noWrap/>
          </w:tcPr>
          <w:p>
            <w:pPr>
              <w:rPr>
                <w:b/>
                <w:bCs/>
                <w:noProof/>
              </w:rPr>
            </w:pPr>
          </w:p>
        </w:tc>
        <w:tc>
          <w:tcPr>
            <w:tcW w:w="1788" w:type="dxa"/>
          </w:tcPr>
          <w:p>
            <w:pPr>
              <w:rPr>
                <w:b/>
                <w:bCs/>
                <w:noProof/>
              </w:rPr>
            </w:pPr>
          </w:p>
        </w:tc>
        <w:tc>
          <w:tcPr>
            <w:tcW w:w="2181" w:type="dxa"/>
          </w:tcPr>
          <w:p>
            <w:pPr>
              <w:rPr>
                <w:b/>
                <w:bCs/>
                <w:noProof/>
              </w:rPr>
            </w:pPr>
          </w:p>
        </w:tc>
      </w:tr>
      <w:tr>
        <w:trPr>
          <w:trHeight w:val="709"/>
        </w:trPr>
        <w:tc>
          <w:tcPr>
            <w:tcW w:w="5386" w:type="dxa"/>
            <w:shd w:val="clear" w:color="auto" w:fill="auto"/>
            <w:noWrap/>
          </w:tcPr>
          <w:p>
            <w:pPr>
              <w:rPr>
                <w:noProof/>
              </w:rPr>
            </w:pPr>
            <w:r>
              <w:rPr>
                <w:noProof/>
              </w:rPr>
              <w:t>1.1: Arrêt définitif des activités de pêche</w:t>
            </w:r>
          </w:p>
        </w:tc>
        <w:tc>
          <w:tcPr>
            <w:tcW w:w="1418" w:type="dxa"/>
            <w:shd w:val="clear" w:color="auto" w:fill="auto"/>
            <w:noWrap/>
          </w:tcPr>
          <w:p>
            <w:pPr>
              <w:rPr>
                <w:noProof/>
              </w:rPr>
            </w:pPr>
            <w:r>
              <w:rPr>
                <w:noProof/>
              </w:rPr>
              <w:t>4 087</w:t>
            </w:r>
          </w:p>
        </w:tc>
        <w:tc>
          <w:tcPr>
            <w:tcW w:w="1843" w:type="dxa"/>
            <w:shd w:val="clear" w:color="auto" w:fill="auto"/>
            <w:noWrap/>
          </w:tcPr>
          <w:p>
            <w:pPr>
              <w:rPr>
                <w:noProof/>
              </w:rPr>
            </w:pPr>
            <w:r>
              <w:rPr>
                <w:noProof/>
              </w:rPr>
              <w:t>901 610 330,18</w:t>
            </w:r>
          </w:p>
        </w:tc>
        <w:tc>
          <w:tcPr>
            <w:tcW w:w="1842" w:type="dxa"/>
            <w:shd w:val="clear" w:color="auto" w:fill="auto"/>
            <w:noWrap/>
          </w:tcPr>
          <w:p>
            <w:pPr>
              <w:rPr>
                <w:noProof/>
              </w:rPr>
            </w:pPr>
            <w:r>
              <w:rPr>
                <w:noProof/>
              </w:rPr>
              <w:t>898 581 556,76</w:t>
            </w:r>
          </w:p>
        </w:tc>
        <w:tc>
          <w:tcPr>
            <w:tcW w:w="1788" w:type="dxa"/>
          </w:tcPr>
          <w:p>
            <w:pPr>
              <w:rPr>
                <w:noProof/>
              </w:rPr>
            </w:pPr>
            <w:r>
              <w:rPr>
                <w:noProof/>
              </w:rPr>
              <w:t>527 029 599,01</w:t>
            </w:r>
          </w:p>
        </w:tc>
        <w:tc>
          <w:tcPr>
            <w:tcW w:w="2181" w:type="dxa"/>
          </w:tcPr>
          <w:p>
            <w:pPr>
              <w:rPr>
                <w:noProof/>
              </w:rPr>
            </w:pPr>
            <w:r>
              <w:rPr>
                <w:noProof/>
              </w:rPr>
              <w:t>15,33 %</w:t>
            </w:r>
          </w:p>
        </w:tc>
      </w:tr>
      <w:tr>
        <w:trPr>
          <w:trHeight w:val="719"/>
        </w:trPr>
        <w:tc>
          <w:tcPr>
            <w:tcW w:w="5386" w:type="dxa"/>
            <w:shd w:val="clear" w:color="auto" w:fill="auto"/>
            <w:noWrap/>
          </w:tcPr>
          <w:p>
            <w:pPr>
              <w:rPr>
                <w:noProof/>
              </w:rPr>
            </w:pPr>
            <w:r>
              <w:rPr>
                <w:noProof/>
              </w:rPr>
              <w:t>1.2: Arrêt temporaire des activités de pêche</w:t>
            </w:r>
          </w:p>
        </w:tc>
        <w:tc>
          <w:tcPr>
            <w:tcW w:w="1418" w:type="dxa"/>
            <w:shd w:val="clear" w:color="auto" w:fill="auto"/>
            <w:noWrap/>
          </w:tcPr>
          <w:p>
            <w:pPr>
              <w:rPr>
                <w:noProof/>
              </w:rPr>
            </w:pPr>
            <w:r>
              <w:rPr>
                <w:noProof/>
              </w:rPr>
              <w:t>61 715</w:t>
            </w:r>
          </w:p>
        </w:tc>
        <w:tc>
          <w:tcPr>
            <w:tcW w:w="1843" w:type="dxa"/>
            <w:shd w:val="clear" w:color="auto" w:fill="auto"/>
            <w:noWrap/>
          </w:tcPr>
          <w:p>
            <w:pPr>
              <w:rPr>
                <w:noProof/>
              </w:rPr>
            </w:pPr>
            <w:r>
              <w:rPr>
                <w:noProof/>
              </w:rPr>
              <w:t>380 034 486,53</w:t>
            </w:r>
          </w:p>
        </w:tc>
        <w:tc>
          <w:tcPr>
            <w:tcW w:w="1842" w:type="dxa"/>
            <w:shd w:val="clear" w:color="auto" w:fill="auto"/>
            <w:noWrap/>
          </w:tcPr>
          <w:p>
            <w:pPr>
              <w:rPr>
                <w:noProof/>
              </w:rPr>
            </w:pPr>
            <w:r>
              <w:rPr>
                <w:noProof/>
              </w:rPr>
              <w:t>380 033 614,05</w:t>
            </w:r>
          </w:p>
        </w:tc>
        <w:tc>
          <w:tcPr>
            <w:tcW w:w="1788" w:type="dxa"/>
          </w:tcPr>
          <w:p>
            <w:pPr>
              <w:rPr>
                <w:noProof/>
              </w:rPr>
            </w:pPr>
            <w:r>
              <w:rPr>
                <w:noProof/>
              </w:rPr>
              <w:t>230 825 262,13</w:t>
            </w:r>
          </w:p>
        </w:tc>
        <w:tc>
          <w:tcPr>
            <w:tcW w:w="2181" w:type="dxa"/>
          </w:tcPr>
          <w:p>
            <w:pPr>
              <w:rPr>
                <w:noProof/>
              </w:rPr>
            </w:pPr>
            <w:r>
              <w:rPr>
                <w:noProof/>
              </w:rPr>
              <w:t>6,71 %</w:t>
            </w:r>
          </w:p>
        </w:tc>
      </w:tr>
      <w:tr>
        <w:trPr>
          <w:trHeight w:val="702"/>
        </w:trPr>
        <w:tc>
          <w:tcPr>
            <w:tcW w:w="5386" w:type="dxa"/>
            <w:shd w:val="clear" w:color="auto" w:fill="auto"/>
            <w:noWrap/>
          </w:tcPr>
          <w:p>
            <w:pPr>
              <w:rPr>
                <w:noProof/>
              </w:rPr>
            </w:pPr>
            <w:r>
              <w:rPr>
                <w:noProof/>
              </w:rPr>
              <w:t>1.3: Investissements à bord des navires de pêche et sélectivité</w:t>
            </w:r>
          </w:p>
        </w:tc>
        <w:tc>
          <w:tcPr>
            <w:tcW w:w="1418" w:type="dxa"/>
            <w:shd w:val="clear" w:color="auto" w:fill="auto"/>
            <w:noWrap/>
          </w:tcPr>
          <w:p>
            <w:pPr>
              <w:rPr>
                <w:noProof/>
              </w:rPr>
            </w:pPr>
            <w:r>
              <w:rPr>
                <w:noProof/>
              </w:rPr>
              <w:t>12 090</w:t>
            </w:r>
          </w:p>
        </w:tc>
        <w:tc>
          <w:tcPr>
            <w:tcW w:w="1843" w:type="dxa"/>
            <w:shd w:val="clear" w:color="auto" w:fill="auto"/>
            <w:noWrap/>
          </w:tcPr>
          <w:p>
            <w:pPr>
              <w:rPr>
                <w:noProof/>
              </w:rPr>
            </w:pPr>
            <w:r>
              <w:rPr>
                <w:noProof/>
              </w:rPr>
              <w:t>417 700 869,78</w:t>
            </w:r>
          </w:p>
        </w:tc>
        <w:tc>
          <w:tcPr>
            <w:tcW w:w="1842" w:type="dxa"/>
            <w:shd w:val="clear" w:color="auto" w:fill="auto"/>
            <w:noWrap/>
          </w:tcPr>
          <w:p>
            <w:pPr>
              <w:rPr>
                <w:noProof/>
              </w:rPr>
            </w:pPr>
            <w:r>
              <w:rPr>
                <w:noProof/>
              </w:rPr>
              <w:t>174 338 991,68</w:t>
            </w:r>
          </w:p>
        </w:tc>
        <w:tc>
          <w:tcPr>
            <w:tcW w:w="1788" w:type="dxa"/>
          </w:tcPr>
          <w:p>
            <w:pPr>
              <w:rPr>
                <w:noProof/>
              </w:rPr>
            </w:pPr>
            <w:r>
              <w:rPr>
                <w:noProof/>
              </w:rPr>
              <w:t>97 960 449,14</w:t>
            </w:r>
          </w:p>
        </w:tc>
        <w:tc>
          <w:tcPr>
            <w:tcW w:w="2181" w:type="dxa"/>
          </w:tcPr>
          <w:p>
            <w:pPr>
              <w:rPr>
                <w:noProof/>
              </w:rPr>
            </w:pPr>
            <w:r>
              <w:rPr>
                <w:noProof/>
              </w:rPr>
              <w:t>2,85 %</w:t>
            </w:r>
          </w:p>
        </w:tc>
      </w:tr>
      <w:tr>
        <w:trPr>
          <w:trHeight w:val="712"/>
        </w:trPr>
        <w:tc>
          <w:tcPr>
            <w:tcW w:w="5386" w:type="dxa"/>
            <w:shd w:val="clear" w:color="auto" w:fill="auto"/>
            <w:noWrap/>
          </w:tcPr>
          <w:p>
            <w:pPr>
              <w:rPr>
                <w:noProof/>
              </w:rPr>
            </w:pPr>
            <w:r>
              <w:rPr>
                <w:noProof/>
              </w:rPr>
              <w:t>1.4: Petite pêche côtière</w:t>
            </w:r>
          </w:p>
        </w:tc>
        <w:tc>
          <w:tcPr>
            <w:tcW w:w="1418" w:type="dxa"/>
            <w:shd w:val="clear" w:color="auto" w:fill="auto"/>
            <w:noWrap/>
          </w:tcPr>
          <w:p>
            <w:pPr>
              <w:rPr>
                <w:noProof/>
              </w:rPr>
            </w:pPr>
            <w:r>
              <w:rPr>
                <w:noProof/>
              </w:rPr>
              <w:t>4 317</w:t>
            </w:r>
          </w:p>
        </w:tc>
        <w:tc>
          <w:tcPr>
            <w:tcW w:w="1843" w:type="dxa"/>
            <w:shd w:val="clear" w:color="auto" w:fill="auto"/>
            <w:noWrap/>
          </w:tcPr>
          <w:p>
            <w:pPr>
              <w:rPr>
                <w:noProof/>
              </w:rPr>
            </w:pPr>
            <w:r>
              <w:rPr>
                <w:noProof/>
              </w:rPr>
              <w:t>55 088 317,94</w:t>
            </w:r>
          </w:p>
        </w:tc>
        <w:tc>
          <w:tcPr>
            <w:tcW w:w="1842" w:type="dxa"/>
            <w:shd w:val="clear" w:color="auto" w:fill="auto"/>
            <w:noWrap/>
          </w:tcPr>
          <w:p>
            <w:pPr>
              <w:rPr>
                <w:noProof/>
              </w:rPr>
            </w:pPr>
            <w:r>
              <w:rPr>
                <w:noProof/>
              </w:rPr>
              <w:t>46 280 854,90</w:t>
            </w:r>
          </w:p>
        </w:tc>
        <w:tc>
          <w:tcPr>
            <w:tcW w:w="1788" w:type="dxa"/>
          </w:tcPr>
          <w:p>
            <w:pPr>
              <w:rPr>
                <w:noProof/>
              </w:rPr>
            </w:pPr>
            <w:r>
              <w:rPr>
                <w:noProof/>
              </w:rPr>
              <w:t>31 894 126,04</w:t>
            </w:r>
          </w:p>
        </w:tc>
        <w:tc>
          <w:tcPr>
            <w:tcW w:w="2181" w:type="dxa"/>
          </w:tcPr>
          <w:p>
            <w:pPr>
              <w:rPr>
                <w:noProof/>
              </w:rPr>
            </w:pPr>
            <w:r>
              <w:rPr>
                <w:noProof/>
              </w:rPr>
              <w:t>0,93 %</w:t>
            </w:r>
          </w:p>
        </w:tc>
      </w:tr>
      <w:tr>
        <w:trPr>
          <w:trHeight w:val="712"/>
        </w:trPr>
        <w:tc>
          <w:tcPr>
            <w:tcW w:w="5386" w:type="dxa"/>
            <w:shd w:val="clear" w:color="auto" w:fill="auto"/>
            <w:noWrap/>
          </w:tcPr>
          <w:p>
            <w:pPr>
              <w:rPr>
                <w:noProof/>
              </w:rPr>
            </w:pPr>
            <w:r>
              <w:rPr>
                <w:noProof/>
              </w:rPr>
              <w:t>1.5: Compensations socio-économiques pour la gestion de la flotte</w:t>
            </w:r>
          </w:p>
        </w:tc>
        <w:tc>
          <w:tcPr>
            <w:tcW w:w="1418" w:type="dxa"/>
            <w:shd w:val="clear" w:color="auto" w:fill="auto"/>
            <w:noWrap/>
          </w:tcPr>
          <w:p>
            <w:pPr>
              <w:rPr>
                <w:noProof/>
              </w:rPr>
            </w:pPr>
            <w:r>
              <w:rPr>
                <w:noProof/>
              </w:rPr>
              <w:t>5 416</w:t>
            </w:r>
          </w:p>
        </w:tc>
        <w:tc>
          <w:tcPr>
            <w:tcW w:w="1843" w:type="dxa"/>
            <w:shd w:val="clear" w:color="auto" w:fill="auto"/>
            <w:noWrap/>
          </w:tcPr>
          <w:p>
            <w:pPr>
              <w:rPr>
                <w:noProof/>
              </w:rPr>
            </w:pPr>
            <w:r>
              <w:rPr>
                <w:noProof/>
              </w:rPr>
              <w:t>152 815 579,58</w:t>
            </w:r>
          </w:p>
        </w:tc>
        <w:tc>
          <w:tcPr>
            <w:tcW w:w="1842" w:type="dxa"/>
            <w:shd w:val="clear" w:color="auto" w:fill="auto"/>
            <w:noWrap/>
          </w:tcPr>
          <w:p>
            <w:pPr>
              <w:rPr>
                <w:noProof/>
              </w:rPr>
            </w:pPr>
            <w:r>
              <w:rPr>
                <w:noProof/>
              </w:rPr>
              <w:t>101 916 516,65</w:t>
            </w:r>
          </w:p>
        </w:tc>
        <w:tc>
          <w:tcPr>
            <w:tcW w:w="1788" w:type="dxa"/>
          </w:tcPr>
          <w:p>
            <w:pPr>
              <w:rPr>
                <w:noProof/>
              </w:rPr>
            </w:pPr>
            <w:r>
              <w:rPr>
                <w:noProof/>
              </w:rPr>
              <w:t>61 554 454,15</w:t>
            </w:r>
          </w:p>
        </w:tc>
        <w:tc>
          <w:tcPr>
            <w:tcW w:w="2181" w:type="dxa"/>
          </w:tcPr>
          <w:p>
            <w:pPr>
              <w:rPr>
                <w:noProof/>
              </w:rPr>
            </w:pPr>
            <w:r>
              <w:rPr>
                <w:noProof/>
              </w:rPr>
              <w:t>1,79 %</w:t>
            </w:r>
          </w:p>
        </w:tc>
      </w:tr>
      <w:tr>
        <w:trPr>
          <w:trHeight w:val="712"/>
        </w:trPr>
        <w:tc>
          <w:tcPr>
            <w:tcW w:w="5386" w:type="dxa"/>
            <w:shd w:val="clear" w:color="auto" w:fill="auto"/>
            <w:noWrap/>
          </w:tcPr>
          <w:p>
            <w:pPr>
              <w:rPr>
                <w:b/>
                <w:bCs/>
                <w:noProof/>
              </w:rPr>
            </w:pPr>
            <w:r>
              <w:rPr>
                <w:b/>
                <w:noProof/>
              </w:rPr>
              <w:t>Total FEP</w:t>
            </w:r>
          </w:p>
        </w:tc>
        <w:tc>
          <w:tcPr>
            <w:tcW w:w="1418" w:type="dxa"/>
            <w:shd w:val="clear" w:color="auto" w:fill="auto"/>
            <w:noWrap/>
          </w:tcPr>
          <w:p>
            <w:pPr>
              <w:rPr>
                <w:b/>
                <w:bCs/>
                <w:noProof/>
              </w:rPr>
            </w:pPr>
            <w:r>
              <w:rPr>
                <w:b/>
                <w:noProof/>
              </w:rPr>
              <w:t>121 073</w:t>
            </w:r>
          </w:p>
        </w:tc>
        <w:tc>
          <w:tcPr>
            <w:tcW w:w="1843" w:type="dxa"/>
            <w:shd w:val="clear" w:color="auto" w:fill="auto"/>
            <w:noWrap/>
          </w:tcPr>
          <w:p>
            <w:pPr>
              <w:rPr>
                <w:b/>
                <w:bCs/>
                <w:noProof/>
              </w:rPr>
            </w:pPr>
            <w:r>
              <w:rPr>
                <w:b/>
                <w:noProof/>
              </w:rPr>
              <w:t>8 105 951 862,15</w:t>
            </w:r>
          </w:p>
        </w:tc>
        <w:tc>
          <w:tcPr>
            <w:tcW w:w="1842" w:type="dxa"/>
            <w:shd w:val="clear" w:color="auto" w:fill="auto"/>
            <w:noWrap/>
          </w:tcPr>
          <w:p>
            <w:pPr>
              <w:rPr>
                <w:b/>
                <w:bCs/>
                <w:noProof/>
              </w:rPr>
            </w:pPr>
            <w:r>
              <w:rPr>
                <w:b/>
                <w:noProof/>
              </w:rPr>
              <w:t>5 558 302 451,91</w:t>
            </w:r>
          </w:p>
        </w:tc>
        <w:tc>
          <w:tcPr>
            <w:tcW w:w="1788" w:type="dxa"/>
          </w:tcPr>
          <w:p>
            <w:pPr>
              <w:rPr>
                <w:b/>
                <w:bCs/>
                <w:noProof/>
              </w:rPr>
            </w:pPr>
            <w:r>
              <w:rPr>
                <w:b/>
                <w:noProof/>
              </w:rPr>
              <w:t>3 438 157 945,62</w:t>
            </w:r>
          </w:p>
        </w:tc>
        <w:tc>
          <w:tcPr>
            <w:tcW w:w="2181" w:type="dxa"/>
          </w:tcPr>
          <w:p>
            <w:pPr>
              <w:rPr>
                <w:b/>
                <w:bCs/>
                <w:noProof/>
              </w:rPr>
            </w:pPr>
            <w:r>
              <w:rPr>
                <w:b/>
                <w:noProof/>
              </w:rPr>
              <w:t>99,99 %</w:t>
            </w:r>
          </w:p>
        </w:tc>
      </w:tr>
    </w:tbl>
    <w:p>
      <w:pPr>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500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Les rapports annuels sur les flottes et les plans d'action des États membres sont disponibles à l'adresse suivante: </w:t>
      </w:r>
    </w:p>
    <w:p>
      <w:pPr>
        <w:pStyle w:val="FootnoteText"/>
      </w:pPr>
      <w:r>
        <w:t xml:space="preserve"> http://s-antares.fish.cec.eu.int/front/index.cfm?method=FM_Reporting.AnnualReport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4"/>
    <w:docVar w:name="LW_CONFIDENCE" w:val=" "/>
    <w:docVar w:name="LW_CONST_RESTREINT_UE" w:val="RESTREINT UE"/>
    <w:docVar w:name="LW_CORRIGENDUM" w:val="&lt;UNUSED&gt;"/>
    <w:docVar w:name="LW_COVERPAGE_GUID" w:val="85BE0D5BA4D04830AA8F9E3B6E159C98"/>
    <w:docVar w:name="LW_CROSSREFERENCE" w:val="&lt;UNUSED&gt;"/>
    <w:docVar w:name="LW_DocType" w:val="NORMAL"/>
    <w:docVar w:name="LW_EMISSION" w:val="11.11.2015"/>
    <w:docVar w:name="LW_EMISSION_ISODATE" w:val="2015-11-11"/>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f aux efforts consentis par les États membres en 2013 pour instaurer un équilibre durable entre la capacité de pêche et les possibilités de pêche"/>
    <w:docVar w:name="LW_PART_NBR" w:val="&lt;UNUSED&gt;"/>
    <w:docVar w:name="LW_PART_NBR_TOTAL" w:val="&lt;UNUSED&gt;"/>
    <w:docVar w:name="LW_REF.INST.NEW" w:val="COM"/>
    <w:docVar w:name="LW_REF.INST.NEW_ADOPTED" w:val="final"/>
    <w:docVar w:name="LW_REF.INST.NEW_TEXT" w:val="(2015) 563"/>
    <w:docVar w:name="LW_REF.INTERNE" w:val="&lt;UNUSED&gt;"/>
    <w:docVar w:name="LW_SUPERTITRE" w:val="&lt;UNUSED&gt;"/>
    <w:docVar w:name="LW_TITRE.OBJ.CP" w:val="&lt;UNUSED&gt;"/>
    <w:docVar w:name="LW_TYPE.DOC.CP" w:val="ANNEXES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chart" Target="charts/chart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'Evol nombre bateaux p. 2'!$D$56</c:f>
              <c:strCache>
                <c:ptCount val="1"/>
                <c:pt idx="0">
                  <c:v>EU25</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2'!$D$57:$D$66</c:f>
              <c:numCache>
                <c:formatCode>General</c:formatCode>
                <c:ptCount val="10"/>
                <c:pt idx="0">
                  <c:v>91949</c:v>
                </c:pt>
                <c:pt idx="1">
                  <c:v>89008</c:v>
                </c:pt>
                <c:pt idx="2">
                  <c:v>87000</c:v>
                </c:pt>
              </c:numCache>
            </c:numRef>
          </c:val>
          <c:smooth val="0"/>
        </c:ser>
        <c:ser>
          <c:idx val="1"/>
          <c:order val="1"/>
          <c:tx>
            <c:strRef>
              <c:f>'Evol nombre bateaux p. 2'!$E$56</c:f>
              <c:strCache>
                <c:ptCount val="1"/>
                <c:pt idx="0">
                  <c:v>EU27</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2'!$E$57:$E$66</c:f>
              <c:numCache>
                <c:formatCode>General</c:formatCode>
                <c:ptCount val="10"/>
                <c:pt idx="2">
                  <c:v>89978</c:v>
                </c:pt>
                <c:pt idx="3">
                  <c:v>88027</c:v>
                </c:pt>
                <c:pt idx="4">
                  <c:v>85610</c:v>
                </c:pt>
                <c:pt idx="5">
                  <c:v>84375</c:v>
                </c:pt>
                <c:pt idx="6">
                  <c:v>83613</c:v>
                </c:pt>
                <c:pt idx="7">
                  <c:v>82013</c:v>
                </c:pt>
                <c:pt idx="8">
                  <c:v>80676</c:v>
                </c:pt>
              </c:numCache>
            </c:numRef>
          </c:val>
          <c:smooth val="0"/>
        </c:ser>
        <c:ser>
          <c:idx val="2"/>
          <c:order val="2"/>
          <c:tx>
            <c:strRef>
              <c:f>'Evol nombre bateaux p. 2'!$F$56</c:f>
              <c:strCache>
                <c:ptCount val="1"/>
                <c:pt idx="0">
                  <c:v>EU28</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2'!$F$57:$F$66</c:f>
              <c:numCache>
                <c:formatCode>General</c:formatCode>
                <c:ptCount val="10"/>
                <c:pt idx="9">
                  <c:v>87441</c:v>
                </c:pt>
              </c:numCache>
            </c:numRef>
          </c:val>
          <c:smooth val="0"/>
        </c:ser>
        <c:dLbls>
          <c:showLegendKey val="0"/>
          <c:showVal val="0"/>
          <c:showCatName val="0"/>
          <c:showSerName val="0"/>
          <c:showPercent val="0"/>
          <c:showBubbleSize val="0"/>
        </c:dLbls>
        <c:marker val="1"/>
        <c:smooth val="0"/>
        <c:axId val="7988352"/>
        <c:axId val="7989888"/>
      </c:lineChart>
      <c:dateAx>
        <c:axId val="7988352"/>
        <c:scaling>
          <c:orientation val="minMax"/>
        </c:scaling>
        <c:delete val="0"/>
        <c:axPos val="b"/>
        <c:numFmt formatCode="dd\-mmm\-yy" sourceLinked="0"/>
        <c:majorTickMark val="out"/>
        <c:minorTickMark val="none"/>
        <c:tickLblPos val="nextTo"/>
        <c:crossAx val="7989888"/>
        <c:crosses val="autoZero"/>
        <c:auto val="1"/>
        <c:lblOffset val="100"/>
        <c:baseTimeUnit val="years"/>
      </c:dateAx>
      <c:valAx>
        <c:axId val="7989888"/>
        <c:scaling>
          <c:orientation val="minMax"/>
        </c:scaling>
        <c:delete val="0"/>
        <c:axPos val="l"/>
        <c:majorGridlines/>
        <c:numFmt formatCode="General" sourceLinked="1"/>
        <c:majorTickMark val="out"/>
        <c:minorTickMark val="none"/>
        <c:tickLblPos val="nextTo"/>
        <c:crossAx val="798835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'Evol nombre bateaux p. 2'!$G$56</c:f>
              <c:strCache>
                <c:ptCount val="1"/>
                <c:pt idx="0">
                  <c:v>EU25</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2'!$G$57:$G$66</c:f>
              <c:numCache>
                <c:formatCode>0</c:formatCode>
                <c:ptCount val="10"/>
                <c:pt idx="0">
                  <c:v>2097.067</c:v>
                </c:pt>
                <c:pt idx="1">
                  <c:v>2013.6110000000001</c:v>
                </c:pt>
                <c:pt idx="2">
                  <c:v>1950.623</c:v>
                </c:pt>
              </c:numCache>
            </c:numRef>
          </c:val>
          <c:smooth val="0"/>
        </c:ser>
        <c:ser>
          <c:idx val="1"/>
          <c:order val="1"/>
          <c:tx>
            <c:strRef>
              <c:f>'Evol nombre bateaux p. 2'!$H$56</c:f>
              <c:strCache>
                <c:ptCount val="1"/>
                <c:pt idx="0">
                  <c:v>EU27</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2'!$H$57:$H$66</c:f>
              <c:numCache>
                <c:formatCode>General</c:formatCode>
                <c:ptCount val="10"/>
                <c:pt idx="2" formatCode="0">
                  <c:v>1961.078</c:v>
                </c:pt>
                <c:pt idx="3" formatCode="0">
                  <c:v>1917.9380000000001</c:v>
                </c:pt>
                <c:pt idx="4" formatCode="0">
                  <c:v>1861.941</c:v>
                </c:pt>
                <c:pt idx="5" formatCode="0">
                  <c:v>1807.77</c:v>
                </c:pt>
                <c:pt idx="6" formatCode="0">
                  <c:v>1735.3989999999999</c:v>
                </c:pt>
                <c:pt idx="7" formatCode="0">
                  <c:v>1686.8779999999999</c:v>
                </c:pt>
                <c:pt idx="8" formatCode="0">
                  <c:v>1630.355</c:v>
                </c:pt>
              </c:numCache>
            </c:numRef>
          </c:val>
          <c:smooth val="0"/>
        </c:ser>
        <c:ser>
          <c:idx val="2"/>
          <c:order val="2"/>
          <c:tx>
            <c:strRef>
              <c:f>'Evol nombre bateaux p. 2'!$I$56</c:f>
              <c:strCache>
                <c:ptCount val="1"/>
                <c:pt idx="0">
                  <c:v>EU28</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2'!$I$57:$I$66</c:f>
              <c:numCache>
                <c:formatCode>General</c:formatCode>
                <c:ptCount val="10"/>
                <c:pt idx="9" formatCode="0">
                  <c:v>1713.7919999999999</c:v>
                </c:pt>
              </c:numCache>
            </c:numRef>
          </c:val>
          <c:smooth val="0"/>
        </c:ser>
        <c:dLbls>
          <c:showLegendKey val="0"/>
          <c:showVal val="0"/>
          <c:showCatName val="0"/>
          <c:showSerName val="0"/>
          <c:showPercent val="0"/>
          <c:showBubbleSize val="0"/>
        </c:dLbls>
        <c:marker val="1"/>
        <c:smooth val="0"/>
        <c:axId val="71106560"/>
        <c:axId val="71108096"/>
      </c:lineChart>
      <c:dateAx>
        <c:axId val="71106560"/>
        <c:scaling>
          <c:orientation val="minMax"/>
        </c:scaling>
        <c:delete val="0"/>
        <c:axPos val="b"/>
        <c:numFmt formatCode="dd\-mmm\-yy" sourceLinked="0"/>
        <c:majorTickMark val="out"/>
        <c:minorTickMark val="none"/>
        <c:tickLblPos val="nextTo"/>
        <c:crossAx val="71108096"/>
        <c:crosses val="autoZero"/>
        <c:auto val="1"/>
        <c:lblOffset val="100"/>
        <c:baseTimeUnit val="years"/>
      </c:dateAx>
      <c:valAx>
        <c:axId val="71108096"/>
        <c:scaling>
          <c:orientation val="minMax"/>
          <c:max val="2100"/>
          <c:min val="1600"/>
        </c:scaling>
        <c:delete val="0"/>
        <c:axPos val="l"/>
        <c:majorGridlines/>
        <c:numFmt formatCode="0" sourceLinked="1"/>
        <c:majorTickMark val="out"/>
        <c:minorTickMark val="none"/>
        <c:tickLblPos val="nextTo"/>
        <c:crossAx val="7110656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'Evol nombre bateaux p. 2'!$J$56</c:f>
              <c:strCache>
                <c:ptCount val="1"/>
                <c:pt idx="0">
                  <c:v>EU25</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2'!$J$57:$J$66</c:f>
              <c:numCache>
                <c:formatCode>0</c:formatCode>
                <c:ptCount val="10"/>
                <c:pt idx="0">
                  <c:v>7481.3440000000001</c:v>
                </c:pt>
                <c:pt idx="1">
                  <c:v>7254.2110000000002</c:v>
                </c:pt>
                <c:pt idx="2">
                  <c:v>7072.4279999999999</c:v>
                </c:pt>
              </c:numCache>
            </c:numRef>
          </c:val>
          <c:smooth val="0"/>
        </c:ser>
        <c:ser>
          <c:idx val="1"/>
          <c:order val="1"/>
          <c:tx>
            <c:strRef>
              <c:f>'Evol nombre bateaux p. 2'!$K$56</c:f>
              <c:strCache>
                <c:ptCount val="1"/>
                <c:pt idx="0">
                  <c:v>EU27</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2'!$K$57:$K$66</c:f>
              <c:numCache>
                <c:formatCode>General</c:formatCode>
                <c:ptCount val="10"/>
                <c:pt idx="2" formatCode="0">
                  <c:v>7144.9170000000004</c:v>
                </c:pt>
                <c:pt idx="3" formatCode="0">
                  <c:v>6978.7820000000002</c:v>
                </c:pt>
                <c:pt idx="4" formatCode="0">
                  <c:v>6790.3230000000003</c:v>
                </c:pt>
                <c:pt idx="5" formatCode="0">
                  <c:v>6638.49</c:v>
                </c:pt>
                <c:pt idx="6" formatCode="0">
                  <c:v>6490.7219999999998</c:v>
                </c:pt>
                <c:pt idx="7">
                  <c:v>6360.317</c:v>
                </c:pt>
                <c:pt idx="8">
                  <c:v>6236.0879999999997</c:v>
                </c:pt>
              </c:numCache>
            </c:numRef>
          </c:val>
          <c:smooth val="0"/>
        </c:ser>
        <c:ser>
          <c:idx val="2"/>
          <c:order val="2"/>
          <c:tx>
            <c:strRef>
              <c:f>'Evol nombre bateaux p. 2'!$L$56</c:f>
              <c:strCache>
                <c:ptCount val="1"/>
                <c:pt idx="0">
                  <c:v>EU28</c:v>
                </c:pt>
              </c:strCache>
            </c:strRef>
          </c:tx>
          <c:cat>
            <c:numRef>
              <c:f>'Evol nombre bateaux p. 2'!$A$57:$A$66</c:f>
              <c:numCache>
                <c:formatCode>d\-mmm\-yy</c:formatCode>
                <c:ptCount val="10"/>
                <c:pt idx="0">
                  <c:v>38353</c:v>
                </c:pt>
                <c:pt idx="1">
                  <c:v>38718</c:v>
                </c:pt>
                <c:pt idx="2">
                  <c:v>39083</c:v>
                </c:pt>
                <c:pt idx="3">
                  <c:v>39448</c:v>
                </c:pt>
                <c:pt idx="4">
                  <c:v>39814</c:v>
                </c:pt>
                <c:pt idx="5">
                  <c:v>40179</c:v>
                </c:pt>
                <c:pt idx="6">
                  <c:v>40544</c:v>
                </c:pt>
                <c:pt idx="7">
                  <c:v>40909</c:v>
                </c:pt>
                <c:pt idx="8">
                  <c:v>41275</c:v>
                </c:pt>
                <c:pt idx="9">
                  <c:v>41640</c:v>
                </c:pt>
              </c:numCache>
            </c:numRef>
          </c:cat>
          <c:val>
            <c:numRef>
              <c:f>'Evol nombre bateaux p. 2'!$L$57:$L$66</c:f>
              <c:numCache>
                <c:formatCode>General</c:formatCode>
                <c:ptCount val="10"/>
                <c:pt idx="9">
                  <c:v>6667.2250000000004</c:v>
                </c:pt>
              </c:numCache>
            </c:numRef>
          </c:val>
          <c:smooth val="0"/>
        </c:ser>
        <c:dLbls>
          <c:showLegendKey val="0"/>
          <c:showVal val="0"/>
          <c:showCatName val="0"/>
          <c:showSerName val="0"/>
          <c:showPercent val="0"/>
          <c:showBubbleSize val="0"/>
        </c:dLbls>
        <c:marker val="1"/>
        <c:smooth val="0"/>
        <c:axId val="71993984"/>
        <c:axId val="72008064"/>
      </c:lineChart>
      <c:dateAx>
        <c:axId val="71993984"/>
        <c:scaling>
          <c:orientation val="minMax"/>
        </c:scaling>
        <c:delete val="0"/>
        <c:axPos val="b"/>
        <c:numFmt formatCode="dd\-mmm\-yy" sourceLinked="0"/>
        <c:majorTickMark val="out"/>
        <c:minorTickMark val="none"/>
        <c:tickLblPos val="nextTo"/>
        <c:crossAx val="72008064"/>
        <c:crosses val="autoZero"/>
        <c:auto val="1"/>
        <c:lblOffset val="100"/>
        <c:baseTimeUnit val="years"/>
      </c:dateAx>
      <c:valAx>
        <c:axId val="72008064"/>
        <c:scaling>
          <c:orientation val="minMax"/>
          <c:max val="7600"/>
          <c:min val="6000"/>
        </c:scaling>
        <c:delete val="0"/>
        <c:axPos val="l"/>
        <c:majorGridlines/>
        <c:numFmt formatCode="0" sourceLinked="1"/>
        <c:majorTickMark val="out"/>
        <c:minorTickMark val="none"/>
        <c:tickLblPos val="nextTo"/>
        <c:crossAx val="71993984"/>
        <c:crosses val="autoZero"/>
        <c:crossBetween val="between"/>
      </c:valAx>
    </c:plotArea>
    <c:legend>
      <c:legendPos val="b"/>
      <c:layout>
        <c:manualLayout>
          <c:xMode val="edge"/>
          <c:yMode val="edge"/>
          <c:x val="0.26496515521766678"/>
          <c:y val="0.87673481604273151"/>
          <c:w val="0.47006968956466649"/>
          <c:h val="8.7436570428696458E-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40" b="1" i="0" u="none" strike="noStrike" baseline="0">
                <a:solidFill>
                  <a:srgbClr val="000000"/>
                </a:solidFill>
                <a:latin typeface="Calibri"/>
                <a:ea typeface="Calibri"/>
                <a:cs typeface="Calibri"/>
              </a:defRPr>
            </a:pPr>
            <a:r>
              <a:rPr lang="fr-FR"/>
              <a:t>Données complémentaires pour l'indicateur d'exploitation durable *</a:t>
            </a:r>
          </a:p>
        </c:rich>
      </c:tx>
      <c:layout>
        <c:manualLayout>
          <c:xMode val="edge"/>
          <c:yMode val="edge"/>
          <c:x val="0.14475043486942879"/>
          <c:y val="4.7908613696015262E-2"/>
        </c:manualLayout>
      </c:layout>
      <c:overlay val="0"/>
    </c:title>
    <c:autoTitleDeleted val="0"/>
    <c:plotArea>
      <c:layout/>
      <c:pieChart>
        <c:varyColors val="1"/>
        <c:ser>
          <c:idx val="0"/>
          <c:order val="0"/>
          <c:spPr>
            <a:ln>
              <a:solidFill>
                <a:schemeClr val="tx1"/>
              </a:solidFill>
            </a:ln>
          </c:spPr>
          <c:dPt>
            <c:idx val="0"/>
            <c:bubble3D val="0"/>
            <c:spPr>
              <a:solidFill>
                <a:srgbClr val="FFC000"/>
              </a:solidFill>
              <a:ln>
                <a:solidFill>
                  <a:schemeClr val="tx1"/>
                </a:solidFill>
              </a:ln>
            </c:spPr>
          </c:dPt>
          <c:dPt>
            <c:idx val="1"/>
            <c:bubble3D val="0"/>
            <c:spPr>
              <a:solidFill>
                <a:schemeClr val="accent1"/>
              </a:solidFill>
              <a:ln>
                <a:solidFill>
                  <a:schemeClr val="tx1"/>
                </a:solidFill>
              </a:ln>
            </c:spPr>
          </c:dPt>
          <c:dLbls>
            <c:txPr>
              <a:bodyPr/>
              <a:lstStyle/>
              <a:p>
                <a:pPr>
                  <a:defRPr sz="120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dLbls>
          <c:cat>
            <c:strRef>
              <c:f>Sheet2!$B$1:$C$1</c:f>
              <c:strCache>
                <c:ptCount val="2"/>
                <c:pt idx="0">
                  <c:v>Stocks surexploités</c:v>
                </c:pt>
                <c:pt idx="1">
                  <c:v>Stocks non surexploités</c:v>
                </c:pt>
              </c:strCache>
            </c:strRef>
          </c:cat>
          <c:val>
            <c:numRef>
              <c:f>Sheet2!$B$430:$C$430</c:f>
              <c:numCache>
                <c:formatCode>0%</c:formatCode>
                <c:ptCount val="2"/>
                <c:pt idx="0">
                  <c:v>0.69373853811894159</c:v>
                </c:pt>
                <c:pt idx="1">
                  <c:v>0.30626146188105841</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012987012987002"/>
          <c:y val="0.48122065727699531"/>
          <c:w val="0.31558441558441552"/>
          <c:h val="0.15023474178403756"/>
        </c:manualLayout>
      </c:layout>
      <c:overlay val="0"/>
      <c:txPr>
        <a:bodyPr/>
        <a:lstStyle/>
        <a:p>
          <a:pPr>
            <a:defRPr sz="1100" b="1"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200"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21</TotalTime>
  <Pages>6</Pages>
  <Words>349</Words>
  <Characters>1630</Characters>
  <Application>Microsoft Office Word</Application>
  <DocSecurity>0</DocSecurity>
  <Lines>125</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HASSEWER Murielle (MARE)</dc:creator>
  <cp:lastModifiedBy>DIGIT/A3</cp:lastModifiedBy>
  <cp:revision>12</cp:revision>
  <dcterms:created xsi:type="dcterms:W3CDTF">2015-10-06T10:39:00Z</dcterms:created>
  <dcterms:modified xsi:type="dcterms:W3CDTF">2015-11-04T11:14:00Z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