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F42BAE9761B48AB9F8AD3D72C5D7314" style="width:450.7pt;height:379.6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rPr>
          <w:rFonts w:ascii="Times New Roman" w:eastAsia="Times New Roman" w:hAnsi="Times New Roman"/>
          <w:b/>
          <w:bCs/>
          <w:noProof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0"/>
        </w:rPr>
        <w:lastRenderedPageBreak/>
        <w:t>ПРИЛОЖЕНИЕ I</w:t>
      </w:r>
    </w:p>
    <w:p>
      <w:pPr>
        <w:spacing w:after="0"/>
        <w:rPr>
          <w:rFonts w:ascii="Times New Roman" w:eastAsia="Times New Roman" w:hAnsi="Times New Roman"/>
          <w:bCs/>
          <w:noProof/>
          <w:sz w:val="20"/>
          <w:szCs w:val="20"/>
        </w:rPr>
      </w:pPr>
    </w:p>
    <w:p>
      <w:pPr>
        <w:rPr>
          <w:noProof/>
        </w:rPr>
      </w:pPr>
      <w:r>
        <w:rPr>
          <w:noProof/>
        </w:rPr>
        <w:t>Развитие на капацитета на риболовния флот, 2005—2014 г. (включително с разширяването от 25 на 28 държави членки)</w:t>
      </w:r>
    </w:p>
    <w:p>
      <w:pPr>
        <w:rPr>
          <w:noProof/>
        </w:rPr>
      </w:pPr>
      <w:r>
        <w:rPr>
          <w:noProof/>
        </w:rPr>
        <w:t>Общо — брой на корабите</w:t>
      </w: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721100" cy="2767330"/>
            <wp:effectExtent l="0" t="0" r="0" b="0"/>
            <wp:docPr id="11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t>Общо — бруто тона (вляво) и киловати (вдясно)</w:t>
      </w:r>
    </w:p>
    <w:p>
      <w:pPr>
        <w:spacing w:after="0"/>
        <w:rPr>
          <w:noProof/>
          <w:vanish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212465" cy="2289810"/>
            <wp:effectExtent l="0" t="0" r="0" b="0"/>
            <wp:docPr id="10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3418840" cy="2289810"/>
            <wp:effectExtent l="0" t="0" r="0" b="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rPr>
          <w:noProof/>
        </w:rPr>
      </w:pPr>
    </w:p>
    <w:p>
      <w:pPr>
        <w:rPr>
          <w:noProof/>
        </w:rPr>
      </w:pPr>
    </w:p>
    <w:p>
      <w:pPr>
        <w:spacing w:after="0"/>
        <w:rPr>
          <w:rFonts w:ascii="Times New Roman" w:eastAsia="Times New Roman" w:hAnsi="Times New Roman"/>
          <w:b/>
          <w:bCs/>
          <w:noProof/>
          <w:sz w:val="20"/>
          <w:szCs w:val="20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0"/>
        </w:rPr>
        <w:t>ПРИЛОЖЕНИЕ II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975350" cy="3352800"/>
            <wp:effectExtent l="0" t="0" r="25400" b="19050"/>
            <wp:docPr id="9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spacing w:after="240" w:line="240" w:lineRule="auto"/>
        <w:ind w:left="360" w:right="654"/>
        <w:jc w:val="both"/>
        <w:rPr>
          <w:rFonts w:ascii="Times New Roman" w:eastAsia="Times New Roman" w:hAnsi="Times New Roman"/>
          <w:bCs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*Източник: Оценка на показателите за баланса за основните сегменти на флота и преглед на националните доклади относно усилията на държавите членки за постигане на баланс между капацитета на флота и възможностите за риболов (НТИКР-15-02).</w:t>
      </w: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0"/>
        </w:rPr>
        <w:t>Приложение III</w:t>
      </w: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>
      <w:pPr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</w:rPr>
        <w:t>Списък на плановете за действие, предадени от държавите членки (член 22, параграф 4 от Регламент (ЕС) № 1380/2013 (</w:t>
      </w:r>
      <w:r>
        <w:rPr>
          <w:rStyle w:val="FootnoteReference"/>
          <w:rFonts w:ascii="Times New Roman" w:hAnsi="Times New Roman"/>
          <w:b/>
          <w:noProof/>
          <w:sz w:val="28"/>
        </w:rPr>
        <w:footnoteReference w:id="1"/>
      </w:r>
      <w:r>
        <w:rPr>
          <w:rFonts w:ascii="Times New Roman" w:hAnsi="Times New Roman"/>
          <w:b/>
          <w:noProof/>
          <w:sz w:val="28"/>
        </w:rPr>
        <w:t xml:space="preserve">) 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1. План за действие на Хърватия.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 План за действие на Кипър.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 План за действие на Франция.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4. План за действие на Италия.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5. План за действие на Латвия.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6. План за действие на Испания.</w:t>
      </w:r>
    </w:p>
    <w:p>
      <w:pPr>
        <w:spacing w:after="240" w:line="240" w:lineRule="auto"/>
        <w:ind w:left="851" w:right="654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>
      <w:pPr>
        <w:spacing w:after="240" w:line="240" w:lineRule="auto"/>
        <w:ind w:left="851" w:right="654"/>
        <w:jc w:val="both"/>
        <w:rPr>
          <w:rFonts w:cs="Arial"/>
          <w:noProof/>
          <w:sz w:val="20"/>
          <w:szCs w:val="20"/>
        </w:rPr>
      </w:pPr>
    </w:p>
    <w:p>
      <w:pPr>
        <w:spacing w:after="0" w:line="240" w:lineRule="auto"/>
        <w:rPr>
          <w:rFonts w:cs="Arial"/>
          <w:noProof/>
          <w:sz w:val="20"/>
          <w:szCs w:val="20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20" w:h="16840"/>
          <w:pgMar w:top="1500" w:right="520" w:bottom="1140" w:left="540" w:header="709" w:footer="747" w:gutter="0"/>
          <w:pgNumType w:start="2"/>
          <w:cols w:space="720"/>
          <w:docGrid w:linePitch="299"/>
        </w:sectPr>
      </w:pPr>
    </w:p>
    <w:p>
      <w:pPr>
        <w:keepNext/>
        <w:keepLines/>
        <w:spacing w:after="240" w:line="240" w:lineRule="auto"/>
        <w:jc w:val="both"/>
        <w:rPr>
          <w:rFonts w:ascii="Times New Roman" w:eastAsia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</w:rPr>
        <w:t>Приложение IV:</w:t>
      </w:r>
    </w:p>
    <w:p>
      <w:pPr>
        <w:spacing w:after="24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Таблица 7.1: Поети задължения от ЕФР през периода 1.1.2007—31.5.2014 г.</w:t>
      </w:r>
    </w:p>
    <w:tbl>
      <w:tblPr>
        <w:tblW w:w="14458" w:type="dxa"/>
        <w:tblInd w:w="392" w:type="dxa"/>
        <w:tblLook w:val="04A0" w:firstRow="1" w:lastRow="0" w:firstColumn="1" w:lastColumn="0" w:noHBand="0" w:noVBand="1"/>
      </w:tblPr>
      <w:tblGrid>
        <w:gridCol w:w="5386"/>
        <w:gridCol w:w="1418"/>
        <w:gridCol w:w="1843"/>
        <w:gridCol w:w="1842"/>
        <w:gridCol w:w="1788"/>
        <w:gridCol w:w="2181"/>
      </w:tblGrid>
      <w:tr>
        <w:trPr>
          <w:trHeight w:val="485"/>
        </w:trPr>
        <w:tc>
          <w:tcPr>
            <w:tcW w:w="10489" w:type="dxa"/>
            <w:gridSpan w:val="4"/>
            <w:shd w:val="clear" w:color="auto" w:fill="DDD9C3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Поети задължения от ЕФР през периода 1.1.2007—31.5.2014 г.</w:t>
            </w:r>
          </w:p>
        </w:tc>
        <w:tc>
          <w:tcPr>
            <w:tcW w:w="1788" w:type="dxa"/>
            <w:shd w:val="clear" w:color="auto" w:fill="DDD9C3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DD9C3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1607"/>
        </w:trPr>
        <w:tc>
          <w:tcPr>
            <w:tcW w:w="5386" w:type="dxa"/>
            <w:shd w:val="clear" w:color="auto" w:fill="DDD9C3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Мерки</w:t>
            </w:r>
          </w:p>
        </w:tc>
        <w:tc>
          <w:tcPr>
            <w:tcW w:w="1418" w:type="dxa"/>
            <w:shd w:val="clear" w:color="auto" w:fill="DDD9C3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Брой на операциите</w:t>
            </w:r>
          </w:p>
        </w:tc>
        <w:tc>
          <w:tcPr>
            <w:tcW w:w="1843" w:type="dxa"/>
            <w:shd w:val="clear" w:color="auto" w:fill="DDD9C3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Общо предвидени разходи в решението за отпускане на публична помощ (EUR)</w:t>
            </w:r>
          </w:p>
        </w:tc>
        <w:tc>
          <w:tcPr>
            <w:tcW w:w="1842" w:type="dxa"/>
            <w:shd w:val="clear" w:color="auto" w:fill="DDD9C3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Общо предвидени публични разходи в решението за отпускане на публична помощ (EUR)</w:t>
            </w:r>
          </w:p>
        </w:tc>
        <w:tc>
          <w:tcPr>
            <w:tcW w:w="1788" w:type="dxa"/>
            <w:shd w:val="clear" w:color="auto" w:fill="DDD9C3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Помощ от ЕФР, отпусната за операцията (EUR)</w:t>
            </w:r>
            <w:r>
              <w:rPr>
                <w:b/>
                <w:bCs/>
                <w:noProof/>
              </w:rPr>
              <w:br/>
            </w:r>
          </w:p>
        </w:tc>
        <w:tc>
          <w:tcPr>
            <w:tcW w:w="2181" w:type="dxa"/>
            <w:shd w:val="clear" w:color="auto" w:fill="DDD9C3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% на поетите задължения от ЕФР за всяка мярка в сравнение с общите поети задължения от ЕФР към 31 май 2014 г.</w:t>
            </w:r>
          </w:p>
        </w:tc>
      </w:tr>
      <w:tr>
        <w:trPr>
          <w:trHeight w:val="701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</w:p>
        </w:tc>
        <w:tc>
          <w:tcPr>
            <w:tcW w:w="1788" w:type="dxa"/>
          </w:tcPr>
          <w:p>
            <w:pPr>
              <w:rPr>
                <w:b/>
                <w:bCs/>
                <w:noProof/>
              </w:rPr>
            </w:pPr>
          </w:p>
        </w:tc>
        <w:tc>
          <w:tcPr>
            <w:tcW w:w="2181" w:type="dxa"/>
          </w:tcPr>
          <w:p>
            <w:pPr>
              <w:rPr>
                <w:b/>
                <w:bCs/>
                <w:noProof/>
              </w:rPr>
            </w:pPr>
          </w:p>
        </w:tc>
      </w:tr>
      <w:tr>
        <w:trPr>
          <w:trHeight w:val="709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1.1: Окончателно преустановяване на риболовните дейности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4087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901 610 330,18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898 581 556,76</w:t>
            </w:r>
          </w:p>
        </w:tc>
        <w:tc>
          <w:tcPr>
            <w:tcW w:w="178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527 029 599,01</w:t>
            </w:r>
          </w:p>
        </w:tc>
        <w:tc>
          <w:tcPr>
            <w:tcW w:w="218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15,33 %</w:t>
            </w:r>
          </w:p>
        </w:tc>
      </w:tr>
      <w:tr>
        <w:trPr>
          <w:trHeight w:val="719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1.2: Временно преустановяване на риболовните дейности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61 715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380 034 486,53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380 033 614,05</w:t>
            </w:r>
          </w:p>
        </w:tc>
        <w:tc>
          <w:tcPr>
            <w:tcW w:w="178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230 825 262,13</w:t>
            </w:r>
          </w:p>
        </w:tc>
        <w:tc>
          <w:tcPr>
            <w:tcW w:w="218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6,71 %</w:t>
            </w:r>
          </w:p>
        </w:tc>
      </w:tr>
      <w:tr>
        <w:trPr>
          <w:trHeight w:val="702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1.3: Инвестиции на борда на риболовните кораби и селективност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12 090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417 700 869,78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174 338 991,68</w:t>
            </w:r>
          </w:p>
        </w:tc>
        <w:tc>
          <w:tcPr>
            <w:tcW w:w="178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97 960 449,14</w:t>
            </w:r>
          </w:p>
        </w:tc>
        <w:tc>
          <w:tcPr>
            <w:tcW w:w="218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2,85 %</w:t>
            </w:r>
          </w:p>
        </w:tc>
      </w:tr>
      <w:tr>
        <w:trPr>
          <w:trHeight w:val="712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1.4: Дребномащабен крайбрежен риболов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4 317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55 088 317,94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46 280 854,90</w:t>
            </w:r>
          </w:p>
        </w:tc>
        <w:tc>
          <w:tcPr>
            <w:tcW w:w="178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31 894 126,04</w:t>
            </w:r>
          </w:p>
        </w:tc>
        <w:tc>
          <w:tcPr>
            <w:tcW w:w="218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0,93 %</w:t>
            </w:r>
          </w:p>
        </w:tc>
      </w:tr>
      <w:tr>
        <w:trPr>
          <w:trHeight w:val="712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1.5: Социално-икономически компенсации за управлението на флота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5416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152 815 579,58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noProof/>
              </w:rPr>
            </w:pPr>
            <w:r>
              <w:rPr>
                <w:noProof/>
              </w:rPr>
              <w:t>101 916 516,65</w:t>
            </w:r>
          </w:p>
        </w:tc>
        <w:tc>
          <w:tcPr>
            <w:tcW w:w="178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61 554 454,15</w:t>
            </w:r>
          </w:p>
        </w:tc>
        <w:tc>
          <w:tcPr>
            <w:tcW w:w="218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1,79 %</w:t>
            </w:r>
          </w:p>
        </w:tc>
      </w:tr>
      <w:tr>
        <w:trPr>
          <w:trHeight w:val="712"/>
        </w:trPr>
        <w:tc>
          <w:tcPr>
            <w:tcW w:w="5386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Общо ЕФР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121 073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8 105 951 862,15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5 558 302 451,91</w:t>
            </w:r>
          </w:p>
        </w:tc>
        <w:tc>
          <w:tcPr>
            <w:tcW w:w="1788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3 438 157 945,62</w:t>
            </w:r>
          </w:p>
        </w:tc>
        <w:tc>
          <w:tcPr>
            <w:tcW w:w="2181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99,99 %</w:t>
            </w:r>
          </w:p>
        </w:tc>
      </w:tr>
    </w:tbl>
    <w:p>
      <w:pPr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75000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spacing w:after="0"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Годишните доклади относно флотовете и плановете за действие на държавите членки са на разположение на следния интернет адрес: </w:t>
      </w:r>
    </w:p>
    <w:p>
      <w:pPr>
        <w:pStyle w:val="FootnoteText"/>
      </w:pPr>
      <w:r>
        <w:t xml:space="preserve"> http://s-antares.fish.cec.eu.int/front/index.cfm?method=FM_Reporting.AnnualReport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3F42BAE9761B48AB9F8AD3D72C5D7314"/>
    <w:docVar w:name="LW_CROSSREFERENCE" w:val="&lt;UNUSED&gt;"/>
    <w:docVar w:name="LW_DocType" w:val="NORMAL"/>
    <w:docVar w:name="LW_EMISSION" w:val="11.11.2015"/>
    <w:docVar w:name="LW_EMISSION_ISODATE" w:val="2015-11-11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91?\u1089?\u1080?\u1083?\u1080?\u1103?\u1090?\u1072? \u1085?\u1072? \u1076?\u1098?\u1088?\u1078?\u1072?\u1074?\u1080?\u1090?\u1077? \u1095?\u1083?\u1077?\u1085?\u1082?\u1080? \u1087?\u1088?\u1077?\u1079? 2013 \u1075?. \u1079?\u1072? \u1087?\u1086?\u1089?\u1090?\u1080?\u1075?\u1072?\u1085?\u1077? \u1085?\u1072? \u1091?\u1089?\u1090?\u1086?\u1081?\u1095?\u1080?\u1074? \u1073?\u1072?\u1083?\u1072?\u1085?\u1089? \u1084?\u1077?\u1078?\u1076?\u1091? \u1088?\u1080?\u1073?\u1086?\u1083?\u1086?\u1074?\u1085?\u1080?\u1103? \u1082?\u1072?\u1087?\u1072?\u1094?\u1080?\u1090?\u1077?\u1090? \u1080? \u1074?\u1098?\u1079?\u1084?\u1086?\u1078?\u1085?\u1086?\u1089?\u1090?\u1080?\u1090?\u1077? \u1079?\u1072? \u1088?\u1080?\u1073?\u1086?\u1083?\u1086?\u1074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56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hart" Target="charts/chart4.xml"/><Relationship Id="rId25" Type="http://schemas.openxmlformats.org/officeDocument/2006/relationships/header" Target="header8.xml"/><Relationship Id="rId2" Type="http://schemas.microsoft.com/office/2007/relationships/stylesWithEffects" Target="stylesWithEffects.xml"/><Relationship Id="rId16" Type="http://schemas.openxmlformats.org/officeDocument/2006/relationships/chart" Target="charts/chart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hart" Target="charts/chart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'Evol nombre bateaux p. 2'!$D$56</c:f>
              <c:strCache>
                <c:ptCount val="1"/>
                <c:pt idx="0">
                  <c:v>ЕС-25</c:v>
                </c:pt>
              </c:strCache>
            </c:strRef>
          </c:tx>
          <c:cat>
            <c:strRef>
              <c:f>'Evol nombre bateaux p. 2'!$A$57:$A$66</c:f>
              <c:strCache>
                <c:ptCount val="10"/>
                <c:pt idx="0">
                  <c:v>1.1.2005  г.</c:v>
                </c:pt>
                <c:pt idx="1">
                  <c:v>1.1.2006  г.</c:v>
                </c:pt>
                <c:pt idx="2">
                  <c:v>1.1.2007  г.</c:v>
                </c:pt>
                <c:pt idx="3">
                  <c:v>1.1.2008  г.</c:v>
                </c:pt>
                <c:pt idx="4">
                  <c:v>1.1.2009  г.</c:v>
                </c:pt>
                <c:pt idx="5">
                  <c:v>1.1.2010  г.</c:v>
                </c:pt>
                <c:pt idx="6">
                  <c:v>1.1.2011  г.</c:v>
                </c:pt>
                <c:pt idx="7">
                  <c:v>1.1.2012  г.</c:v>
                </c:pt>
                <c:pt idx="8">
                  <c:v>1.1.2013  г.</c:v>
                </c:pt>
                <c:pt idx="9">
                  <c:v>1.1.2014  г.</c:v>
                </c:pt>
              </c:strCache>
            </c:strRef>
          </c:cat>
          <c:val>
            <c:numRef>
              <c:f>'Evol nombre bateaux p. 2'!$D$57:$D$66</c:f>
              <c:numCache>
                <c:formatCode>General</c:formatCode>
                <c:ptCount val="10"/>
                <c:pt idx="0">
                  <c:v>91949</c:v>
                </c:pt>
                <c:pt idx="1">
                  <c:v>89008</c:v>
                </c:pt>
                <c:pt idx="2">
                  <c:v>87000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'Evol nombre bateaux p. 2'!$E$56</c:f>
              <c:strCache>
                <c:ptCount val="1"/>
                <c:pt idx="0">
                  <c:v>ЕС-27</c:v>
                </c:pt>
              </c:strCache>
            </c:strRef>
          </c:tx>
          <c:cat>
            <c:strRef>
              <c:f>'Evol nombre bateaux p. 2'!$A$57:$A$66</c:f>
              <c:strCache>
                <c:ptCount val="10"/>
                <c:pt idx="0">
                  <c:v>1.1.2005  г.</c:v>
                </c:pt>
                <c:pt idx="1">
                  <c:v>1.1.2006  г.</c:v>
                </c:pt>
                <c:pt idx="2">
                  <c:v>1.1.2007  г.</c:v>
                </c:pt>
                <c:pt idx="3">
                  <c:v>1.1.2008  г.</c:v>
                </c:pt>
                <c:pt idx="4">
                  <c:v>1.1.2009  г.</c:v>
                </c:pt>
                <c:pt idx="5">
                  <c:v>1.1.2010  г.</c:v>
                </c:pt>
                <c:pt idx="6">
                  <c:v>1.1.2011  г.</c:v>
                </c:pt>
                <c:pt idx="7">
                  <c:v>1.1.2012  г.</c:v>
                </c:pt>
                <c:pt idx="8">
                  <c:v>1.1.2013  г.</c:v>
                </c:pt>
                <c:pt idx="9">
                  <c:v>1.1.2014  г.</c:v>
                </c:pt>
              </c:strCache>
            </c:strRef>
          </c:cat>
          <c:val>
            <c:numRef>
              <c:f>'Evol nombre bateaux p. 2'!$E$57:$E$66</c:f>
              <c:numCache>
                <c:formatCode>General</c:formatCode>
                <c:ptCount val="10"/>
                <c:pt idx="2">
                  <c:v>89978</c:v>
                </c:pt>
                <c:pt idx="3">
                  <c:v>88027</c:v>
                </c:pt>
                <c:pt idx="4">
                  <c:v>85610</c:v>
                </c:pt>
                <c:pt idx="5">
                  <c:v>84375</c:v>
                </c:pt>
                <c:pt idx="6">
                  <c:v>83613</c:v>
                </c:pt>
                <c:pt idx="7">
                  <c:v>82013</c:v>
                </c:pt>
                <c:pt idx="8">
                  <c:v>80676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'Evol nombre bateaux p. 2'!$F$56</c:f>
              <c:strCache>
                <c:ptCount val="1"/>
                <c:pt idx="0">
                  <c:v>ЕС-28</c:v>
                </c:pt>
              </c:strCache>
            </c:strRef>
          </c:tx>
          <c:cat>
            <c:strRef>
              <c:f>'Evol nombre bateaux p. 2'!$A$57:$A$66</c:f>
              <c:strCache>
                <c:ptCount val="10"/>
                <c:pt idx="0">
                  <c:v>1.1.2005  г.</c:v>
                </c:pt>
                <c:pt idx="1">
                  <c:v>1.1.2006  г.</c:v>
                </c:pt>
                <c:pt idx="2">
                  <c:v>1.1.2007  г.</c:v>
                </c:pt>
                <c:pt idx="3">
                  <c:v>1.1.2008  г.</c:v>
                </c:pt>
                <c:pt idx="4">
                  <c:v>1.1.2009  г.</c:v>
                </c:pt>
                <c:pt idx="5">
                  <c:v>1.1.2010  г.</c:v>
                </c:pt>
                <c:pt idx="6">
                  <c:v>1.1.2011  г.</c:v>
                </c:pt>
                <c:pt idx="7">
                  <c:v>1.1.2012  г.</c:v>
                </c:pt>
                <c:pt idx="8">
                  <c:v>1.1.2013  г.</c:v>
                </c:pt>
                <c:pt idx="9">
                  <c:v>1.1.2014  г.</c:v>
                </c:pt>
              </c:strCache>
            </c:strRef>
          </c:cat>
          <c:val>
            <c:numRef>
              <c:f>'Evol nombre bateaux p. 2'!$F$57:$F$66</c:f>
              <c:numCache>
                <c:formatCode>General</c:formatCode>
                <c:ptCount val="10"/>
                <c:pt idx="9">
                  <c:v>87441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119488"/>
        <c:axId val="35121024"/>
      </c:lineChart>
      <c:catAx>
        <c:axId val="35119488"/>
        <c:scaling>
          <c:orientation val="minMax"/>
        </c:scaling>
        <c:delete val="0"/>
        <c:axPos val="b"/>
        <c:numFmt formatCode="dd\-mmm\-yy" sourceLinked="0"/>
        <c:majorTickMark val="out"/>
        <c:minorTickMark val="none"/>
        <c:tickLblPos val="nextTo"/>
        <c:crossAx val="35121024"/>
        <c:crosses val="autoZero"/>
        <c:auto val="1"/>
        <c:lblAlgn val="ctr"/>
        <c:lblOffset val="100"/>
        <c:noMultiLvlLbl val="1"/>
      </c:catAx>
      <c:valAx>
        <c:axId val="3512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11948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'Evol nombre bateaux p. 2'!$G$56</c:f>
              <c:strCache>
                <c:ptCount val="1"/>
                <c:pt idx="0">
                  <c:v>ЕС-25</c:v>
                </c:pt>
              </c:strCache>
            </c:strRef>
          </c:tx>
          <c:cat>
            <c:strRef>
              <c:f>'Evol nombre bateaux p. 2'!$A$57:$A$66</c:f>
              <c:strCache>
                <c:ptCount val="10"/>
                <c:pt idx="0">
                  <c:v>1.1.2005 г.</c:v>
                </c:pt>
                <c:pt idx="1">
                  <c:v>1.1.2006 г.</c:v>
                </c:pt>
                <c:pt idx="2">
                  <c:v>1.1.2007 г.</c:v>
                </c:pt>
                <c:pt idx="3">
                  <c:v>1.1.2008 г.</c:v>
                </c:pt>
                <c:pt idx="4">
                  <c:v>1.1.2009 г.</c:v>
                </c:pt>
                <c:pt idx="5">
                  <c:v>1.1.2010 г.</c:v>
                </c:pt>
                <c:pt idx="6">
                  <c:v>1.1.2011 г.</c:v>
                </c:pt>
                <c:pt idx="7">
                  <c:v>1.1.2012 г.</c:v>
                </c:pt>
                <c:pt idx="8">
                  <c:v>1.1.2013 г.</c:v>
                </c:pt>
                <c:pt idx="9">
                  <c:v>1.1.2014 г.</c:v>
                </c:pt>
              </c:strCache>
            </c:strRef>
          </c:cat>
          <c:val>
            <c:numRef>
              <c:f>'Evol nombre bateaux p. 2'!$G$57:$G$66</c:f>
              <c:numCache>
                <c:formatCode>0</c:formatCode>
                <c:ptCount val="10"/>
                <c:pt idx="0">
                  <c:v>2097.067</c:v>
                </c:pt>
                <c:pt idx="1">
                  <c:v>2013.6110000000001</c:v>
                </c:pt>
                <c:pt idx="2">
                  <c:v>1950.623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'Evol nombre bateaux p. 2'!$H$56</c:f>
              <c:strCache>
                <c:ptCount val="1"/>
                <c:pt idx="0">
                  <c:v>ЕС-27</c:v>
                </c:pt>
              </c:strCache>
            </c:strRef>
          </c:tx>
          <c:cat>
            <c:strRef>
              <c:f>'Evol nombre bateaux p. 2'!$A$57:$A$66</c:f>
              <c:strCache>
                <c:ptCount val="10"/>
                <c:pt idx="0">
                  <c:v>1.1.2005 г.</c:v>
                </c:pt>
                <c:pt idx="1">
                  <c:v>1.1.2006 г.</c:v>
                </c:pt>
                <c:pt idx="2">
                  <c:v>1.1.2007 г.</c:v>
                </c:pt>
                <c:pt idx="3">
                  <c:v>1.1.2008 г.</c:v>
                </c:pt>
                <c:pt idx="4">
                  <c:v>1.1.2009 г.</c:v>
                </c:pt>
                <c:pt idx="5">
                  <c:v>1.1.2010 г.</c:v>
                </c:pt>
                <c:pt idx="6">
                  <c:v>1.1.2011 г.</c:v>
                </c:pt>
                <c:pt idx="7">
                  <c:v>1.1.2012 г.</c:v>
                </c:pt>
                <c:pt idx="8">
                  <c:v>1.1.2013 г.</c:v>
                </c:pt>
                <c:pt idx="9">
                  <c:v>1.1.2014 г.</c:v>
                </c:pt>
              </c:strCache>
            </c:strRef>
          </c:cat>
          <c:val>
            <c:numRef>
              <c:f>'Evol nombre bateaux p. 2'!$H$57:$H$66</c:f>
              <c:numCache>
                <c:formatCode>General</c:formatCode>
                <c:ptCount val="10"/>
                <c:pt idx="2" formatCode="0">
                  <c:v>1961.078</c:v>
                </c:pt>
                <c:pt idx="3" formatCode="0">
                  <c:v>1917.9380000000001</c:v>
                </c:pt>
                <c:pt idx="4" formatCode="0">
                  <c:v>1861.941</c:v>
                </c:pt>
                <c:pt idx="5" formatCode="0">
                  <c:v>1807.77</c:v>
                </c:pt>
                <c:pt idx="6" formatCode="0">
                  <c:v>1735.3989999999999</c:v>
                </c:pt>
                <c:pt idx="7" formatCode="0">
                  <c:v>1686.8779999999999</c:v>
                </c:pt>
                <c:pt idx="8" formatCode="0">
                  <c:v>1630.355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'Evol nombre bateaux p. 2'!$I$56</c:f>
              <c:strCache>
                <c:ptCount val="1"/>
                <c:pt idx="0">
                  <c:v>ЕС-28</c:v>
                </c:pt>
              </c:strCache>
            </c:strRef>
          </c:tx>
          <c:cat>
            <c:strRef>
              <c:f>'Evol nombre bateaux p. 2'!$A$57:$A$66</c:f>
              <c:strCache>
                <c:ptCount val="10"/>
                <c:pt idx="0">
                  <c:v>1.1.2005 г.</c:v>
                </c:pt>
                <c:pt idx="1">
                  <c:v>1.1.2006 г.</c:v>
                </c:pt>
                <c:pt idx="2">
                  <c:v>1.1.2007 г.</c:v>
                </c:pt>
                <c:pt idx="3">
                  <c:v>1.1.2008 г.</c:v>
                </c:pt>
                <c:pt idx="4">
                  <c:v>1.1.2009 г.</c:v>
                </c:pt>
                <c:pt idx="5">
                  <c:v>1.1.2010 г.</c:v>
                </c:pt>
                <c:pt idx="6">
                  <c:v>1.1.2011 г.</c:v>
                </c:pt>
                <c:pt idx="7">
                  <c:v>1.1.2012 г.</c:v>
                </c:pt>
                <c:pt idx="8">
                  <c:v>1.1.2013 г.</c:v>
                </c:pt>
                <c:pt idx="9">
                  <c:v>1.1.2014 г.</c:v>
                </c:pt>
              </c:strCache>
            </c:strRef>
          </c:cat>
          <c:val>
            <c:numRef>
              <c:f>'Evol nombre bateaux p. 2'!$I$57:$I$66</c:f>
              <c:numCache>
                <c:formatCode>General</c:formatCode>
                <c:ptCount val="10"/>
                <c:pt idx="9" formatCode="0">
                  <c:v>1713.7919999999999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034368"/>
        <c:axId val="71035904"/>
      </c:lineChart>
      <c:catAx>
        <c:axId val="71034368"/>
        <c:scaling>
          <c:orientation val="minMax"/>
        </c:scaling>
        <c:delete val="0"/>
        <c:axPos val="b"/>
        <c:numFmt formatCode="dd\-mmm\-yy" sourceLinked="0"/>
        <c:majorTickMark val="out"/>
        <c:minorTickMark val="none"/>
        <c:tickLblPos val="nextTo"/>
        <c:crossAx val="71035904"/>
        <c:crosses val="autoZero"/>
        <c:auto val="1"/>
        <c:lblAlgn val="ctr"/>
        <c:lblOffset val="100"/>
        <c:noMultiLvlLbl val="1"/>
      </c:catAx>
      <c:valAx>
        <c:axId val="71035904"/>
        <c:scaling>
          <c:orientation val="minMax"/>
          <c:max val="2100"/>
          <c:min val="1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10343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'Evol nombre bateaux p. 2'!$J$56</c:f>
              <c:strCache>
                <c:ptCount val="1"/>
                <c:pt idx="0">
                  <c:v>ЕС-25</c:v>
                </c:pt>
              </c:strCache>
            </c:strRef>
          </c:tx>
          <c:cat>
            <c:strRef>
              <c:f>'Evol nombre bateaux p. 2'!$A$57:$A$66</c:f>
              <c:strCache>
                <c:ptCount val="10"/>
                <c:pt idx="0">
                  <c:v>1.1.2005 г.</c:v>
                </c:pt>
                <c:pt idx="1">
                  <c:v>1.1.2006 г.</c:v>
                </c:pt>
                <c:pt idx="2">
                  <c:v>1.1.2007 г.</c:v>
                </c:pt>
                <c:pt idx="3">
                  <c:v>1.1.2008 г.</c:v>
                </c:pt>
                <c:pt idx="4">
                  <c:v>1.1.2009 г.</c:v>
                </c:pt>
                <c:pt idx="5">
                  <c:v>1.1.2010 г.</c:v>
                </c:pt>
                <c:pt idx="6">
                  <c:v>1.1.2011 г.</c:v>
                </c:pt>
                <c:pt idx="7">
                  <c:v>1.1.2012 г.</c:v>
                </c:pt>
                <c:pt idx="8">
                  <c:v>1.1.2013 г.</c:v>
                </c:pt>
                <c:pt idx="9">
                  <c:v>1.1.2014 г.</c:v>
                </c:pt>
              </c:strCache>
            </c:strRef>
          </c:cat>
          <c:val>
            <c:numRef>
              <c:f>'Evol nombre bateaux p. 2'!$J$57:$J$66</c:f>
              <c:numCache>
                <c:formatCode>0</c:formatCode>
                <c:ptCount val="10"/>
                <c:pt idx="0">
                  <c:v>7481.3440000000001</c:v>
                </c:pt>
                <c:pt idx="1">
                  <c:v>7254.2110000000002</c:v>
                </c:pt>
                <c:pt idx="2">
                  <c:v>7072.4279999999999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'Evol nombre bateaux p. 2'!$K$56</c:f>
              <c:strCache>
                <c:ptCount val="1"/>
                <c:pt idx="0">
                  <c:v>ЕС-27</c:v>
                </c:pt>
              </c:strCache>
            </c:strRef>
          </c:tx>
          <c:cat>
            <c:strRef>
              <c:f>'Evol nombre bateaux p. 2'!$A$57:$A$66</c:f>
              <c:strCache>
                <c:ptCount val="10"/>
                <c:pt idx="0">
                  <c:v>1.1.2005 г.</c:v>
                </c:pt>
                <c:pt idx="1">
                  <c:v>1.1.2006 г.</c:v>
                </c:pt>
                <c:pt idx="2">
                  <c:v>1.1.2007 г.</c:v>
                </c:pt>
                <c:pt idx="3">
                  <c:v>1.1.2008 г.</c:v>
                </c:pt>
                <c:pt idx="4">
                  <c:v>1.1.2009 г.</c:v>
                </c:pt>
                <c:pt idx="5">
                  <c:v>1.1.2010 г.</c:v>
                </c:pt>
                <c:pt idx="6">
                  <c:v>1.1.2011 г.</c:v>
                </c:pt>
                <c:pt idx="7">
                  <c:v>1.1.2012 г.</c:v>
                </c:pt>
                <c:pt idx="8">
                  <c:v>1.1.2013 г.</c:v>
                </c:pt>
                <c:pt idx="9">
                  <c:v>1.1.2014 г.</c:v>
                </c:pt>
              </c:strCache>
            </c:strRef>
          </c:cat>
          <c:val>
            <c:numRef>
              <c:f>'Evol nombre bateaux p. 2'!$K$57:$K$66</c:f>
              <c:numCache>
                <c:formatCode>General</c:formatCode>
                <c:ptCount val="10"/>
                <c:pt idx="2" formatCode="0">
                  <c:v>7144.9170000000004</c:v>
                </c:pt>
                <c:pt idx="3" formatCode="0">
                  <c:v>6978.7820000000002</c:v>
                </c:pt>
                <c:pt idx="4" formatCode="0">
                  <c:v>6790.3230000000003</c:v>
                </c:pt>
                <c:pt idx="5" formatCode="0">
                  <c:v>6638.49</c:v>
                </c:pt>
                <c:pt idx="6" formatCode="0">
                  <c:v>6490.7219999999998</c:v>
                </c:pt>
                <c:pt idx="7">
                  <c:v>6360.317</c:v>
                </c:pt>
                <c:pt idx="8">
                  <c:v>6236.0879999999997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'Evol nombre bateaux p. 2'!$L$56</c:f>
              <c:strCache>
                <c:ptCount val="1"/>
                <c:pt idx="0">
                  <c:v>ЕС-28</c:v>
                </c:pt>
              </c:strCache>
            </c:strRef>
          </c:tx>
          <c:cat>
            <c:strRef>
              <c:f>'Evol nombre bateaux p. 2'!$A$57:$A$66</c:f>
              <c:strCache>
                <c:ptCount val="10"/>
                <c:pt idx="0">
                  <c:v>1.1.2005 г.</c:v>
                </c:pt>
                <c:pt idx="1">
                  <c:v>1.1.2006 г.</c:v>
                </c:pt>
                <c:pt idx="2">
                  <c:v>1.1.2007 г.</c:v>
                </c:pt>
                <c:pt idx="3">
                  <c:v>1.1.2008 г.</c:v>
                </c:pt>
                <c:pt idx="4">
                  <c:v>1.1.2009 г.</c:v>
                </c:pt>
                <c:pt idx="5">
                  <c:v>1.1.2010 г.</c:v>
                </c:pt>
                <c:pt idx="6">
                  <c:v>1.1.2011 г.</c:v>
                </c:pt>
                <c:pt idx="7">
                  <c:v>1.1.2012 г.</c:v>
                </c:pt>
                <c:pt idx="8">
                  <c:v>1.1.2013 г.</c:v>
                </c:pt>
                <c:pt idx="9">
                  <c:v>1.1.2014 г.</c:v>
                </c:pt>
              </c:strCache>
            </c:strRef>
          </c:cat>
          <c:val>
            <c:numRef>
              <c:f>'Evol nombre bateaux p. 2'!$L$57:$L$66</c:f>
              <c:numCache>
                <c:formatCode>General</c:formatCode>
                <c:ptCount val="10"/>
                <c:pt idx="9">
                  <c:v>6667.2250000000004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205248"/>
        <c:axId val="71206784"/>
      </c:lineChart>
      <c:catAx>
        <c:axId val="71205248"/>
        <c:scaling>
          <c:orientation val="minMax"/>
        </c:scaling>
        <c:delete val="0"/>
        <c:axPos val="b"/>
        <c:numFmt formatCode="dd\-mmm\-yy" sourceLinked="0"/>
        <c:majorTickMark val="out"/>
        <c:minorTickMark val="none"/>
        <c:tickLblPos val="nextTo"/>
        <c:crossAx val="71206784"/>
        <c:crosses val="autoZero"/>
        <c:auto val="1"/>
        <c:lblAlgn val="ctr"/>
        <c:lblOffset val="100"/>
        <c:noMultiLvlLbl val="1"/>
      </c:catAx>
      <c:valAx>
        <c:axId val="71206784"/>
        <c:scaling>
          <c:orientation val="minMax"/>
          <c:max val="7600"/>
          <c:min val="6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12052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496515521766678"/>
          <c:y val="0.87673481604273151"/>
          <c:w val="0.47006968956466649"/>
          <c:h val="8.7436570428696458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4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bg-BG"/>
              <a:t>Допълнителни данни за показателя за устойчив улов*</a:t>
            </a:r>
          </a:p>
        </c:rich>
      </c:tx>
      <c:layout>
        <c:manualLayout>
          <c:xMode val="edge"/>
          <c:yMode val="edge"/>
          <c:x val="0.14475043486942879"/>
          <c:y val="4.790861369601526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</c:spPr>
          </c:dPt>
          <c:dLbls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Sheet2!$B$1:$C$1</c:f>
              <c:strCache>
                <c:ptCount val="2"/>
                <c:pt idx="0">
                  <c:v>Брой на запасите, предмет на прекомерен улов
</c:v>
                </c:pt>
                <c:pt idx="1">
                  <c:v>Брой на запасите, които не са предмет на прекомерен улов</c:v>
                </c:pt>
              </c:strCache>
            </c:strRef>
          </c:cat>
          <c:val>
            <c:numRef>
              <c:f>Sheet2!$B$430:$C$430</c:f>
              <c:numCache>
                <c:formatCode>0%</c:formatCode>
                <c:ptCount val="2"/>
                <c:pt idx="0">
                  <c:v>0.69373853811894159</c:v>
                </c:pt>
                <c:pt idx="1">
                  <c:v>0.30626146188105841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012987012987002"/>
          <c:y val="0.48122065727699531"/>
          <c:w val="0.31558441558441552"/>
          <c:h val="0.438323082699720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324</Words>
  <Characters>1615</Characters>
  <Application>Microsoft Office Word</Application>
  <DocSecurity>0</DocSecurity>
  <Lines>134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HASSEWER Murielle (MARE)</dc:creator>
  <cp:lastModifiedBy>DIGIT/A3</cp:lastModifiedBy>
  <cp:revision>18</cp:revision>
  <dcterms:created xsi:type="dcterms:W3CDTF">2015-10-06T10:39:00Z</dcterms:created>
  <dcterms:modified xsi:type="dcterms:W3CDTF">2015-11-04T11:15:00Z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4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